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18"/>
          <w:szCs w:val="18"/>
          <w:u w:val="single" w:color="auto"/>
          <w:color w:val="0000EE"/>
        </w:rPr>
        <w:t>Table of Contents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5715</wp:posOffset>
            </wp:positionH>
            <wp:positionV relativeFrom="paragraph">
              <wp:posOffset>151765</wp:posOffset>
            </wp:positionV>
            <wp:extent cx="6292215"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292215" cy="34290"/>
                    </a:xfrm>
                    <a:prstGeom prst="rect">
                      <a:avLst/>
                    </a:prstGeom>
                    <a:noFill/>
                  </pic:spPr>
                </pic:pic>
              </a:graphicData>
            </a:graphic>
          </wp:anchor>
        </w:drawing>
        <w:drawing>
          <wp:anchor simplePos="0" relativeHeight="251657728" behindDoc="1" locked="0" layoutInCell="0" allowOverlap="1">
            <wp:simplePos x="0" y="0"/>
            <wp:positionH relativeFrom="column">
              <wp:posOffset>5715</wp:posOffset>
            </wp:positionH>
            <wp:positionV relativeFrom="paragraph">
              <wp:posOffset>220345</wp:posOffset>
            </wp:positionV>
            <wp:extent cx="6292215"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292215" cy="8255"/>
                    </a:xfrm>
                    <a:prstGeom prst="rect">
                      <a:avLst/>
                    </a:prstGeom>
                    <a:noFill/>
                  </pic:spPr>
                </pic:pic>
              </a:graphicData>
            </a:graphic>
          </wp:anchor>
        </w:drawing>
      </w:r>
    </w:p>
    <w:p>
      <w:pPr>
        <w:spacing w:after="0" w:line="200" w:lineRule="exact"/>
        <w:rPr>
          <w:sz w:val="24"/>
          <w:szCs w:val="24"/>
          <w:color w:val="auto"/>
        </w:rPr>
      </w:pPr>
    </w:p>
    <w:p>
      <w:pPr>
        <w:spacing w:after="0" w:line="230" w:lineRule="exact"/>
        <w:rPr>
          <w:sz w:val="24"/>
          <w:szCs w:val="24"/>
          <w:color w:val="auto"/>
        </w:rPr>
      </w:pPr>
    </w:p>
    <w:p>
      <w:pPr>
        <w:jc w:val="center"/>
        <w:ind w:right="-79"/>
        <w:spacing w:after="0"/>
        <w:rPr>
          <w:sz w:val="20"/>
          <w:szCs w:val="20"/>
          <w:color w:val="auto"/>
        </w:rPr>
      </w:pPr>
      <w:r>
        <w:rPr>
          <w:rFonts w:ascii="Arial" w:cs="Arial" w:eastAsia="Arial" w:hAnsi="Arial"/>
          <w:sz w:val="29"/>
          <w:szCs w:val="29"/>
          <w:b w:val="1"/>
          <w:bCs w:val="1"/>
          <w:color w:val="auto"/>
        </w:rPr>
        <w:t>UNITED STATES</w:t>
      </w:r>
    </w:p>
    <w:p>
      <w:pPr>
        <w:spacing w:after="0" w:line="36" w:lineRule="exact"/>
        <w:rPr>
          <w:sz w:val="24"/>
          <w:szCs w:val="24"/>
          <w:color w:val="auto"/>
        </w:rPr>
      </w:pPr>
    </w:p>
    <w:p>
      <w:pPr>
        <w:jc w:val="center"/>
        <w:ind w:right="-79"/>
        <w:spacing w:after="0"/>
        <w:rPr>
          <w:sz w:val="20"/>
          <w:szCs w:val="20"/>
          <w:color w:val="auto"/>
        </w:rPr>
      </w:pPr>
      <w:r>
        <w:rPr>
          <w:rFonts w:ascii="Arial" w:cs="Arial" w:eastAsia="Arial" w:hAnsi="Arial"/>
          <w:sz w:val="29"/>
          <w:szCs w:val="29"/>
          <w:b w:val="1"/>
          <w:bCs w:val="1"/>
          <w:color w:val="auto"/>
        </w:rPr>
        <w:t>SECURITIES AND EXCHANGE COMMISSION</w:t>
      </w:r>
    </w:p>
    <w:p>
      <w:pPr>
        <w:spacing w:after="0" w:line="94"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2363470</wp:posOffset>
            </wp:positionH>
            <wp:positionV relativeFrom="paragraph">
              <wp:posOffset>154305</wp:posOffset>
            </wp:positionV>
            <wp:extent cx="157734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77340" cy="8255"/>
                    </a:xfrm>
                    <a:prstGeom prst="rect">
                      <a:avLst/>
                    </a:prstGeom>
                    <a:noFill/>
                  </pic:spPr>
                </pic:pic>
              </a:graphicData>
            </a:graphic>
          </wp:anchor>
        </w:drawing>
      </w:r>
    </w:p>
    <w:p>
      <w:pPr>
        <w:spacing w:after="0" w:line="200" w:lineRule="exact"/>
        <w:rPr>
          <w:sz w:val="24"/>
          <w:szCs w:val="24"/>
          <w:color w:val="auto"/>
        </w:rPr>
      </w:pPr>
    </w:p>
    <w:p>
      <w:pPr>
        <w:spacing w:after="0" w:line="207" w:lineRule="exact"/>
        <w:rPr>
          <w:sz w:val="24"/>
          <w:szCs w:val="24"/>
          <w:color w:val="auto"/>
        </w:rPr>
      </w:pPr>
    </w:p>
    <w:p>
      <w:pPr>
        <w:jc w:val="center"/>
        <w:ind w:right="-79"/>
        <w:spacing w:after="0"/>
        <w:rPr>
          <w:sz w:val="20"/>
          <w:szCs w:val="20"/>
          <w:color w:val="auto"/>
        </w:rPr>
      </w:pPr>
      <w:r>
        <w:rPr>
          <w:rFonts w:ascii="Arial" w:cs="Arial" w:eastAsia="Arial" w:hAnsi="Arial"/>
          <w:sz w:val="29"/>
          <w:szCs w:val="29"/>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2363470</wp:posOffset>
            </wp:positionH>
            <wp:positionV relativeFrom="paragraph">
              <wp:posOffset>160020</wp:posOffset>
            </wp:positionV>
            <wp:extent cx="157734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77340" cy="8255"/>
                    </a:xfrm>
                    <a:prstGeom prst="rect">
                      <a:avLst/>
                    </a:prstGeom>
                    <a:noFill/>
                  </pic:spPr>
                </pic:pic>
              </a:graphicData>
            </a:graphic>
          </wp:anchor>
        </w:drawing>
      </w:r>
    </w:p>
    <w:p>
      <w:pPr>
        <w:spacing w:after="0" w:line="200" w:lineRule="exact"/>
        <w:rPr>
          <w:sz w:val="24"/>
          <w:szCs w:val="24"/>
          <w:color w:val="auto"/>
        </w:rPr>
      </w:pPr>
    </w:p>
    <w:p>
      <w:pPr>
        <w:spacing w:after="0" w:line="243" w:lineRule="exact"/>
        <w:rPr>
          <w:sz w:val="24"/>
          <w:szCs w:val="24"/>
          <w:color w:val="auto"/>
        </w:rPr>
      </w:pPr>
    </w:p>
    <w:p>
      <w:pPr>
        <w:ind w:left="660" w:hanging="328"/>
        <w:spacing w:after="0"/>
        <w:tabs>
          <w:tab w:leader="none" w:pos="660" w:val="left"/>
        </w:tabs>
        <w:numPr>
          <w:ilvl w:val="0"/>
          <w:numId w:val="1"/>
        </w:numPr>
        <w:rPr>
          <w:rFonts w:ascii="MS PGothic" w:cs="MS PGothic" w:eastAsia="MS PGothic" w:hAnsi="MS PGothic"/>
          <w:sz w:val="21"/>
          <w:szCs w:val="21"/>
          <w:color w:val="auto"/>
          <w:highlight w:val="black"/>
        </w:rPr>
      </w:pPr>
      <w:r>
        <w:rPr>
          <w:rFonts w:ascii="Arial" w:cs="Arial" w:eastAsia="Arial" w:hAnsi="Arial"/>
          <w:sz w:val="17"/>
          <w:szCs w:val="17"/>
          <w:b w:val="1"/>
          <w:bCs w:val="1"/>
          <w:color w:val="auto"/>
        </w:rPr>
        <w:t>QUARTERLY REPORT PURSUANT TO SECTION 13 OR 15(d) OF THE SECURITIES EXCHANGE ACT OF 1934</w:t>
      </w:r>
    </w:p>
    <w:p>
      <w:pPr>
        <w:spacing w:after="0" w:line="200" w:lineRule="exact"/>
        <w:rPr>
          <w:sz w:val="24"/>
          <w:szCs w:val="24"/>
          <w:color w:val="auto"/>
        </w:rPr>
      </w:pPr>
    </w:p>
    <w:p>
      <w:pPr>
        <w:spacing w:after="0" w:line="200" w:lineRule="exact"/>
        <w:rPr>
          <w:sz w:val="24"/>
          <w:szCs w:val="24"/>
          <w:color w:val="auto"/>
        </w:rPr>
      </w:pPr>
    </w:p>
    <w:p>
      <w:pPr>
        <w:spacing w:after="0" w:line="383" w:lineRule="exact"/>
        <w:rPr>
          <w:sz w:val="24"/>
          <w:szCs w:val="24"/>
          <w:color w:val="auto"/>
        </w:rPr>
      </w:pPr>
    </w:p>
    <w:p>
      <w:pPr>
        <w:ind w:left="660" w:hanging="328"/>
        <w:spacing w:after="0"/>
        <w:tabs>
          <w:tab w:leader="none" w:pos="660" w:val="left"/>
        </w:tabs>
        <w:numPr>
          <w:ilvl w:val="0"/>
          <w:numId w:val="2"/>
        </w:numPr>
        <w:rPr>
          <w:rFonts w:ascii="MS PGothic" w:cs="MS PGothic" w:eastAsia="MS PGothic" w:hAnsi="MS PGothic"/>
          <w:sz w:val="17"/>
          <w:szCs w:val="17"/>
          <w:color w:val="auto"/>
          <w:highlight w:val="black"/>
        </w:rPr>
      </w:pPr>
      <w:r>
        <w:rPr>
          <w:rFonts w:ascii="Arial" w:cs="Arial" w:eastAsia="Arial" w:hAnsi="Arial"/>
          <w:sz w:val="17"/>
          <w:szCs w:val="17"/>
          <w:b w:val="1"/>
          <w:bCs w:val="1"/>
          <w:color w:val="auto"/>
        </w:rPr>
        <w:t>TRANSITION REPORT PURSUANT TO SECTION 13 OR 15(d) OF THE SECURITIES EXCHANGE ACT OF 1934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2363470</wp:posOffset>
            </wp:positionH>
            <wp:positionV relativeFrom="paragraph">
              <wp:posOffset>161925</wp:posOffset>
            </wp:positionV>
            <wp:extent cx="157734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77340" cy="8255"/>
                    </a:xfrm>
                    <a:prstGeom prst="rect">
                      <a:avLst/>
                    </a:prstGeom>
                    <a:noFill/>
                  </pic:spPr>
                </pic:pic>
              </a:graphicData>
            </a:graphic>
          </wp:anchor>
        </w:drawing>
      </w:r>
    </w:p>
    <w:p>
      <w:pPr>
        <w:spacing w:after="0" w:line="200" w:lineRule="exact"/>
        <w:rPr>
          <w:sz w:val="24"/>
          <w:szCs w:val="24"/>
          <w:color w:val="auto"/>
        </w:rPr>
      </w:pPr>
    </w:p>
    <w:p>
      <w:pPr>
        <w:spacing w:after="0" w:line="233"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1-16725</w:t>
      </w:r>
    </w:p>
    <w:p>
      <w:pPr>
        <w:spacing w:after="0" w:line="27" w:lineRule="exact"/>
        <w:rPr>
          <w:sz w:val="24"/>
          <w:szCs w:val="24"/>
          <w:color w:val="auto"/>
        </w:rPr>
      </w:pPr>
    </w:p>
    <w:p>
      <w:pPr>
        <w:jc w:val="center"/>
        <w:ind w:right="-79"/>
        <w:spacing w:after="0"/>
        <w:rPr>
          <w:sz w:val="20"/>
          <w:szCs w:val="20"/>
          <w:color w:val="auto"/>
        </w:rPr>
      </w:pPr>
      <w:r>
        <w:rPr>
          <w:rFonts w:ascii="Arial" w:cs="Arial" w:eastAsia="Arial" w:hAnsi="Arial"/>
          <w:sz w:val="18"/>
          <w:szCs w:val="18"/>
          <w:color w:val="auto"/>
        </w:rPr>
        <w:t>(Commission file number)</w:t>
      </w:r>
    </w:p>
    <w:p>
      <w:pPr>
        <w:spacing w:after="0" w:line="76" w:lineRule="exact"/>
        <w:rPr>
          <w:sz w:val="24"/>
          <w:szCs w:val="24"/>
          <w:color w:val="auto"/>
        </w:rPr>
      </w:pPr>
    </w:p>
    <w:p>
      <w:pPr>
        <w:jc w:val="center"/>
        <w:ind w:right="-79"/>
        <w:spacing w:after="0"/>
        <w:rPr>
          <w:sz w:val="20"/>
          <w:szCs w:val="20"/>
          <w:color w:val="auto"/>
        </w:rPr>
      </w:pPr>
      <w:r>
        <w:rPr>
          <w:rFonts w:ascii="Arial" w:cs="Arial" w:eastAsia="Arial" w:hAnsi="Arial"/>
          <w:sz w:val="32"/>
          <w:szCs w:val="32"/>
          <w:b w:val="1"/>
          <w:bCs w:val="1"/>
          <w:color w:val="auto"/>
        </w:rPr>
        <w:t>PRINCIPAL FINANCIAL GROUP, INC.</w:t>
      </w:r>
    </w:p>
    <w:p>
      <w:pPr>
        <w:spacing w:after="0" w:line="39" w:lineRule="exact"/>
        <w:rPr>
          <w:sz w:val="24"/>
          <w:szCs w:val="24"/>
          <w:color w:val="auto"/>
        </w:rPr>
      </w:pPr>
    </w:p>
    <w:p>
      <w:pPr>
        <w:jc w:val="center"/>
        <w:ind w:right="-79"/>
        <w:spacing w:after="0"/>
        <w:rPr>
          <w:sz w:val="20"/>
          <w:szCs w:val="20"/>
          <w:color w:val="auto"/>
        </w:rPr>
      </w:pPr>
      <w:r>
        <w:rPr>
          <w:rFonts w:ascii="Arial" w:cs="Arial" w:eastAsia="Arial" w:hAnsi="Arial"/>
          <w:sz w:val="18"/>
          <w:szCs w:val="18"/>
          <w:color w:val="auto"/>
        </w:rPr>
        <w:t>(Exact name of registrant as specified in its charter)</w:t>
      </w:r>
    </w:p>
    <w:p>
      <w:pPr>
        <w:sectPr>
          <w:pgSz w:w="11900" w:h="16838" w:orient="portrait"/>
          <w:cols w:equalWidth="0" w:num="1">
            <w:col w:w="9860"/>
          </w:cols>
          <w:pgMar w:left="980" w:top="665" w:right="1059" w:bottom="1440" w:gutter="0" w:footer="0" w:header="0"/>
        </w:sectPr>
      </w:pPr>
    </w:p>
    <w:p>
      <w:pPr>
        <w:spacing w:after="0" w:line="70" w:lineRule="exact"/>
        <w:rPr>
          <w:sz w:val="24"/>
          <w:szCs w:val="24"/>
          <w:color w:val="auto"/>
        </w:rPr>
      </w:pPr>
    </w:p>
    <w:p>
      <w:pPr>
        <w:jc w:val="center"/>
        <w:ind w:right="420"/>
        <w:spacing w:after="0"/>
        <w:rPr>
          <w:sz w:val="20"/>
          <w:szCs w:val="20"/>
          <w:color w:val="auto"/>
        </w:rPr>
      </w:pPr>
      <w:r>
        <w:rPr>
          <w:rFonts w:ascii="Arial" w:cs="Arial" w:eastAsia="Arial" w:hAnsi="Arial"/>
          <w:sz w:val="18"/>
          <w:szCs w:val="18"/>
          <w:b w:val="1"/>
          <w:bCs w:val="1"/>
          <w:color w:val="auto"/>
        </w:rPr>
        <w:t>Delaware</w:t>
      </w:r>
    </w:p>
    <w:p>
      <w:pPr>
        <w:spacing w:after="0" w:line="27" w:lineRule="exact"/>
        <w:rPr>
          <w:sz w:val="24"/>
          <w:szCs w:val="24"/>
          <w:color w:val="auto"/>
        </w:rPr>
      </w:pPr>
    </w:p>
    <w:p>
      <w:pPr>
        <w:jc w:val="center"/>
        <w:ind w:right="420"/>
        <w:spacing w:after="0"/>
        <w:rPr>
          <w:sz w:val="20"/>
          <w:szCs w:val="20"/>
          <w:color w:val="auto"/>
        </w:rPr>
      </w:pPr>
      <w:r>
        <w:rPr>
          <w:rFonts w:ascii="Arial" w:cs="Arial" w:eastAsia="Arial" w:hAnsi="Arial"/>
          <w:sz w:val="16"/>
          <w:szCs w:val="16"/>
          <w:color w:val="auto"/>
        </w:rPr>
        <w:t>(State or other jurisdiction of incorporation or organization)</w:t>
      </w:r>
    </w:p>
    <w:p>
      <w:pPr>
        <w:spacing w:after="0" w:line="20" w:lineRule="exact"/>
        <w:rPr>
          <w:sz w:val="24"/>
          <w:szCs w:val="24"/>
          <w:color w:val="auto"/>
        </w:rPr>
      </w:pPr>
      <w:r>
        <w:rPr>
          <w:sz w:val="24"/>
          <w:szCs w:val="24"/>
          <w:color w:val="auto"/>
        </w:rPr>
        <w:br w:type="column"/>
      </w:r>
    </w:p>
    <w:p>
      <w:pPr>
        <w:spacing w:after="0" w:line="50" w:lineRule="exact"/>
        <w:rPr>
          <w:sz w:val="24"/>
          <w:szCs w:val="24"/>
          <w:color w:val="auto"/>
        </w:rPr>
      </w:pPr>
    </w:p>
    <w:p>
      <w:pPr>
        <w:jc w:val="center"/>
        <w:ind w:right="900"/>
        <w:spacing w:after="0"/>
        <w:rPr>
          <w:sz w:val="20"/>
          <w:szCs w:val="20"/>
          <w:color w:val="auto"/>
        </w:rPr>
      </w:pPr>
      <w:r>
        <w:rPr>
          <w:rFonts w:ascii="Arial" w:cs="Arial" w:eastAsia="Arial" w:hAnsi="Arial"/>
          <w:sz w:val="18"/>
          <w:szCs w:val="18"/>
          <w:b w:val="1"/>
          <w:bCs w:val="1"/>
          <w:color w:val="auto"/>
        </w:rPr>
        <w:t>42-1520346</w:t>
      </w:r>
    </w:p>
    <w:p>
      <w:pPr>
        <w:spacing w:after="0" w:line="27" w:lineRule="exact"/>
        <w:rPr>
          <w:sz w:val="24"/>
          <w:szCs w:val="24"/>
          <w:color w:val="auto"/>
        </w:rPr>
      </w:pPr>
    </w:p>
    <w:p>
      <w:pPr>
        <w:jc w:val="center"/>
        <w:ind w:right="900"/>
        <w:spacing w:after="0"/>
        <w:rPr>
          <w:sz w:val="20"/>
          <w:szCs w:val="20"/>
          <w:color w:val="auto"/>
        </w:rPr>
      </w:pPr>
      <w:r>
        <w:rPr>
          <w:rFonts w:ascii="Arial" w:cs="Arial" w:eastAsia="Arial" w:hAnsi="Arial"/>
          <w:sz w:val="16"/>
          <w:szCs w:val="16"/>
          <w:color w:val="auto"/>
        </w:rPr>
        <w:t>(I.R.S. Employer Identification Number)</w:t>
      </w:r>
    </w:p>
    <w:p>
      <w:pPr>
        <w:spacing w:after="0" w:line="108" w:lineRule="exact"/>
        <w:rPr>
          <w:sz w:val="24"/>
          <w:szCs w:val="24"/>
          <w:color w:val="auto"/>
        </w:rPr>
      </w:pPr>
    </w:p>
    <w:p>
      <w:pPr>
        <w:sectPr>
          <w:pgSz w:w="11900" w:h="16838" w:orient="portrait"/>
          <w:cols w:equalWidth="0" w:num="2">
            <w:col w:w="5300" w:space="720"/>
            <w:col w:w="3840"/>
          </w:cols>
          <w:pgMar w:left="980" w:top="665" w:right="1059" w:bottom="1440" w:gutter="0" w:footer="0" w:header="0"/>
          <w:type w:val="continuous"/>
        </w:sectPr>
      </w:pPr>
    </w:p>
    <w:p>
      <w:pPr>
        <w:jc w:val="center"/>
        <w:ind w:right="-59"/>
        <w:spacing w:after="0"/>
        <w:rPr>
          <w:sz w:val="20"/>
          <w:szCs w:val="20"/>
          <w:color w:val="auto"/>
        </w:rPr>
      </w:pPr>
      <w:r>
        <w:rPr>
          <w:rFonts w:ascii="Arial" w:cs="Arial" w:eastAsia="Arial" w:hAnsi="Arial"/>
          <w:sz w:val="18"/>
          <w:szCs w:val="18"/>
          <w:b w:val="1"/>
          <w:bCs w:val="1"/>
          <w:color w:val="auto"/>
        </w:rPr>
        <w:t>711 High Street, Des Moines, Iowa 50392</w:t>
      </w:r>
    </w:p>
    <w:p>
      <w:pPr>
        <w:spacing w:after="0" w:line="27" w:lineRule="exact"/>
        <w:rPr>
          <w:sz w:val="24"/>
          <w:szCs w:val="24"/>
          <w:color w:val="auto"/>
        </w:rPr>
      </w:pPr>
    </w:p>
    <w:p>
      <w:pPr>
        <w:jc w:val="center"/>
        <w:ind w:right="-59"/>
        <w:spacing w:after="0"/>
        <w:rPr>
          <w:sz w:val="20"/>
          <w:szCs w:val="20"/>
          <w:color w:val="auto"/>
        </w:rPr>
      </w:pPr>
      <w:r>
        <w:rPr>
          <w:rFonts w:ascii="Arial" w:cs="Arial" w:eastAsia="Arial" w:hAnsi="Arial"/>
          <w:sz w:val="18"/>
          <w:szCs w:val="18"/>
          <w:color w:val="auto"/>
        </w:rPr>
        <w:t>(Address of principal executive offices)</w:t>
      </w:r>
    </w:p>
    <w:p>
      <w:pPr>
        <w:spacing w:after="0" w:line="99"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(515) 247-5111</w:t>
      </w:r>
    </w:p>
    <w:p>
      <w:pPr>
        <w:spacing w:after="0" w:line="27" w:lineRule="exact"/>
        <w:rPr>
          <w:sz w:val="24"/>
          <w:szCs w:val="24"/>
          <w:color w:val="auto"/>
        </w:rPr>
      </w:pPr>
    </w:p>
    <w:p>
      <w:pPr>
        <w:jc w:val="center"/>
        <w:ind w:right="-59"/>
        <w:spacing w:after="0"/>
        <w:rPr>
          <w:sz w:val="20"/>
          <w:szCs w:val="20"/>
          <w:color w:val="auto"/>
        </w:rPr>
      </w:pPr>
      <w:r>
        <w:rPr>
          <w:rFonts w:ascii="Arial" w:cs="Arial" w:eastAsia="Arial" w:hAnsi="Arial"/>
          <w:sz w:val="16"/>
          <w:szCs w:val="16"/>
          <w:color w:val="auto"/>
        </w:rPr>
        <w:t>(Registrant’s telephone number, including area code)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2363470</wp:posOffset>
            </wp:positionH>
            <wp:positionV relativeFrom="paragraph">
              <wp:posOffset>123190</wp:posOffset>
            </wp:positionV>
            <wp:extent cx="157734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577340" cy="17145"/>
                    </a:xfrm>
                    <a:prstGeom prst="rect">
                      <a:avLst/>
                    </a:prstGeom>
                    <a:noFill/>
                  </pic:spPr>
                </pic:pic>
              </a:graphicData>
            </a:graphic>
          </wp:anchor>
        </w:drawing>
      </w:r>
    </w:p>
    <w:p>
      <w:pPr>
        <w:spacing w:after="0" w:line="376" w:lineRule="exact"/>
        <w:rPr>
          <w:sz w:val="24"/>
          <w:szCs w:val="24"/>
          <w:color w:val="auto"/>
        </w:rPr>
      </w:pPr>
    </w:p>
    <w:p>
      <w:pPr>
        <w:spacing w:after="0"/>
        <w:rPr>
          <w:sz w:val="20"/>
          <w:szCs w:val="20"/>
          <w:color w:val="auto"/>
        </w:rPr>
      </w:pPr>
      <w:r>
        <w:rPr>
          <w:rFonts w:ascii="Arial" w:cs="Arial" w:eastAsia="Arial" w:hAnsi="Arial"/>
          <w:sz w:val="18"/>
          <w:szCs w:val="18"/>
          <w:color w:val="auto"/>
        </w:rPr>
        <w:t>Securities registered pursuant to Section 12(b) of the Act:</w:t>
      </w:r>
    </w:p>
    <w:p>
      <w:pPr>
        <w:sectPr>
          <w:pgSz w:w="11900" w:h="16838" w:orient="portrait"/>
          <w:cols w:equalWidth="0" w:num="1">
            <w:col w:w="9860"/>
          </w:cols>
          <w:pgMar w:left="980" w:top="665" w:right="1059" w:bottom="1440" w:gutter="0" w:footer="0" w:header="0"/>
          <w:type w:val="continuous"/>
        </w:sectPr>
      </w:pPr>
    </w:p>
    <w:p>
      <w:pPr>
        <w:spacing w:after="0" w:line="117" w:lineRule="exact"/>
        <w:rPr>
          <w:sz w:val="24"/>
          <w:szCs w:val="24"/>
          <w:color w:val="auto"/>
        </w:rPr>
      </w:pPr>
    </w:p>
    <w:p>
      <w:pPr>
        <w:jc w:val="center"/>
        <w:ind w:right="280"/>
        <w:spacing w:after="0"/>
        <w:rPr>
          <w:sz w:val="20"/>
          <w:szCs w:val="20"/>
          <w:color w:val="auto"/>
        </w:rPr>
      </w:pPr>
      <w:r>
        <w:rPr>
          <w:rFonts w:ascii="Arial" w:cs="Arial" w:eastAsia="Arial" w:hAnsi="Arial"/>
          <w:sz w:val="16"/>
          <w:szCs w:val="16"/>
          <w:color w:val="auto"/>
        </w:rPr>
        <w:t>Title of each class</w:t>
      </w:r>
    </w:p>
    <w:p>
      <w:pPr>
        <w:spacing w:after="0" w:line="46" w:lineRule="exact"/>
        <w:rPr>
          <w:sz w:val="24"/>
          <w:szCs w:val="24"/>
          <w:color w:val="auto"/>
        </w:rPr>
      </w:pPr>
    </w:p>
    <w:p>
      <w:pPr>
        <w:jc w:val="center"/>
        <w:ind w:right="280"/>
        <w:spacing w:after="0"/>
        <w:rPr>
          <w:sz w:val="20"/>
          <w:szCs w:val="20"/>
          <w:color w:val="auto"/>
        </w:rPr>
      </w:pPr>
      <w:r>
        <w:rPr>
          <w:rFonts w:ascii="Arial" w:cs="Arial" w:eastAsia="Arial" w:hAnsi="Arial"/>
          <w:sz w:val="18"/>
          <w:szCs w:val="18"/>
          <w:color w:val="auto"/>
        </w:rPr>
        <w:t>Common Stock</w:t>
      </w:r>
    </w:p>
    <w:p>
      <w:pPr>
        <w:spacing w:after="0" w:line="20" w:lineRule="exact"/>
        <w:rPr>
          <w:sz w:val="24"/>
          <w:szCs w:val="24"/>
          <w:color w:val="auto"/>
        </w:rPr>
      </w:pPr>
      <w:r>
        <w:rPr>
          <w:sz w:val="24"/>
          <w:szCs w:val="24"/>
          <w:color w:val="auto"/>
        </w:rPr>
        <w:br w:type="column"/>
      </w:r>
    </w:p>
    <w:p>
      <w:pPr>
        <w:spacing w:after="0" w:line="97" w:lineRule="exact"/>
        <w:rPr>
          <w:sz w:val="24"/>
          <w:szCs w:val="24"/>
          <w:color w:val="auto"/>
        </w:rPr>
      </w:pPr>
    </w:p>
    <w:p>
      <w:pPr>
        <w:jc w:val="center"/>
        <w:ind w:right="340"/>
        <w:spacing w:after="0"/>
        <w:rPr>
          <w:sz w:val="20"/>
          <w:szCs w:val="20"/>
          <w:color w:val="auto"/>
        </w:rPr>
      </w:pPr>
      <w:r>
        <w:rPr>
          <w:rFonts w:ascii="Arial" w:cs="Arial" w:eastAsia="Arial" w:hAnsi="Arial"/>
          <w:sz w:val="16"/>
          <w:szCs w:val="16"/>
          <w:color w:val="auto"/>
        </w:rPr>
        <w:t>Trading symbol(s)</w:t>
      </w:r>
    </w:p>
    <w:p>
      <w:pPr>
        <w:spacing w:after="0" w:line="46" w:lineRule="exact"/>
        <w:rPr>
          <w:sz w:val="24"/>
          <w:szCs w:val="24"/>
          <w:color w:val="auto"/>
        </w:rPr>
      </w:pPr>
    </w:p>
    <w:p>
      <w:pPr>
        <w:jc w:val="center"/>
        <w:ind w:right="340"/>
        <w:spacing w:after="0"/>
        <w:rPr>
          <w:sz w:val="20"/>
          <w:szCs w:val="20"/>
          <w:color w:val="auto"/>
        </w:rPr>
      </w:pPr>
      <w:r>
        <w:rPr>
          <w:rFonts w:ascii="Arial" w:cs="Arial" w:eastAsia="Arial" w:hAnsi="Arial"/>
          <w:sz w:val="18"/>
          <w:szCs w:val="18"/>
          <w:color w:val="auto"/>
        </w:rPr>
        <w:t>PFG</w:t>
      </w:r>
    </w:p>
    <w:p>
      <w:pPr>
        <w:spacing w:after="0" w:line="20" w:lineRule="exact"/>
        <w:rPr>
          <w:sz w:val="24"/>
          <w:szCs w:val="24"/>
          <w:color w:val="auto"/>
        </w:rPr>
      </w:pPr>
      <w:r>
        <w:rPr>
          <w:sz w:val="24"/>
          <w:szCs w:val="24"/>
          <w:color w:val="auto"/>
        </w:rPr>
        <w:br w:type="column"/>
      </w:r>
    </w:p>
    <w:p>
      <w:pPr>
        <w:spacing w:after="0" w:line="97" w:lineRule="exact"/>
        <w:rPr>
          <w:sz w:val="24"/>
          <w:szCs w:val="24"/>
          <w:color w:val="auto"/>
        </w:rPr>
      </w:pPr>
    </w:p>
    <w:p>
      <w:pPr>
        <w:jc w:val="center"/>
        <w:spacing w:after="0"/>
        <w:rPr>
          <w:sz w:val="20"/>
          <w:szCs w:val="20"/>
          <w:color w:val="auto"/>
        </w:rPr>
      </w:pPr>
      <w:r>
        <w:rPr>
          <w:rFonts w:ascii="Arial" w:cs="Arial" w:eastAsia="Arial" w:hAnsi="Arial"/>
          <w:sz w:val="16"/>
          <w:szCs w:val="16"/>
          <w:color w:val="auto"/>
        </w:rPr>
        <w:t>Name of each exchange on which registered</w:t>
      </w:r>
    </w:p>
    <w:p>
      <w:pPr>
        <w:spacing w:after="0" w:line="46"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Nasdaq Global Select Market</w:t>
      </w:r>
    </w:p>
    <w:p>
      <w:pPr>
        <w:spacing w:after="0" w:line="89" w:lineRule="exact"/>
        <w:rPr>
          <w:sz w:val="24"/>
          <w:szCs w:val="24"/>
          <w:color w:val="auto"/>
        </w:rPr>
      </w:pPr>
    </w:p>
    <w:p>
      <w:pPr>
        <w:sectPr>
          <w:pgSz w:w="11900" w:h="16838" w:orient="portrait"/>
          <w:cols w:equalWidth="0" w:num="3">
            <w:col w:w="3580" w:space="720"/>
            <w:col w:w="1660" w:space="720"/>
            <w:col w:w="3180"/>
          </w:cols>
          <w:pgMar w:left="980" w:top="665" w:right="1059" w:bottom="1440" w:gutter="0" w:footer="0" w:header="0"/>
          <w:type w:val="continuous"/>
        </w:sectPr>
      </w:pPr>
    </w:p>
    <w:p>
      <w:pPr>
        <w:ind w:right="180"/>
        <w:spacing w:after="0" w:line="227" w:lineRule="exact"/>
        <w:rPr>
          <w:sz w:val="20"/>
          <w:szCs w:val="20"/>
          <w:color w:val="auto"/>
        </w:rPr>
      </w:pPr>
      <w:r>
        <w:rPr>
          <w:rFonts w:ascii="Arial" w:cs="Arial" w:eastAsia="Arial" w:hAnsi="Arial"/>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76" w:lineRule="exact"/>
        <w:rPr>
          <w:sz w:val="24"/>
          <w:szCs w:val="24"/>
          <w:color w:val="auto"/>
        </w:rPr>
      </w:pPr>
    </w:p>
    <w:p>
      <w:pPr>
        <w:ind w:right="60"/>
        <w:spacing w:after="0" w:line="227" w:lineRule="exact"/>
        <w:rPr>
          <w:sz w:val="20"/>
          <w:szCs w:val="20"/>
          <w:color w:val="auto"/>
        </w:rPr>
      </w:pPr>
      <w:r>
        <w:rPr>
          <w:rFonts w:ascii="Arial" w:cs="Arial" w:eastAsia="Arial" w:hAnsi="Arial"/>
          <w:sz w:val="18"/>
          <w:szCs w:val="18"/>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76" w:lineRule="exact"/>
        <w:rPr>
          <w:sz w:val="24"/>
          <w:szCs w:val="24"/>
          <w:color w:val="auto"/>
        </w:rPr>
      </w:pPr>
    </w:p>
    <w:p>
      <w:pPr>
        <w:ind w:right="80"/>
        <w:spacing w:after="0" w:line="263" w:lineRule="auto"/>
        <w:rPr>
          <w:sz w:val="20"/>
          <w:szCs w:val="20"/>
          <w:color w:val="auto"/>
        </w:rPr>
      </w:pPr>
      <w:r>
        <w:rPr>
          <w:rFonts w:ascii="Arial" w:cs="Arial" w:eastAsia="Arial" w:hAnsi="Arial"/>
          <w:sz w:val="18"/>
          <w:szCs w:val="18"/>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 (Check one):</w:t>
      </w:r>
    </w:p>
    <w:p>
      <w:pPr>
        <w:spacing w:after="0" w:line="43" w:lineRule="exact"/>
        <w:rPr>
          <w:sz w:val="24"/>
          <w:szCs w:val="24"/>
          <w:color w:val="auto"/>
        </w:rPr>
      </w:pPr>
    </w:p>
    <w:p>
      <w:pPr>
        <w:spacing w:after="0" w:line="207" w:lineRule="exact"/>
        <w:tabs>
          <w:tab w:leader="none" w:pos="1980" w:val="left"/>
          <w:tab w:leader="none" w:pos="3520" w:val="left"/>
        </w:tabs>
        <w:rPr>
          <w:sz w:val="20"/>
          <w:szCs w:val="20"/>
          <w:color w:val="auto"/>
        </w:rPr>
      </w:pPr>
      <w:r>
        <w:rPr>
          <w:rFonts w:ascii="Arial" w:cs="Arial" w:eastAsia="Arial" w:hAnsi="Arial"/>
          <w:sz w:val="18"/>
          <w:szCs w:val="18"/>
          <w:color w:val="auto"/>
        </w:rPr>
        <w:t xml:space="preserve">Large accelerated filer </w:t>
      </w:r>
      <w:r>
        <w:rPr>
          <w:rFonts w:ascii="MS PGothic" w:cs="MS PGothic" w:eastAsia="MS PGothic" w:hAnsi="MS PGothic"/>
          <w:sz w:val="18"/>
          <w:szCs w:val="18"/>
          <w:color w:val="auto"/>
        </w:rPr>
        <w:t>☒</w:t>
      </w:r>
      <w:r>
        <w:rPr>
          <w:rFonts w:ascii="Arial" w:cs="Arial" w:eastAsia="Arial" w:hAnsi="Arial"/>
          <w:sz w:val="18"/>
          <w:szCs w:val="18"/>
          <w:color w:val="auto"/>
        </w:rPr>
        <w:tab/>
        <w:t xml:space="preserve">Accelerated filer </w:t>
      </w: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 xml:space="preserve">Non-accelerated filer </w:t>
      </w:r>
      <w:r>
        <w:rPr>
          <w:rFonts w:ascii="MS PGothic" w:cs="MS PGothic" w:eastAsia="MS PGothic" w:hAnsi="MS PGothic"/>
          <w:sz w:val="16"/>
          <w:szCs w:val="16"/>
          <w:color w:val="auto"/>
        </w:rPr>
        <w:t>☐</w:t>
      </w:r>
      <w:r>
        <w:rPr>
          <w:rFonts w:ascii="Arial" w:cs="Arial" w:eastAsia="Arial" w:hAnsi="Arial"/>
          <w:sz w:val="16"/>
          <w:szCs w:val="16"/>
          <w:color w:val="auto"/>
        </w:rPr>
        <w:t xml:space="preserve"> Smaller reporting company </w:t>
      </w:r>
      <w:r>
        <w:rPr>
          <w:rFonts w:ascii="MS PGothic" w:cs="MS PGothic" w:eastAsia="MS PGothic" w:hAnsi="MS PGothic"/>
          <w:sz w:val="16"/>
          <w:szCs w:val="16"/>
          <w:color w:val="auto"/>
        </w:rPr>
        <w:t>☐</w:t>
      </w:r>
      <w:r>
        <w:rPr>
          <w:rFonts w:ascii="Arial" w:cs="Arial" w:eastAsia="Arial" w:hAnsi="Arial"/>
          <w:sz w:val="16"/>
          <w:szCs w:val="16"/>
          <w:color w:val="auto"/>
        </w:rPr>
        <w:t xml:space="preserve"> Emerging growth company </w:t>
      </w:r>
      <w:r>
        <w:rPr>
          <w:rFonts w:ascii="MS PGothic" w:cs="MS PGothic" w:eastAsia="MS PGothic" w:hAnsi="MS PGothic"/>
          <w:sz w:val="16"/>
          <w:szCs w:val="16"/>
          <w:color w:val="auto"/>
        </w:rPr>
        <w:t>☐</w:t>
      </w:r>
    </w:p>
    <w:p>
      <w:pPr>
        <w:spacing w:after="0" w:line="136" w:lineRule="exact"/>
        <w:rPr>
          <w:sz w:val="24"/>
          <w:szCs w:val="24"/>
          <w:color w:val="auto"/>
        </w:rPr>
      </w:pPr>
    </w:p>
    <w:p>
      <w:pPr>
        <w:ind w:right="620"/>
        <w:spacing w:after="0" w:line="234" w:lineRule="exact"/>
        <w:rPr>
          <w:sz w:val="20"/>
          <w:szCs w:val="20"/>
          <w:color w:val="auto"/>
        </w:rPr>
      </w:pPr>
      <w:r>
        <w:rPr>
          <w:rFonts w:ascii="Arial" w:cs="Arial" w:eastAsia="Arial" w:hAnsi="Arial"/>
          <w:sz w:val="16"/>
          <w:szCs w:val="16"/>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6"/>
          <w:szCs w:val="16"/>
          <w:color w:val="auto"/>
        </w:rPr>
        <w:t>☐</w:t>
      </w:r>
    </w:p>
    <w:p>
      <w:pPr>
        <w:spacing w:after="0" w:line="41" w:lineRule="exact"/>
        <w:rPr>
          <w:sz w:val="24"/>
          <w:szCs w:val="24"/>
          <w:color w:val="auto"/>
        </w:rPr>
      </w:pPr>
    </w:p>
    <w:p>
      <w:pPr>
        <w:ind w:right="420"/>
        <w:spacing w:after="0" w:line="293" w:lineRule="exact"/>
        <w:rPr>
          <w:sz w:val="20"/>
          <w:szCs w:val="20"/>
          <w:color w:val="auto"/>
        </w:rPr>
      </w:pPr>
      <w:r>
        <w:rPr>
          <w:rFonts w:ascii="Arial" w:cs="Arial" w:eastAsia="Arial" w:hAnsi="Arial"/>
          <w:sz w:val="16"/>
          <w:szCs w:val="16"/>
          <w:color w:val="auto"/>
        </w:rPr>
        <w:t xml:space="preserve">Indicate by check mark whether the registrant is a shell company (as defined in Rule 12b-2 of the Exchange Act). Yes </w:t>
      </w:r>
      <w:r>
        <w:rPr>
          <w:rFonts w:ascii="MS PGothic" w:cs="MS PGothic" w:eastAsia="MS PGothic" w:hAnsi="MS PGothic"/>
          <w:sz w:val="16"/>
          <w:szCs w:val="16"/>
          <w:color w:val="auto"/>
        </w:rPr>
        <w:t>☐</w:t>
      </w:r>
      <w:r>
        <w:rPr>
          <w:rFonts w:ascii="Arial" w:cs="Arial" w:eastAsia="Arial" w:hAnsi="Arial"/>
          <w:sz w:val="16"/>
          <w:szCs w:val="16"/>
          <w:color w:val="auto"/>
        </w:rPr>
        <w:t xml:space="preserve"> No </w:t>
      </w:r>
      <w:r>
        <w:rPr>
          <w:rFonts w:ascii="MS PGothic" w:cs="MS PGothic" w:eastAsia="MS PGothic" w:hAnsi="MS PGothic"/>
          <w:sz w:val="16"/>
          <w:szCs w:val="16"/>
          <w:color w:val="auto"/>
        </w:rPr>
        <w:t>☒</w:t>
      </w:r>
      <w:r>
        <w:rPr>
          <w:rFonts w:ascii="Arial" w:cs="Arial" w:eastAsia="Arial" w:hAnsi="Arial"/>
          <w:sz w:val="16"/>
          <w:szCs w:val="16"/>
          <w:color w:val="auto"/>
        </w:rPr>
        <w:t xml:space="preserve"> The total number of shares of the registrant’s Common Stock, $0.01 par value, outstanding as of August 1, 2022, was 249,237,335.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5715</wp:posOffset>
            </wp:positionH>
            <wp:positionV relativeFrom="paragraph">
              <wp:posOffset>497840</wp:posOffset>
            </wp:positionV>
            <wp:extent cx="6292215" cy="254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292215" cy="25400"/>
                    </a:xfrm>
                    <a:prstGeom prst="rect">
                      <a:avLst/>
                    </a:prstGeom>
                    <a:noFill/>
                  </pic:spPr>
                </pic:pic>
              </a:graphicData>
            </a:graphic>
          </wp:anchor>
        </w:drawing>
        <w:drawing>
          <wp:anchor simplePos="0" relativeHeight="251657728" behindDoc="1" locked="0" layoutInCell="0" allowOverlap="1">
            <wp:simplePos x="0" y="0"/>
            <wp:positionH relativeFrom="column">
              <wp:posOffset>5715</wp:posOffset>
            </wp:positionH>
            <wp:positionV relativeFrom="paragraph">
              <wp:posOffset>69215</wp:posOffset>
            </wp:positionV>
            <wp:extent cx="629221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292215" cy="8890"/>
                    </a:xfrm>
                    <a:prstGeom prst="rect">
                      <a:avLst/>
                    </a:prstGeom>
                    <a:noFill/>
                  </pic:spPr>
                </pic:pic>
              </a:graphicData>
            </a:graphic>
          </wp:anchor>
        </w:drawing>
        <w:drawing>
          <wp:anchor simplePos="0" relativeHeight="251657728" behindDoc="1" locked="0" layoutInCell="0" allowOverlap="1">
            <wp:simplePos x="0" y="0"/>
            <wp:positionH relativeFrom="column">
              <wp:posOffset>5715</wp:posOffset>
            </wp:positionH>
            <wp:positionV relativeFrom="paragraph">
              <wp:posOffset>112395</wp:posOffset>
            </wp:positionV>
            <wp:extent cx="6292215" cy="260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860"/>
          </w:cols>
          <w:pgMar w:left="980" w:top="665" w:right="1059" w:bottom="144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580" w:type="dxa"/>
            <w:vAlign w:val="bottom"/>
            <w:gridSpan w:val="10"/>
          </w:tcPr>
          <w:p>
            <w:pPr>
              <w:jc w:val="center"/>
              <w:ind w:right="2260"/>
              <w:spacing w:after="0"/>
              <w:rPr>
                <w:sz w:val="20"/>
                <w:szCs w:val="20"/>
                <w:color w:val="auto"/>
              </w:rPr>
            </w:pPr>
            <w:r>
              <w:rPr>
                <w:rFonts w:ascii="Arial" w:cs="Arial" w:eastAsia="Arial" w:hAnsi="Arial"/>
                <w:sz w:val="18"/>
                <w:szCs w:val="18"/>
                <w:b w:val="1"/>
                <w:bCs w:val="1"/>
                <w:color w:val="auto"/>
              </w:rPr>
              <w:t>PRINCIPAL FINANCIAL GROUP, INC.</w:t>
            </w:r>
          </w:p>
        </w:tc>
        <w:tc>
          <w:tcPr>
            <w:tcW w:w="5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3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580" w:type="dxa"/>
            <w:vAlign w:val="bottom"/>
            <w:gridSpan w:val="10"/>
          </w:tcPr>
          <w:p>
            <w:pPr>
              <w:jc w:val="center"/>
              <w:ind w:right="2260"/>
              <w:spacing w:after="0"/>
              <w:rPr>
                <w:sz w:val="20"/>
                <w:szCs w:val="20"/>
                <w:color w:val="auto"/>
              </w:rPr>
            </w:pPr>
            <w:r>
              <w:rPr>
                <w:rFonts w:ascii="Arial" w:cs="Arial" w:eastAsia="Arial" w:hAnsi="Arial"/>
                <w:sz w:val="18"/>
                <w:szCs w:val="18"/>
                <w:b w:val="1"/>
                <w:bCs w:val="1"/>
                <w:color w:val="auto"/>
                <w:w w:val="98"/>
              </w:rPr>
              <w:t>TABLE OF CONTENTS</w:t>
            </w:r>
          </w:p>
        </w:tc>
        <w:tc>
          <w:tcPr>
            <w:tcW w:w="5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4"/>
        </w:trPr>
        <w:tc>
          <w:tcPr>
            <w:tcW w:w="9380" w:type="dxa"/>
            <w:vAlign w:val="bottom"/>
            <w:gridSpan w:val="26"/>
            <w:vMerge w:val="restart"/>
          </w:tcPr>
          <w:p>
            <w:pPr>
              <w:spacing w:after="0"/>
              <w:rPr>
                <w:sz w:val="20"/>
                <w:szCs w:val="20"/>
                <w:color w:val="auto"/>
              </w:rPr>
            </w:pPr>
            <w:r>
              <w:rPr>
                <w:rFonts w:ascii="Arial" w:cs="Arial" w:eastAsia="Arial" w:hAnsi="Arial"/>
                <w:sz w:val="18"/>
                <w:szCs w:val="18"/>
                <w:color w:val="0000EE"/>
              </w:rPr>
              <w:t>Part I - FINANCIAL INFORMATION</w:t>
            </w:r>
          </w:p>
        </w:tc>
        <w:tc>
          <w:tcPr>
            <w:tcW w:w="540" w:type="dxa"/>
            <w:vAlign w:val="bottom"/>
            <w:tcBorders>
              <w:bottom w:val="single" w:sz="8" w:color="auto"/>
            </w:tcBorders>
          </w:tcPr>
          <w:p>
            <w:pPr>
              <w:jc w:val="right"/>
              <w:ind w:right="31"/>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156"/>
        </w:trPr>
        <w:tc>
          <w:tcPr>
            <w:tcW w:w="9380" w:type="dxa"/>
            <w:vAlign w:val="bottom"/>
            <w:gridSpan w:val="26"/>
            <w:vMerge w:val="continue"/>
          </w:tcPr>
          <w:p>
            <w:pPr>
              <w:spacing w:after="0"/>
              <w:rPr>
                <w:sz w:val="13"/>
                <w:szCs w:val="13"/>
                <w:color w:val="auto"/>
              </w:rPr>
            </w:pPr>
          </w:p>
        </w:tc>
        <w:tc>
          <w:tcPr>
            <w:tcW w:w="5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26"/>
        </w:trPr>
        <w:tc>
          <w:tcPr>
            <w:tcW w:w="340" w:type="dxa"/>
            <w:vAlign w:val="bottom"/>
            <w:tcBorders>
              <w:top w:val="single" w:sz="8" w:color="0000EE"/>
            </w:tcBorders>
          </w:tcPr>
          <w:p>
            <w:pPr>
              <w:spacing w:after="0"/>
              <w:rPr>
                <w:sz w:val="24"/>
                <w:szCs w:val="24"/>
                <w:color w:val="auto"/>
              </w:rPr>
            </w:pPr>
          </w:p>
        </w:tc>
        <w:tc>
          <w:tcPr>
            <w:tcW w:w="640" w:type="dxa"/>
            <w:vAlign w:val="bottom"/>
            <w:tcBorders>
              <w:top w:val="single" w:sz="8" w:color="0000EE"/>
            </w:tcBorders>
            <w:gridSpan w:val="5"/>
          </w:tcPr>
          <w:p>
            <w:pPr>
              <w:spacing w:after="0"/>
              <w:rPr>
                <w:sz w:val="20"/>
                <w:szCs w:val="20"/>
                <w:color w:val="auto"/>
              </w:rPr>
            </w:pPr>
            <w:r>
              <w:rPr>
                <w:rFonts w:ascii="Arial" w:cs="Arial" w:eastAsia="Arial" w:hAnsi="Arial"/>
                <w:sz w:val="18"/>
                <w:szCs w:val="18"/>
                <w:color w:val="0000EE"/>
              </w:rPr>
              <w:t>Item 1.</w:t>
            </w:r>
          </w:p>
        </w:tc>
        <w:tc>
          <w:tcPr>
            <w:tcW w:w="1820" w:type="dxa"/>
            <w:vAlign w:val="bottom"/>
            <w:tcBorders>
              <w:top w:val="single" w:sz="8" w:color="0000EE"/>
            </w:tcBorders>
            <w:gridSpan w:val="10"/>
          </w:tcPr>
          <w:p>
            <w:pPr>
              <w:spacing w:after="0"/>
              <w:rPr>
                <w:sz w:val="20"/>
                <w:szCs w:val="20"/>
                <w:color w:val="auto"/>
              </w:rPr>
            </w:pPr>
            <w:r>
              <w:rPr>
                <w:rFonts w:ascii="Arial" w:cs="Arial" w:eastAsia="Arial" w:hAnsi="Arial"/>
                <w:sz w:val="18"/>
                <w:szCs w:val="18"/>
                <w:color w:val="0000EE"/>
              </w:rPr>
              <w:t>Financial Statements</w:t>
            </w:r>
          </w:p>
        </w:tc>
        <w:tc>
          <w:tcPr>
            <w:tcW w:w="6580" w:type="dxa"/>
            <w:vAlign w:val="bottom"/>
            <w:gridSpan w:val="10"/>
          </w:tcPr>
          <w:p>
            <w:pPr>
              <w:spacing w:after="0"/>
              <w:rPr>
                <w:sz w:val="24"/>
                <w:szCs w:val="24"/>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0"/>
        </w:trPr>
        <w:tc>
          <w:tcPr>
            <w:tcW w:w="3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300" w:type="dxa"/>
            <w:vAlign w:val="bottom"/>
            <w:tcBorders>
              <w:left w:val="single" w:sz="8" w:color="0000EE"/>
            </w:tcBorders>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5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3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400" w:type="dxa"/>
            <w:vAlign w:val="bottom"/>
            <w:gridSpan w:val="20"/>
          </w:tcPr>
          <w:p>
            <w:pPr>
              <w:spacing w:after="0"/>
              <w:rPr>
                <w:sz w:val="20"/>
                <w:szCs w:val="20"/>
                <w:color w:val="auto"/>
              </w:rPr>
            </w:pPr>
            <w:r>
              <w:rPr>
                <w:rFonts w:ascii="Arial" w:cs="Arial" w:eastAsia="Arial" w:hAnsi="Arial"/>
                <w:sz w:val="18"/>
                <w:szCs w:val="18"/>
                <w:color w:val="0000EE"/>
                <w:w w:val="95"/>
              </w:rPr>
              <w:t>Condensed Consolidated Statements of Financial Position as of June 30, 2022 (Unaudited) and December 31,</w:t>
            </w:r>
          </w:p>
        </w:tc>
        <w:tc>
          <w:tcPr>
            <w:tcW w:w="5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3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60" w:type="dxa"/>
            <w:vAlign w:val="bottom"/>
            <w:tcBorders>
              <w:top w:val="single" w:sz="8" w:color="0000EE"/>
              <w:bottom w:val="single" w:sz="8" w:color="0000EE"/>
            </w:tcBorders>
          </w:tcPr>
          <w:p>
            <w:pPr>
              <w:spacing w:after="0" w:line="196" w:lineRule="exact"/>
              <w:rPr>
                <w:sz w:val="20"/>
                <w:szCs w:val="20"/>
                <w:color w:val="auto"/>
              </w:rPr>
            </w:pPr>
            <w:r>
              <w:rPr>
                <w:rFonts w:ascii="Arial" w:cs="Arial" w:eastAsia="Arial" w:hAnsi="Arial"/>
                <w:sz w:val="18"/>
                <w:szCs w:val="18"/>
                <w:color w:val="0000EE"/>
                <w:w w:val="84"/>
              </w:rPr>
              <w:t>2021</w:t>
            </w:r>
          </w:p>
        </w:tc>
        <w:tc>
          <w:tcPr>
            <w:tcW w:w="240" w:type="dxa"/>
            <w:vAlign w:val="bottom"/>
            <w:tcBorders>
              <w:top w:val="single" w:sz="8" w:color="0000EE"/>
            </w:tcBorders>
          </w:tcPr>
          <w:p>
            <w:pPr>
              <w:spacing w:after="0"/>
              <w:rPr>
                <w:sz w:val="17"/>
                <w:szCs w:val="17"/>
                <w:color w:val="auto"/>
              </w:rPr>
            </w:pPr>
          </w:p>
        </w:tc>
        <w:tc>
          <w:tcPr>
            <w:tcW w:w="300" w:type="dxa"/>
            <w:vAlign w:val="bottom"/>
            <w:tcBorders>
              <w:top w:val="single" w:sz="8" w:color="0000EE"/>
            </w:tcBorders>
          </w:tcPr>
          <w:p>
            <w:pPr>
              <w:spacing w:after="0"/>
              <w:rPr>
                <w:sz w:val="17"/>
                <w:szCs w:val="17"/>
                <w:color w:val="auto"/>
              </w:rPr>
            </w:pPr>
          </w:p>
        </w:tc>
        <w:tc>
          <w:tcPr>
            <w:tcW w:w="44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140" w:type="dxa"/>
            <w:vAlign w:val="bottom"/>
            <w:tcBorders>
              <w:top w:val="single" w:sz="8" w:color="0000EE"/>
            </w:tcBorders>
          </w:tcPr>
          <w:p>
            <w:pPr>
              <w:spacing w:after="0"/>
              <w:rPr>
                <w:sz w:val="17"/>
                <w:szCs w:val="17"/>
                <w:color w:val="auto"/>
              </w:rPr>
            </w:pPr>
          </w:p>
        </w:tc>
        <w:tc>
          <w:tcPr>
            <w:tcW w:w="140" w:type="dxa"/>
            <w:vAlign w:val="bottom"/>
            <w:tcBorders>
              <w:top w:val="single" w:sz="8" w:color="0000EE"/>
            </w:tcBorders>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6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248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1720" w:type="dxa"/>
            <w:vAlign w:val="bottom"/>
            <w:tcBorders>
              <w:top w:val="single" w:sz="8" w:color="0000EE"/>
            </w:tcBorders>
          </w:tcPr>
          <w:p>
            <w:pPr>
              <w:spacing w:after="0"/>
              <w:rPr>
                <w:sz w:val="17"/>
                <w:szCs w:val="17"/>
                <w:color w:val="auto"/>
              </w:rPr>
            </w:pPr>
          </w:p>
        </w:tc>
        <w:tc>
          <w:tcPr>
            <w:tcW w:w="400" w:type="dxa"/>
            <w:vAlign w:val="bottom"/>
            <w:tcBorders>
              <w:top w:val="single" w:sz="8" w:color="0000EE"/>
            </w:tcBorders>
          </w:tcPr>
          <w:p>
            <w:pPr>
              <w:spacing w:after="0"/>
              <w:rPr>
                <w:sz w:val="17"/>
                <w:szCs w:val="17"/>
                <w:color w:val="auto"/>
              </w:rPr>
            </w:pPr>
          </w:p>
        </w:tc>
        <w:tc>
          <w:tcPr>
            <w:tcW w:w="1420" w:type="dxa"/>
            <w:vAlign w:val="bottom"/>
            <w:tcBorders>
              <w:top w:val="single" w:sz="8" w:color="0000EE"/>
            </w:tcBorders>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540" w:type="dxa"/>
            <w:vAlign w:val="bottom"/>
          </w:tcPr>
          <w:p>
            <w:pPr>
              <w:jc w:val="right"/>
              <w:spacing w:after="0" w:line="196" w:lineRule="exact"/>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412"/>
        </w:trPr>
        <w:tc>
          <w:tcPr>
            <w:tcW w:w="3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40" w:type="dxa"/>
            <w:vAlign w:val="bottom"/>
            <w:tcBorders>
              <w:bottom w:val="single" w:sz="8" w:color="0000EE"/>
            </w:tcBorders>
            <w:gridSpan w:val="17"/>
          </w:tcPr>
          <w:p>
            <w:pPr>
              <w:spacing w:after="0"/>
              <w:rPr>
                <w:sz w:val="20"/>
                <w:szCs w:val="20"/>
                <w:color w:val="auto"/>
              </w:rPr>
            </w:pPr>
            <w:r>
              <w:rPr>
                <w:rFonts w:ascii="Arial" w:cs="Arial" w:eastAsia="Arial" w:hAnsi="Arial"/>
                <w:sz w:val="18"/>
                <w:szCs w:val="18"/>
                <w:color w:val="0000EE"/>
                <w:w w:val="89"/>
              </w:rPr>
              <w:t>Unaudited Condensed Consolidated Statements of Operations for the three and six months ended June 30, 2022</w:t>
            </w:r>
          </w:p>
        </w:tc>
        <w:tc>
          <w:tcPr>
            <w:tcW w:w="360" w:type="dxa"/>
            <w:vAlign w:val="bottom"/>
            <w:gridSpan w:val="3"/>
          </w:tcPr>
          <w:p>
            <w:pPr>
              <w:spacing w:after="0"/>
              <w:rPr>
                <w:sz w:val="24"/>
                <w:szCs w:val="24"/>
                <w:color w:val="auto"/>
              </w:rPr>
            </w:pPr>
          </w:p>
        </w:tc>
        <w:tc>
          <w:tcPr>
            <w:tcW w:w="5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3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400" w:type="dxa"/>
            <w:vAlign w:val="bottom"/>
            <w:gridSpan w:val="20"/>
          </w:tcPr>
          <w:p>
            <w:pPr>
              <w:spacing w:after="0" w:line="196" w:lineRule="exact"/>
              <w:rPr>
                <w:sz w:val="20"/>
                <w:szCs w:val="20"/>
                <w:color w:val="auto"/>
              </w:rPr>
            </w:pPr>
            <w:r>
              <w:rPr>
                <w:rFonts w:ascii="Arial" w:cs="Arial" w:eastAsia="Arial" w:hAnsi="Arial"/>
                <w:sz w:val="18"/>
                <w:szCs w:val="18"/>
                <w:color w:val="0000EE"/>
              </w:rPr>
              <w:t>and 2021</w:t>
            </w:r>
          </w:p>
        </w:tc>
        <w:tc>
          <w:tcPr>
            <w:tcW w:w="540" w:type="dxa"/>
            <w:vAlign w:val="bottom"/>
          </w:tcPr>
          <w:p>
            <w:pPr>
              <w:jc w:val="right"/>
              <w:spacing w:after="0" w:line="196" w:lineRule="exact"/>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0"/>
        </w:trPr>
        <w:tc>
          <w:tcPr>
            <w:tcW w:w="3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0" w:type="dxa"/>
            <w:vAlign w:val="bottom"/>
            <w:gridSpan w:val="2"/>
            <w:shd w:val="clear" w:color="auto" w:fill="0000EE"/>
          </w:tcPr>
          <w:p>
            <w:pPr>
              <w:spacing w:after="0" w:line="20" w:lineRule="exact"/>
              <w:rPr>
                <w:sz w:val="1"/>
                <w:szCs w:val="1"/>
                <w:color w:val="auto"/>
              </w:rPr>
            </w:pPr>
          </w:p>
        </w:tc>
        <w:tc>
          <w:tcPr>
            <w:tcW w:w="300" w:type="dxa"/>
            <w:vAlign w:val="bottom"/>
            <w:tcBorders>
              <w:left w:val="single" w:sz="8" w:color="0000EE"/>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5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460" w:type="dxa"/>
            <w:vAlign w:val="bottom"/>
            <w:gridSpan w:val="2"/>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3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920" w:type="dxa"/>
            <w:vAlign w:val="bottom"/>
            <w:tcBorders>
              <w:bottom w:val="single" w:sz="8" w:color="0000EE"/>
            </w:tcBorders>
            <w:gridSpan w:val="16"/>
          </w:tcPr>
          <w:p>
            <w:pPr>
              <w:spacing w:after="0"/>
              <w:rPr>
                <w:sz w:val="20"/>
                <w:szCs w:val="20"/>
                <w:color w:val="auto"/>
              </w:rPr>
            </w:pPr>
            <w:r>
              <w:rPr>
                <w:rFonts w:ascii="Arial" w:cs="Arial" w:eastAsia="Arial" w:hAnsi="Arial"/>
                <w:sz w:val="18"/>
                <w:szCs w:val="18"/>
                <w:color w:val="0000EE"/>
                <w:w w:val="89"/>
              </w:rPr>
              <w:t>Unaudited Condensed Consolidated Statements of Comprehensive Income for the three and six months ended</w:t>
            </w:r>
          </w:p>
        </w:tc>
        <w:tc>
          <w:tcPr>
            <w:tcW w:w="480" w:type="dxa"/>
            <w:vAlign w:val="bottom"/>
            <w:gridSpan w:val="4"/>
          </w:tcPr>
          <w:p>
            <w:pPr>
              <w:spacing w:after="0"/>
              <w:rPr>
                <w:sz w:val="24"/>
                <w:szCs w:val="24"/>
                <w:color w:val="auto"/>
              </w:rPr>
            </w:pPr>
          </w:p>
        </w:tc>
        <w:tc>
          <w:tcPr>
            <w:tcW w:w="5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3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720" w:type="dxa"/>
            <w:vAlign w:val="bottom"/>
            <w:tcBorders>
              <w:bottom w:val="single" w:sz="8" w:color="0000EE"/>
            </w:tcBorders>
            <w:gridSpan w:val="8"/>
          </w:tcPr>
          <w:p>
            <w:pPr>
              <w:spacing w:after="0" w:line="196" w:lineRule="exact"/>
              <w:rPr>
                <w:sz w:val="20"/>
                <w:szCs w:val="20"/>
                <w:color w:val="auto"/>
              </w:rPr>
            </w:pPr>
            <w:r>
              <w:rPr>
                <w:rFonts w:ascii="Arial" w:cs="Arial" w:eastAsia="Arial" w:hAnsi="Arial"/>
                <w:sz w:val="18"/>
                <w:szCs w:val="18"/>
                <w:color w:val="0000EE"/>
                <w:w w:val="87"/>
              </w:rPr>
              <w:t>June 30, 2022 and 2021</w:t>
            </w:r>
          </w:p>
        </w:tc>
        <w:tc>
          <w:tcPr>
            <w:tcW w:w="6680" w:type="dxa"/>
            <w:vAlign w:val="bottom"/>
            <w:gridSpan w:val="12"/>
          </w:tcPr>
          <w:p>
            <w:pPr>
              <w:spacing w:after="0"/>
              <w:rPr>
                <w:sz w:val="17"/>
                <w:szCs w:val="17"/>
                <w:color w:val="auto"/>
              </w:rPr>
            </w:pPr>
          </w:p>
        </w:tc>
        <w:tc>
          <w:tcPr>
            <w:tcW w:w="540" w:type="dxa"/>
            <w:vAlign w:val="bottom"/>
          </w:tcPr>
          <w:p>
            <w:pPr>
              <w:jc w:val="right"/>
              <w:spacing w:after="0" w:line="196" w:lineRule="exact"/>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412"/>
        </w:trPr>
        <w:tc>
          <w:tcPr>
            <w:tcW w:w="3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120" w:type="dxa"/>
            <w:vAlign w:val="bottom"/>
            <w:tcBorders>
              <w:bottom w:val="single" w:sz="8" w:color="0000EE"/>
            </w:tcBorders>
            <w:gridSpan w:val="19"/>
          </w:tcPr>
          <w:p>
            <w:pPr>
              <w:spacing w:after="0"/>
              <w:rPr>
                <w:sz w:val="20"/>
                <w:szCs w:val="20"/>
                <w:color w:val="auto"/>
              </w:rPr>
            </w:pPr>
            <w:r>
              <w:rPr>
                <w:rFonts w:ascii="Arial" w:cs="Arial" w:eastAsia="Arial" w:hAnsi="Arial"/>
                <w:sz w:val="18"/>
                <w:szCs w:val="18"/>
                <w:color w:val="0000EE"/>
                <w:w w:val="89"/>
              </w:rPr>
              <w:t>Unaudited Condensed Consolidated Statements of Stockholders’ Equity for the three and six months ended June</w:t>
            </w:r>
          </w:p>
        </w:tc>
        <w:tc>
          <w:tcPr>
            <w:tcW w:w="2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3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60" w:type="dxa"/>
            <w:vAlign w:val="bottom"/>
            <w:tcBorders>
              <w:bottom w:val="single" w:sz="8" w:color="0000EE"/>
            </w:tcBorders>
            <w:gridSpan w:val="5"/>
          </w:tcPr>
          <w:p>
            <w:pPr>
              <w:spacing w:after="0" w:line="196" w:lineRule="exact"/>
              <w:rPr>
                <w:sz w:val="20"/>
                <w:szCs w:val="20"/>
                <w:color w:val="auto"/>
              </w:rPr>
            </w:pPr>
            <w:r>
              <w:rPr>
                <w:rFonts w:ascii="Arial" w:cs="Arial" w:eastAsia="Arial" w:hAnsi="Arial"/>
                <w:sz w:val="18"/>
                <w:szCs w:val="18"/>
                <w:color w:val="0000EE"/>
                <w:w w:val="89"/>
              </w:rPr>
              <w:t>30, 2022 and 2021</w:t>
            </w:r>
          </w:p>
        </w:tc>
        <w:tc>
          <w:tcPr>
            <w:tcW w:w="7040" w:type="dxa"/>
            <w:vAlign w:val="bottom"/>
            <w:gridSpan w:val="15"/>
          </w:tcPr>
          <w:p>
            <w:pPr>
              <w:spacing w:after="0"/>
              <w:rPr>
                <w:sz w:val="17"/>
                <w:szCs w:val="17"/>
                <w:color w:val="auto"/>
              </w:rPr>
            </w:pPr>
          </w:p>
        </w:tc>
        <w:tc>
          <w:tcPr>
            <w:tcW w:w="540" w:type="dxa"/>
            <w:vAlign w:val="bottom"/>
          </w:tcPr>
          <w:p>
            <w:pPr>
              <w:jc w:val="right"/>
              <w:spacing w:after="0" w:line="196" w:lineRule="exact"/>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412"/>
        </w:trPr>
        <w:tc>
          <w:tcPr>
            <w:tcW w:w="3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100" w:type="dxa"/>
            <w:vAlign w:val="bottom"/>
            <w:tcBorders>
              <w:bottom w:val="single" w:sz="8" w:color="0000EE"/>
            </w:tcBorders>
            <w:gridSpan w:val="18"/>
          </w:tcPr>
          <w:p>
            <w:pPr>
              <w:spacing w:after="0"/>
              <w:rPr>
                <w:sz w:val="20"/>
                <w:szCs w:val="20"/>
                <w:color w:val="auto"/>
              </w:rPr>
            </w:pPr>
            <w:r>
              <w:rPr>
                <w:rFonts w:ascii="Arial" w:cs="Arial" w:eastAsia="Arial" w:hAnsi="Arial"/>
                <w:sz w:val="18"/>
                <w:szCs w:val="18"/>
                <w:color w:val="0000EE"/>
                <w:w w:val="89"/>
              </w:rPr>
              <w:t>Unaudited Condensed Consolidated Statements of Cash Flows for the six months ended June 30, 2022 and 2021</w:t>
            </w:r>
          </w:p>
        </w:tc>
        <w:tc>
          <w:tcPr>
            <w:tcW w:w="300" w:type="dxa"/>
            <w:vAlign w:val="bottom"/>
            <w:gridSpan w:val="2"/>
          </w:tcPr>
          <w:p>
            <w:pPr>
              <w:spacing w:after="0"/>
              <w:rPr>
                <w:sz w:val="24"/>
                <w:szCs w:val="24"/>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412"/>
        </w:trPr>
        <w:tc>
          <w:tcPr>
            <w:tcW w:w="3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400" w:type="dxa"/>
            <w:vAlign w:val="bottom"/>
            <w:gridSpan w:val="20"/>
          </w:tcPr>
          <w:p>
            <w:pPr>
              <w:spacing w:after="0"/>
              <w:rPr>
                <w:sz w:val="20"/>
                <w:szCs w:val="20"/>
                <w:color w:val="auto"/>
              </w:rPr>
            </w:pPr>
            <w:r>
              <w:rPr>
                <w:rFonts w:ascii="Arial" w:cs="Arial" w:eastAsia="Arial" w:hAnsi="Arial"/>
                <w:sz w:val="18"/>
                <w:szCs w:val="18"/>
                <w:color w:val="0000EE"/>
              </w:rPr>
              <w:t>Notes to Unaudited Condensed Consolidated Financial Statements — June 30, 2022</w:t>
            </w:r>
          </w:p>
        </w:tc>
        <w:tc>
          <w:tcPr>
            <w:tcW w:w="540" w:type="dxa"/>
            <w:vAlign w:val="bottom"/>
          </w:tcPr>
          <w:p>
            <w:pPr>
              <w:jc w:val="right"/>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0"/>
        </w:trPr>
        <w:tc>
          <w:tcPr>
            <w:tcW w:w="340" w:type="dxa"/>
            <w:vAlign w:val="bottom"/>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0" w:type="dxa"/>
            <w:vAlign w:val="bottom"/>
            <w:gridSpan w:val="2"/>
            <w:shd w:val="clear" w:color="auto" w:fill="0000EE"/>
          </w:tcPr>
          <w:p>
            <w:pPr>
              <w:spacing w:after="0" w:line="20" w:lineRule="exact"/>
              <w:rPr>
                <w:sz w:val="1"/>
                <w:szCs w:val="1"/>
                <w:color w:val="auto"/>
              </w:rPr>
            </w:pPr>
          </w:p>
        </w:tc>
        <w:tc>
          <w:tcPr>
            <w:tcW w:w="300" w:type="dxa"/>
            <w:vAlign w:val="bottom"/>
            <w:tcBorders>
              <w:left w:val="single" w:sz="8" w:color="0000EE"/>
            </w:tcBorders>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300" w:type="dxa"/>
            <w:vAlign w:val="bottom"/>
            <w:gridSpan w:val="3"/>
            <w:shd w:val="clear" w:color="auto" w:fill="0000EE"/>
          </w:tcPr>
          <w:p>
            <w:pPr>
              <w:spacing w:after="0" w:line="20" w:lineRule="exact"/>
              <w:rPr>
                <w:sz w:val="1"/>
                <w:szCs w:val="1"/>
                <w:color w:val="auto"/>
              </w:rPr>
            </w:pPr>
          </w:p>
        </w:tc>
        <w:tc>
          <w:tcPr>
            <w:tcW w:w="140" w:type="dxa"/>
            <w:vAlign w:val="bottom"/>
            <w:gridSpan w:val="2"/>
            <w:shd w:val="clear" w:color="auto" w:fill="0000EE"/>
          </w:tcPr>
          <w:p>
            <w:pPr>
              <w:spacing w:after="0" w:line="20" w:lineRule="exact"/>
              <w:rPr>
                <w:sz w:val="1"/>
                <w:szCs w:val="1"/>
                <w:color w:val="auto"/>
              </w:rPr>
            </w:pPr>
          </w:p>
        </w:tc>
        <w:tc>
          <w:tcPr>
            <w:tcW w:w="2520" w:type="dxa"/>
            <w:vAlign w:val="bottom"/>
            <w:gridSpan w:val="2"/>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720" w:type="dxa"/>
            <w:vAlign w:val="bottom"/>
            <w:shd w:val="clear" w:color="auto" w:fill="0000EE"/>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940" w:type="dxa"/>
            <w:vAlign w:val="bottom"/>
            <w:gridSpan w:val="6"/>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340" w:type="dxa"/>
            <w:vAlign w:val="bottom"/>
          </w:tcPr>
          <w:p>
            <w:pPr>
              <w:spacing w:after="0"/>
              <w:rPr>
                <w:sz w:val="24"/>
                <w:szCs w:val="24"/>
                <w:color w:val="auto"/>
              </w:rPr>
            </w:pPr>
          </w:p>
        </w:tc>
        <w:tc>
          <w:tcPr>
            <w:tcW w:w="9040" w:type="dxa"/>
            <w:vAlign w:val="bottom"/>
            <w:gridSpan w:val="25"/>
          </w:tcPr>
          <w:p>
            <w:pPr>
              <w:spacing w:after="0"/>
              <w:rPr>
                <w:sz w:val="20"/>
                <w:szCs w:val="20"/>
                <w:color w:val="auto"/>
              </w:rPr>
            </w:pPr>
            <w:r>
              <w:rPr>
                <w:rFonts w:ascii="Arial" w:cs="Arial" w:eastAsia="Arial" w:hAnsi="Arial"/>
                <w:sz w:val="18"/>
                <w:szCs w:val="18"/>
                <w:color w:val="0000EE"/>
              </w:rPr>
              <w:t>Item 2.  Management’s Discussion and Analysis of Financial Condition and Results of Operations</w:t>
            </w:r>
          </w:p>
        </w:tc>
        <w:tc>
          <w:tcPr>
            <w:tcW w:w="540" w:type="dxa"/>
            <w:vAlign w:val="bottom"/>
          </w:tcPr>
          <w:p>
            <w:pPr>
              <w:jc w:val="right"/>
              <w:spacing w:after="0"/>
              <w:rPr>
                <w:sz w:val="20"/>
                <w:szCs w:val="20"/>
                <w:color w:val="auto"/>
              </w:rPr>
            </w:pPr>
            <w:r>
              <w:rPr>
                <w:rFonts w:ascii="Arial" w:cs="Arial" w:eastAsia="Arial" w:hAnsi="Arial"/>
                <w:sz w:val="18"/>
                <w:szCs w:val="18"/>
                <w:color w:val="auto"/>
              </w:rPr>
              <w:t>90</w:t>
            </w:r>
          </w:p>
        </w:tc>
        <w:tc>
          <w:tcPr>
            <w:tcW w:w="0" w:type="dxa"/>
            <w:vAlign w:val="bottom"/>
          </w:tcPr>
          <w:p>
            <w:pPr>
              <w:spacing w:after="0"/>
              <w:rPr>
                <w:sz w:val="1"/>
                <w:szCs w:val="1"/>
                <w:color w:val="auto"/>
              </w:rPr>
            </w:pPr>
          </w:p>
        </w:tc>
      </w:tr>
      <w:tr>
        <w:trPr>
          <w:trHeight w:val="20"/>
        </w:trPr>
        <w:tc>
          <w:tcPr>
            <w:tcW w:w="340" w:type="dxa"/>
            <w:vAlign w:val="bottom"/>
          </w:tcPr>
          <w:p>
            <w:pPr>
              <w:spacing w:after="0" w:line="20" w:lineRule="exact"/>
              <w:rPr>
                <w:sz w:val="1"/>
                <w:szCs w:val="1"/>
                <w:color w:val="auto"/>
              </w:rPr>
            </w:pPr>
          </w:p>
        </w:tc>
        <w:tc>
          <w:tcPr>
            <w:tcW w:w="360" w:type="dxa"/>
            <w:vAlign w:val="bottom"/>
            <w:gridSpan w:val="2"/>
            <w:shd w:val="clear" w:color="auto" w:fill="0000EE"/>
          </w:tcPr>
          <w:p>
            <w:pPr>
              <w:spacing w:after="0" w:line="20" w:lineRule="exact"/>
              <w:rPr>
                <w:sz w:val="1"/>
                <w:szCs w:val="1"/>
                <w:color w:val="auto"/>
              </w:rPr>
            </w:pPr>
          </w:p>
        </w:tc>
        <w:tc>
          <w:tcPr>
            <w:tcW w:w="160" w:type="dxa"/>
            <w:vAlign w:val="bottom"/>
            <w:gridSpan w:val="2"/>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0" w:type="dxa"/>
            <w:vAlign w:val="bottom"/>
            <w:gridSpan w:val="2"/>
            <w:shd w:val="clear" w:color="auto" w:fill="0000EE"/>
          </w:tcPr>
          <w:p>
            <w:pPr>
              <w:spacing w:after="0" w:line="20" w:lineRule="exact"/>
              <w:rPr>
                <w:sz w:val="1"/>
                <w:szCs w:val="1"/>
                <w:color w:val="auto"/>
              </w:rPr>
            </w:pPr>
          </w:p>
        </w:tc>
        <w:tc>
          <w:tcPr>
            <w:tcW w:w="300" w:type="dxa"/>
            <w:vAlign w:val="bottom"/>
            <w:tcBorders>
              <w:left w:val="single" w:sz="8" w:color="0000EE"/>
            </w:tcBorders>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300" w:type="dxa"/>
            <w:vAlign w:val="bottom"/>
            <w:gridSpan w:val="3"/>
            <w:shd w:val="clear" w:color="auto" w:fill="0000EE"/>
          </w:tcPr>
          <w:p>
            <w:pPr>
              <w:spacing w:after="0" w:line="20" w:lineRule="exact"/>
              <w:rPr>
                <w:sz w:val="1"/>
                <w:szCs w:val="1"/>
                <w:color w:val="auto"/>
              </w:rPr>
            </w:pPr>
          </w:p>
        </w:tc>
        <w:tc>
          <w:tcPr>
            <w:tcW w:w="140" w:type="dxa"/>
            <w:vAlign w:val="bottom"/>
            <w:gridSpan w:val="2"/>
            <w:shd w:val="clear" w:color="auto" w:fill="0000EE"/>
          </w:tcPr>
          <w:p>
            <w:pPr>
              <w:spacing w:after="0" w:line="20" w:lineRule="exact"/>
              <w:rPr>
                <w:sz w:val="1"/>
                <w:szCs w:val="1"/>
                <w:color w:val="auto"/>
              </w:rPr>
            </w:pPr>
          </w:p>
        </w:tc>
        <w:tc>
          <w:tcPr>
            <w:tcW w:w="2520" w:type="dxa"/>
            <w:vAlign w:val="bottom"/>
            <w:gridSpan w:val="2"/>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120" w:type="dxa"/>
            <w:vAlign w:val="bottom"/>
            <w:gridSpan w:val="2"/>
            <w:shd w:val="clear" w:color="auto" w:fill="0000EE"/>
          </w:tcPr>
          <w:p>
            <w:pPr>
              <w:spacing w:after="0" w:line="20" w:lineRule="exact"/>
              <w:rPr>
                <w:sz w:val="1"/>
                <w:szCs w:val="1"/>
                <w:color w:val="auto"/>
              </w:rPr>
            </w:pPr>
          </w:p>
        </w:tc>
        <w:tc>
          <w:tcPr>
            <w:tcW w:w="1940" w:type="dxa"/>
            <w:vAlign w:val="bottom"/>
            <w:gridSpan w:val="6"/>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340" w:type="dxa"/>
            <w:vAlign w:val="bottom"/>
          </w:tcPr>
          <w:p>
            <w:pPr>
              <w:spacing w:after="0"/>
              <w:rPr>
                <w:sz w:val="24"/>
                <w:szCs w:val="24"/>
                <w:color w:val="auto"/>
              </w:rPr>
            </w:pPr>
          </w:p>
        </w:tc>
        <w:tc>
          <w:tcPr>
            <w:tcW w:w="9040" w:type="dxa"/>
            <w:vAlign w:val="bottom"/>
            <w:gridSpan w:val="25"/>
          </w:tcPr>
          <w:p>
            <w:pPr>
              <w:spacing w:after="0"/>
              <w:rPr>
                <w:sz w:val="20"/>
                <w:szCs w:val="20"/>
                <w:color w:val="auto"/>
              </w:rPr>
            </w:pPr>
            <w:r>
              <w:rPr>
                <w:rFonts w:ascii="Arial" w:cs="Arial" w:eastAsia="Arial" w:hAnsi="Arial"/>
                <w:sz w:val="18"/>
                <w:szCs w:val="18"/>
                <w:color w:val="0000EE"/>
              </w:rPr>
              <w:t>Item 3.  Quantitative and Qualitative Disclosures about Market Risk</w:t>
            </w:r>
          </w:p>
        </w:tc>
        <w:tc>
          <w:tcPr>
            <w:tcW w:w="540" w:type="dxa"/>
            <w:vAlign w:val="bottom"/>
          </w:tcPr>
          <w:p>
            <w:pPr>
              <w:jc w:val="right"/>
              <w:spacing w:after="0"/>
              <w:rPr>
                <w:sz w:val="20"/>
                <w:szCs w:val="20"/>
                <w:color w:val="auto"/>
              </w:rPr>
            </w:pPr>
            <w:r>
              <w:rPr>
                <w:rFonts w:ascii="Arial" w:cs="Arial" w:eastAsia="Arial" w:hAnsi="Arial"/>
                <w:sz w:val="18"/>
                <w:szCs w:val="18"/>
                <w:color w:val="auto"/>
              </w:rPr>
              <w:t>124</w:t>
            </w:r>
          </w:p>
        </w:tc>
        <w:tc>
          <w:tcPr>
            <w:tcW w:w="0" w:type="dxa"/>
            <w:vAlign w:val="bottom"/>
          </w:tcPr>
          <w:p>
            <w:pPr>
              <w:spacing w:after="0"/>
              <w:rPr>
                <w:sz w:val="1"/>
                <w:szCs w:val="1"/>
                <w:color w:val="auto"/>
              </w:rPr>
            </w:pPr>
          </w:p>
        </w:tc>
      </w:tr>
      <w:tr>
        <w:trPr>
          <w:trHeight w:val="20"/>
        </w:trPr>
        <w:tc>
          <w:tcPr>
            <w:tcW w:w="340" w:type="dxa"/>
            <w:vAlign w:val="bottom"/>
          </w:tcPr>
          <w:p>
            <w:pPr>
              <w:spacing w:after="0" w:line="20" w:lineRule="exact"/>
              <w:rPr>
                <w:sz w:val="1"/>
                <w:szCs w:val="1"/>
                <w:color w:val="auto"/>
              </w:rPr>
            </w:pPr>
          </w:p>
        </w:tc>
        <w:tc>
          <w:tcPr>
            <w:tcW w:w="360" w:type="dxa"/>
            <w:vAlign w:val="bottom"/>
            <w:gridSpan w:val="2"/>
            <w:shd w:val="clear" w:color="auto" w:fill="0000EE"/>
          </w:tcPr>
          <w:p>
            <w:pPr>
              <w:spacing w:after="0" w:line="20" w:lineRule="exact"/>
              <w:rPr>
                <w:sz w:val="1"/>
                <w:szCs w:val="1"/>
                <w:color w:val="auto"/>
              </w:rPr>
            </w:pPr>
          </w:p>
        </w:tc>
        <w:tc>
          <w:tcPr>
            <w:tcW w:w="160" w:type="dxa"/>
            <w:vAlign w:val="bottom"/>
            <w:gridSpan w:val="2"/>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0" w:type="dxa"/>
            <w:vAlign w:val="bottom"/>
            <w:gridSpan w:val="2"/>
            <w:shd w:val="clear" w:color="auto" w:fill="0000EE"/>
          </w:tcPr>
          <w:p>
            <w:pPr>
              <w:spacing w:after="0" w:line="20" w:lineRule="exact"/>
              <w:rPr>
                <w:sz w:val="1"/>
                <w:szCs w:val="1"/>
                <w:color w:val="auto"/>
              </w:rPr>
            </w:pPr>
          </w:p>
        </w:tc>
        <w:tc>
          <w:tcPr>
            <w:tcW w:w="300" w:type="dxa"/>
            <w:vAlign w:val="bottom"/>
            <w:tcBorders>
              <w:left w:val="single" w:sz="8" w:color="0000EE"/>
            </w:tcBorders>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300" w:type="dxa"/>
            <w:vAlign w:val="bottom"/>
            <w:gridSpan w:val="3"/>
            <w:shd w:val="clear" w:color="auto" w:fill="0000EE"/>
          </w:tcPr>
          <w:p>
            <w:pPr>
              <w:spacing w:after="0" w:line="20" w:lineRule="exact"/>
              <w:rPr>
                <w:sz w:val="1"/>
                <w:szCs w:val="1"/>
                <w:color w:val="auto"/>
              </w:rPr>
            </w:pPr>
          </w:p>
        </w:tc>
        <w:tc>
          <w:tcPr>
            <w:tcW w:w="140" w:type="dxa"/>
            <w:vAlign w:val="bottom"/>
            <w:gridSpan w:val="2"/>
            <w:shd w:val="clear" w:color="auto" w:fill="0000EE"/>
          </w:tcPr>
          <w:p>
            <w:pPr>
              <w:spacing w:after="0" w:line="20" w:lineRule="exact"/>
              <w:rPr>
                <w:sz w:val="1"/>
                <w:szCs w:val="1"/>
                <w:color w:val="auto"/>
              </w:rPr>
            </w:pPr>
          </w:p>
        </w:tc>
        <w:tc>
          <w:tcPr>
            <w:tcW w:w="2520" w:type="dxa"/>
            <w:vAlign w:val="bottom"/>
            <w:gridSpan w:val="2"/>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60" w:type="dxa"/>
            <w:vAlign w:val="bottom"/>
            <w:gridSpan w:val="8"/>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340" w:type="dxa"/>
            <w:vAlign w:val="bottom"/>
          </w:tcPr>
          <w:p>
            <w:pPr>
              <w:spacing w:after="0"/>
              <w:rPr>
                <w:sz w:val="24"/>
                <w:szCs w:val="24"/>
                <w:color w:val="auto"/>
              </w:rPr>
            </w:pPr>
          </w:p>
        </w:tc>
        <w:tc>
          <w:tcPr>
            <w:tcW w:w="9040" w:type="dxa"/>
            <w:vAlign w:val="bottom"/>
            <w:gridSpan w:val="25"/>
          </w:tcPr>
          <w:p>
            <w:pPr>
              <w:spacing w:after="0"/>
              <w:rPr>
                <w:sz w:val="20"/>
                <w:szCs w:val="20"/>
                <w:color w:val="auto"/>
              </w:rPr>
            </w:pPr>
            <w:r>
              <w:rPr>
                <w:rFonts w:ascii="Arial" w:cs="Arial" w:eastAsia="Arial" w:hAnsi="Arial"/>
                <w:sz w:val="18"/>
                <w:szCs w:val="18"/>
                <w:color w:val="0000EE"/>
              </w:rPr>
              <w:t>Item 4.  Controls and Procedures</w:t>
            </w:r>
          </w:p>
        </w:tc>
        <w:tc>
          <w:tcPr>
            <w:tcW w:w="540" w:type="dxa"/>
            <w:vAlign w:val="bottom"/>
          </w:tcPr>
          <w:p>
            <w:pPr>
              <w:jc w:val="right"/>
              <w:spacing w:after="0"/>
              <w:rPr>
                <w:sz w:val="20"/>
                <w:szCs w:val="20"/>
                <w:color w:val="auto"/>
              </w:rPr>
            </w:pPr>
            <w:r>
              <w:rPr>
                <w:rFonts w:ascii="Arial" w:cs="Arial" w:eastAsia="Arial" w:hAnsi="Arial"/>
                <w:sz w:val="18"/>
                <w:szCs w:val="18"/>
                <w:color w:val="auto"/>
              </w:rPr>
              <w:t>131</w:t>
            </w:r>
          </w:p>
        </w:tc>
        <w:tc>
          <w:tcPr>
            <w:tcW w:w="0" w:type="dxa"/>
            <w:vAlign w:val="bottom"/>
          </w:tcPr>
          <w:p>
            <w:pPr>
              <w:spacing w:after="0"/>
              <w:rPr>
                <w:sz w:val="1"/>
                <w:szCs w:val="1"/>
                <w:color w:val="auto"/>
              </w:rPr>
            </w:pPr>
          </w:p>
        </w:tc>
      </w:tr>
      <w:tr>
        <w:trPr>
          <w:trHeight w:val="20"/>
        </w:trPr>
        <w:tc>
          <w:tcPr>
            <w:tcW w:w="360" w:type="dxa"/>
            <w:vAlign w:val="bottom"/>
            <w:gridSpan w:val="2"/>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160" w:type="dxa"/>
            <w:vAlign w:val="bottom"/>
            <w:gridSpan w:val="2"/>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0" w:type="dxa"/>
            <w:vAlign w:val="bottom"/>
            <w:gridSpan w:val="2"/>
            <w:shd w:val="clear" w:color="auto" w:fill="0000EE"/>
          </w:tcPr>
          <w:p>
            <w:pPr>
              <w:spacing w:after="0" w:line="20" w:lineRule="exact"/>
              <w:rPr>
                <w:sz w:val="1"/>
                <w:szCs w:val="1"/>
                <w:color w:val="auto"/>
              </w:rPr>
            </w:pPr>
          </w:p>
        </w:tc>
        <w:tc>
          <w:tcPr>
            <w:tcW w:w="300" w:type="dxa"/>
            <w:vAlign w:val="bottom"/>
            <w:tcBorders>
              <w:left w:val="single" w:sz="8" w:color="0000EE"/>
            </w:tcBorders>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300" w:type="dxa"/>
            <w:vAlign w:val="bottom"/>
            <w:gridSpan w:val="3"/>
            <w:shd w:val="clear" w:color="auto" w:fill="0000EE"/>
          </w:tcPr>
          <w:p>
            <w:pPr>
              <w:spacing w:after="0" w:line="20" w:lineRule="exact"/>
              <w:rPr>
                <w:sz w:val="1"/>
                <w:szCs w:val="1"/>
                <w:color w:val="auto"/>
              </w:rPr>
            </w:pPr>
          </w:p>
        </w:tc>
        <w:tc>
          <w:tcPr>
            <w:tcW w:w="140" w:type="dxa"/>
            <w:vAlign w:val="bottom"/>
            <w:gridSpan w:val="2"/>
            <w:shd w:val="clear" w:color="auto" w:fill="0000EE"/>
          </w:tcPr>
          <w:p>
            <w:pPr>
              <w:spacing w:after="0" w:line="20" w:lineRule="exact"/>
              <w:rPr>
                <w:sz w:val="1"/>
                <w:szCs w:val="1"/>
                <w:color w:val="auto"/>
              </w:rPr>
            </w:pPr>
          </w:p>
        </w:tc>
        <w:tc>
          <w:tcPr>
            <w:tcW w:w="2560" w:type="dxa"/>
            <w:vAlign w:val="bottom"/>
            <w:gridSpan w:val="3"/>
          </w:tcPr>
          <w:p>
            <w:pPr>
              <w:spacing w:after="0" w:line="20" w:lineRule="exact"/>
              <w:rPr>
                <w:sz w:val="1"/>
                <w:szCs w:val="1"/>
                <w:color w:val="auto"/>
              </w:rPr>
            </w:pPr>
          </w:p>
        </w:tc>
        <w:tc>
          <w:tcPr>
            <w:tcW w:w="4060" w:type="dxa"/>
            <w:vAlign w:val="bottom"/>
            <w:gridSpan w:val="8"/>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2620" w:type="dxa"/>
            <w:vAlign w:val="bottom"/>
            <w:tcBorders>
              <w:bottom w:val="single" w:sz="8" w:color="0000EE"/>
            </w:tcBorders>
            <w:gridSpan w:val="13"/>
          </w:tcPr>
          <w:p>
            <w:pPr>
              <w:spacing w:after="0"/>
              <w:rPr>
                <w:sz w:val="20"/>
                <w:szCs w:val="20"/>
                <w:color w:val="auto"/>
              </w:rPr>
            </w:pPr>
            <w:r>
              <w:rPr>
                <w:rFonts w:ascii="Arial" w:cs="Arial" w:eastAsia="Arial" w:hAnsi="Arial"/>
                <w:sz w:val="18"/>
                <w:szCs w:val="18"/>
                <w:color w:val="0000EE"/>
                <w:w w:val="96"/>
              </w:rPr>
              <w:t>Part II — OTHER INFORMATION</w:t>
            </w:r>
          </w:p>
        </w:tc>
        <w:tc>
          <w:tcPr>
            <w:tcW w:w="6760" w:type="dxa"/>
            <w:vAlign w:val="bottom"/>
            <w:gridSpan w:val="13"/>
          </w:tcPr>
          <w:p>
            <w:pPr>
              <w:spacing w:after="0"/>
              <w:rPr>
                <w:sz w:val="24"/>
                <w:szCs w:val="24"/>
                <w:color w:val="auto"/>
              </w:rPr>
            </w:pPr>
          </w:p>
        </w:tc>
        <w:tc>
          <w:tcPr>
            <w:tcW w:w="5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2"/>
        </w:trPr>
        <w:tc>
          <w:tcPr>
            <w:tcW w:w="340" w:type="dxa"/>
            <w:vAlign w:val="bottom"/>
          </w:tcPr>
          <w:p>
            <w:pPr>
              <w:spacing w:after="0"/>
              <w:rPr>
                <w:sz w:val="24"/>
                <w:szCs w:val="24"/>
                <w:color w:val="auto"/>
              </w:rPr>
            </w:pPr>
          </w:p>
        </w:tc>
        <w:tc>
          <w:tcPr>
            <w:tcW w:w="520" w:type="dxa"/>
            <w:vAlign w:val="bottom"/>
            <w:tcBorders>
              <w:bottom w:val="single" w:sz="8" w:color="0000EE"/>
            </w:tcBorders>
            <w:gridSpan w:val="4"/>
          </w:tcPr>
          <w:p>
            <w:pPr>
              <w:spacing w:after="0"/>
              <w:rPr>
                <w:sz w:val="20"/>
                <w:szCs w:val="20"/>
                <w:color w:val="auto"/>
              </w:rPr>
            </w:pPr>
            <w:r>
              <w:rPr>
                <w:rFonts w:ascii="Arial" w:cs="Arial" w:eastAsia="Arial" w:hAnsi="Arial"/>
                <w:sz w:val="18"/>
                <w:szCs w:val="18"/>
                <w:color w:val="0000EE"/>
                <w:w w:val="90"/>
              </w:rPr>
              <w:t>Item 1.</w:t>
            </w:r>
          </w:p>
        </w:tc>
        <w:tc>
          <w:tcPr>
            <w:tcW w:w="120" w:type="dxa"/>
            <w:vAlign w:val="bottom"/>
          </w:tcPr>
          <w:p>
            <w:pPr>
              <w:spacing w:after="0"/>
              <w:rPr>
                <w:sz w:val="24"/>
                <w:szCs w:val="24"/>
                <w:color w:val="auto"/>
              </w:rPr>
            </w:pPr>
          </w:p>
        </w:tc>
        <w:tc>
          <w:tcPr>
            <w:tcW w:w="1340" w:type="dxa"/>
            <w:vAlign w:val="bottom"/>
            <w:tcBorders>
              <w:bottom w:val="single" w:sz="8" w:color="0000EE"/>
            </w:tcBorders>
            <w:gridSpan w:val="4"/>
          </w:tcPr>
          <w:p>
            <w:pPr>
              <w:spacing w:after="0"/>
              <w:rPr>
                <w:sz w:val="20"/>
                <w:szCs w:val="20"/>
                <w:color w:val="auto"/>
              </w:rPr>
            </w:pPr>
            <w:r>
              <w:rPr>
                <w:rFonts w:ascii="Arial" w:cs="Arial" w:eastAsia="Arial" w:hAnsi="Arial"/>
                <w:sz w:val="18"/>
                <w:szCs w:val="18"/>
                <w:color w:val="0000EE"/>
                <w:w w:val="88"/>
              </w:rPr>
              <w:t>Legal Proceedings</w:t>
            </w:r>
          </w:p>
        </w:tc>
        <w:tc>
          <w:tcPr>
            <w:tcW w:w="7060" w:type="dxa"/>
            <w:vAlign w:val="bottom"/>
            <w:gridSpan w:val="16"/>
          </w:tcPr>
          <w:p>
            <w:pPr>
              <w:spacing w:after="0"/>
              <w:rPr>
                <w:sz w:val="24"/>
                <w:szCs w:val="24"/>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131</w:t>
            </w:r>
          </w:p>
        </w:tc>
        <w:tc>
          <w:tcPr>
            <w:tcW w:w="0" w:type="dxa"/>
            <w:vAlign w:val="bottom"/>
          </w:tcPr>
          <w:p>
            <w:pPr>
              <w:spacing w:after="0"/>
              <w:rPr>
                <w:sz w:val="1"/>
                <w:szCs w:val="1"/>
                <w:color w:val="auto"/>
              </w:rPr>
            </w:pPr>
          </w:p>
        </w:tc>
      </w:tr>
      <w:tr>
        <w:trPr>
          <w:trHeight w:val="412"/>
        </w:trPr>
        <w:tc>
          <w:tcPr>
            <w:tcW w:w="340" w:type="dxa"/>
            <w:vAlign w:val="bottom"/>
          </w:tcPr>
          <w:p>
            <w:pPr>
              <w:spacing w:after="0"/>
              <w:rPr>
                <w:sz w:val="24"/>
                <w:szCs w:val="24"/>
                <w:color w:val="auto"/>
              </w:rPr>
            </w:pPr>
          </w:p>
        </w:tc>
        <w:tc>
          <w:tcPr>
            <w:tcW w:w="9040" w:type="dxa"/>
            <w:vAlign w:val="bottom"/>
            <w:gridSpan w:val="25"/>
          </w:tcPr>
          <w:p>
            <w:pPr>
              <w:spacing w:after="0"/>
              <w:rPr>
                <w:sz w:val="20"/>
                <w:szCs w:val="20"/>
                <w:color w:val="auto"/>
              </w:rPr>
            </w:pPr>
            <w:r>
              <w:rPr>
                <w:rFonts w:ascii="Arial" w:cs="Arial" w:eastAsia="Arial" w:hAnsi="Arial"/>
                <w:sz w:val="18"/>
                <w:szCs w:val="18"/>
                <w:color w:val="0000EE"/>
              </w:rPr>
              <w:t>Item 1A.Risk Factors</w:t>
            </w:r>
          </w:p>
        </w:tc>
        <w:tc>
          <w:tcPr>
            <w:tcW w:w="540" w:type="dxa"/>
            <w:vAlign w:val="bottom"/>
          </w:tcPr>
          <w:p>
            <w:pPr>
              <w:jc w:val="right"/>
              <w:spacing w:after="0"/>
              <w:rPr>
                <w:sz w:val="20"/>
                <w:szCs w:val="20"/>
                <w:color w:val="auto"/>
              </w:rPr>
            </w:pPr>
            <w:r>
              <w:rPr>
                <w:rFonts w:ascii="Arial" w:cs="Arial" w:eastAsia="Arial" w:hAnsi="Arial"/>
                <w:sz w:val="18"/>
                <w:szCs w:val="18"/>
                <w:color w:val="auto"/>
              </w:rPr>
              <w:t>131</w:t>
            </w:r>
          </w:p>
        </w:tc>
        <w:tc>
          <w:tcPr>
            <w:tcW w:w="0" w:type="dxa"/>
            <w:vAlign w:val="bottom"/>
          </w:tcPr>
          <w:p>
            <w:pPr>
              <w:spacing w:after="0"/>
              <w:rPr>
                <w:sz w:val="1"/>
                <w:szCs w:val="1"/>
                <w:color w:val="auto"/>
              </w:rPr>
            </w:pPr>
          </w:p>
        </w:tc>
      </w:tr>
      <w:tr>
        <w:trPr>
          <w:trHeight w:val="20"/>
        </w:trPr>
        <w:tc>
          <w:tcPr>
            <w:tcW w:w="340" w:type="dxa"/>
            <w:vAlign w:val="bottom"/>
          </w:tcPr>
          <w:p>
            <w:pPr>
              <w:spacing w:after="0" w:line="20" w:lineRule="exact"/>
              <w:rPr>
                <w:sz w:val="1"/>
                <w:szCs w:val="1"/>
                <w:color w:val="auto"/>
              </w:rPr>
            </w:pPr>
          </w:p>
        </w:tc>
        <w:tc>
          <w:tcPr>
            <w:tcW w:w="360" w:type="dxa"/>
            <w:vAlign w:val="bottom"/>
            <w:gridSpan w:val="2"/>
            <w:shd w:val="clear" w:color="auto" w:fill="0000EE"/>
          </w:tcPr>
          <w:p>
            <w:pPr>
              <w:spacing w:after="0" w:line="20" w:lineRule="exact"/>
              <w:rPr>
                <w:sz w:val="1"/>
                <w:szCs w:val="1"/>
                <w:color w:val="auto"/>
              </w:rPr>
            </w:pPr>
          </w:p>
        </w:tc>
        <w:tc>
          <w:tcPr>
            <w:tcW w:w="280" w:type="dxa"/>
            <w:vAlign w:val="bottom"/>
            <w:gridSpan w:val="3"/>
            <w:shd w:val="clear" w:color="auto" w:fill="0000EE"/>
          </w:tcPr>
          <w:p>
            <w:pPr>
              <w:spacing w:after="0" w:line="20" w:lineRule="exact"/>
              <w:rPr>
                <w:sz w:val="1"/>
                <w:szCs w:val="1"/>
                <w:color w:val="auto"/>
              </w:rPr>
            </w:pPr>
          </w:p>
        </w:tc>
        <w:tc>
          <w:tcPr>
            <w:tcW w:w="600" w:type="dxa"/>
            <w:vAlign w:val="bottom"/>
            <w:gridSpan w:val="2"/>
            <w:shd w:val="clear" w:color="auto" w:fill="0000EE"/>
          </w:tcPr>
          <w:p>
            <w:pPr>
              <w:spacing w:after="0" w:line="20" w:lineRule="exact"/>
              <w:rPr>
                <w:sz w:val="1"/>
                <w:szCs w:val="1"/>
                <w:color w:val="auto"/>
              </w:rPr>
            </w:pPr>
          </w:p>
        </w:tc>
        <w:tc>
          <w:tcPr>
            <w:tcW w:w="300" w:type="dxa"/>
            <w:vAlign w:val="bottom"/>
            <w:tcBorders>
              <w:left w:val="single" w:sz="8" w:color="0000EE"/>
            </w:tcBorders>
            <w:shd w:val="clear" w:color="auto" w:fill="0000EE"/>
          </w:tcPr>
          <w:p>
            <w:pPr>
              <w:spacing w:after="0" w:line="20" w:lineRule="exact"/>
              <w:rPr>
                <w:sz w:val="1"/>
                <w:szCs w:val="1"/>
                <w:color w:val="auto"/>
              </w:rPr>
            </w:pPr>
          </w:p>
        </w:tc>
        <w:tc>
          <w:tcPr>
            <w:tcW w:w="3440" w:type="dxa"/>
            <w:vAlign w:val="bottom"/>
            <w:gridSpan w:val="9"/>
          </w:tcPr>
          <w:p>
            <w:pPr>
              <w:spacing w:after="0" w:line="20" w:lineRule="exact"/>
              <w:rPr>
                <w:sz w:val="1"/>
                <w:szCs w:val="1"/>
                <w:color w:val="auto"/>
              </w:rPr>
            </w:pPr>
          </w:p>
        </w:tc>
        <w:tc>
          <w:tcPr>
            <w:tcW w:w="4060" w:type="dxa"/>
            <w:vAlign w:val="bottom"/>
            <w:gridSpan w:val="8"/>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340" w:type="dxa"/>
            <w:vAlign w:val="bottom"/>
          </w:tcPr>
          <w:p>
            <w:pPr>
              <w:spacing w:after="0"/>
              <w:rPr>
                <w:sz w:val="24"/>
                <w:szCs w:val="24"/>
                <w:color w:val="auto"/>
              </w:rPr>
            </w:pPr>
          </w:p>
        </w:tc>
        <w:tc>
          <w:tcPr>
            <w:tcW w:w="9040" w:type="dxa"/>
            <w:vAlign w:val="bottom"/>
            <w:gridSpan w:val="25"/>
          </w:tcPr>
          <w:p>
            <w:pPr>
              <w:spacing w:after="0"/>
              <w:rPr>
                <w:sz w:val="20"/>
                <w:szCs w:val="20"/>
                <w:color w:val="auto"/>
              </w:rPr>
            </w:pPr>
            <w:r>
              <w:rPr>
                <w:rFonts w:ascii="Arial" w:cs="Arial" w:eastAsia="Arial" w:hAnsi="Arial"/>
                <w:sz w:val="18"/>
                <w:szCs w:val="18"/>
                <w:color w:val="0000EE"/>
              </w:rPr>
              <w:t>Item 2.  Unregistered Sales of Equity Securities and Use of Proceeds</w:t>
            </w:r>
          </w:p>
        </w:tc>
        <w:tc>
          <w:tcPr>
            <w:tcW w:w="540" w:type="dxa"/>
            <w:vAlign w:val="bottom"/>
          </w:tcPr>
          <w:p>
            <w:pPr>
              <w:jc w:val="right"/>
              <w:spacing w:after="0"/>
              <w:rPr>
                <w:sz w:val="20"/>
                <w:szCs w:val="20"/>
                <w:color w:val="auto"/>
              </w:rPr>
            </w:pPr>
            <w:r>
              <w:rPr>
                <w:rFonts w:ascii="Arial" w:cs="Arial" w:eastAsia="Arial" w:hAnsi="Arial"/>
                <w:sz w:val="18"/>
                <w:szCs w:val="18"/>
                <w:color w:val="auto"/>
              </w:rPr>
              <w:t>132</w:t>
            </w:r>
          </w:p>
        </w:tc>
        <w:tc>
          <w:tcPr>
            <w:tcW w:w="0" w:type="dxa"/>
            <w:vAlign w:val="bottom"/>
          </w:tcPr>
          <w:p>
            <w:pPr>
              <w:spacing w:after="0"/>
              <w:rPr>
                <w:sz w:val="1"/>
                <w:szCs w:val="1"/>
                <w:color w:val="auto"/>
              </w:rPr>
            </w:pPr>
          </w:p>
        </w:tc>
      </w:tr>
      <w:tr>
        <w:trPr>
          <w:trHeight w:val="412"/>
        </w:trPr>
        <w:tc>
          <w:tcPr>
            <w:tcW w:w="340" w:type="dxa"/>
            <w:vAlign w:val="bottom"/>
          </w:tcPr>
          <w:p>
            <w:pPr>
              <w:spacing w:after="0"/>
              <w:rPr>
                <w:sz w:val="24"/>
                <w:szCs w:val="24"/>
                <w:color w:val="auto"/>
              </w:rPr>
            </w:pPr>
          </w:p>
        </w:tc>
        <w:tc>
          <w:tcPr>
            <w:tcW w:w="520" w:type="dxa"/>
            <w:vAlign w:val="bottom"/>
            <w:tcBorders>
              <w:top w:val="single" w:sz="8" w:color="0000EE"/>
            </w:tcBorders>
            <w:gridSpan w:val="4"/>
          </w:tcPr>
          <w:p>
            <w:pPr>
              <w:spacing w:after="0"/>
              <w:rPr>
                <w:sz w:val="20"/>
                <w:szCs w:val="20"/>
                <w:color w:val="auto"/>
              </w:rPr>
            </w:pPr>
            <w:r>
              <w:rPr>
                <w:rFonts w:ascii="Arial" w:cs="Arial" w:eastAsia="Arial" w:hAnsi="Arial"/>
                <w:sz w:val="18"/>
                <w:szCs w:val="18"/>
                <w:color w:val="0000EE"/>
                <w:w w:val="90"/>
              </w:rPr>
              <w:t>Item 6.</w:t>
            </w:r>
          </w:p>
        </w:tc>
        <w:tc>
          <w:tcPr>
            <w:tcW w:w="120" w:type="dxa"/>
            <w:vAlign w:val="bottom"/>
          </w:tcPr>
          <w:p>
            <w:pPr>
              <w:spacing w:after="0"/>
              <w:rPr>
                <w:sz w:val="24"/>
                <w:szCs w:val="24"/>
                <w:color w:val="auto"/>
              </w:rPr>
            </w:pPr>
          </w:p>
        </w:tc>
        <w:tc>
          <w:tcPr>
            <w:tcW w:w="4340" w:type="dxa"/>
            <w:vAlign w:val="bottom"/>
            <w:tcBorders>
              <w:top w:val="single" w:sz="8" w:color="0000EE"/>
            </w:tcBorders>
            <w:gridSpan w:val="12"/>
          </w:tcPr>
          <w:p>
            <w:pPr>
              <w:spacing w:after="0"/>
              <w:rPr>
                <w:sz w:val="20"/>
                <w:szCs w:val="20"/>
                <w:color w:val="auto"/>
              </w:rPr>
            </w:pPr>
            <w:r>
              <w:rPr>
                <w:rFonts w:ascii="Arial" w:cs="Arial" w:eastAsia="Arial" w:hAnsi="Arial"/>
                <w:sz w:val="18"/>
                <w:szCs w:val="18"/>
                <w:color w:val="0000EE"/>
              </w:rPr>
              <w:t>Exhibits</w:t>
            </w:r>
          </w:p>
        </w:tc>
        <w:tc>
          <w:tcPr>
            <w:tcW w:w="4060" w:type="dxa"/>
            <w:vAlign w:val="bottom"/>
            <w:gridSpan w:val="8"/>
          </w:tcPr>
          <w:p>
            <w:pPr>
              <w:spacing w:after="0"/>
              <w:rPr>
                <w:sz w:val="24"/>
                <w:szCs w:val="24"/>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133</w:t>
            </w:r>
          </w:p>
        </w:tc>
        <w:tc>
          <w:tcPr>
            <w:tcW w:w="0" w:type="dxa"/>
            <w:vAlign w:val="bottom"/>
          </w:tcPr>
          <w:p>
            <w:pPr>
              <w:spacing w:after="0"/>
              <w:rPr>
                <w:sz w:val="1"/>
                <w:szCs w:val="1"/>
                <w:color w:val="auto"/>
              </w:rPr>
            </w:pPr>
          </w:p>
        </w:tc>
      </w:tr>
      <w:tr>
        <w:trPr>
          <w:trHeight w:val="20"/>
        </w:trPr>
        <w:tc>
          <w:tcPr>
            <w:tcW w:w="340" w:type="dxa"/>
            <w:vAlign w:val="bottom"/>
          </w:tcPr>
          <w:p>
            <w:pPr>
              <w:spacing w:after="0" w:line="20" w:lineRule="exact"/>
              <w:rPr>
                <w:sz w:val="1"/>
                <w:szCs w:val="1"/>
                <w:color w:val="auto"/>
              </w:rPr>
            </w:pPr>
          </w:p>
        </w:tc>
        <w:tc>
          <w:tcPr>
            <w:tcW w:w="360" w:type="dxa"/>
            <w:vAlign w:val="bottom"/>
            <w:gridSpan w:val="2"/>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700" w:type="dxa"/>
            <w:vAlign w:val="bottom"/>
            <w:tcBorders>
              <w:bottom w:val="single" w:sz="8" w:color="0000EE"/>
            </w:tcBorders>
            <w:gridSpan w:val="3"/>
          </w:tcPr>
          <w:p>
            <w:pPr>
              <w:spacing w:after="0"/>
              <w:rPr>
                <w:sz w:val="20"/>
                <w:szCs w:val="20"/>
                <w:color w:val="auto"/>
              </w:rPr>
            </w:pPr>
            <w:r>
              <w:rPr>
                <w:rFonts w:ascii="Arial" w:cs="Arial" w:eastAsia="Arial" w:hAnsi="Arial"/>
                <w:sz w:val="18"/>
                <w:szCs w:val="18"/>
                <w:color w:val="0000EE"/>
                <w:w w:val="88"/>
              </w:rPr>
              <w:t>Signature</w:t>
            </w:r>
          </w:p>
        </w:tc>
        <w:tc>
          <w:tcPr>
            <w:tcW w:w="280" w:type="dxa"/>
            <w:vAlign w:val="bottom"/>
            <w:gridSpan w:val="3"/>
          </w:tcPr>
          <w:p>
            <w:pPr>
              <w:spacing w:after="0"/>
              <w:rPr>
                <w:sz w:val="24"/>
                <w:szCs w:val="24"/>
                <w:color w:val="auto"/>
              </w:rPr>
            </w:pPr>
          </w:p>
        </w:tc>
        <w:tc>
          <w:tcPr>
            <w:tcW w:w="3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134</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60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2" w:name="page3"/>
    <w:bookmarkEnd w:id="2"/>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 — FINANCIAL INFORMATION</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Financial Statements</w:t>
      </w:r>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Financial Position</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7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80" w:type="dxa"/>
            <w:vAlign w:val="bottom"/>
            <w:gridSpan w:val="2"/>
          </w:tcPr>
          <w:p>
            <w:pPr>
              <w:jc w:val="right"/>
              <w:ind w:right="620"/>
              <w:spacing w:after="0"/>
              <w:rPr>
                <w:sz w:val="20"/>
                <w:szCs w:val="20"/>
                <w:color w:val="auto"/>
              </w:rPr>
            </w:pPr>
            <w:r>
              <w:rPr>
                <w:rFonts w:ascii="Arial" w:cs="Arial" w:eastAsia="Arial" w:hAnsi="Arial"/>
                <w:sz w:val="14"/>
                <w:szCs w:val="14"/>
                <w:b w:val="1"/>
                <w:bCs w:val="1"/>
                <w:color w:val="auto"/>
              </w:rPr>
              <w:t>June 30,</w:t>
            </w:r>
          </w:p>
        </w:tc>
        <w:tc>
          <w:tcPr>
            <w:tcW w:w="120" w:type="dxa"/>
            <w:vAlign w:val="bottom"/>
          </w:tcPr>
          <w:p>
            <w:pPr>
              <w:spacing w:after="0"/>
              <w:rPr>
                <w:sz w:val="14"/>
                <w:szCs w:val="14"/>
                <w:color w:val="auto"/>
              </w:rPr>
            </w:pPr>
          </w:p>
        </w:tc>
        <w:tc>
          <w:tcPr>
            <w:tcW w:w="1080" w:type="dxa"/>
            <w:vAlign w:val="bottom"/>
          </w:tcPr>
          <w:p>
            <w:pPr>
              <w:jc w:val="right"/>
              <w:ind w:right="128"/>
              <w:spacing w:after="0"/>
              <w:rPr>
                <w:sz w:val="20"/>
                <w:szCs w:val="20"/>
                <w:color w:val="auto"/>
              </w:rPr>
            </w:pPr>
            <w:r>
              <w:rPr>
                <w:rFonts w:ascii="Arial" w:cs="Arial" w:eastAsia="Arial" w:hAnsi="Arial"/>
                <w:sz w:val="14"/>
                <w:szCs w:val="14"/>
                <w:b w:val="1"/>
                <w:bCs w:val="1"/>
                <w:color w:val="auto"/>
                <w:w w:val="94"/>
              </w:rPr>
              <w:t>December 31,</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tcPr>
          <w:p>
            <w:pPr>
              <w:jc w:val="right"/>
              <w:ind w:right="368"/>
              <w:spacing w:after="0"/>
              <w:rPr>
                <w:sz w:val="20"/>
                <w:szCs w:val="20"/>
                <w:color w:val="auto"/>
              </w:rPr>
            </w:pPr>
            <w:r>
              <w:rPr>
                <w:rFonts w:ascii="Arial" w:cs="Arial" w:eastAsia="Arial" w:hAnsi="Arial"/>
                <w:sz w:val="14"/>
                <w:szCs w:val="14"/>
                <w:b w:val="1"/>
                <w:bCs w:val="1"/>
                <w:color w:val="auto"/>
              </w:rPr>
              <w:t>2022</w:t>
            </w:r>
          </w:p>
        </w:tc>
        <w:tc>
          <w:tcPr>
            <w:tcW w:w="2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b w:val="1"/>
                <w:bCs w:val="1"/>
                <w:color w:val="auto"/>
              </w:rPr>
              <w:t>2021</w:t>
            </w:r>
          </w:p>
        </w:tc>
        <w:tc>
          <w:tcPr>
            <w:tcW w:w="0" w:type="dxa"/>
            <w:vAlign w:val="bottom"/>
          </w:tcPr>
          <w:p>
            <w:pPr>
              <w:spacing w:after="0"/>
              <w:rPr>
                <w:sz w:val="1"/>
                <w:szCs w:val="1"/>
                <w:color w:val="auto"/>
              </w:rPr>
            </w:pPr>
          </w:p>
        </w:tc>
      </w:tr>
      <w:tr>
        <w:trPr>
          <w:trHeight w:val="123"/>
        </w:trPr>
        <w:tc>
          <w:tcPr>
            <w:tcW w:w="20" w:type="dxa"/>
            <w:vAlign w:val="bottom"/>
          </w:tcPr>
          <w:p>
            <w:pPr>
              <w:spacing w:after="0"/>
              <w:rPr>
                <w:sz w:val="10"/>
                <w:szCs w:val="10"/>
                <w:color w:val="auto"/>
              </w:rPr>
            </w:pPr>
          </w:p>
        </w:tc>
        <w:tc>
          <w:tcPr>
            <w:tcW w:w="7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20" w:type="dxa"/>
            <w:vAlign w:val="bottom"/>
          </w:tcPr>
          <w:p>
            <w:pPr>
              <w:jc w:val="right"/>
              <w:ind w:right="168"/>
              <w:spacing w:after="0" w:line="123" w:lineRule="exact"/>
              <w:rPr>
                <w:sz w:val="20"/>
                <w:szCs w:val="20"/>
                <w:color w:val="auto"/>
              </w:rPr>
            </w:pPr>
            <w:r>
              <w:rPr>
                <w:rFonts w:ascii="Arial" w:cs="Arial" w:eastAsia="Arial" w:hAnsi="Arial"/>
                <w:sz w:val="14"/>
                <w:szCs w:val="14"/>
                <w:color w:val="auto"/>
              </w:rPr>
              <w:t>(Unaudited)</w:t>
            </w:r>
          </w:p>
        </w:tc>
        <w:tc>
          <w:tcPr>
            <w:tcW w:w="2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7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480" w:type="dxa"/>
            <w:vAlign w:val="bottom"/>
            <w:gridSpan w:val="4"/>
          </w:tcPr>
          <w:p>
            <w:pPr>
              <w:jc w:val="right"/>
              <w:ind w:right="908"/>
              <w:spacing w:after="0"/>
              <w:rPr>
                <w:sz w:val="20"/>
                <w:szCs w:val="20"/>
                <w:color w:val="auto"/>
              </w:rPr>
            </w:pPr>
            <w:r>
              <w:rPr>
                <w:rFonts w:ascii="Arial" w:cs="Arial" w:eastAsia="Arial" w:hAnsi="Arial"/>
                <w:sz w:val="14"/>
                <w:szCs w:val="14"/>
                <w:i w:val="1"/>
                <w:iCs w:val="1"/>
                <w:color w:val="auto"/>
              </w:rPr>
              <w:t>(in millions)</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10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Assets</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100" w:type="dxa"/>
            <w:vAlign w:val="bottom"/>
          </w:tcPr>
          <w:p>
            <w:pPr>
              <w:spacing w:after="0" w:line="149" w:lineRule="exact"/>
              <w:rPr>
                <w:sz w:val="20"/>
                <w:szCs w:val="20"/>
                <w:color w:val="auto"/>
              </w:rPr>
            </w:pPr>
            <w:r>
              <w:rPr>
                <w:rFonts w:ascii="Arial" w:cs="Arial" w:eastAsia="Arial" w:hAnsi="Arial"/>
                <w:sz w:val="14"/>
                <w:szCs w:val="14"/>
                <w:color w:val="auto"/>
              </w:rPr>
              <w:t>Fixed maturities, available-for-sale</w:t>
            </w:r>
          </w:p>
        </w:tc>
        <w:tc>
          <w:tcPr>
            <w:tcW w:w="320" w:type="dxa"/>
            <w:vAlign w:val="bottom"/>
            <w:gridSpan w:val="2"/>
          </w:tcPr>
          <w:p>
            <w:pPr>
              <w:jc w:val="right"/>
              <w:ind w:right="49"/>
              <w:spacing w:after="0" w:line="149" w:lineRule="exact"/>
              <w:rPr>
                <w:sz w:val="20"/>
                <w:szCs w:val="20"/>
                <w:color w:val="auto"/>
              </w:rPr>
            </w:pPr>
            <w:r>
              <w:rPr>
                <w:rFonts w:ascii="Arial" w:cs="Arial" w:eastAsia="Arial" w:hAnsi="Arial"/>
                <w:sz w:val="14"/>
                <w:szCs w:val="14"/>
                <w:b w:val="1"/>
                <w:bCs w:val="1"/>
                <w:color w:val="auto"/>
              </w:rPr>
              <w:t>$</w:t>
            </w:r>
          </w:p>
        </w:tc>
        <w:tc>
          <w:tcPr>
            <w:tcW w:w="10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67,205.6</w:t>
            </w:r>
          </w:p>
        </w:tc>
        <w:tc>
          <w:tcPr>
            <w:tcW w:w="260" w:type="dxa"/>
            <w:vAlign w:val="bottom"/>
          </w:tcPr>
          <w:p>
            <w:pPr>
              <w:spacing w:after="0"/>
              <w:rPr>
                <w:sz w:val="12"/>
                <w:szCs w:val="12"/>
                <w:color w:val="auto"/>
              </w:rPr>
            </w:pPr>
          </w:p>
        </w:tc>
        <w:tc>
          <w:tcPr>
            <w:tcW w:w="120" w:type="dxa"/>
            <w:vAlign w:val="bottom"/>
          </w:tcPr>
          <w:p>
            <w:pPr>
              <w:jc w:val="right"/>
              <w:ind w:right="9"/>
              <w:spacing w:after="0"/>
              <w:rPr>
                <w:sz w:val="20"/>
                <w:szCs w:val="20"/>
                <w:color w:val="auto"/>
              </w:rPr>
            </w:pPr>
            <w:r>
              <w:rPr>
                <w:rFonts w:ascii="Arial" w:cs="Arial" w:eastAsia="Arial" w:hAnsi="Arial"/>
                <w:sz w:val="10"/>
                <w:szCs w:val="10"/>
                <w:color w:val="auto"/>
                <w:w w:val="71"/>
              </w:rPr>
              <w:t>$</w:t>
            </w:r>
          </w:p>
        </w:tc>
        <w:tc>
          <w:tcPr>
            <w:tcW w:w="1080" w:type="dxa"/>
            <w:vAlign w:val="bottom"/>
          </w:tcPr>
          <w:p>
            <w:pPr>
              <w:jc w:val="right"/>
              <w:spacing w:after="0" w:line="149" w:lineRule="exact"/>
              <w:rPr>
                <w:sz w:val="20"/>
                <w:szCs w:val="20"/>
                <w:color w:val="auto"/>
              </w:rPr>
            </w:pPr>
            <w:r>
              <w:rPr>
                <w:rFonts w:ascii="Arial" w:cs="Arial" w:eastAsia="Arial" w:hAnsi="Arial"/>
                <w:sz w:val="14"/>
                <w:szCs w:val="14"/>
                <w:color w:val="auto"/>
              </w:rPr>
              <w:t>78,154.5</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Fixed maturities, trading</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391.3</w:t>
            </w:r>
          </w:p>
        </w:tc>
        <w:tc>
          <w:tcPr>
            <w:tcW w:w="2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422.2</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100" w:type="dxa"/>
            <w:vAlign w:val="bottom"/>
          </w:tcPr>
          <w:p>
            <w:pPr>
              <w:spacing w:after="0" w:line="130" w:lineRule="exact"/>
              <w:rPr>
                <w:sz w:val="20"/>
                <w:szCs w:val="20"/>
                <w:color w:val="auto"/>
              </w:rPr>
            </w:pPr>
            <w:r>
              <w:rPr>
                <w:rFonts w:ascii="Arial" w:cs="Arial" w:eastAsia="Arial" w:hAnsi="Arial"/>
                <w:sz w:val="14"/>
                <w:szCs w:val="14"/>
                <w:color w:val="auto"/>
              </w:rPr>
              <w:t>Equity securities (2022 and 2021 include $711.6 million and $783.7 million related to consolidated variable interest</w:t>
            </w: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2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1,699.8</w:t>
            </w:r>
          </w:p>
        </w:tc>
        <w:tc>
          <w:tcPr>
            <w:tcW w:w="2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7100" w:type="dxa"/>
            <w:vAlign w:val="bottom"/>
          </w:tcPr>
          <w:p>
            <w:pPr>
              <w:ind w:left="120"/>
              <w:spacing w:after="0"/>
              <w:rPr>
                <w:sz w:val="20"/>
                <w:szCs w:val="20"/>
                <w:color w:val="auto"/>
              </w:rPr>
            </w:pPr>
            <w:r>
              <w:rPr>
                <w:rFonts w:ascii="Arial" w:cs="Arial" w:eastAsia="Arial" w:hAnsi="Arial"/>
                <w:sz w:val="14"/>
                <w:szCs w:val="14"/>
                <w:color w:val="auto"/>
              </w:rPr>
              <w:t>entities)</w:t>
            </w: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20" w:type="dxa"/>
            <w:vAlign w:val="bottom"/>
            <w:vMerge w:val="continue"/>
          </w:tcPr>
          <w:p>
            <w:pPr>
              <w:spacing w:after="0"/>
              <w:rPr>
                <w:sz w:val="14"/>
                <w:szCs w:val="14"/>
                <w:color w:val="auto"/>
              </w:rPr>
            </w:pPr>
          </w:p>
        </w:tc>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2,347.2</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100" w:type="dxa"/>
            <w:vAlign w:val="bottom"/>
            <w:shd w:val="clear" w:color="auto" w:fill="CCEEFF"/>
          </w:tcPr>
          <w:p>
            <w:pPr>
              <w:spacing w:after="0" w:line="130" w:lineRule="exact"/>
              <w:rPr>
                <w:sz w:val="20"/>
                <w:szCs w:val="20"/>
                <w:color w:val="auto"/>
              </w:rPr>
            </w:pPr>
            <w:r>
              <w:rPr>
                <w:rFonts w:ascii="Arial" w:cs="Arial" w:eastAsia="Arial" w:hAnsi="Arial"/>
                <w:sz w:val="14"/>
                <w:szCs w:val="14"/>
                <w:color w:val="auto"/>
                <w:w w:val="97"/>
              </w:rPr>
              <w:t>Mortgage loans (2022 and 2021 include $1,525.6 million and $1,260.1 million related to consolidated variable interest</w:t>
            </w: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2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20,277.2</w:t>
            </w:r>
          </w:p>
        </w:tc>
        <w:tc>
          <w:tcPr>
            <w:tcW w:w="2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8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7100" w:type="dxa"/>
            <w:vAlign w:val="bottom"/>
            <w:shd w:val="clear" w:color="auto" w:fill="CCEEFF"/>
          </w:tcPr>
          <w:p>
            <w:pPr>
              <w:ind w:left="120"/>
              <w:spacing w:after="0"/>
              <w:rPr>
                <w:sz w:val="20"/>
                <w:szCs w:val="20"/>
                <w:color w:val="auto"/>
              </w:rPr>
            </w:pPr>
            <w:r>
              <w:rPr>
                <w:rFonts w:ascii="Arial" w:cs="Arial" w:eastAsia="Arial" w:hAnsi="Arial"/>
                <w:sz w:val="14"/>
                <w:szCs w:val="14"/>
                <w:color w:val="auto"/>
              </w:rPr>
              <w:t>entities)</w:t>
            </w:r>
          </w:p>
        </w:tc>
        <w:tc>
          <w:tcPr>
            <w:tcW w:w="1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020" w:type="dxa"/>
            <w:vAlign w:val="bottom"/>
            <w:vMerge w:val="continue"/>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19,668.7</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100" w:type="dxa"/>
            <w:vAlign w:val="bottom"/>
          </w:tcPr>
          <w:p>
            <w:pPr>
              <w:spacing w:after="0" w:line="149" w:lineRule="exact"/>
              <w:rPr>
                <w:sz w:val="20"/>
                <w:szCs w:val="20"/>
                <w:color w:val="auto"/>
              </w:rPr>
            </w:pPr>
            <w:r>
              <w:rPr>
                <w:rFonts w:ascii="Arial" w:cs="Arial" w:eastAsia="Arial" w:hAnsi="Arial"/>
                <w:sz w:val="14"/>
                <w:szCs w:val="14"/>
                <w:color w:val="auto"/>
                <w:w w:val="97"/>
              </w:rPr>
              <w:t>Real estate (2022 and 2021 include $541.0 million and $672.0 million related to consolidated variable interest entities)</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2,073.6</w:t>
            </w:r>
          </w:p>
        </w:tc>
        <w:tc>
          <w:tcPr>
            <w:tcW w:w="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tcPr>
          <w:p>
            <w:pPr>
              <w:jc w:val="right"/>
              <w:spacing w:after="0" w:line="149" w:lineRule="exact"/>
              <w:rPr>
                <w:sz w:val="20"/>
                <w:szCs w:val="20"/>
                <w:color w:val="auto"/>
              </w:rPr>
            </w:pPr>
            <w:r>
              <w:rPr>
                <w:rFonts w:ascii="Arial" w:cs="Arial" w:eastAsia="Arial" w:hAnsi="Arial"/>
                <w:sz w:val="14"/>
                <w:szCs w:val="14"/>
                <w:color w:val="auto"/>
              </w:rPr>
              <w:t>2,075.4</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Policy loans</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766.6</w:t>
            </w:r>
          </w:p>
        </w:tc>
        <w:tc>
          <w:tcPr>
            <w:tcW w:w="2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759.6</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100" w:type="dxa"/>
            <w:vAlign w:val="bottom"/>
          </w:tcPr>
          <w:p>
            <w:pPr>
              <w:spacing w:after="0" w:line="130" w:lineRule="exact"/>
              <w:rPr>
                <w:sz w:val="20"/>
                <w:szCs w:val="20"/>
                <w:color w:val="auto"/>
              </w:rPr>
            </w:pPr>
            <w:r>
              <w:rPr>
                <w:rFonts w:ascii="Arial" w:cs="Arial" w:eastAsia="Arial" w:hAnsi="Arial"/>
                <w:sz w:val="14"/>
                <w:szCs w:val="14"/>
                <w:color w:val="auto"/>
                <w:w w:val="98"/>
              </w:rPr>
              <w:t>Other investments (2022 and 2021 include $410.9 million and $522.8 million related to consolidated variable interest</w:t>
            </w: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2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5,427.6</w:t>
            </w:r>
          </w:p>
        </w:tc>
        <w:tc>
          <w:tcPr>
            <w:tcW w:w="2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7100" w:type="dxa"/>
            <w:vAlign w:val="bottom"/>
            <w:tcBorders>
              <w:bottom w:val="single" w:sz="8" w:color="CCEEFF"/>
            </w:tcBorders>
          </w:tcPr>
          <w:p>
            <w:pPr>
              <w:ind w:left="120"/>
              <w:spacing w:after="0"/>
              <w:rPr>
                <w:sz w:val="20"/>
                <w:szCs w:val="20"/>
                <w:color w:val="auto"/>
              </w:rPr>
            </w:pPr>
            <w:r>
              <w:rPr>
                <w:rFonts w:ascii="Arial" w:cs="Arial" w:eastAsia="Arial" w:hAnsi="Arial"/>
                <w:sz w:val="14"/>
                <w:szCs w:val="14"/>
                <w:color w:val="auto"/>
              </w:rPr>
              <w:t>entities)</w:t>
            </w:r>
          </w:p>
        </w:tc>
        <w:tc>
          <w:tcPr>
            <w:tcW w:w="16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vMerge w:val="continue"/>
          </w:tcPr>
          <w:p>
            <w:pPr>
              <w:spacing w:after="0"/>
              <w:rPr>
                <w:sz w:val="14"/>
                <w:szCs w:val="14"/>
                <w:color w:val="auto"/>
              </w:rPr>
            </w:pPr>
          </w:p>
        </w:tc>
        <w:tc>
          <w:tcPr>
            <w:tcW w:w="26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5,478.3</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7100" w:type="dxa"/>
            <w:vAlign w:val="bottom"/>
            <w:shd w:val="clear" w:color="auto" w:fill="CCEEFF"/>
          </w:tcPr>
          <w:p>
            <w:pPr>
              <w:ind w:left="100"/>
              <w:spacing w:after="0" w:line="142" w:lineRule="exact"/>
              <w:rPr>
                <w:sz w:val="20"/>
                <w:szCs w:val="20"/>
                <w:color w:val="auto"/>
              </w:rPr>
            </w:pPr>
            <w:r>
              <w:rPr>
                <w:rFonts w:ascii="Arial" w:cs="Arial" w:eastAsia="Arial" w:hAnsi="Arial"/>
                <w:sz w:val="14"/>
                <w:szCs w:val="14"/>
                <w:color w:val="auto"/>
              </w:rPr>
              <w:t>Total investments</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97,841.7</w:t>
            </w:r>
          </w:p>
        </w:tc>
        <w:tc>
          <w:tcPr>
            <w:tcW w:w="2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108,905.9</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100" w:type="dxa"/>
            <w:vAlign w:val="bottom"/>
          </w:tcPr>
          <w:p>
            <w:pPr>
              <w:spacing w:after="0" w:line="130" w:lineRule="exact"/>
              <w:rPr>
                <w:sz w:val="20"/>
                <w:szCs w:val="20"/>
                <w:color w:val="auto"/>
              </w:rPr>
            </w:pPr>
            <w:r>
              <w:rPr>
                <w:rFonts w:ascii="Arial" w:cs="Arial" w:eastAsia="Arial" w:hAnsi="Arial"/>
                <w:sz w:val="14"/>
                <w:szCs w:val="14"/>
                <w:color w:val="auto"/>
                <w:w w:val="99"/>
              </w:rPr>
              <w:t>Cash and cash equivalents (2022 and 2021 include $20.1 million and $49.6 million related to consolidated variable</w:t>
            </w: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2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3,173.1</w:t>
            </w:r>
          </w:p>
        </w:tc>
        <w:tc>
          <w:tcPr>
            <w:tcW w:w="2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7100" w:type="dxa"/>
            <w:vAlign w:val="bottom"/>
          </w:tcPr>
          <w:p>
            <w:pPr>
              <w:ind w:left="120"/>
              <w:spacing w:after="0"/>
              <w:rPr>
                <w:sz w:val="20"/>
                <w:szCs w:val="20"/>
                <w:color w:val="auto"/>
              </w:rPr>
            </w:pPr>
            <w:r>
              <w:rPr>
                <w:rFonts w:ascii="Arial" w:cs="Arial" w:eastAsia="Arial" w:hAnsi="Arial"/>
                <w:sz w:val="14"/>
                <w:szCs w:val="14"/>
                <w:color w:val="auto"/>
              </w:rPr>
              <w:t>interest entities)</w:t>
            </w: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20" w:type="dxa"/>
            <w:vAlign w:val="bottom"/>
            <w:vMerge w:val="continue"/>
          </w:tcPr>
          <w:p>
            <w:pPr>
              <w:spacing w:after="0"/>
              <w:rPr>
                <w:sz w:val="14"/>
                <w:szCs w:val="14"/>
                <w:color w:val="auto"/>
              </w:rPr>
            </w:pPr>
          </w:p>
        </w:tc>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2,332.0</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Accrued investment income</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712.4</w:t>
            </w:r>
          </w:p>
        </w:tc>
        <w:tc>
          <w:tcPr>
            <w:tcW w:w="2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695.8</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100" w:type="dxa"/>
            <w:vAlign w:val="bottom"/>
          </w:tcPr>
          <w:p>
            <w:pPr>
              <w:spacing w:after="0" w:line="149" w:lineRule="exact"/>
              <w:rPr>
                <w:sz w:val="20"/>
                <w:szCs w:val="20"/>
                <w:color w:val="auto"/>
              </w:rPr>
            </w:pPr>
            <w:r>
              <w:rPr>
                <w:rFonts w:ascii="Arial" w:cs="Arial" w:eastAsia="Arial" w:hAnsi="Arial"/>
                <w:sz w:val="14"/>
                <w:szCs w:val="14"/>
                <w:color w:val="auto"/>
              </w:rPr>
              <w:t>Reinsurance recoverable and deposit receivable</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23,601.1</w:t>
            </w:r>
          </w:p>
        </w:tc>
        <w:tc>
          <w:tcPr>
            <w:tcW w:w="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tcPr>
          <w:p>
            <w:pPr>
              <w:jc w:val="right"/>
              <w:spacing w:after="0" w:line="149" w:lineRule="exact"/>
              <w:rPr>
                <w:sz w:val="20"/>
                <w:szCs w:val="20"/>
                <w:color w:val="auto"/>
              </w:rPr>
            </w:pPr>
            <w:r>
              <w:rPr>
                <w:rFonts w:ascii="Arial" w:cs="Arial" w:eastAsia="Arial" w:hAnsi="Arial"/>
                <w:sz w:val="14"/>
                <w:szCs w:val="14"/>
                <w:color w:val="auto"/>
              </w:rPr>
              <w:t>1,186.5</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Premiums due and other receivables</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4,683.9</w:t>
            </w:r>
          </w:p>
        </w:tc>
        <w:tc>
          <w:tcPr>
            <w:tcW w:w="2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655.9</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100" w:type="dxa"/>
            <w:vAlign w:val="bottom"/>
          </w:tcPr>
          <w:p>
            <w:pPr>
              <w:spacing w:after="0" w:line="149" w:lineRule="exact"/>
              <w:rPr>
                <w:sz w:val="20"/>
                <w:szCs w:val="20"/>
                <w:color w:val="auto"/>
              </w:rPr>
            </w:pPr>
            <w:r>
              <w:rPr>
                <w:rFonts w:ascii="Arial" w:cs="Arial" w:eastAsia="Arial" w:hAnsi="Arial"/>
                <w:sz w:val="14"/>
                <w:szCs w:val="14"/>
                <w:color w:val="auto"/>
              </w:rPr>
              <w:t>Deferred acquisition costs</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4,340.3</w:t>
            </w:r>
          </w:p>
        </w:tc>
        <w:tc>
          <w:tcPr>
            <w:tcW w:w="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tcPr>
          <w:p>
            <w:pPr>
              <w:jc w:val="right"/>
              <w:spacing w:after="0" w:line="149" w:lineRule="exact"/>
              <w:rPr>
                <w:sz w:val="20"/>
                <w:szCs w:val="20"/>
                <w:color w:val="auto"/>
              </w:rPr>
            </w:pPr>
            <w:r>
              <w:rPr>
                <w:rFonts w:ascii="Arial" w:cs="Arial" w:eastAsia="Arial" w:hAnsi="Arial"/>
                <w:sz w:val="14"/>
                <w:szCs w:val="14"/>
                <w:color w:val="auto"/>
              </w:rPr>
              <w:t>3,757.5</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Property and equipment</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993.3</w:t>
            </w:r>
          </w:p>
        </w:tc>
        <w:tc>
          <w:tcPr>
            <w:tcW w:w="2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1,038.0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100" w:type="dxa"/>
            <w:vAlign w:val="bottom"/>
          </w:tcPr>
          <w:p>
            <w:pPr>
              <w:spacing w:after="0" w:line="149" w:lineRule="exact"/>
              <w:rPr>
                <w:sz w:val="20"/>
                <w:szCs w:val="20"/>
                <w:color w:val="auto"/>
              </w:rPr>
            </w:pPr>
            <w:r>
              <w:rPr>
                <w:rFonts w:ascii="Arial" w:cs="Arial" w:eastAsia="Arial" w:hAnsi="Arial"/>
                <w:sz w:val="14"/>
                <w:szCs w:val="14"/>
                <w:color w:val="auto"/>
              </w:rPr>
              <w:t>Goodwill</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1,588.5</w:t>
            </w:r>
          </w:p>
        </w:tc>
        <w:tc>
          <w:tcPr>
            <w:tcW w:w="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tcPr>
          <w:p>
            <w:pPr>
              <w:jc w:val="right"/>
              <w:spacing w:after="0" w:line="149" w:lineRule="exact"/>
              <w:rPr>
                <w:sz w:val="20"/>
                <w:szCs w:val="20"/>
                <w:color w:val="auto"/>
              </w:rPr>
            </w:pPr>
            <w:r>
              <w:rPr>
                <w:rFonts w:ascii="Arial" w:cs="Arial" w:eastAsia="Arial" w:hAnsi="Arial"/>
                <w:sz w:val="14"/>
                <w:szCs w:val="14"/>
                <w:color w:val="auto"/>
              </w:rPr>
              <w:t>1,627.6</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intangibles</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1,546.0</w:t>
            </w:r>
          </w:p>
        </w:tc>
        <w:tc>
          <w:tcPr>
            <w:tcW w:w="2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1,600.6</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100" w:type="dxa"/>
            <w:vAlign w:val="bottom"/>
          </w:tcPr>
          <w:p>
            <w:pPr>
              <w:spacing w:after="0" w:line="130" w:lineRule="exact"/>
              <w:rPr>
                <w:sz w:val="20"/>
                <w:szCs w:val="20"/>
                <w:color w:val="auto"/>
              </w:rPr>
            </w:pPr>
            <w:r>
              <w:rPr>
                <w:rFonts w:ascii="Arial" w:cs="Arial" w:eastAsia="Arial" w:hAnsi="Arial"/>
                <w:sz w:val="14"/>
                <w:szCs w:val="14"/>
                <w:color w:val="auto"/>
                <w:w w:val="94"/>
              </w:rPr>
              <w:t>Separate account assets (2022 and 2021 include $30,530.6 million and $33,957.7 million related to consolidated variable</w:t>
            </w: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2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153,819.3</w:t>
            </w:r>
          </w:p>
        </w:tc>
        <w:tc>
          <w:tcPr>
            <w:tcW w:w="2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7100" w:type="dxa"/>
            <w:vAlign w:val="bottom"/>
          </w:tcPr>
          <w:p>
            <w:pPr>
              <w:ind w:left="120"/>
              <w:spacing w:after="0"/>
              <w:rPr>
                <w:sz w:val="20"/>
                <w:szCs w:val="20"/>
                <w:color w:val="auto"/>
              </w:rPr>
            </w:pPr>
            <w:r>
              <w:rPr>
                <w:rFonts w:ascii="Arial" w:cs="Arial" w:eastAsia="Arial" w:hAnsi="Arial"/>
                <w:sz w:val="14"/>
                <w:szCs w:val="14"/>
                <w:color w:val="auto"/>
              </w:rPr>
              <w:t>interest entities)</w:t>
            </w: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20" w:type="dxa"/>
            <w:vAlign w:val="bottom"/>
            <w:vMerge w:val="continue"/>
          </w:tcPr>
          <w:p>
            <w:pPr>
              <w:spacing w:after="0"/>
              <w:rPr>
                <w:sz w:val="14"/>
                <w:szCs w:val="14"/>
                <w:color w:val="auto"/>
              </w:rPr>
            </w:pPr>
          </w:p>
        </w:tc>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182,345.4</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assets</w:t>
            </w:r>
          </w:p>
        </w:tc>
        <w:tc>
          <w:tcPr>
            <w:tcW w:w="160" w:type="dxa"/>
            <w:vAlign w:val="bottom"/>
            <w:shd w:val="clear" w:color="auto" w:fill="CCEEFF"/>
          </w:tcPr>
          <w:p>
            <w:pPr>
              <w:spacing w:after="0"/>
              <w:rPr>
                <w:sz w:val="12"/>
                <w:szCs w:val="12"/>
                <w:color w:val="auto"/>
              </w:rPr>
            </w:pPr>
          </w:p>
        </w:tc>
        <w:tc>
          <w:tcPr>
            <w:tcW w:w="160" w:type="dxa"/>
            <w:vAlign w:val="bottom"/>
            <w:tcBorders>
              <w:bottom w:val="single" w:sz="8" w:color="auto"/>
            </w:tcBorders>
            <w:shd w:val="clear" w:color="auto" w:fill="CCEEFF"/>
          </w:tcPr>
          <w:p>
            <w:pPr>
              <w:spacing w:after="0"/>
              <w:rPr>
                <w:sz w:val="12"/>
                <w:szCs w:val="12"/>
                <w:color w:val="auto"/>
              </w:rPr>
            </w:pPr>
          </w:p>
        </w:tc>
        <w:tc>
          <w:tcPr>
            <w:tcW w:w="10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920.6</w:t>
            </w:r>
          </w:p>
        </w:tc>
        <w:tc>
          <w:tcPr>
            <w:tcW w:w="26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10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512.0</w:t>
            </w: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7100" w:type="dxa"/>
            <w:vAlign w:val="bottom"/>
            <w:tcBorders>
              <w:bottom w:val="single" w:sz="8" w:color="CCEEFF"/>
            </w:tcBorders>
          </w:tcPr>
          <w:p>
            <w:pPr>
              <w:ind w:left="100"/>
              <w:spacing w:after="0" w:line="142" w:lineRule="exact"/>
              <w:rPr>
                <w:sz w:val="20"/>
                <w:szCs w:val="20"/>
                <w:color w:val="auto"/>
              </w:rPr>
            </w:pPr>
            <w:r>
              <w:rPr>
                <w:rFonts w:ascii="Arial" w:cs="Arial" w:eastAsia="Arial" w:hAnsi="Arial"/>
                <w:sz w:val="14"/>
                <w:szCs w:val="14"/>
                <w:color w:val="auto"/>
              </w:rPr>
              <w:t>Total assets</w:t>
            </w:r>
          </w:p>
        </w:tc>
        <w:tc>
          <w:tcPr>
            <w:tcW w:w="16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jc w:val="right"/>
              <w:ind w:right="49"/>
              <w:spacing w:after="0"/>
              <w:rPr>
                <w:sz w:val="20"/>
                <w:szCs w:val="20"/>
                <w:color w:val="auto"/>
              </w:rPr>
            </w:pPr>
            <w:r>
              <w:rPr>
                <w:rFonts w:ascii="Arial" w:cs="Arial" w:eastAsia="Arial" w:hAnsi="Arial"/>
                <w:sz w:val="10"/>
                <w:szCs w:val="10"/>
                <w:b w:val="1"/>
                <w:bCs w:val="1"/>
                <w:color w:val="auto"/>
                <w:w w:val="71"/>
              </w:rPr>
              <w:t>$</w:t>
            </w:r>
          </w:p>
        </w:tc>
        <w:tc>
          <w:tcPr>
            <w:tcW w:w="10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293,220.2</w:t>
            </w:r>
          </w:p>
        </w:tc>
        <w:tc>
          <w:tcPr>
            <w:tcW w:w="26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jc w:val="right"/>
              <w:ind w:right="9"/>
              <w:spacing w:after="0"/>
              <w:rPr>
                <w:sz w:val="20"/>
                <w:szCs w:val="20"/>
                <w:color w:val="auto"/>
              </w:rPr>
            </w:pPr>
            <w:r>
              <w:rPr>
                <w:rFonts w:ascii="Arial" w:cs="Arial" w:eastAsia="Arial" w:hAnsi="Arial"/>
                <w:sz w:val="10"/>
                <w:szCs w:val="10"/>
                <w:color w:val="auto"/>
                <w:w w:val="71"/>
              </w:rPr>
              <w:t>$</w:t>
            </w:r>
          </w:p>
        </w:tc>
        <w:tc>
          <w:tcPr>
            <w:tcW w:w="10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304,657.2</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100" w:type="dxa"/>
            <w:vAlign w:val="bottom"/>
            <w:shd w:val="clear" w:color="auto" w:fill="CCEEFF"/>
          </w:tcPr>
          <w:p>
            <w:pPr>
              <w:spacing w:after="0" w:line="129" w:lineRule="exact"/>
              <w:rPr>
                <w:sz w:val="20"/>
                <w:szCs w:val="20"/>
                <w:color w:val="auto"/>
              </w:rPr>
            </w:pPr>
            <w:r>
              <w:rPr>
                <w:rFonts w:ascii="Arial" w:cs="Arial" w:eastAsia="Arial" w:hAnsi="Arial"/>
                <w:sz w:val="14"/>
                <w:szCs w:val="14"/>
                <w:b w:val="1"/>
                <w:bCs w:val="1"/>
                <w:color w:val="auto"/>
              </w:rPr>
              <w:t>Liabilities</w:t>
            </w: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8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100" w:type="dxa"/>
            <w:vAlign w:val="bottom"/>
          </w:tcPr>
          <w:p>
            <w:pPr>
              <w:spacing w:after="0" w:line="130" w:lineRule="exact"/>
              <w:rPr>
                <w:sz w:val="20"/>
                <w:szCs w:val="20"/>
                <w:color w:val="auto"/>
              </w:rPr>
            </w:pPr>
            <w:r>
              <w:rPr>
                <w:rFonts w:ascii="Arial" w:cs="Arial" w:eastAsia="Arial" w:hAnsi="Arial"/>
                <w:sz w:val="14"/>
                <w:szCs w:val="14"/>
                <w:color w:val="auto"/>
                <w:w w:val="96"/>
              </w:rPr>
              <w:t>Contractholder funds (2022 and 2021 include $335.5 million and $344.0 million related to consolidated variable interest</w:t>
            </w:r>
          </w:p>
        </w:tc>
        <w:tc>
          <w:tcPr>
            <w:tcW w:w="320" w:type="dxa"/>
            <w:vAlign w:val="bottom"/>
            <w:gridSpan w:val="2"/>
            <w:vMerge w:val="restart"/>
          </w:tcPr>
          <w:p>
            <w:pPr>
              <w:jc w:val="right"/>
              <w:ind w:right="49"/>
              <w:spacing w:after="0"/>
              <w:rPr>
                <w:sz w:val="20"/>
                <w:szCs w:val="20"/>
                <w:color w:val="auto"/>
              </w:rPr>
            </w:pPr>
            <w:r>
              <w:rPr>
                <w:rFonts w:ascii="Arial" w:cs="Arial" w:eastAsia="Arial" w:hAnsi="Arial"/>
                <w:sz w:val="14"/>
                <w:szCs w:val="14"/>
                <w:b w:val="1"/>
                <w:bCs w:val="1"/>
                <w:color w:val="auto"/>
              </w:rPr>
              <w:t>$</w:t>
            </w:r>
          </w:p>
        </w:tc>
        <w:tc>
          <w:tcPr>
            <w:tcW w:w="102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43,923.4</w:t>
            </w:r>
          </w:p>
        </w:tc>
        <w:tc>
          <w:tcPr>
            <w:tcW w:w="2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7100" w:type="dxa"/>
            <w:vAlign w:val="bottom"/>
          </w:tcPr>
          <w:p>
            <w:pPr>
              <w:ind w:left="120"/>
              <w:spacing w:after="0"/>
              <w:rPr>
                <w:sz w:val="20"/>
                <w:szCs w:val="20"/>
                <w:color w:val="auto"/>
              </w:rPr>
            </w:pPr>
            <w:r>
              <w:rPr>
                <w:rFonts w:ascii="Arial" w:cs="Arial" w:eastAsia="Arial" w:hAnsi="Arial"/>
                <w:sz w:val="14"/>
                <w:szCs w:val="14"/>
                <w:color w:val="auto"/>
              </w:rPr>
              <w:t>entities)</w:t>
            </w:r>
          </w:p>
        </w:tc>
        <w:tc>
          <w:tcPr>
            <w:tcW w:w="320" w:type="dxa"/>
            <w:vAlign w:val="bottom"/>
            <w:gridSpan w:val="2"/>
            <w:vMerge w:val="continue"/>
          </w:tcPr>
          <w:p>
            <w:pPr>
              <w:spacing w:after="0"/>
              <w:rPr>
                <w:sz w:val="14"/>
                <w:szCs w:val="14"/>
                <w:color w:val="auto"/>
              </w:rPr>
            </w:pPr>
          </w:p>
        </w:tc>
        <w:tc>
          <w:tcPr>
            <w:tcW w:w="1020" w:type="dxa"/>
            <w:vAlign w:val="bottom"/>
            <w:vMerge w:val="continue"/>
          </w:tcPr>
          <w:p>
            <w:pPr>
              <w:spacing w:after="0"/>
              <w:rPr>
                <w:sz w:val="14"/>
                <w:szCs w:val="14"/>
                <w:color w:val="auto"/>
              </w:rPr>
            </w:pPr>
          </w:p>
        </w:tc>
        <w:tc>
          <w:tcPr>
            <w:tcW w:w="260" w:type="dxa"/>
            <w:vAlign w:val="bottom"/>
          </w:tcPr>
          <w:p>
            <w:pPr>
              <w:spacing w:after="0"/>
              <w:rPr>
                <w:sz w:val="14"/>
                <w:szCs w:val="14"/>
                <w:color w:val="auto"/>
              </w:rPr>
            </w:pPr>
          </w:p>
        </w:tc>
        <w:tc>
          <w:tcPr>
            <w:tcW w:w="120" w:type="dxa"/>
            <w:vAlign w:val="bottom"/>
          </w:tcPr>
          <w:p>
            <w:pPr>
              <w:jc w:val="right"/>
              <w:ind w:right="9"/>
              <w:spacing w:after="0"/>
              <w:rPr>
                <w:sz w:val="20"/>
                <w:szCs w:val="20"/>
                <w:color w:val="auto"/>
              </w:rPr>
            </w:pPr>
            <w:r>
              <w:rPr>
                <w:rFonts w:ascii="Arial" w:cs="Arial" w:eastAsia="Arial" w:hAnsi="Arial"/>
                <w:sz w:val="10"/>
                <w:szCs w:val="10"/>
                <w:color w:val="auto"/>
                <w:w w:val="71"/>
              </w:rPr>
              <w:t>$</w:t>
            </w:r>
          </w:p>
        </w:tc>
        <w:tc>
          <w:tcPr>
            <w:tcW w:w="1080" w:type="dxa"/>
            <w:vAlign w:val="bottom"/>
          </w:tcPr>
          <w:p>
            <w:pPr>
              <w:jc w:val="right"/>
              <w:spacing w:after="0"/>
              <w:rPr>
                <w:sz w:val="20"/>
                <w:szCs w:val="20"/>
                <w:color w:val="auto"/>
              </w:rPr>
            </w:pPr>
            <w:r>
              <w:rPr>
                <w:rFonts w:ascii="Arial" w:cs="Arial" w:eastAsia="Arial" w:hAnsi="Arial"/>
                <w:sz w:val="14"/>
                <w:szCs w:val="14"/>
                <w:color w:val="auto"/>
              </w:rPr>
              <w:t>43,598.0</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Future policy benefits and claims</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43,311.7</w:t>
            </w:r>
          </w:p>
        </w:tc>
        <w:tc>
          <w:tcPr>
            <w:tcW w:w="2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43,948.1</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100" w:type="dxa"/>
            <w:vAlign w:val="bottom"/>
          </w:tcPr>
          <w:p>
            <w:pPr>
              <w:spacing w:after="0" w:line="149" w:lineRule="exact"/>
              <w:rPr>
                <w:sz w:val="20"/>
                <w:szCs w:val="20"/>
                <w:color w:val="auto"/>
              </w:rPr>
            </w:pPr>
            <w:r>
              <w:rPr>
                <w:rFonts w:ascii="Arial" w:cs="Arial" w:eastAsia="Arial" w:hAnsi="Arial"/>
                <w:sz w:val="14"/>
                <w:szCs w:val="14"/>
                <w:color w:val="auto"/>
              </w:rPr>
              <w:t>Other policyholder funds</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895.5</w:t>
            </w:r>
          </w:p>
        </w:tc>
        <w:tc>
          <w:tcPr>
            <w:tcW w:w="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tcPr>
          <w:p>
            <w:pPr>
              <w:jc w:val="right"/>
              <w:spacing w:after="0" w:line="149" w:lineRule="exact"/>
              <w:rPr>
                <w:sz w:val="20"/>
                <w:szCs w:val="20"/>
                <w:color w:val="auto"/>
              </w:rPr>
            </w:pPr>
            <w:r>
              <w:rPr>
                <w:rFonts w:ascii="Arial" w:cs="Arial" w:eastAsia="Arial" w:hAnsi="Arial"/>
                <w:sz w:val="14"/>
                <w:szCs w:val="14"/>
                <w:color w:val="auto"/>
              </w:rPr>
              <w:t>1,071.0</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Short-term debt</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66.9</w:t>
            </w:r>
          </w:p>
        </w:tc>
        <w:tc>
          <w:tcPr>
            <w:tcW w:w="2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79.8</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100" w:type="dxa"/>
            <w:vAlign w:val="bottom"/>
          </w:tcPr>
          <w:p>
            <w:pPr>
              <w:spacing w:after="0" w:line="149" w:lineRule="exact"/>
              <w:rPr>
                <w:sz w:val="20"/>
                <w:szCs w:val="20"/>
                <w:color w:val="auto"/>
              </w:rPr>
            </w:pPr>
            <w:r>
              <w:rPr>
                <w:rFonts w:ascii="Arial" w:cs="Arial" w:eastAsia="Arial" w:hAnsi="Arial"/>
                <w:sz w:val="14"/>
                <w:szCs w:val="14"/>
                <w:color w:val="auto"/>
              </w:rPr>
              <w:t>Long-term debt</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4,280.7</w:t>
            </w:r>
          </w:p>
        </w:tc>
        <w:tc>
          <w:tcPr>
            <w:tcW w:w="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tcPr>
          <w:p>
            <w:pPr>
              <w:jc w:val="right"/>
              <w:spacing w:after="0" w:line="149" w:lineRule="exact"/>
              <w:rPr>
                <w:sz w:val="20"/>
                <w:szCs w:val="20"/>
                <w:color w:val="auto"/>
              </w:rPr>
            </w:pPr>
            <w:r>
              <w:rPr>
                <w:rFonts w:ascii="Arial" w:cs="Arial" w:eastAsia="Arial" w:hAnsi="Arial"/>
                <w:sz w:val="14"/>
                <w:szCs w:val="14"/>
                <w:color w:val="auto"/>
              </w:rPr>
              <w:t>4,280.2</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Income taxes currently payable</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22.3</w:t>
            </w:r>
          </w:p>
        </w:tc>
        <w:tc>
          <w:tcPr>
            <w:tcW w:w="2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15.5</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100" w:type="dxa"/>
            <w:vAlign w:val="bottom"/>
          </w:tcPr>
          <w:p>
            <w:pPr>
              <w:spacing w:after="0" w:line="149" w:lineRule="exact"/>
              <w:rPr>
                <w:sz w:val="20"/>
                <w:szCs w:val="20"/>
                <w:color w:val="auto"/>
              </w:rPr>
            </w:pPr>
            <w:r>
              <w:rPr>
                <w:rFonts w:ascii="Arial" w:cs="Arial" w:eastAsia="Arial" w:hAnsi="Arial"/>
                <w:sz w:val="14"/>
                <w:szCs w:val="14"/>
                <w:color w:val="auto"/>
              </w:rPr>
              <w:t>Deferred income taxes</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1,421.8</w:t>
            </w:r>
          </w:p>
        </w:tc>
        <w:tc>
          <w:tcPr>
            <w:tcW w:w="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tcPr>
          <w:p>
            <w:pPr>
              <w:jc w:val="right"/>
              <w:spacing w:after="0" w:line="149" w:lineRule="exact"/>
              <w:rPr>
                <w:sz w:val="20"/>
                <w:szCs w:val="20"/>
                <w:color w:val="auto"/>
              </w:rPr>
            </w:pPr>
            <w:r>
              <w:rPr>
                <w:rFonts w:ascii="Arial" w:cs="Arial" w:eastAsia="Arial" w:hAnsi="Arial"/>
                <w:sz w:val="14"/>
                <w:szCs w:val="14"/>
                <w:color w:val="auto"/>
              </w:rPr>
              <w:t>2,320.2</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100" w:type="dxa"/>
            <w:vAlign w:val="bottom"/>
            <w:shd w:val="clear" w:color="auto" w:fill="CCEEFF"/>
          </w:tcPr>
          <w:p>
            <w:pPr>
              <w:spacing w:after="0" w:line="130" w:lineRule="exact"/>
              <w:rPr>
                <w:sz w:val="20"/>
                <w:szCs w:val="20"/>
                <w:color w:val="auto"/>
              </w:rPr>
            </w:pPr>
            <w:r>
              <w:rPr>
                <w:rFonts w:ascii="Arial" w:cs="Arial" w:eastAsia="Arial" w:hAnsi="Arial"/>
                <w:sz w:val="14"/>
                <w:szCs w:val="14"/>
                <w:color w:val="auto"/>
                <w:w w:val="99"/>
              </w:rPr>
              <w:t>Separate account liabilities (2022 and 2021 include $30,530.6 million and $33,957.7 million related to consolidated</w:t>
            </w: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2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153,819.3</w:t>
            </w:r>
          </w:p>
        </w:tc>
        <w:tc>
          <w:tcPr>
            <w:tcW w:w="2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8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7100" w:type="dxa"/>
            <w:vAlign w:val="bottom"/>
            <w:shd w:val="clear" w:color="auto" w:fill="CCEEFF"/>
          </w:tcPr>
          <w:p>
            <w:pPr>
              <w:ind w:left="120"/>
              <w:spacing w:after="0"/>
              <w:rPr>
                <w:sz w:val="20"/>
                <w:szCs w:val="20"/>
                <w:color w:val="auto"/>
              </w:rPr>
            </w:pPr>
            <w:r>
              <w:rPr>
                <w:rFonts w:ascii="Arial" w:cs="Arial" w:eastAsia="Arial" w:hAnsi="Arial"/>
                <w:sz w:val="14"/>
                <w:szCs w:val="14"/>
                <w:color w:val="auto"/>
              </w:rPr>
              <w:t>variable interest entities)</w:t>
            </w:r>
          </w:p>
        </w:tc>
        <w:tc>
          <w:tcPr>
            <w:tcW w:w="1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020" w:type="dxa"/>
            <w:vAlign w:val="bottom"/>
            <w:vMerge w:val="continue"/>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182,345.4</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100" w:type="dxa"/>
            <w:vAlign w:val="bottom"/>
          </w:tcPr>
          <w:p>
            <w:pPr>
              <w:spacing w:after="0" w:line="149" w:lineRule="exact"/>
              <w:rPr>
                <w:sz w:val="20"/>
                <w:szCs w:val="20"/>
                <w:color w:val="auto"/>
              </w:rPr>
            </w:pPr>
            <w:r>
              <w:rPr>
                <w:rFonts w:ascii="Arial" w:cs="Arial" w:eastAsia="Arial" w:hAnsi="Arial"/>
                <w:sz w:val="14"/>
                <w:szCs w:val="14"/>
                <w:color w:val="auto"/>
              </w:rPr>
              <w:t>Funds withheld payable</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22,530.8</w:t>
            </w:r>
          </w:p>
        </w:tc>
        <w:tc>
          <w:tcPr>
            <w:tcW w:w="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w w:val="96"/>
              </w:rPr>
              <w:t>Other liabilities (2022 and 2021 include $88.8 million and $58.7 million related to consolidated variable interest entities)</w:t>
            </w:r>
          </w:p>
        </w:tc>
        <w:tc>
          <w:tcPr>
            <w:tcW w:w="160" w:type="dxa"/>
            <w:vAlign w:val="bottom"/>
            <w:shd w:val="clear" w:color="auto" w:fill="CCEEFF"/>
          </w:tcPr>
          <w:p>
            <w:pPr>
              <w:spacing w:after="0"/>
              <w:rPr>
                <w:sz w:val="12"/>
                <w:szCs w:val="12"/>
                <w:color w:val="auto"/>
              </w:rPr>
            </w:pPr>
          </w:p>
        </w:tc>
        <w:tc>
          <w:tcPr>
            <w:tcW w:w="160" w:type="dxa"/>
            <w:vAlign w:val="bottom"/>
            <w:tcBorders>
              <w:bottom w:val="single" w:sz="8" w:color="auto"/>
            </w:tcBorders>
            <w:shd w:val="clear" w:color="auto" w:fill="CCEEFF"/>
          </w:tcPr>
          <w:p>
            <w:pPr>
              <w:spacing w:after="0"/>
              <w:rPr>
                <w:sz w:val="12"/>
                <w:szCs w:val="12"/>
                <w:color w:val="auto"/>
              </w:rPr>
            </w:pPr>
          </w:p>
        </w:tc>
        <w:tc>
          <w:tcPr>
            <w:tcW w:w="10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11,600.7</w:t>
            </w:r>
          </w:p>
        </w:tc>
        <w:tc>
          <w:tcPr>
            <w:tcW w:w="26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10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10,540.7</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7100" w:type="dxa"/>
            <w:vAlign w:val="bottom"/>
          </w:tcPr>
          <w:p>
            <w:pPr>
              <w:ind w:left="100"/>
              <w:spacing w:after="0" w:line="142" w:lineRule="exact"/>
              <w:rPr>
                <w:sz w:val="20"/>
                <w:szCs w:val="20"/>
                <w:color w:val="auto"/>
              </w:rPr>
            </w:pPr>
            <w:r>
              <w:rPr>
                <w:rFonts w:ascii="Arial" w:cs="Arial" w:eastAsia="Arial" w:hAnsi="Arial"/>
                <w:sz w:val="14"/>
                <w:szCs w:val="14"/>
                <w:color w:val="auto"/>
              </w:rPr>
              <w:t>Total liabilities</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2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281,873.1</w:t>
            </w:r>
          </w:p>
        </w:tc>
        <w:tc>
          <w:tcPr>
            <w:tcW w:w="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tcPr>
          <w:p>
            <w:pPr>
              <w:jc w:val="right"/>
              <w:spacing w:after="0" w:line="142" w:lineRule="exact"/>
              <w:rPr>
                <w:sz w:val="20"/>
                <w:szCs w:val="20"/>
                <w:color w:val="auto"/>
              </w:rPr>
            </w:pPr>
            <w:r>
              <w:rPr>
                <w:rFonts w:ascii="Arial" w:cs="Arial" w:eastAsia="Arial" w:hAnsi="Arial"/>
                <w:sz w:val="14"/>
                <w:szCs w:val="14"/>
                <w:color w:val="auto"/>
              </w:rPr>
              <w:t>288,198.9</w:t>
            </w: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7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0"/>
        </w:trPr>
        <w:tc>
          <w:tcPr>
            <w:tcW w:w="20" w:type="dxa"/>
            <w:vAlign w:val="bottom"/>
            <w:vMerge w:val="continue"/>
          </w:tcPr>
          <w:p>
            <w:pPr>
              <w:spacing w:after="0"/>
              <w:rPr>
                <w:sz w:val="11"/>
                <w:szCs w:val="11"/>
                <w:color w:val="auto"/>
              </w:rPr>
            </w:pPr>
          </w:p>
        </w:tc>
        <w:tc>
          <w:tcPr>
            <w:tcW w:w="7100" w:type="dxa"/>
            <w:vAlign w:val="bottom"/>
          </w:tcPr>
          <w:p>
            <w:pPr>
              <w:spacing w:after="0" w:line="130" w:lineRule="exact"/>
              <w:rPr>
                <w:sz w:val="20"/>
                <w:szCs w:val="20"/>
                <w:color w:val="auto"/>
              </w:rPr>
            </w:pPr>
            <w:r>
              <w:rPr>
                <w:rFonts w:ascii="Arial" w:cs="Arial" w:eastAsia="Arial" w:hAnsi="Arial"/>
                <w:sz w:val="14"/>
                <w:szCs w:val="14"/>
                <w:color w:val="auto"/>
                <w:w w:val="97"/>
              </w:rPr>
              <w:t>Redeemable noncontrolling interest (2022 and 2021 include $240.8 million and $304.0 million related to consolidated</w:t>
            </w: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2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268.5</w:t>
            </w:r>
          </w:p>
        </w:tc>
        <w:tc>
          <w:tcPr>
            <w:tcW w:w="2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7100" w:type="dxa"/>
            <w:vAlign w:val="bottom"/>
          </w:tcPr>
          <w:p>
            <w:pPr>
              <w:ind w:left="120"/>
              <w:spacing w:after="0"/>
              <w:rPr>
                <w:sz w:val="20"/>
                <w:szCs w:val="20"/>
                <w:color w:val="auto"/>
              </w:rPr>
            </w:pPr>
            <w:r>
              <w:rPr>
                <w:rFonts w:ascii="Arial" w:cs="Arial" w:eastAsia="Arial" w:hAnsi="Arial"/>
                <w:sz w:val="14"/>
                <w:szCs w:val="14"/>
                <w:color w:val="auto"/>
              </w:rPr>
              <w:t>variable interest entities)</w:t>
            </w: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20" w:type="dxa"/>
            <w:vAlign w:val="bottom"/>
            <w:vMerge w:val="continue"/>
          </w:tcPr>
          <w:p>
            <w:pPr>
              <w:spacing w:after="0"/>
              <w:rPr>
                <w:sz w:val="14"/>
                <w:szCs w:val="14"/>
                <w:color w:val="auto"/>
              </w:rPr>
            </w:pPr>
          </w:p>
        </w:tc>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332.5</w:t>
            </w: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7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vMerge w:val="continue"/>
          </w:tcPr>
          <w:p>
            <w:pPr>
              <w:spacing w:after="0"/>
              <w:rPr>
                <w:sz w:val="12"/>
                <w:szCs w:val="12"/>
                <w:color w:val="auto"/>
              </w:rPr>
            </w:pPr>
          </w:p>
        </w:tc>
        <w:tc>
          <w:tcPr>
            <w:tcW w:w="7100" w:type="dxa"/>
            <w:vAlign w:val="bottom"/>
          </w:tcPr>
          <w:p>
            <w:pPr>
              <w:spacing w:after="0" w:line="149" w:lineRule="exact"/>
              <w:rPr>
                <w:sz w:val="20"/>
                <w:szCs w:val="20"/>
                <w:color w:val="auto"/>
              </w:rPr>
            </w:pPr>
            <w:r>
              <w:rPr>
                <w:rFonts w:ascii="Arial" w:cs="Arial" w:eastAsia="Arial" w:hAnsi="Arial"/>
                <w:sz w:val="14"/>
                <w:szCs w:val="14"/>
                <w:b w:val="1"/>
                <w:bCs w:val="1"/>
                <w:color w:val="auto"/>
              </w:rPr>
              <w:t>Stockholders’ equity</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100" w:type="dxa"/>
            <w:vAlign w:val="bottom"/>
            <w:shd w:val="clear" w:color="auto" w:fill="CCEEFF"/>
          </w:tcPr>
          <w:p>
            <w:pPr>
              <w:spacing w:after="0" w:line="130" w:lineRule="exact"/>
              <w:rPr>
                <w:sz w:val="20"/>
                <w:szCs w:val="20"/>
                <w:color w:val="auto"/>
              </w:rPr>
            </w:pPr>
            <w:r>
              <w:rPr>
                <w:rFonts w:ascii="Arial" w:cs="Arial" w:eastAsia="Arial" w:hAnsi="Arial"/>
                <w:sz w:val="14"/>
                <w:szCs w:val="14"/>
                <w:color w:val="auto"/>
                <w:w w:val="98"/>
              </w:rPr>
              <w:t>Common stock, par value $0.01 per share; 2,500.0 million shares authorized; 487.2 million and 484.9 million shares</w:t>
            </w: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2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4.9</w:t>
            </w:r>
          </w:p>
        </w:tc>
        <w:tc>
          <w:tcPr>
            <w:tcW w:w="2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8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7100" w:type="dxa"/>
            <w:vAlign w:val="bottom"/>
            <w:shd w:val="clear" w:color="auto" w:fill="CCEEFF"/>
          </w:tcPr>
          <w:p>
            <w:pPr>
              <w:ind w:left="120"/>
              <w:spacing w:after="0"/>
              <w:rPr>
                <w:sz w:val="20"/>
                <w:szCs w:val="20"/>
                <w:color w:val="auto"/>
              </w:rPr>
            </w:pPr>
            <w:r>
              <w:rPr>
                <w:rFonts w:ascii="Arial" w:cs="Arial" w:eastAsia="Arial" w:hAnsi="Arial"/>
                <w:sz w:val="14"/>
                <w:szCs w:val="14"/>
                <w:color w:val="auto"/>
              </w:rPr>
              <w:t>issued as of 2022 and 2021; 249.9 million and 261.7 million shares outstanding as of 2022 and 2021</w:t>
            </w:r>
          </w:p>
        </w:tc>
        <w:tc>
          <w:tcPr>
            <w:tcW w:w="1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020" w:type="dxa"/>
            <w:vAlign w:val="bottom"/>
            <w:vMerge w:val="continue"/>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4.8</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100" w:type="dxa"/>
            <w:vAlign w:val="bottom"/>
          </w:tcPr>
          <w:p>
            <w:pPr>
              <w:spacing w:after="0" w:line="149" w:lineRule="exact"/>
              <w:rPr>
                <w:sz w:val="20"/>
                <w:szCs w:val="20"/>
                <w:color w:val="auto"/>
              </w:rPr>
            </w:pPr>
            <w:r>
              <w:rPr>
                <w:rFonts w:ascii="Arial" w:cs="Arial" w:eastAsia="Arial" w:hAnsi="Arial"/>
                <w:sz w:val="14"/>
                <w:szCs w:val="14"/>
                <w:color w:val="auto"/>
              </w:rPr>
              <w:t>Additional paid-in capital</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10,553.5</w:t>
            </w:r>
          </w:p>
        </w:tc>
        <w:tc>
          <w:tcPr>
            <w:tcW w:w="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tcPr>
          <w:p>
            <w:pPr>
              <w:jc w:val="right"/>
              <w:spacing w:after="0" w:line="149" w:lineRule="exact"/>
              <w:rPr>
                <w:sz w:val="20"/>
                <w:szCs w:val="20"/>
                <w:color w:val="auto"/>
              </w:rPr>
            </w:pPr>
            <w:r>
              <w:rPr>
                <w:rFonts w:ascii="Arial" w:cs="Arial" w:eastAsia="Arial" w:hAnsi="Arial"/>
                <w:sz w:val="14"/>
                <w:szCs w:val="14"/>
                <w:color w:val="auto"/>
              </w:rPr>
              <w:t>10,495.0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Retained earnings</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15,985.6</w:t>
            </w:r>
          </w:p>
        </w:tc>
        <w:tc>
          <w:tcPr>
            <w:tcW w:w="2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12,884.5</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100" w:type="dxa"/>
            <w:vAlign w:val="bottom"/>
          </w:tcPr>
          <w:p>
            <w:pPr>
              <w:spacing w:after="0" w:line="149" w:lineRule="exact"/>
              <w:rPr>
                <w:sz w:val="20"/>
                <w:szCs w:val="20"/>
                <w:color w:val="auto"/>
              </w:rPr>
            </w:pPr>
            <w:r>
              <w:rPr>
                <w:rFonts w:ascii="Arial" w:cs="Arial" w:eastAsia="Arial" w:hAnsi="Arial"/>
                <w:sz w:val="14"/>
                <w:szCs w:val="14"/>
                <w:color w:val="auto"/>
              </w:rPr>
              <w:t>Accumulated other comprehensive income (loss)</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80" w:type="dxa"/>
            <w:vAlign w:val="bottom"/>
            <w:gridSpan w:val="2"/>
          </w:tcPr>
          <w:p>
            <w:pPr>
              <w:jc w:val="right"/>
              <w:ind w:right="260"/>
              <w:spacing w:after="0" w:line="149" w:lineRule="exact"/>
              <w:rPr>
                <w:sz w:val="20"/>
                <w:szCs w:val="20"/>
                <w:color w:val="auto"/>
              </w:rPr>
            </w:pPr>
            <w:r>
              <w:rPr>
                <w:rFonts w:ascii="Arial" w:cs="Arial" w:eastAsia="Arial" w:hAnsi="Arial"/>
                <w:sz w:val="14"/>
                <w:szCs w:val="14"/>
                <w:b w:val="1"/>
                <w:bCs w:val="1"/>
                <w:color w:val="auto"/>
              </w:rPr>
              <w:t>(5,630.1)</w:t>
            </w:r>
          </w:p>
        </w:tc>
        <w:tc>
          <w:tcPr>
            <w:tcW w:w="120" w:type="dxa"/>
            <w:vAlign w:val="bottom"/>
          </w:tcPr>
          <w:p>
            <w:pPr>
              <w:spacing w:after="0"/>
              <w:rPr>
                <w:sz w:val="12"/>
                <w:szCs w:val="12"/>
                <w:color w:val="auto"/>
              </w:rPr>
            </w:pPr>
          </w:p>
        </w:tc>
        <w:tc>
          <w:tcPr>
            <w:tcW w:w="1080" w:type="dxa"/>
            <w:vAlign w:val="bottom"/>
          </w:tcPr>
          <w:p>
            <w:pPr>
              <w:jc w:val="right"/>
              <w:spacing w:after="0" w:line="149" w:lineRule="exact"/>
              <w:rPr>
                <w:sz w:val="20"/>
                <w:szCs w:val="20"/>
                <w:color w:val="auto"/>
              </w:rPr>
            </w:pPr>
            <w:r>
              <w:rPr>
                <w:rFonts w:ascii="Arial" w:cs="Arial" w:eastAsia="Arial" w:hAnsi="Arial"/>
                <w:sz w:val="14"/>
                <w:szCs w:val="14"/>
                <w:color w:val="auto"/>
              </w:rPr>
              <w:t>1,610.9</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Treasury stock, at cost (237.3 million and 223.2 million shares as of 2022 and 2021)</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80" w:type="dxa"/>
            <w:vAlign w:val="bottom"/>
            <w:gridSpan w:val="2"/>
            <w:shd w:val="clear" w:color="auto" w:fill="CCEEFF"/>
          </w:tcPr>
          <w:p>
            <w:pPr>
              <w:jc w:val="right"/>
              <w:ind w:right="260"/>
              <w:spacing w:after="0" w:line="149" w:lineRule="exact"/>
              <w:rPr>
                <w:sz w:val="20"/>
                <w:szCs w:val="20"/>
                <w:color w:val="auto"/>
              </w:rPr>
            </w:pPr>
            <w:r>
              <w:rPr>
                <w:rFonts w:ascii="Arial" w:cs="Arial" w:eastAsia="Arial" w:hAnsi="Arial"/>
                <w:sz w:val="14"/>
                <w:szCs w:val="14"/>
                <w:b w:val="1"/>
                <w:bCs w:val="1"/>
                <w:color w:val="auto"/>
              </w:rPr>
              <w:t>(9,877.1)</w:t>
            </w:r>
          </w:p>
        </w:tc>
        <w:tc>
          <w:tcPr>
            <w:tcW w:w="120" w:type="dxa"/>
            <w:vAlign w:val="bottom"/>
            <w:shd w:val="clear" w:color="auto" w:fill="CCEEFF"/>
          </w:tcPr>
          <w:p>
            <w:pPr>
              <w:spacing w:after="0"/>
              <w:rPr>
                <w:sz w:val="12"/>
                <w:szCs w:val="12"/>
                <w:color w:val="auto"/>
              </w:rPr>
            </w:pPr>
          </w:p>
        </w:tc>
        <w:tc>
          <w:tcPr>
            <w:tcW w:w="10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(8,925.8)</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7100" w:type="dxa"/>
            <w:vAlign w:val="bottom"/>
          </w:tcPr>
          <w:p>
            <w:pPr>
              <w:ind w:left="100"/>
              <w:spacing w:after="0" w:line="142" w:lineRule="exact"/>
              <w:rPr>
                <w:sz w:val="20"/>
                <w:szCs w:val="20"/>
                <w:color w:val="auto"/>
              </w:rPr>
            </w:pPr>
            <w:r>
              <w:rPr>
                <w:rFonts w:ascii="Arial" w:cs="Arial" w:eastAsia="Arial" w:hAnsi="Arial"/>
                <w:sz w:val="14"/>
                <w:szCs w:val="14"/>
                <w:color w:val="auto"/>
              </w:rPr>
              <w:t>Total stockholders’ equity attributable to Principal Financial Group, Inc.</w:t>
            </w:r>
          </w:p>
        </w:tc>
        <w:tc>
          <w:tcPr>
            <w:tcW w:w="160" w:type="dxa"/>
            <w:vAlign w:val="bottom"/>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11,036.8</w:t>
            </w:r>
          </w:p>
        </w:tc>
        <w:tc>
          <w:tcPr>
            <w:tcW w:w="26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08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16,069.4</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Noncontrolling interest</w:t>
            </w:r>
          </w:p>
        </w:tc>
        <w:tc>
          <w:tcPr>
            <w:tcW w:w="160" w:type="dxa"/>
            <w:vAlign w:val="bottom"/>
            <w:shd w:val="clear" w:color="auto" w:fill="CCEEFF"/>
          </w:tcPr>
          <w:p>
            <w:pPr>
              <w:spacing w:after="0"/>
              <w:rPr>
                <w:sz w:val="12"/>
                <w:szCs w:val="12"/>
                <w:color w:val="auto"/>
              </w:rPr>
            </w:pPr>
          </w:p>
        </w:tc>
        <w:tc>
          <w:tcPr>
            <w:tcW w:w="160" w:type="dxa"/>
            <w:vAlign w:val="bottom"/>
            <w:tcBorders>
              <w:bottom w:val="single" w:sz="8" w:color="auto"/>
            </w:tcBorders>
            <w:shd w:val="clear" w:color="auto" w:fill="CCEEFF"/>
          </w:tcPr>
          <w:p>
            <w:pPr>
              <w:spacing w:after="0"/>
              <w:rPr>
                <w:sz w:val="12"/>
                <w:szCs w:val="12"/>
                <w:color w:val="auto"/>
              </w:rPr>
            </w:pPr>
          </w:p>
        </w:tc>
        <w:tc>
          <w:tcPr>
            <w:tcW w:w="10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41.8</w:t>
            </w:r>
          </w:p>
        </w:tc>
        <w:tc>
          <w:tcPr>
            <w:tcW w:w="26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10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56.4</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7100" w:type="dxa"/>
            <w:vAlign w:val="bottom"/>
            <w:tcBorders>
              <w:bottom w:val="single" w:sz="8" w:color="CCEEFF"/>
            </w:tcBorders>
          </w:tcPr>
          <w:p>
            <w:pPr>
              <w:ind w:left="100"/>
              <w:spacing w:after="0" w:line="142" w:lineRule="exact"/>
              <w:rPr>
                <w:sz w:val="20"/>
                <w:szCs w:val="20"/>
                <w:color w:val="auto"/>
              </w:rPr>
            </w:pPr>
            <w:r>
              <w:rPr>
                <w:rFonts w:ascii="Arial" w:cs="Arial" w:eastAsia="Arial" w:hAnsi="Arial"/>
                <w:sz w:val="14"/>
                <w:szCs w:val="14"/>
                <w:color w:val="auto"/>
              </w:rPr>
              <w:t>Total stockholders’ equity</w:t>
            </w:r>
          </w:p>
        </w:tc>
        <w:tc>
          <w:tcPr>
            <w:tcW w:w="160" w:type="dxa"/>
            <w:vAlign w:val="bottom"/>
            <w:tcBorders>
              <w:bottom w:val="single" w:sz="8" w:color="CCEEFF"/>
            </w:tcBorders>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10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11,078.6</w:t>
            </w:r>
          </w:p>
        </w:tc>
        <w:tc>
          <w:tcPr>
            <w:tcW w:w="260" w:type="dxa"/>
            <w:vAlign w:val="bottom"/>
            <w:tcBorders>
              <w:bottom w:val="single" w:sz="8" w:color="CCEEFF"/>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10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16,125.8</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7100" w:type="dxa"/>
            <w:vAlign w:val="bottom"/>
            <w:tcBorders>
              <w:bottom w:val="single" w:sz="8" w:color="CCEEFF"/>
            </w:tcBorders>
            <w:shd w:val="clear" w:color="auto" w:fill="CCEEFF"/>
          </w:tcPr>
          <w:p>
            <w:pPr>
              <w:ind w:left="100"/>
              <w:spacing w:after="0" w:line="142" w:lineRule="exact"/>
              <w:rPr>
                <w:sz w:val="20"/>
                <w:szCs w:val="20"/>
                <w:color w:val="auto"/>
              </w:rPr>
            </w:pPr>
            <w:r>
              <w:rPr>
                <w:rFonts w:ascii="Arial" w:cs="Arial" w:eastAsia="Arial" w:hAnsi="Arial"/>
                <w:sz w:val="14"/>
                <w:szCs w:val="14"/>
                <w:color w:val="auto"/>
              </w:rPr>
              <w:t>Total liabilities and stockholders’ equity</w:t>
            </w:r>
          </w:p>
        </w:tc>
        <w:tc>
          <w:tcPr>
            <w:tcW w:w="160" w:type="dxa"/>
            <w:vAlign w:val="bottom"/>
            <w:tcBorders>
              <w:bottom w:val="single" w:sz="8" w:color="CCEEFF"/>
            </w:tcBorders>
            <w:shd w:val="clear" w:color="auto" w:fill="CCEEFF"/>
          </w:tcPr>
          <w:p>
            <w:pPr>
              <w:spacing w:after="0"/>
              <w:rPr>
                <w:sz w:val="12"/>
                <w:szCs w:val="12"/>
                <w:color w:val="auto"/>
              </w:rPr>
            </w:pPr>
          </w:p>
        </w:tc>
        <w:tc>
          <w:tcPr>
            <w:tcW w:w="160" w:type="dxa"/>
            <w:vAlign w:val="bottom"/>
            <w:tcBorders>
              <w:bottom w:val="single" w:sz="8" w:color="auto"/>
            </w:tcBorders>
            <w:shd w:val="clear" w:color="auto" w:fill="CCEEFF"/>
          </w:tcPr>
          <w:p>
            <w:pPr>
              <w:jc w:val="right"/>
              <w:ind w:right="49"/>
              <w:spacing w:after="0"/>
              <w:rPr>
                <w:sz w:val="20"/>
                <w:szCs w:val="20"/>
                <w:color w:val="auto"/>
              </w:rPr>
            </w:pPr>
            <w:r>
              <w:rPr>
                <w:rFonts w:ascii="Arial" w:cs="Arial" w:eastAsia="Arial" w:hAnsi="Arial"/>
                <w:sz w:val="10"/>
                <w:szCs w:val="10"/>
                <w:b w:val="1"/>
                <w:bCs w:val="1"/>
                <w:color w:val="auto"/>
                <w:w w:val="71"/>
              </w:rPr>
              <w:t>$</w:t>
            </w:r>
          </w:p>
        </w:tc>
        <w:tc>
          <w:tcPr>
            <w:tcW w:w="102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293,220.2</w:t>
            </w:r>
          </w:p>
        </w:tc>
        <w:tc>
          <w:tcPr>
            <w:tcW w:w="260" w:type="dxa"/>
            <w:vAlign w:val="bottom"/>
            <w:tcBorders>
              <w:bottom w:val="single" w:sz="8" w:color="CCEEFF"/>
            </w:tcBorders>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0"/>
                <w:szCs w:val="10"/>
                <w:color w:val="auto"/>
                <w:w w:val="71"/>
              </w:rPr>
              <w:t>$</w:t>
            </w:r>
          </w:p>
        </w:tc>
        <w:tc>
          <w:tcPr>
            <w:tcW w:w="108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304,657.2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8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notes.</w:t>
      </w: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54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3" w:name="page4"/>
    <w:bookmarkEnd w:id="3"/>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Operations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26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80" w:type="dxa"/>
            <w:vAlign w:val="bottom"/>
            <w:gridSpan w:val="6"/>
          </w:tcPr>
          <w:p>
            <w:pPr>
              <w:spacing w:after="0"/>
              <w:rPr>
                <w:sz w:val="20"/>
                <w:szCs w:val="20"/>
                <w:color w:val="auto"/>
              </w:rPr>
            </w:pPr>
            <w:r>
              <w:rPr>
                <w:rFonts w:ascii="Arial" w:cs="Arial" w:eastAsia="Arial" w:hAnsi="Arial"/>
                <w:sz w:val="14"/>
                <w:szCs w:val="14"/>
                <w:b w:val="1"/>
                <w:bCs w:val="1"/>
                <w:color w:val="auto"/>
              </w:rPr>
              <w:t>For the three months ended</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760" w:type="dxa"/>
            <w:vAlign w:val="bottom"/>
            <w:gridSpan w:val="5"/>
          </w:tcPr>
          <w:p>
            <w:pPr>
              <w:jc w:val="right"/>
              <w:ind w:right="91"/>
              <w:spacing w:after="0"/>
              <w:rPr>
                <w:sz w:val="20"/>
                <w:szCs w:val="20"/>
                <w:color w:val="auto"/>
              </w:rPr>
            </w:pPr>
            <w:r>
              <w:rPr>
                <w:rFonts w:ascii="Arial" w:cs="Arial" w:eastAsia="Arial" w:hAnsi="Arial"/>
                <w:sz w:val="14"/>
                <w:szCs w:val="14"/>
                <w:b w:val="1"/>
                <w:bCs w:val="1"/>
                <w:color w:val="auto"/>
                <w:w w:val="91"/>
              </w:rPr>
              <w:t>For the six months ended</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26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June 30,</w:t>
            </w:r>
          </w:p>
        </w:tc>
        <w:tc>
          <w:tcPr>
            <w:tcW w:w="66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10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June 30,</w:t>
            </w:r>
          </w:p>
        </w:tc>
        <w:tc>
          <w:tcPr>
            <w:tcW w:w="66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460" w:type="dxa"/>
            <w:vAlign w:val="bottom"/>
          </w:tcPr>
          <w:p>
            <w:pPr>
              <w:spacing w:after="0"/>
              <w:rPr>
                <w:sz w:val="12"/>
                <w:szCs w:val="12"/>
                <w:color w:val="auto"/>
              </w:rPr>
            </w:pPr>
          </w:p>
        </w:tc>
        <w:tc>
          <w:tcPr>
            <w:tcW w:w="268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ind w:right="193"/>
              <w:spacing w:after="0" w:line="142" w:lineRule="exact"/>
              <w:rPr>
                <w:sz w:val="20"/>
                <w:szCs w:val="20"/>
                <w:color w:val="auto"/>
              </w:rPr>
            </w:pPr>
            <w:r>
              <w:rPr>
                <w:rFonts w:ascii="Arial" w:cs="Arial" w:eastAsia="Arial" w:hAnsi="Arial"/>
                <w:sz w:val="14"/>
                <w:szCs w:val="14"/>
                <w:b w:val="1"/>
                <w:bCs w:val="1"/>
                <w:color w:val="auto"/>
              </w:rPr>
              <w:t>2022</w:t>
            </w: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jc w:val="right"/>
              <w:ind w:right="191"/>
              <w:spacing w:after="0" w:line="142" w:lineRule="exact"/>
              <w:rPr>
                <w:sz w:val="20"/>
                <w:szCs w:val="20"/>
                <w:color w:val="auto"/>
              </w:rPr>
            </w:pPr>
            <w:r>
              <w:rPr>
                <w:rFonts w:ascii="Arial" w:cs="Arial" w:eastAsia="Arial" w:hAnsi="Arial"/>
                <w:sz w:val="14"/>
                <w:szCs w:val="14"/>
                <w:b w:val="1"/>
                <w:bCs w:val="1"/>
                <w:color w:val="auto"/>
              </w:rPr>
              <w:t>2021</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tcPr>
          <w:p>
            <w:pPr>
              <w:jc w:val="right"/>
              <w:ind w:right="193"/>
              <w:spacing w:after="0" w:line="142" w:lineRule="exact"/>
              <w:rPr>
                <w:sz w:val="20"/>
                <w:szCs w:val="20"/>
                <w:color w:val="auto"/>
              </w:rPr>
            </w:pPr>
            <w:r>
              <w:rPr>
                <w:rFonts w:ascii="Arial" w:cs="Arial" w:eastAsia="Arial" w:hAnsi="Arial"/>
                <w:sz w:val="14"/>
                <w:szCs w:val="14"/>
                <w:b w:val="1"/>
                <w:bCs w:val="1"/>
                <w:color w:val="auto"/>
              </w:rPr>
              <w:t>2022</w:t>
            </w: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jc w:val="right"/>
              <w:ind w:right="191"/>
              <w:spacing w:after="0" w:line="142" w:lineRule="exact"/>
              <w:rPr>
                <w:sz w:val="20"/>
                <w:szCs w:val="20"/>
                <w:color w:val="auto"/>
              </w:rPr>
            </w:pPr>
            <w:r>
              <w:rPr>
                <w:rFonts w:ascii="Arial" w:cs="Arial" w:eastAsia="Arial" w:hAnsi="Arial"/>
                <w:sz w:val="14"/>
                <w:szCs w:val="14"/>
                <w:b w:val="1"/>
                <w:bCs w:val="1"/>
                <w:color w:val="auto"/>
              </w:rPr>
              <w:t>2021</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2460" w:type="dxa"/>
            <w:vAlign w:val="bottom"/>
          </w:tcPr>
          <w:p>
            <w:pPr>
              <w:spacing w:after="0"/>
              <w:rPr>
                <w:sz w:val="11"/>
                <w:szCs w:val="11"/>
                <w:color w:val="auto"/>
              </w:rPr>
            </w:pPr>
          </w:p>
        </w:tc>
        <w:tc>
          <w:tcPr>
            <w:tcW w:w="2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140" w:type="dxa"/>
            <w:vAlign w:val="bottom"/>
            <w:gridSpan w:val="5"/>
          </w:tcPr>
          <w:p>
            <w:pPr>
              <w:ind w:left="60"/>
              <w:spacing w:after="0" w:line="129" w:lineRule="exact"/>
              <w:rPr>
                <w:sz w:val="20"/>
                <w:szCs w:val="20"/>
                <w:color w:val="auto"/>
              </w:rPr>
            </w:pPr>
            <w:r>
              <w:rPr>
                <w:rFonts w:ascii="Arial" w:cs="Arial" w:eastAsia="Arial" w:hAnsi="Arial"/>
                <w:sz w:val="14"/>
                <w:szCs w:val="14"/>
                <w:i w:val="1"/>
                <w:iCs w:val="1"/>
                <w:color w:val="auto"/>
                <w:w w:val="92"/>
              </w:rPr>
              <w:t>(in millions, except</w:t>
            </w:r>
          </w:p>
        </w:tc>
        <w:tc>
          <w:tcPr>
            <w:tcW w:w="980" w:type="dxa"/>
            <w:vAlign w:val="bottom"/>
            <w:gridSpan w:val="3"/>
          </w:tcPr>
          <w:p>
            <w:pPr>
              <w:ind w:left="60"/>
              <w:spacing w:after="0" w:line="129" w:lineRule="exact"/>
              <w:rPr>
                <w:sz w:val="20"/>
                <w:szCs w:val="20"/>
                <w:color w:val="auto"/>
              </w:rPr>
            </w:pPr>
            <w:r>
              <w:rPr>
                <w:rFonts w:ascii="Arial" w:cs="Arial" w:eastAsia="Arial" w:hAnsi="Arial"/>
                <w:sz w:val="14"/>
                <w:szCs w:val="14"/>
                <w:i w:val="1"/>
                <w:iCs w:val="1"/>
                <w:color w:val="auto"/>
                <w:w w:val="94"/>
              </w:rPr>
              <w:t>per share data)</w:t>
            </w:r>
          </w:p>
        </w:tc>
        <w:tc>
          <w:tcPr>
            <w:tcW w:w="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Revenues</w:t>
            </w:r>
          </w:p>
        </w:tc>
        <w:tc>
          <w:tcPr>
            <w:tcW w:w="8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gridSpan w:val="2"/>
          </w:tcPr>
          <w:p>
            <w:pPr>
              <w:spacing w:after="0"/>
              <w:rPr>
                <w:sz w:val="20"/>
                <w:szCs w:val="20"/>
                <w:color w:val="auto"/>
              </w:rPr>
            </w:pPr>
            <w:r>
              <w:rPr>
                <w:rFonts w:ascii="Arial" w:cs="Arial" w:eastAsia="Arial" w:hAnsi="Arial"/>
                <w:sz w:val="18"/>
                <w:szCs w:val="18"/>
                <w:color w:val="auto"/>
              </w:rPr>
              <w:t>Premiums and other considerations</w:t>
            </w:r>
          </w:p>
        </w:tc>
        <w:tc>
          <w:tcPr>
            <w:tcW w:w="90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1,366.2</w:t>
            </w:r>
          </w:p>
        </w:tc>
        <w:tc>
          <w:tcPr>
            <w:tcW w:w="60" w:type="dxa"/>
            <w:vAlign w:val="bottom"/>
          </w:tcPr>
          <w:p>
            <w:pPr>
              <w:spacing w:after="0"/>
              <w:rPr>
                <w:sz w:val="18"/>
                <w:szCs w:val="18"/>
                <w:color w:val="auto"/>
              </w:rPr>
            </w:pPr>
          </w:p>
        </w:tc>
        <w:tc>
          <w:tcPr>
            <w:tcW w:w="320" w:type="dxa"/>
            <w:vAlign w:val="bottom"/>
            <w:gridSpan w:val="2"/>
          </w:tcPr>
          <w:p>
            <w:pPr>
              <w:jc w:val="right"/>
              <w:ind w:right="27"/>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w w:val="96"/>
              </w:rPr>
              <w:t>1,269.7</w:t>
            </w:r>
          </w:p>
        </w:tc>
        <w:tc>
          <w:tcPr>
            <w:tcW w:w="80" w:type="dxa"/>
            <w:vAlign w:val="bottom"/>
          </w:tcPr>
          <w:p>
            <w:pPr>
              <w:spacing w:after="0"/>
              <w:rPr>
                <w:sz w:val="18"/>
                <w:szCs w:val="18"/>
                <w:color w:val="auto"/>
              </w:rPr>
            </w:pPr>
          </w:p>
        </w:tc>
        <w:tc>
          <w:tcPr>
            <w:tcW w:w="22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rPr>
              <w:t>2,253.6</w:t>
            </w:r>
          </w:p>
        </w:tc>
        <w:tc>
          <w:tcPr>
            <w:tcW w:w="120" w:type="dxa"/>
            <w:vAlign w:val="bottom"/>
          </w:tcPr>
          <w:p>
            <w:pPr>
              <w:spacing w:after="0"/>
              <w:rPr>
                <w:sz w:val="18"/>
                <w:szCs w:val="18"/>
                <w:color w:val="auto"/>
              </w:rPr>
            </w:pPr>
          </w:p>
        </w:tc>
        <w:tc>
          <w:tcPr>
            <w:tcW w:w="260" w:type="dxa"/>
            <w:vAlign w:val="bottom"/>
            <w:gridSpan w:val="2"/>
          </w:tcPr>
          <w:p>
            <w:pPr>
              <w:jc w:val="right"/>
              <w:ind w:right="47"/>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w w:val="96"/>
              </w:rPr>
              <w:t>2,104.8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Fees and other revenues</w:t>
            </w:r>
          </w:p>
        </w:tc>
        <w:tc>
          <w:tcPr>
            <w:tcW w:w="8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947.6</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6"/>
              </w:rPr>
              <w:t>1,265.3</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2,162.6</w:t>
            </w: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6"/>
              </w:rPr>
              <w:t>2,459.2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gridSpan w:val="2"/>
          </w:tcPr>
          <w:p>
            <w:pPr>
              <w:spacing w:after="0"/>
              <w:rPr>
                <w:sz w:val="20"/>
                <w:szCs w:val="20"/>
                <w:color w:val="auto"/>
              </w:rPr>
            </w:pPr>
            <w:r>
              <w:rPr>
                <w:rFonts w:ascii="Arial" w:cs="Arial" w:eastAsia="Arial" w:hAnsi="Arial"/>
                <w:sz w:val="18"/>
                <w:szCs w:val="18"/>
                <w:color w:val="auto"/>
              </w:rPr>
              <w:t>Net investment income</w:t>
            </w:r>
          </w:p>
        </w:tc>
        <w:tc>
          <w:tcPr>
            <w:tcW w:w="8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816.5</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w w:val="96"/>
              </w:rPr>
              <w:t>1,045.5</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rPr>
              <w:t>1,934.6</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w w:val="96"/>
              </w:rPr>
              <w:t>2,073.6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realized capital gains (losses) (1)</w:t>
            </w:r>
          </w:p>
        </w:tc>
        <w:tc>
          <w:tcPr>
            <w:tcW w:w="8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(227.9)</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(41.1)</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(338.4)</w:t>
            </w:r>
          </w:p>
        </w:tc>
        <w:tc>
          <w:tcPr>
            <w:tcW w:w="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110.3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gridSpan w:val="2"/>
          </w:tcPr>
          <w:p>
            <w:pPr>
              <w:spacing w:after="0"/>
              <w:rPr>
                <w:sz w:val="20"/>
                <w:szCs w:val="20"/>
                <w:color w:val="auto"/>
              </w:rPr>
            </w:pPr>
            <w:r>
              <w:rPr>
                <w:rFonts w:ascii="Arial" w:cs="Arial" w:eastAsia="Arial" w:hAnsi="Arial"/>
                <w:sz w:val="18"/>
                <w:szCs w:val="18"/>
                <w:color w:val="auto"/>
              </w:rPr>
              <w:t>Net realized capital gains on funds withheld assets</w:t>
            </w:r>
          </w:p>
        </w:tc>
        <w:tc>
          <w:tcPr>
            <w:tcW w:w="8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689.0</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rPr>
              <w:t>689.0</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Change in fair value of funds withheld embedded derivative</w:t>
            </w:r>
          </w:p>
        </w:tc>
        <w:tc>
          <w:tcPr>
            <w:tcW w:w="8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3,067.3</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3,067.3</w:t>
            </w: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5140" w:type="dxa"/>
            <w:vAlign w:val="bottom"/>
            <w:gridSpan w:val="2"/>
          </w:tcPr>
          <w:p>
            <w:pPr>
              <w:ind w:left="100"/>
              <w:spacing w:after="0"/>
              <w:rPr>
                <w:sz w:val="20"/>
                <w:szCs w:val="20"/>
                <w:color w:val="auto"/>
              </w:rPr>
            </w:pPr>
            <w:r>
              <w:rPr>
                <w:rFonts w:ascii="Arial" w:cs="Arial" w:eastAsia="Arial" w:hAnsi="Arial"/>
                <w:sz w:val="18"/>
                <w:szCs w:val="18"/>
                <w:color w:val="auto"/>
              </w:rPr>
              <w:t>Total revenues</w:t>
            </w:r>
          </w:p>
        </w:tc>
        <w:tc>
          <w:tcPr>
            <w:tcW w:w="82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6,658.7</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6"/>
              </w:rPr>
              <w:t>3,539.4</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9,768.7</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6"/>
              </w:rPr>
              <w:t>6,747.9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Expenses</w:t>
            </w:r>
          </w:p>
        </w:tc>
        <w:tc>
          <w:tcPr>
            <w:tcW w:w="8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gridSpan w:val="2"/>
          </w:tcPr>
          <w:p>
            <w:pPr>
              <w:spacing w:after="0"/>
              <w:rPr>
                <w:sz w:val="20"/>
                <w:szCs w:val="20"/>
                <w:color w:val="auto"/>
              </w:rPr>
            </w:pPr>
            <w:r>
              <w:rPr>
                <w:rFonts w:ascii="Arial" w:cs="Arial" w:eastAsia="Arial" w:hAnsi="Arial"/>
                <w:sz w:val="18"/>
                <w:szCs w:val="18"/>
                <w:color w:val="auto"/>
              </w:rPr>
              <w:t>Benefits, claims and settlement expenses</w:t>
            </w:r>
          </w:p>
        </w:tc>
        <w:tc>
          <w:tcPr>
            <w:tcW w:w="8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1,278.6</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w w:val="96"/>
              </w:rPr>
              <w:t>1,812.8</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rPr>
              <w:t>2,738.5</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w w:val="96"/>
              </w:rPr>
              <w:t>3,187.5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Dividends to policyholders</w:t>
            </w:r>
          </w:p>
        </w:tc>
        <w:tc>
          <w:tcPr>
            <w:tcW w:w="8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24.5</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28.9</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47.6</w:t>
            </w: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tcBorders>
              <w:bottom w:val="single" w:sz="8" w:color="CCEEFF"/>
            </w:tcBorders>
            <w:gridSpan w:val="2"/>
          </w:tcPr>
          <w:p>
            <w:pPr>
              <w:spacing w:after="0"/>
              <w:rPr>
                <w:sz w:val="20"/>
                <w:szCs w:val="20"/>
                <w:color w:val="auto"/>
              </w:rPr>
            </w:pPr>
            <w:r>
              <w:rPr>
                <w:rFonts w:ascii="Arial" w:cs="Arial" w:eastAsia="Arial" w:hAnsi="Arial"/>
                <w:sz w:val="18"/>
                <w:szCs w:val="18"/>
                <w:color w:val="auto"/>
              </w:rPr>
              <w:t>Operating expenses</w:t>
            </w:r>
          </w:p>
        </w:tc>
        <w:tc>
          <w:tcPr>
            <w:tcW w:w="820" w:type="dxa"/>
            <w:vAlign w:val="bottom"/>
            <w:tcBorders>
              <w:bottom w:val="single" w:sz="8" w:color="CCEEFF"/>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1,458.5</w:t>
            </w:r>
          </w:p>
        </w:tc>
        <w:tc>
          <w:tcPr>
            <w:tcW w:w="60" w:type="dxa"/>
            <w:vAlign w:val="bottom"/>
            <w:tcBorders>
              <w:bottom w:val="single" w:sz="8" w:color="CCEEFF"/>
            </w:tcBorders>
          </w:tcPr>
          <w:p>
            <w:pPr>
              <w:spacing w:after="0"/>
              <w:rPr>
                <w:sz w:val="18"/>
                <w:szCs w:val="18"/>
                <w:color w:val="auto"/>
              </w:rPr>
            </w:pPr>
          </w:p>
        </w:tc>
        <w:tc>
          <w:tcPr>
            <w:tcW w:w="14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6"/>
              </w:rPr>
              <w:t>1,265.1</w:t>
            </w:r>
          </w:p>
        </w:tc>
        <w:tc>
          <w:tcPr>
            <w:tcW w:w="8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2,657.5</w:t>
            </w:r>
          </w:p>
        </w:tc>
        <w:tc>
          <w:tcPr>
            <w:tcW w:w="120" w:type="dxa"/>
            <w:vAlign w:val="bottom"/>
            <w:tcBorders>
              <w:bottom w:val="single" w:sz="8" w:color="CCEEFF"/>
            </w:tcBorders>
          </w:tcPr>
          <w:p>
            <w:pPr>
              <w:spacing w:after="0"/>
              <w:rPr>
                <w:sz w:val="18"/>
                <w:szCs w:val="18"/>
                <w:color w:val="auto"/>
              </w:rPr>
            </w:pPr>
          </w:p>
        </w:tc>
        <w:tc>
          <w:tcPr>
            <w:tcW w:w="6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6"/>
              </w:rPr>
              <w:t>2,466.8</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514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Total expenses</w:t>
            </w:r>
          </w:p>
        </w:tc>
        <w:tc>
          <w:tcPr>
            <w:tcW w:w="82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2,761.6</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6"/>
              </w:rPr>
              <w:t>3,106.8</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5,443.6</w:t>
            </w: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6"/>
              </w:rPr>
              <w:t>5,701.4</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5140" w:type="dxa"/>
            <w:vAlign w:val="bottom"/>
            <w:gridSpan w:val="2"/>
          </w:tcPr>
          <w:p>
            <w:pPr>
              <w:spacing w:after="0"/>
              <w:rPr>
                <w:sz w:val="20"/>
                <w:szCs w:val="20"/>
                <w:color w:val="auto"/>
              </w:rPr>
            </w:pPr>
            <w:r>
              <w:rPr>
                <w:rFonts w:ascii="Arial" w:cs="Arial" w:eastAsia="Arial" w:hAnsi="Arial"/>
                <w:sz w:val="18"/>
                <w:szCs w:val="18"/>
                <w:color w:val="auto"/>
              </w:rPr>
              <w:t>Income before income taxes</w:t>
            </w:r>
          </w:p>
        </w:tc>
        <w:tc>
          <w:tcPr>
            <w:tcW w:w="8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3,897.1</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432.6</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rPr>
              <w:t>4,325.1</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w w:val="96"/>
              </w:rPr>
              <w:t>1,046.5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Income taxes</w:t>
            </w:r>
          </w:p>
        </w:tc>
        <w:tc>
          <w:tcPr>
            <w:tcW w:w="82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822.5</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61.0</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869.8</w:t>
            </w: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158.6</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5140" w:type="dxa"/>
            <w:vAlign w:val="bottom"/>
            <w:gridSpan w:val="2"/>
          </w:tcPr>
          <w:p>
            <w:pPr>
              <w:spacing w:after="0"/>
              <w:rPr>
                <w:sz w:val="20"/>
                <w:szCs w:val="20"/>
                <w:color w:val="auto"/>
              </w:rPr>
            </w:pPr>
            <w:r>
              <w:rPr>
                <w:rFonts w:ascii="Arial" w:cs="Arial" w:eastAsia="Arial" w:hAnsi="Arial"/>
                <w:sz w:val="18"/>
                <w:szCs w:val="18"/>
                <w:color w:val="auto"/>
              </w:rPr>
              <w:t>Net income</w:t>
            </w:r>
          </w:p>
        </w:tc>
        <w:tc>
          <w:tcPr>
            <w:tcW w:w="8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3,074.6</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371.6</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rPr>
              <w:t>3,455.3</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887.9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income attributable to noncontrolling interest</w:t>
            </w:r>
          </w:p>
        </w:tc>
        <w:tc>
          <w:tcPr>
            <w:tcW w:w="82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15.2</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9.8</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19.7</w:t>
            </w: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9.0</w:t>
            </w: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5140" w:type="dxa"/>
            <w:vAlign w:val="bottom"/>
            <w:tcBorders>
              <w:bottom w:val="single" w:sz="8" w:color="CCEEFF"/>
            </w:tcBorders>
            <w:gridSpan w:val="2"/>
          </w:tcPr>
          <w:p>
            <w:pPr>
              <w:spacing w:after="0"/>
              <w:rPr>
                <w:sz w:val="20"/>
                <w:szCs w:val="20"/>
                <w:color w:val="auto"/>
              </w:rPr>
            </w:pPr>
            <w:r>
              <w:rPr>
                <w:rFonts w:ascii="Arial" w:cs="Arial" w:eastAsia="Arial" w:hAnsi="Arial"/>
                <w:sz w:val="18"/>
                <w:szCs w:val="18"/>
                <w:color w:val="auto"/>
              </w:rPr>
              <w:t>Net income attributable to Principal Financial Group, Inc.</w:t>
            </w:r>
          </w:p>
        </w:tc>
        <w:tc>
          <w:tcPr>
            <w:tcW w:w="820" w:type="dxa"/>
            <w:vAlign w:val="bottom"/>
            <w:tcBorders>
              <w:bottom w:val="single" w:sz="8" w:color="CCEEFF"/>
            </w:tcBorders>
          </w:tcPr>
          <w:p>
            <w:pPr>
              <w:spacing w:after="0"/>
              <w:rPr>
                <w:sz w:val="21"/>
                <w:szCs w:val="21"/>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3,059.4</w:t>
            </w:r>
          </w:p>
        </w:tc>
        <w:tc>
          <w:tcPr>
            <w:tcW w:w="60" w:type="dxa"/>
            <w:vAlign w:val="bottom"/>
            <w:tcBorders>
              <w:bottom w:val="single" w:sz="8" w:color="CCEEFF"/>
            </w:tcBorders>
          </w:tcPr>
          <w:p>
            <w:pPr>
              <w:spacing w:after="0"/>
              <w:rPr>
                <w:sz w:val="21"/>
                <w:szCs w:val="21"/>
                <w:color w:val="auto"/>
              </w:rPr>
            </w:pPr>
          </w:p>
        </w:tc>
        <w:tc>
          <w:tcPr>
            <w:tcW w:w="140" w:type="dxa"/>
            <w:vAlign w:val="bottom"/>
            <w:tcBorders>
              <w:bottom w:val="single" w:sz="8" w:color="CCEEFF"/>
            </w:tcBorders>
          </w:tcPr>
          <w:p>
            <w:pPr>
              <w:spacing w:after="0"/>
              <w:rPr>
                <w:sz w:val="21"/>
                <w:szCs w:val="21"/>
                <w:color w:val="auto"/>
              </w:rPr>
            </w:pPr>
          </w:p>
        </w:tc>
        <w:tc>
          <w:tcPr>
            <w:tcW w:w="180" w:type="dxa"/>
            <w:vAlign w:val="bottom"/>
            <w:tcBorders>
              <w:bottom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361.8</w:t>
            </w:r>
          </w:p>
        </w:tc>
        <w:tc>
          <w:tcPr>
            <w:tcW w:w="80" w:type="dxa"/>
            <w:vAlign w:val="bottom"/>
            <w:tcBorders>
              <w:bottom w:val="single" w:sz="8" w:color="CCEEFF"/>
            </w:tcBorders>
          </w:tcPr>
          <w:p>
            <w:pPr>
              <w:spacing w:after="0"/>
              <w:rPr>
                <w:sz w:val="21"/>
                <w:szCs w:val="21"/>
                <w:color w:val="auto"/>
              </w:rPr>
            </w:pPr>
          </w:p>
        </w:tc>
        <w:tc>
          <w:tcPr>
            <w:tcW w:w="80" w:type="dxa"/>
            <w:vAlign w:val="bottom"/>
            <w:tcBorders>
              <w:bottom w:val="single" w:sz="8" w:color="CCEEFF"/>
            </w:tcBorders>
          </w:tcPr>
          <w:p>
            <w:pPr>
              <w:spacing w:after="0"/>
              <w:rPr>
                <w:sz w:val="21"/>
                <w:szCs w:val="21"/>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3,435.6</w:t>
            </w:r>
          </w:p>
        </w:tc>
        <w:tc>
          <w:tcPr>
            <w:tcW w:w="120" w:type="dxa"/>
            <w:vAlign w:val="bottom"/>
            <w:tcBorders>
              <w:bottom w:val="single" w:sz="8" w:color="CCEEFF"/>
            </w:tcBorders>
          </w:tcPr>
          <w:p>
            <w:pPr>
              <w:spacing w:after="0"/>
              <w:rPr>
                <w:sz w:val="21"/>
                <w:szCs w:val="21"/>
                <w:color w:val="auto"/>
              </w:rPr>
            </w:pPr>
          </w:p>
        </w:tc>
        <w:tc>
          <w:tcPr>
            <w:tcW w:w="6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jc w:val="right"/>
              <w:ind w:right="47"/>
              <w:spacing w:after="0"/>
              <w:rPr>
                <w:sz w:val="20"/>
                <w:szCs w:val="20"/>
                <w:color w:val="auto"/>
              </w:rPr>
            </w:pPr>
            <w:r>
              <w:rPr>
                <w:rFonts w:ascii="Arial" w:cs="Arial" w:eastAsia="Arial" w:hAnsi="Arial"/>
                <w:sz w:val="15"/>
                <w:szCs w:val="15"/>
                <w:color w:val="auto"/>
                <w:w w:val="71"/>
              </w:rPr>
              <w:t>$</w:t>
            </w: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878.9</w:t>
            </w:r>
          </w:p>
        </w:tc>
        <w:tc>
          <w:tcPr>
            <w:tcW w:w="0" w:type="dxa"/>
            <w:vAlign w:val="bottom"/>
          </w:tcPr>
          <w:p>
            <w:pPr>
              <w:spacing w:after="0"/>
              <w:rPr>
                <w:sz w:val="1"/>
                <w:szCs w:val="1"/>
                <w:color w:val="auto"/>
              </w:rPr>
            </w:pPr>
          </w:p>
        </w:tc>
      </w:tr>
      <w:tr>
        <w:trPr>
          <w:trHeight w:val="197"/>
        </w:trPr>
        <w:tc>
          <w:tcPr>
            <w:tcW w:w="20" w:type="dxa"/>
            <w:vAlign w:val="bottom"/>
            <w:vMerge w:val="restart"/>
          </w:tcPr>
          <w:p>
            <w:pPr>
              <w:spacing w:after="0"/>
              <w:rPr>
                <w:sz w:val="17"/>
                <w:szCs w:val="17"/>
                <w:color w:val="auto"/>
              </w:rPr>
            </w:pPr>
          </w:p>
        </w:tc>
        <w:tc>
          <w:tcPr>
            <w:tcW w:w="2460" w:type="dxa"/>
            <w:vAlign w:val="bottom"/>
            <w:shd w:val="clear" w:color="auto" w:fill="CCEEFF"/>
          </w:tcPr>
          <w:p>
            <w:pPr>
              <w:spacing w:after="0"/>
              <w:rPr>
                <w:sz w:val="17"/>
                <w:szCs w:val="17"/>
                <w:color w:val="auto"/>
              </w:rPr>
            </w:pPr>
          </w:p>
        </w:tc>
        <w:tc>
          <w:tcPr>
            <w:tcW w:w="268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140" w:type="dxa"/>
            <w:vAlign w:val="bottom"/>
            <w:gridSpan w:val="2"/>
          </w:tcPr>
          <w:p>
            <w:pPr>
              <w:spacing w:after="0"/>
              <w:rPr>
                <w:sz w:val="20"/>
                <w:szCs w:val="20"/>
                <w:color w:val="auto"/>
              </w:rPr>
            </w:pPr>
            <w:r>
              <w:rPr>
                <w:rFonts w:ascii="Arial" w:cs="Arial" w:eastAsia="Arial" w:hAnsi="Arial"/>
                <w:sz w:val="18"/>
                <w:szCs w:val="18"/>
                <w:b w:val="1"/>
                <w:bCs w:val="1"/>
                <w:color w:val="auto"/>
              </w:rPr>
              <w:t>Earnings per common share</w:t>
            </w:r>
          </w:p>
        </w:tc>
        <w:tc>
          <w:tcPr>
            <w:tcW w:w="8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Basic earnings per common share</w:t>
            </w:r>
          </w:p>
        </w:tc>
        <w:tc>
          <w:tcPr>
            <w:tcW w:w="90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12.11</w:t>
            </w:r>
          </w:p>
        </w:tc>
        <w:tc>
          <w:tcPr>
            <w:tcW w:w="60" w:type="dxa"/>
            <w:vAlign w:val="bottom"/>
            <w:shd w:val="clear" w:color="auto" w:fill="CCEEFF"/>
          </w:tcPr>
          <w:p>
            <w:pPr>
              <w:spacing w:after="0"/>
              <w:rPr>
                <w:sz w:val="18"/>
                <w:szCs w:val="18"/>
                <w:color w:val="auto"/>
              </w:rPr>
            </w:pPr>
          </w:p>
        </w:tc>
        <w:tc>
          <w:tcPr>
            <w:tcW w:w="320" w:type="dxa"/>
            <w:vAlign w:val="bottom"/>
            <w:gridSpan w:val="2"/>
            <w:shd w:val="clear" w:color="auto" w:fill="CCEEFF"/>
          </w:tcPr>
          <w:p>
            <w:pPr>
              <w:jc w:val="right"/>
              <w:ind w:right="27"/>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1.34</w:t>
            </w:r>
          </w:p>
        </w:tc>
        <w:tc>
          <w:tcPr>
            <w:tcW w:w="8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13.42</w:t>
            </w:r>
          </w:p>
        </w:tc>
        <w:tc>
          <w:tcPr>
            <w:tcW w:w="120" w:type="dxa"/>
            <w:vAlign w:val="bottom"/>
            <w:shd w:val="clear" w:color="auto" w:fill="CCEEFF"/>
          </w:tcPr>
          <w:p>
            <w:pPr>
              <w:spacing w:after="0"/>
              <w:rPr>
                <w:sz w:val="18"/>
                <w:szCs w:val="18"/>
                <w:color w:val="auto"/>
              </w:rPr>
            </w:pPr>
          </w:p>
        </w:tc>
        <w:tc>
          <w:tcPr>
            <w:tcW w:w="260" w:type="dxa"/>
            <w:vAlign w:val="bottom"/>
            <w:gridSpan w:val="2"/>
            <w:shd w:val="clear" w:color="auto" w:fill="CCEEFF"/>
          </w:tcPr>
          <w:p>
            <w:pPr>
              <w:jc w:val="right"/>
              <w:ind w:right="47"/>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60" w:type="dxa"/>
            <w:vAlign w:val="bottom"/>
            <w:tcBorders>
              <w:top w:val="single" w:sz="8" w:color="CCEEFF"/>
            </w:tcBorders>
          </w:tcPr>
          <w:p>
            <w:pPr>
              <w:spacing w:after="0" w:line="20" w:lineRule="exact"/>
              <w:rPr>
                <w:sz w:val="1"/>
                <w:szCs w:val="1"/>
                <w:color w:val="auto"/>
              </w:rPr>
            </w:pPr>
          </w:p>
        </w:tc>
        <w:tc>
          <w:tcPr>
            <w:tcW w:w="2680" w:type="dxa"/>
            <w:vAlign w:val="bottom"/>
            <w:tcBorders>
              <w:top w:val="single" w:sz="8" w:color="CCEEFF"/>
            </w:tcBorders>
          </w:tcPr>
          <w:p>
            <w:pPr>
              <w:spacing w:after="0" w:line="20" w:lineRule="exact"/>
              <w:rPr>
                <w:sz w:val="1"/>
                <w:szCs w:val="1"/>
                <w:color w:val="auto"/>
              </w:rPr>
            </w:pPr>
          </w:p>
        </w:tc>
        <w:tc>
          <w:tcPr>
            <w:tcW w:w="8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2460" w:type="dxa"/>
            <w:vAlign w:val="bottom"/>
          </w:tcPr>
          <w:p>
            <w:pPr>
              <w:spacing w:after="0"/>
              <w:rPr>
                <w:sz w:val="17"/>
                <w:szCs w:val="17"/>
                <w:color w:val="auto"/>
              </w:rPr>
            </w:pPr>
          </w:p>
        </w:tc>
        <w:tc>
          <w:tcPr>
            <w:tcW w:w="268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Diluted earnings per common share</w:t>
            </w:r>
          </w:p>
        </w:tc>
        <w:tc>
          <w:tcPr>
            <w:tcW w:w="90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11.94</w:t>
            </w:r>
          </w:p>
        </w:tc>
        <w:tc>
          <w:tcPr>
            <w:tcW w:w="60" w:type="dxa"/>
            <w:vAlign w:val="bottom"/>
            <w:shd w:val="clear" w:color="auto" w:fill="CCEEFF"/>
          </w:tcPr>
          <w:p>
            <w:pPr>
              <w:spacing w:after="0"/>
              <w:rPr>
                <w:sz w:val="18"/>
                <w:szCs w:val="18"/>
                <w:color w:val="auto"/>
              </w:rPr>
            </w:pPr>
          </w:p>
        </w:tc>
        <w:tc>
          <w:tcPr>
            <w:tcW w:w="320" w:type="dxa"/>
            <w:vAlign w:val="bottom"/>
            <w:gridSpan w:val="2"/>
            <w:shd w:val="clear" w:color="auto" w:fill="CCEEFF"/>
          </w:tcPr>
          <w:p>
            <w:pPr>
              <w:jc w:val="right"/>
              <w:ind w:right="27"/>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1.32</w:t>
            </w:r>
          </w:p>
        </w:tc>
        <w:tc>
          <w:tcPr>
            <w:tcW w:w="8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13.21</w:t>
            </w:r>
          </w:p>
        </w:tc>
        <w:tc>
          <w:tcPr>
            <w:tcW w:w="120" w:type="dxa"/>
            <w:vAlign w:val="bottom"/>
            <w:shd w:val="clear" w:color="auto" w:fill="CCEEFF"/>
          </w:tcPr>
          <w:p>
            <w:pPr>
              <w:spacing w:after="0"/>
              <w:rPr>
                <w:sz w:val="18"/>
                <w:szCs w:val="18"/>
                <w:color w:val="auto"/>
              </w:rPr>
            </w:pPr>
          </w:p>
        </w:tc>
        <w:tc>
          <w:tcPr>
            <w:tcW w:w="260" w:type="dxa"/>
            <w:vAlign w:val="bottom"/>
            <w:gridSpan w:val="2"/>
            <w:shd w:val="clear" w:color="auto" w:fill="CCEEFF"/>
          </w:tcPr>
          <w:p>
            <w:pPr>
              <w:jc w:val="right"/>
              <w:ind w:right="47"/>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60" w:type="dxa"/>
            <w:vAlign w:val="bottom"/>
            <w:tcBorders>
              <w:top w:val="single" w:sz="8" w:color="CCEEFF"/>
            </w:tcBorders>
          </w:tcPr>
          <w:p>
            <w:pPr>
              <w:spacing w:after="0" w:line="20" w:lineRule="exact"/>
              <w:rPr>
                <w:sz w:val="1"/>
                <w:szCs w:val="1"/>
                <w:color w:val="auto"/>
              </w:rPr>
            </w:pPr>
          </w:p>
        </w:tc>
        <w:tc>
          <w:tcPr>
            <w:tcW w:w="2680" w:type="dxa"/>
            <w:vAlign w:val="bottom"/>
            <w:tcBorders>
              <w:top w:val="single" w:sz="8" w:color="CCEEFF"/>
            </w:tcBorders>
          </w:tcPr>
          <w:p>
            <w:pPr>
              <w:spacing w:after="0" w:line="20" w:lineRule="exact"/>
              <w:rPr>
                <w:sz w:val="1"/>
                <w:szCs w:val="1"/>
                <w:color w:val="auto"/>
              </w:rPr>
            </w:pPr>
          </w:p>
        </w:tc>
        <w:tc>
          <w:tcPr>
            <w:tcW w:w="8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2460" w:type="dxa"/>
            <w:vAlign w:val="bottom"/>
            <w:tcBorders>
              <w:bottom w:val="single" w:sz="8" w:color="auto"/>
            </w:tcBorders>
          </w:tcPr>
          <w:p>
            <w:pPr>
              <w:spacing w:after="0"/>
              <w:rPr>
                <w:sz w:val="7"/>
                <w:szCs w:val="7"/>
                <w:color w:val="auto"/>
              </w:rPr>
            </w:pPr>
          </w:p>
        </w:tc>
        <w:tc>
          <w:tcPr>
            <w:tcW w:w="2680" w:type="dxa"/>
            <w:vAlign w:val="bottom"/>
          </w:tcPr>
          <w:p>
            <w:pPr>
              <w:spacing w:after="0"/>
              <w:rPr>
                <w:sz w:val="7"/>
                <w:szCs w:val="7"/>
                <w:color w:val="auto"/>
              </w:rPr>
            </w:pPr>
          </w:p>
        </w:tc>
        <w:tc>
          <w:tcPr>
            <w:tcW w:w="820" w:type="dxa"/>
            <w:vAlign w:val="bottom"/>
          </w:tcPr>
          <w:p>
            <w:pPr>
              <w:spacing w:after="0"/>
              <w:rPr>
                <w:sz w:val="7"/>
                <w:szCs w:val="7"/>
                <w:color w:val="auto"/>
              </w:rPr>
            </w:pPr>
          </w:p>
        </w:tc>
        <w:tc>
          <w:tcPr>
            <w:tcW w:w="80" w:type="dxa"/>
            <w:vAlign w:val="bottom"/>
          </w:tcPr>
          <w:p>
            <w:pPr>
              <w:spacing w:after="0"/>
              <w:rPr>
                <w:sz w:val="7"/>
                <w:szCs w:val="7"/>
                <w:color w:val="auto"/>
              </w:rPr>
            </w:pPr>
          </w:p>
        </w:tc>
        <w:tc>
          <w:tcPr>
            <w:tcW w:w="760" w:type="dxa"/>
            <w:vAlign w:val="bottom"/>
          </w:tcPr>
          <w:p>
            <w:pPr>
              <w:spacing w:after="0"/>
              <w:rPr>
                <w:sz w:val="7"/>
                <w:szCs w:val="7"/>
                <w:color w:val="auto"/>
              </w:rPr>
            </w:pPr>
          </w:p>
        </w:tc>
        <w:tc>
          <w:tcPr>
            <w:tcW w:w="60" w:type="dxa"/>
            <w:vAlign w:val="bottom"/>
          </w:tcPr>
          <w:p>
            <w:pPr>
              <w:spacing w:after="0"/>
              <w:rPr>
                <w:sz w:val="7"/>
                <w:szCs w:val="7"/>
                <w:color w:val="auto"/>
              </w:rPr>
            </w:pPr>
          </w:p>
        </w:tc>
        <w:tc>
          <w:tcPr>
            <w:tcW w:w="140" w:type="dxa"/>
            <w:vAlign w:val="bottom"/>
          </w:tcPr>
          <w:p>
            <w:pPr>
              <w:spacing w:after="0"/>
              <w:rPr>
                <w:sz w:val="7"/>
                <w:szCs w:val="7"/>
                <w:color w:val="auto"/>
              </w:rPr>
            </w:pPr>
          </w:p>
        </w:tc>
        <w:tc>
          <w:tcPr>
            <w:tcW w:w="180" w:type="dxa"/>
            <w:vAlign w:val="bottom"/>
          </w:tcPr>
          <w:p>
            <w:pPr>
              <w:spacing w:after="0"/>
              <w:rPr>
                <w:sz w:val="7"/>
                <w:szCs w:val="7"/>
                <w:color w:val="auto"/>
              </w:rPr>
            </w:pPr>
          </w:p>
        </w:tc>
        <w:tc>
          <w:tcPr>
            <w:tcW w:w="6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140" w:type="dxa"/>
            <w:vAlign w:val="bottom"/>
          </w:tcPr>
          <w:p>
            <w:pPr>
              <w:spacing w:after="0"/>
              <w:rPr>
                <w:sz w:val="7"/>
                <w:szCs w:val="7"/>
                <w:color w:val="auto"/>
              </w:rPr>
            </w:pPr>
          </w:p>
        </w:tc>
        <w:tc>
          <w:tcPr>
            <w:tcW w:w="720" w:type="dxa"/>
            <w:vAlign w:val="bottom"/>
          </w:tcPr>
          <w:p>
            <w:pPr>
              <w:spacing w:after="0"/>
              <w:rPr>
                <w:sz w:val="7"/>
                <w:szCs w:val="7"/>
                <w:color w:val="auto"/>
              </w:rPr>
            </w:pPr>
          </w:p>
        </w:tc>
        <w:tc>
          <w:tcPr>
            <w:tcW w:w="1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0" w:type="dxa"/>
            <w:vAlign w:val="bottom"/>
          </w:tcPr>
          <w:p>
            <w:pPr>
              <w:spacing w:after="0"/>
              <w:rPr>
                <w:sz w:val="7"/>
                <w:szCs w:val="7"/>
                <w:color w:val="auto"/>
              </w:rPr>
            </w:pPr>
          </w:p>
        </w:tc>
        <w:tc>
          <w:tcPr>
            <w:tcW w:w="6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80" w:lineRule="exact"/>
        <w:rPr>
          <w:sz w:val="20"/>
          <w:szCs w:val="20"/>
          <w:color w:val="auto"/>
        </w:rPr>
      </w:pPr>
    </w:p>
    <w:p>
      <w:pPr>
        <w:spacing w:after="0"/>
        <w:rPr>
          <w:sz w:val="20"/>
          <w:szCs w:val="20"/>
          <w:color w:val="auto"/>
        </w:rPr>
      </w:pPr>
      <w:r>
        <w:rPr>
          <w:rFonts w:ascii="Arial" w:cs="Arial" w:eastAsia="Arial" w:hAnsi="Arial"/>
          <w:sz w:val="18"/>
          <w:szCs w:val="18"/>
          <w:color w:val="auto"/>
        </w:rPr>
        <w:t>(1) Includes realized and unrealized gains (losses). See Note 3, Investments, for further details.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notes.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54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4" w:name="page5"/>
    <w:bookmarkEnd w:id="4"/>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Comprehensive Income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7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980" w:type="dxa"/>
            <w:vAlign w:val="bottom"/>
            <w:gridSpan w:val="7"/>
          </w:tcPr>
          <w:p>
            <w:pPr>
              <w:ind w:left="60"/>
              <w:spacing w:after="0"/>
              <w:rPr>
                <w:sz w:val="20"/>
                <w:szCs w:val="20"/>
                <w:color w:val="auto"/>
              </w:rPr>
            </w:pPr>
            <w:r>
              <w:rPr>
                <w:rFonts w:ascii="Arial" w:cs="Arial" w:eastAsia="Arial" w:hAnsi="Arial"/>
                <w:sz w:val="14"/>
                <w:szCs w:val="14"/>
                <w:b w:val="1"/>
                <w:bCs w:val="1"/>
                <w:color w:val="auto"/>
              </w:rPr>
              <w:t>For the three months ended</w:t>
            </w:r>
          </w:p>
        </w:tc>
        <w:tc>
          <w:tcPr>
            <w:tcW w:w="120" w:type="dxa"/>
            <w:vAlign w:val="bottom"/>
          </w:tcPr>
          <w:p>
            <w:pPr>
              <w:spacing w:after="0"/>
              <w:rPr>
                <w:sz w:val="14"/>
                <w:szCs w:val="14"/>
                <w:color w:val="auto"/>
              </w:rPr>
            </w:pPr>
          </w:p>
        </w:tc>
        <w:tc>
          <w:tcPr>
            <w:tcW w:w="1740" w:type="dxa"/>
            <w:vAlign w:val="bottom"/>
            <w:gridSpan w:val="4"/>
          </w:tcPr>
          <w:p>
            <w:pPr>
              <w:jc w:val="right"/>
              <w:ind w:right="72"/>
              <w:spacing w:after="0"/>
              <w:rPr>
                <w:sz w:val="20"/>
                <w:szCs w:val="20"/>
                <w:color w:val="auto"/>
              </w:rPr>
            </w:pPr>
            <w:r>
              <w:rPr>
                <w:rFonts w:ascii="Arial" w:cs="Arial" w:eastAsia="Arial" w:hAnsi="Arial"/>
                <w:sz w:val="14"/>
                <w:szCs w:val="14"/>
                <w:b w:val="1"/>
                <w:bCs w:val="1"/>
                <w:color w:val="auto"/>
                <w:w w:val="91"/>
              </w:rPr>
              <w:t>For the six months ended</w:t>
            </w:r>
          </w:p>
        </w:tc>
      </w:tr>
      <w:tr>
        <w:trPr>
          <w:trHeight w:val="171"/>
        </w:trPr>
        <w:tc>
          <w:tcPr>
            <w:tcW w:w="57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04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June 30,</w:t>
            </w:r>
          </w:p>
        </w:tc>
        <w:tc>
          <w:tcPr>
            <w:tcW w:w="64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June 30,</w:t>
            </w:r>
          </w:p>
        </w:tc>
        <w:tc>
          <w:tcPr>
            <w:tcW w:w="620" w:type="dxa"/>
            <w:vAlign w:val="bottom"/>
            <w:tcBorders>
              <w:bottom w:val="single" w:sz="8" w:color="auto"/>
            </w:tcBorders>
          </w:tcPr>
          <w:p>
            <w:pPr>
              <w:spacing w:after="0"/>
              <w:rPr>
                <w:sz w:val="14"/>
                <w:szCs w:val="14"/>
                <w:color w:val="auto"/>
              </w:rPr>
            </w:pPr>
          </w:p>
        </w:tc>
      </w:tr>
      <w:tr>
        <w:trPr>
          <w:trHeight w:val="142"/>
        </w:trPr>
        <w:tc>
          <w:tcPr>
            <w:tcW w:w="57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ind w:right="173"/>
              <w:spacing w:after="0" w:line="142" w:lineRule="exact"/>
              <w:rPr>
                <w:sz w:val="20"/>
                <w:szCs w:val="20"/>
                <w:color w:val="auto"/>
              </w:rPr>
            </w:pPr>
            <w:r>
              <w:rPr>
                <w:rFonts w:ascii="Arial" w:cs="Arial" w:eastAsia="Arial" w:hAnsi="Arial"/>
                <w:sz w:val="14"/>
                <w:szCs w:val="14"/>
                <w:b w:val="1"/>
                <w:bCs w:val="1"/>
                <w:color w:val="auto"/>
              </w:rPr>
              <w:t>2022</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ind w:right="173"/>
              <w:spacing w:after="0" w:line="142" w:lineRule="exact"/>
              <w:rPr>
                <w:sz w:val="20"/>
                <w:szCs w:val="20"/>
                <w:color w:val="auto"/>
              </w:rPr>
            </w:pPr>
            <w:r>
              <w:rPr>
                <w:rFonts w:ascii="Arial" w:cs="Arial" w:eastAsia="Arial" w:hAnsi="Arial"/>
                <w:sz w:val="14"/>
                <w:szCs w:val="14"/>
                <w:b w:val="1"/>
                <w:bCs w:val="1"/>
                <w:color w:val="auto"/>
              </w:rPr>
              <w:t>2021</w:t>
            </w:r>
          </w:p>
        </w:tc>
        <w:tc>
          <w:tcPr>
            <w:tcW w:w="1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tcPr>
          <w:p>
            <w:pPr>
              <w:jc w:val="right"/>
              <w:ind w:right="175"/>
              <w:spacing w:after="0" w:line="142" w:lineRule="exact"/>
              <w:rPr>
                <w:sz w:val="20"/>
                <w:szCs w:val="20"/>
                <w:color w:val="auto"/>
              </w:rPr>
            </w:pPr>
            <w:r>
              <w:rPr>
                <w:rFonts w:ascii="Arial" w:cs="Arial" w:eastAsia="Arial" w:hAnsi="Arial"/>
                <w:sz w:val="14"/>
                <w:szCs w:val="14"/>
                <w:b w:val="1"/>
                <w:bCs w:val="1"/>
                <w:color w:val="auto"/>
              </w:rPr>
              <w:t>2022</w:t>
            </w:r>
          </w:p>
        </w:tc>
        <w:tc>
          <w:tcPr>
            <w:tcW w:w="200" w:type="dxa"/>
            <w:vAlign w:val="bottom"/>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jc w:val="right"/>
              <w:ind w:right="172"/>
              <w:spacing w:after="0" w:line="142" w:lineRule="exact"/>
              <w:rPr>
                <w:sz w:val="20"/>
                <w:szCs w:val="20"/>
                <w:color w:val="auto"/>
              </w:rPr>
            </w:pPr>
            <w:r>
              <w:rPr>
                <w:rFonts w:ascii="Arial" w:cs="Arial" w:eastAsia="Arial" w:hAnsi="Arial"/>
                <w:sz w:val="14"/>
                <w:szCs w:val="14"/>
                <w:b w:val="1"/>
                <w:bCs w:val="1"/>
                <w:color w:val="auto"/>
              </w:rPr>
              <w:t>2021</w:t>
            </w:r>
          </w:p>
        </w:tc>
      </w:tr>
      <w:tr>
        <w:trPr>
          <w:trHeight w:val="128"/>
        </w:trPr>
        <w:tc>
          <w:tcPr>
            <w:tcW w:w="57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640" w:type="dxa"/>
            <w:vAlign w:val="bottom"/>
            <w:gridSpan w:val="4"/>
          </w:tcPr>
          <w:p>
            <w:pPr>
              <w:jc w:val="right"/>
              <w:ind w:right="455"/>
              <w:spacing w:after="0" w:line="129" w:lineRule="exact"/>
              <w:rPr>
                <w:sz w:val="20"/>
                <w:szCs w:val="20"/>
                <w:color w:val="auto"/>
              </w:rPr>
            </w:pPr>
            <w:r>
              <w:rPr>
                <w:rFonts w:ascii="Arial" w:cs="Arial" w:eastAsia="Arial" w:hAnsi="Arial"/>
                <w:sz w:val="14"/>
                <w:szCs w:val="14"/>
                <w:i w:val="1"/>
                <w:iCs w:val="1"/>
                <w:color w:val="auto"/>
              </w:rPr>
              <w:t>(in millions)</w:t>
            </w:r>
          </w:p>
        </w:tc>
        <w:tc>
          <w:tcPr>
            <w:tcW w:w="2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20" w:type="dxa"/>
            <w:vAlign w:val="bottom"/>
          </w:tcPr>
          <w:p>
            <w:pPr>
              <w:spacing w:after="0"/>
              <w:rPr>
                <w:sz w:val="11"/>
                <w:szCs w:val="11"/>
                <w:color w:val="auto"/>
              </w:rPr>
            </w:pPr>
          </w:p>
        </w:tc>
      </w:tr>
      <w:tr>
        <w:trPr>
          <w:trHeight w:val="216"/>
        </w:trPr>
        <w:tc>
          <w:tcPr>
            <w:tcW w:w="5780" w:type="dxa"/>
            <w:vAlign w:val="bottom"/>
            <w:shd w:val="clear" w:color="auto" w:fill="CCEEFF"/>
          </w:tcPr>
          <w:p>
            <w:pPr>
              <w:spacing w:after="0"/>
              <w:rPr>
                <w:sz w:val="20"/>
                <w:szCs w:val="20"/>
                <w:color w:val="auto"/>
              </w:rPr>
            </w:pPr>
            <w:r>
              <w:rPr>
                <w:rFonts w:ascii="Arial" w:cs="Arial" w:eastAsia="Arial" w:hAnsi="Arial"/>
                <w:sz w:val="18"/>
                <w:szCs w:val="18"/>
                <w:color w:val="auto"/>
              </w:rPr>
              <w:t>Net income</w:t>
            </w:r>
          </w:p>
        </w:tc>
        <w:tc>
          <w:tcPr>
            <w:tcW w:w="44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3,074.6</w:t>
            </w:r>
          </w:p>
        </w:tc>
        <w:tc>
          <w:tcPr>
            <w:tcW w:w="100" w:type="dxa"/>
            <w:vAlign w:val="bottom"/>
            <w:shd w:val="clear" w:color="auto" w:fill="CCEEFF"/>
          </w:tcPr>
          <w:p>
            <w:pPr>
              <w:spacing w:after="0"/>
              <w:rPr>
                <w:sz w:val="18"/>
                <w:szCs w:val="18"/>
                <w:color w:val="auto"/>
              </w:rPr>
            </w:pP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371.6</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3,455.3</w:t>
            </w: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887.9</w:t>
            </w:r>
          </w:p>
        </w:tc>
      </w:tr>
      <w:tr>
        <w:trPr>
          <w:trHeight w:val="216"/>
        </w:trPr>
        <w:tc>
          <w:tcPr>
            <w:tcW w:w="5780" w:type="dxa"/>
            <w:vAlign w:val="bottom"/>
          </w:tcPr>
          <w:p>
            <w:pPr>
              <w:spacing w:after="0"/>
              <w:rPr>
                <w:sz w:val="20"/>
                <w:szCs w:val="20"/>
                <w:color w:val="auto"/>
              </w:rPr>
            </w:pPr>
            <w:r>
              <w:rPr>
                <w:rFonts w:ascii="Arial" w:cs="Arial" w:eastAsia="Arial" w:hAnsi="Arial"/>
                <w:sz w:val="18"/>
                <w:szCs w:val="18"/>
                <w:color w:val="auto"/>
              </w:rPr>
              <w:t>Other comprehensive income (loss), net:</w:t>
            </w: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20" w:type="dxa"/>
            <w:vAlign w:val="bottom"/>
          </w:tcPr>
          <w:p>
            <w:pPr>
              <w:spacing w:after="0"/>
              <w:rPr>
                <w:sz w:val="18"/>
                <w:szCs w:val="18"/>
                <w:color w:val="auto"/>
              </w:rPr>
            </w:pPr>
          </w:p>
        </w:tc>
      </w:tr>
      <w:tr>
        <w:trPr>
          <w:trHeight w:val="216"/>
        </w:trPr>
        <w:tc>
          <w:tcPr>
            <w:tcW w:w="57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Net unrealized gains (losses) on available-for-sale securities</w:t>
            </w: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w w:val="91"/>
              </w:rPr>
              <w:t>(3,567.7)</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790.9</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w w:val="97"/>
              </w:rPr>
              <w:t>(7,241.6)</w:t>
            </w:r>
          </w:p>
        </w:tc>
        <w:tc>
          <w:tcPr>
            <w:tcW w:w="20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(582.5)</w:t>
            </w:r>
          </w:p>
        </w:tc>
      </w:tr>
      <w:tr>
        <w:trPr>
          <w:trHeight w:val="216"/>
        </w:trPr>
        <w:tc>
          <w:tcPr>
            <w:tcW w:w="5780" w:type="dxa"/>
            <w:vAlign w:val="bottom"/>
          </w:tcPr>
          <w:p>
            <w:pPr>
              <w:ind w:left="120"/>
              <w:spacing w:after="0"/>
              <w:rPr>
                <w:sz w:val="20"/>
                <w:szCs w:val="20"/>
                <w:color w:val="auto"/>
              </w:rPr>
            </w:pPr>
            <w:r>
              <w:rPr>
                <w:rFonts w:ascii="Arial" w:cs="Arial" w:eastAsia="Arial" w:hAnsi="Arial"/>
                <w:sz w:val="18"/>
                <w:szCs w:val="18"/>
                <w:color w:val="auto"/>
              </w:rPr>
              <w:t>Net unrealized gains (losses) on derivative instruments</w:t>
            </w: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(11.4)</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13.9</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(27.7)</w:t>
            </w:r>
          </w:p>
        </w:tc>
        <w:tc>
          <w:tcPr>
            <w:tcW w:w="20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11.7</w:t>
            </w:r>
          </w:p>
        </w:tc>
      </w:tr>
      <w:tr>
        <w:trPr>
          <w:trHeight w:val="216"/>
        </w:trPr>
        <w:tc>
          <w:tcPr>
            <w:tcW w:w="57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Foreign currency translation adjustment</w:t>
            </w: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(274.1)</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35.4</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(120.7)</w:t>
            </w:r>
          </w:p>
        </w:tc>
        <w:tc>
          <w:tcPr>
            <w:tcW w:w="20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(20.8)</w:t>
            </w:r>
          </w:p>
        </w:tc>
      </w:tr>
      <w:tr>
        <w:trPr>
          <w:trHeight w:val="216"/>
        </w:trPr>
        <w:tc>
          <w:tcPr>
            <w:tcW w:w="5780" w:type="dxa"/>
            <w:vAlign w:val="bottom"/>
            <w:tcBorders>
              <w:bottom w:val="single" w:sz="8" w:color="CCEEFF"/>
            </w:tcBorders>
          </w:tcPr>
          <w:p>
            <w:pPr>
              <w:ind w:left="120"/>
              <w:spacing w:after="0"/>
              <w:rPr>
                <w:sz w:val="20"/>
                <w:szCs w:val="20"/>
                <w:color w:val="auto"/>
              </w:rPr>
            </w:pPr>
            <w:r>
              <w:rPr>
                <w:rFonts w:ascii="Arial" w:cs="Arial" w:eastAsia="Arial" w:hAnsi="Arial"/>
                <w:sz w:val="18"/>
                <w:szCs w:val="18"/>
                <w:color w:val="auto"/>
              </w:rPr>
              <w:t>Net unrecognized postretirement benefit obligation</w:t>
            </w:r>
          </w:p>
        </w:tc>
        <w:tc>
          <w:tcPr>
            <w:tcW w:w="30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8.3</w:t>
            </w:r>
          </w:p>
        </w:tc>
        <w:tc>
          <w:tcPr>
            <w:tcW w:w="10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9.6</w:t>
            </w:r>
          </w:p>
        </w:tc>
        <w:tc>
          <w:tcPr>
            <w:tcW w:w="1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15.0</w:t>
            </w:r>
          </w:p>
        </w:tc>
        <w:tc>
          <w:tcPr>
            <w:tcW w:w="2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11.9</w:t>
            </w:r>
          </w:p>
        </w:tc>
      </w:tr>
      <w:tr>
        <w:trPr>
          <w:trHeight w:val="210"/>
        </w:trPr>
        <w:tc>
          <w:tcPr>
            <w:tcW w:w="5780" w:type="dxa"/>
            <w:vAlign w:val="bottom"/>
            <w:shd w:val="clear" w:color="auto" w:fill="CCEEFF"/>
          </w:tcPr>
          <w:p>
            <w:pPr>
              <w:spacing w:after="0"/>
              <w:rPr>
                <w:sz w:val="20"/>
                <w:szCs w:val="20"/>
                <w:color w:val="auto"/>
              </w:rPr>
            </w:pPr>
            <w:r>
              <w:rPr>
                <w:rFonts w:ascii="Arial" w:cs="Arial" w:eastAsia="Arial" w:hAnsi="Arial"/>
                <w:sz w:val="18"/>
                <w:szCs w:val="18"/>
                <w:color w:val="auto"/>
              </w:rPr>
              <w:t>Other comprehensive income (loss)</w:t>
            </w:r>
          </w:p>
        </w:tc>
        <w:tc>
          <w:tcPr>
            <w:tcW w:w="30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1"/>
              </w:rPr>
              <w:t>(3,844.9)</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849.8</w:t>
            </w:r>
          </w:p>
        </w:tc>
        <w:tc>
          <w:tcPr>
            <w:tcW w:w="1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7"/>
              </w:rPr>
              <w:t>(7,375.0)</w:t>
            </w:r>
          </w:p>
        </w:tc>
        <w:tc>
          <w:tcPr>
            <w:tcW w:w="20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(579.7)</w:t>
            </w:r>
          </w:p>
        </w:tc>
      </w:tr>
      <w:tr>
        <w:trPr>
          <w:trHeight w:val="209"/>
        </w:trPr>
        <w:tc>
          <w:tcPr>
            <w:tcW w:w="5780" w:type="dxa"/>
            <w:vAlign w:val="bottom"/>
          </w:tcPr>
          <w:p>
            <w:pPr>
              <w:spacing w:after="0"/>
              <w:rPr>
                <w:sz w:val="20"/>
                <w:szCs w:val="20"/>
                <w:color w:val="auto"/>
              </w:rPr>
            </w:pPr>
            <w:r>
              <w:rPr>
                <w:rFonts w:ascii="Arial" w:cs="Arial" w:eastAsia="Arial" w:hAnsi="Arial"/>
                <w:sz w:val="18"/>
                <w:szCs w:val="18"/>
                <w:color w:val="auto"/>
              </w:rPr>
              <w:t>Comprehensive income (loss)</w:t>
            </w: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b w:val="1"/>
                <w:bCs w:val="1"/>
                <w:color w:val="auto"/>
              </w:rPr>
              <w:t>(770.3)</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w w:val="93"/>
              </w:rPr>
              <w:t>1,221.4</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w w:val="97"/>
              </w:rPr>
              <w:t>(3,919.7)</w:t>
            </w: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308.2</w:t>
            </w:r>
          </w:p>
        </w:tc>
      </w:tr>
      <w:tr>
        <w:trPr>
          <w:trHeight w:val="216"/>
        </w:trPr>
        <w:tc>
          <w:tcPr>
            <w:tcW w:w="5780" w:type="dxa"/>
            <w:vAlign w:val="bottom"/>
            <w:shd w:val="clear" w:color="auto" w:fill="CCEEFF"/>
          </w:tcPr>
          <w:p>
            <w:pPr>
              <w:spacing w:after="0"/>
              <w:rPr>
                <w:sz w:val="20"/>
                <w:szCs w:val="20"/>
                <w:color w:val="auto"/>
              </w:rPr>
            </w:pPr>
            <w:r>
              <w:rPr>
                <w:rFonts w:ascii="Arial" w:cs="Arial" w:eastAsia="Arial" w:hAnsi="Arial"/>
                <w:sz w:val="18"/>
                <w:szCs w:val="18"/>
                <w:color w:val="auto"/>
              </w:rPr>
              <w:t>Comprehensive income attributable to noncontrolling interest</w:t>
            </w:r>
          </w:p>
        </w:tc>
        <w:tc>
          <w:tcPr>
            <w:tcW w:w="30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11.6</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9.6</w:t>
            </w:r>
          </w:p>
        </w:tc>
        <w:tc>
          <w:tcPr>
            <w:tcW w:w="1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17.5</w:t>
            </w:r>
          </w:p>
        </w:tc>
        <w:tc>
          <w:tcPr>
            <w:tcW w:w="20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8.6</w:t>
            </w:r>
          </w:p>
        </w:tc>
      </w:tr>
      <w:tr>
        <w:trPr>
          <w:trHeight w:val="210"/>
        </w:trPr>
        <w:tc>
          <w:tcPr>
            <w:tcW w:w="5780" w:type="dxa"/>
            <w:vAlign w:val="bottom"/>
          </w:tcPr>
          <w:p>
            <w:pPr>
              <w:spacing w:after="0"/>
              <w:rPr>
                <w:sz w:val="20"/>
                <w:szCs w:val="20"/>
                <w:color w:val="auto"/>
              </w:rPr>
            </w:pPr>
            <w:r>
              <w:rPr>
                <w:rFonts w:ascii="Arial" w:cs="Arial" w:eastAsia="Arial" w:hAnsi="Arial"/>
                <w:sz w:val="18"/>
                <w:szCs w:val="18"/>
                <w:color w:val="auto"/>
                <w:w w:val="96"/>
              </w:rPr>
              <w:t>Comprehensive income (loss) attributable to Principal Financial Group, Inc.</w:t>
            </w:r>
          </w:p>
        </w:tc>
        <w:tc>
          <w:tcPr>
            <w:tcW w:w="30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(781.9)</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3"/>
              </w:rPr>
              <w:t>1,211.8</w:t>
            </w:r>
          </w:p>
        </w:tc>
        <w:tc>
          <w:tcPr>
            <w:tcW w:w="160" w:type="dxa"/>
            <w:vAlign w:val="bottom"/>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97"/>
              </w:rPr>
              <w:t>(3,937.2)</w:t>
            </w:r>
          </w:p>
        </w:tc>
        <w:tc>
          <w:tcPr>
            <w:tcW w:w="200" w:type="dxa"/>
            <w:vAlign w:val="bottom"/>
          </w:tcPr>
          <w:p>
            <w:pPr>
              <w:spacing w:after="0"/>
              <w:rPr>
                <w:sz w:val="18"/>
                <w:szCs w:val="18"/>
                <w:color w:val="auto"/>
              </w:rPr>
            </w:pPr>
          </w:p>
        </w:tc>
        <w:tc>
          <w:tcPr>
            <w:tcW w:w="200" w:type="dxa"/>
            <w:vAlign w:val="bottom"/>
            <w:tcBorders>
              <w:bottom w:val="single" w:sz="8" w:color="auto"/>
            </w:tcBorders>
          </w:tcPr>
          <w:p>
            <w:pPr>
              <w:jc w:val="right"/>
              <w:ind w:right="47"/>
              <w:spacing w:after="0"/>
              <w:rPr>
                <w:sz w:val="20"/>
                <w:szCs w:val="20"/>
                <w:color w:val="auto"/>
              </w:rPr>
            </w:pPr>
            <w:r>
              <w:rPr>
                <w:rFonts w:ascii="Arial" w:cs="Arial" w:eastAsia="Arial" w:hAnsi="Arial"/>
                <w:sz w:val="15"/>
                <w:szCs w:val="15"/>
                <w:color w:val="auto"/>
                <w:w w:val="71"/>
              </w:rPr>
              <w:t>$</w:t>
            </w: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299.6</w:t>
            </w:r>
          </w:p>
        </w:tc>
      </w:tr>
      <w:tr>
        <w:trPr>
          <w:trHeight w:val="20"/>
        </w:trPr>
        <w:tc>
          <w:tcPr>
            <w:tcW w:w="57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notes.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54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5" w:name="page6"/>
    <w:bookmarkEnd w:id="5"/>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Stockholders’ Equity</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40" w:type="dxa"/>
            <w:vAlign w:val="bottom"/>
            <w:gridSpan w:val="3"/>
            <w:vMerge w:val="restart"/>
          </w:tcPr>
          <w:p>
            <w:pPr>
              <w:jc w:val="center"/>
              <w:ind w:right="60"/>
              <w:spacing w:after="0"/>
              <w:rPr>
                <w:sz w:val="20"/>
                <w:szCs w:val="20"/>
                <w:color w:val="auto"/>
              </w:rPr>
            </w:pPr>
            <w:r>
              <w:rPr>
                <w:rFonts w:ascii="Arial" w:cs="Arial" w:eastAsia="Arial" w:hAnsi="Arial"/>
                <w:sz w:val="14"/>
                <w:szCs w:val="14"/>
                <w:b w:val="1"/>
                <w:bCs w:val="1"/>
                <w:color w:val="auto"/>
                <w:w w:val="96"/>
              </w:rPr>
              <w:t>Additional</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80" w:type="dxa"/>
            <w:vAlign w:val="bottom"/>
            <w:gridSpan w:val="3"/>
          </w:tcPr>
          <w:p>
            <w:pPr>
              <w:jc w:val="center"/>
              <w:ind w:right="140"/>
              <w:spacing w:after="0"/>
              <w:rPr>
                <w:sz w:val="20"/>
                <w:szCs w:val="20"/>
                <w:color w:val="auto"/>
              </w:rPr>
            </w:pPr>
            <w:r>
              <w:rPr>
                <w:rFonts w:ascii="Arial" w:cs="Arial" w:eastAsia="Arial" w:hAnsi="Arial"/>
                <w:sz w:val="14"/>
                <w:szCs w:val="14"/>
                <w:b w:val="1"/>
                <w:bCs w:val="1"/>
                <w:color w:val="auto"/>
                <w:w w:val="93"/>
              </w:rPr>
              <w:t>Accumulated</w:t>
            </w: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80" w:type="dxa"/>
            <w:vAlign w:val="bottom"/>
            <w:vMerge w:val="restart"/>
          </w:tcPr>
          <w:p>
            <w:pPr>
              <w:jc w:val="right"/>
              <w:ind w:right="188"/>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4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2"/>
              </w:rPr>
              <w:t>Common</w:t>
            </w:r>
          </w:p>
        </w:tc>
        <w:tc>
          <w:tcPr>
            <w:tcW w:w="840" w:type="dxa"/>
            <w:vAlign w:val="bottom"/>
            <w:gridSpan w:val="3"/>
            <w:vMerge w:val="continue"/>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gridSpan w:val="2"/>
            <w:vMerge w:val="restart"/>
          </w:tcPr>
          <w:p>
            <w:pPr>
              <w:jc w:val="right"/>
              <w:ind w:right="260"/>
              <w:spacing w:after="0"/>
              <w:rPr>
                <w:sz w:val="20"/>
                <w:szCs w:val="20"/>
                <w:color w:val="auto"/>
              </w:rPr>
            </w:pPr>
            <w:r>
              <w:rPr>
                <w:rFonts w:ascii="Arial" w:cs="Arial" w:eastAsia="Arial" w:hAnsi="Arial"/>
                <w:sz w:val="14"/>
                <w:szCs w:val="14"/>
                <w:b w:val="1"/>
                <w:bCs w:val="1"/>
                <w:color w:val="auto"/>
                <w:w w:val="91"/>
              </w:rPr>
              <w:t>Retained</w:t>
            </w:r>
          </w:p>
        </w:tc>
        <w:tc>
          <w:tcPr>
            <w:tcW w:w="160" w:type="dxa"/>
            <w:vAlign w:val="bottom"/>
          </w:tcPr>
          <w:p>
            <w:pPr>
              <w:spacing w:after="0"/>
              <w:rPr>
                <w:sz w:val="12"/>
                <w:szCs w:val="12"/>
                <w:color w:val="auto"/>
              </w:rPr>
            </w:pPr>
          </w:p>
        </w:tc>
        <w:tc>
          <w:tcPr>
            <w:tcW w:w="92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1"/>
              </w:rPr>
              <w:t>other</w:t>
            </w:r>
          </w:p>
        </w:tc>
        <w:tc>
          <w:tcPr>
            <w:tcW w:w="80" w:type="dxa"/>
            <w:vAlign w:val="bottom"/>
          </w:tcPr>
          <w:p>
            <w:pPr>
              <w:spacing w:after="0"/>
              <w:rPr>
                <w:sz w:val="12"/>
                <w:szCs w:val="12"/>
                <w:color w:val="auto"/>
              </w:rPr>
            </w:pPr>
          </w:p>
        </w:tc>
        <w:tc>
          <w:tcPr>
            <w:tcW w:w="74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94"/>
              </w:rPr>
              <w:t>Treasury</w:t>
            </w:r>
          </w:p>
        </w:tc>
        <w:tc>
          <w:tcPr>
            <w:tcW w:w="80" w:type="dxa"/>
            <w:vAlign w:val="bottom"/>
          </w:tcPr>
          <w:p>
            <w:pPr>
              <w:spacing w:after="0"/>
              <w:rPr>
                <w:sz w:val="12"/>
                <w:szCs w:val="12"/>
                <w:color w:val="auto"/>
              </w:rPr>
            </w:pPr>
          </w:p>
        </w:tc>
        <w:tc>
          <w:tcPr>
            <w:tcW w:w="108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Noncontrolling</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4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72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5"/>
              </w:rPr>
              <w:t>paid-in</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gridSpan w:val="2"/>
            <w:vMerge w:val="continue"/>
          </w:tcPr>
          <w:p>
            <w:pPr>
              <w:spacing w:after="0"/>
              <w:rPr>
                <w:sz w:val="12"/>
                <w:szCs w:val="12"/>
                <w:color w:val="auto"/>
              </w:rPr>
            </w:pPr>
          </w:p>
        </w:tc>
        <w:tc>
          <w:tcPr>
            <w:tcW w:w="108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comprehensive</w:t>
            </w:r>
          </w:p>
        </w:tc>
        <w:tc>
          <w:tcPr>
            <w:tcW w:w="80" w:type="dxa"/>
            <w:vAlign w:val="bottom"/>
          </w:tcPr>
          <w:p>
            <w:pPr>
              <w:spacing w:after="0"/>
              <w:rPr>
                <w:sz w:val="12"/>
                <w:szCs w:val="12"/>
                <w:color w:val="auto"/>
              </w:rPr>
            </w:pPr>
          </w:p>
        </w:tc>
        <w:tc>
          <w:tcPr>
            <w:tcW w:w="74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1080" w:type="dxa"/>
            <w:vAlign w:val="bottom"/>
            <w:gridSpan w:val="3"/>
            <w:vMerge w:val="continue"/>
          </w:tcPr>
          <w:p>
            <w:pPr>
              <w:spacing w:after="0"/>
              <w:rPr>
                <w:sz w:val="12"/>
                <w:szCs w:val="12"/>
                <w:color w:val="auto"/>
              </w:rPr>
            </w:pPr>
          </w:p>
        </w:tc>
        <w:tc>
          <w:tcPr>
            <w:tcW w:w="20" w:type="dxa"/>
            <w:vAlign w:val="bottom"/>
          </w:tcPr>
          <w:p>
            <w:pPr>
              <w:spacing w:after="0"/>
              <w:rPr>
                <w:sz w:val="12"/>
                <w:szCs w:val="12"/>
                <w:color w:val="auto"/>
              </w:rPr>
            </w:pPr>
          </w:p>
        </w:tc>
        <w:tc>
          <w:tcPr>
            <w:tcW w:w="82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w w:val="87"/>
              </w:rPr>
              <w:t>stockholders’</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7"/>
              </w:rPr>
              <w:t>stock</w:t>
            </w:r>
          </w:p>
        </w:tc>
        <w:tc>
          <w:tcPr>
            <w:tcW w:w="120" w:type="dxa"/>
            <w:vAlign w:val="bottom"/>
          </w:tcPr>
          <w:p>
            <w:pPr>
              <w:spacing w:after="0"/>
              <w:rPr>
                <w:sz w:val="14"/>
                <w:szCs w:val="14"/>
                <w:color w:val="auto"/>
              </w:rPr>
            </w:pPr>
          </w:p>
        </w:tc>
        <w:tc>
          <w:tcPr>
            <w:tcW w:w="72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94"/>
              </w:rPr>
              <w:t>capital</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20" w:type="dxa"/>
            <w:vAlign w:val="bottom"/>
            <w:gridSpan w:val="2"/>
          </w:tcPr>
          <w:p>
            <w:pPr>
              <w:jc w:val="right"/>
              <w:ind w:right="260"/>
              <w:spacing w:after="0"/>
              <w:rPr>
                <w:sz w:val="20"/>
                <w:szCs w:val="20"/>
                <w:color w:val="auto"/>
              </w:rPr>
            </w:pPr>
            <w:r>
              <w:rPr>
                <w:rFonts w:ascii="Arial" w:cs="Arial" w:eastAsia="Arial" w:hAnsi="Arial"/>
                <w:sz w:val="14"/>
                <w:szCs w:val="14"/>
                <w:b w:val="1"/>
                <w:bCs w:val="1"/>
                <w:color w:val="auto"/>
                <w:w w:val="92"/>
              </w:rPr>
              <w:t>earnings</w:t>
            </w:r>
          </w:p>
        </w:tc>
        <w:tc>
          <w:tcPr>
            <w:tcW w:w="1080" w:type="dxa"/>
            <w:vAlign w:val="bottom"/>
            <w:gridSpan w:val="3"/>
          </w:tcPr>
          <w:p>
            <w:pPr>
              <w:jc w:val="center"/>
              <w:ind w:right="160"/>
              <w:spacing w:after="0"/>
              <w:rPr>
                <w:sz w:val="20"/>
                <w:szCs w:val="20"/>
                <w:color w:val="auto"/>
              </w:rPr>
            </w:pPr>
            <w:r>
              <w:rPr>
                <w:rFonts w:ascii="Arial" w:cs="Arial" w:eastAsia="Arial" w:hAnsi="Arial"/>
                <w:sz w:val="14"/>
                <w:szCs w:val="14"/>
                <w:b w:val="1"/>
                <w:bCs w:val="1"/>
                <w:color w:val="auto"/>
                <w:w w:val="88"/>
              </w:rPr>
              <w:t>income (loss)</w:t>
            </w:r>
          </w:p>
        </w:tc>
        <w:tc>
          <w:tcPr>
            <w:tcW w:w="80" w:type="dxa"/>
            <w:vAlign w:val="bottom"/>
          </w:tcPr>
          <w:p>
            <w:pPr>
              <w:spacing w:after="0"/>
              <w:rPr>
                <w:sz w:val="14"/>
                <w:szCs w:val="14"/>
                <w:color w:val="auto"/>
              </w:rPr>
            </w:pPr>
          </w:p>
        </w:tc>
        <w:tc>
          <w:tcPr>
            <w:tcW w:w="74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87"/>
              </w:rPr>
              <w:t>stock</w:t>
            </w: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20" w:type="dxa"/>
            <w:vAlign w:val="bottom"/>
            <w:gridSpan w:val="2"/>
          </w:tcPr>
          <w:p>
            <w:pPr>
              <w:ind w:left="80"/>
              <w:spacing w:after="0"/>
              <w:rPr>
                <w:sz w:val="20"/>
                <w:szCs w:val="20"/>
                <w:color w:val="auto"/>
              </w:rPr>
            </w:pPr>
            <w:r>
              <w:rPr>
                <w:rFonts w:ascii="Arial" w:cs="Arial" w:eastAsia="Arial" w:hAnsi="Arial"/>
                <w:sz w:val="14"/>
                <w:szCs w:val="14"/>
                <w:b w:val="1"/>
                <w:bCs w:val="1"/>
                <w:color w:val="auto"/>
              </w:rPr>
              <w:t>interest</w:t>
            </w: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80" w:type="dxa"/>
            <w:vAlign w:val="bottom"/>
          </w:tcPr>
          <w:p>
            <w:pPr>
              <w:jc w:val="right"/>
              <w:ind w:right="148"/>
              <w:spacing w:after="0"/>
              <w:rPr>
                <w:sz w:val="20"/>
                <w:szCs w:val="20"/>
                <w:color w:val="auto"/>
              </w:rPr>
            </w:pPr>
            <w:r>
              <w:rPr>
                <w:rFonts w:ascii="Arial" w:cs="Arial" w:eastAsia="Arial" w:hAnsi="Arial"/>
                <w:sz w:val="14"/>
                <w:szCs w:val="14"/>
                <w:b w:val="1"/>
                <w:bCs w:val="1"/>
                <w:color w:val="auto"/>
              </w:rPr>
              <w:t>equity</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24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68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640" w:type="dxa"/>
            <w:vAlign w:val="bottom"/>
            <w:tcBorders>
              <w:top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66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760" w:type="dxa"/>
            <w:vAlign w:val="bottom"/>
            <w:tcBorders>
              <w:top w:val="single" w:sz="8" w:color="auto"/>
            </w:tcBorders>
          </w:tcPr>
          <w:p>
            <w:pPr>
              <w:jc w:val="right"/>
              <w:spacing w:after="0" w:line="129" w:lineRule="exact"/>
              <w:rPr>
                <w:sz w:val="20"/>
                <w:szCs w:val="20"/>
                <w:color w:val="auto"/>
              </w:rPr>
            </w:pPr>
            <w:r>
              <w:rPr>
                <w:rFonts w:ascii="Arial" w:cs="Arial" w:eastAsia="Arial" w:hAnsi="Arial"/>
                <w:sz w:val="14"/>
                <w:szCs w:val="14"/>
                <w:i w:val="1"/>
                <w:iCs w:val="1"/>
                <w:color w:val="auto"/>
              </w:rPr>
              <w:t>(in millions)</w:t>
            </w:r>
          </w:p>
        </w:tc>
        <w:tc>
          <w:tcPr>
            <w:tcW w:w="16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680" w:type="dxa"/>
            <w:vAlign w:val="bottom"/>
            <w:tcBorders>
              <w:top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78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680" w:type="dxa"/>
            <w:vAlign w:val="bottom"/>
            <w:tcBorders>
              <w:top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Balances as of April 1, 2021</w:t>
            </w:r>
          </w:p>
        </w:tc>
        <w:tc>
          <w:tcPr>
            <w:tcW w:w="2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4.8</w:t>
            </w:r>
          </w:p>
        </w:tc>
        <w:tc>
          <w:tcPr>
            <w:tcW w:w="140" w:type="dxa"/>
            <w:vAlign w:val="bottom"/>
            <w:shd w:val="clear" w:color="auto" w:fill="CCEEFF"/>
          </w:tcPr>
          <w:p>
            <w:pPr>
              <w:spacing w:after="0"/>
              <w:rPr>
                <w:sz w:val="12"/>
                <w:szCs w:val="12"/>
                <w:color w:val="auto"/>
              </w:rPr>
            </w:pPr>
          </w:p>
        </w:tc>
        <w:tc>
          <w:tcPr>
            <w:tcW w:w="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10,351.8</w:t>
            </w:r>
          </w:p>
        </w:tc>
        <w:tc>
          <w:tcPr>
            <w:tcW w:w="80" w:type="dxa"/>
            <w:vAlign w:val="bottom"/>
            <w:shd w:val="clear" w:color="auto" w:fill="CCEEFF"/>
          </w:tcPr>
          <w:p>
            <w:pPr>
              <w:spacing w:after="0"/>
              <w:rPr>
                <w:sz w:val="12"/>
                <w:szCs w:val="12"/>
                <w:color w:val="auto"/>
              </w:rPr>
            </w:pPr>
          </w:p>
        </w:tc>
        <w:tc>
          <w:tcPr>
            <w:tcW w:w="1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12,199.2</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953.8</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7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(8,104.1)</w:t>
            </w:r>
          </w:p>
        </w:tc>
        <w:tc>
          <w:tcPr>
            <w:tcW w:w="240" w:type="dxa"/>
            <w:vAlign w:val="bottom"/>
            <w:gridSpan w:val="2"/>
            <w:shd w:val="clear" w:color="auto" w:fill="CCEEFF"/>
          </w:tcPr>
          <w:p>
            <w:pPr>
              <w:ind w:left="80"/>
              <w:spacing w:after="0" w:line="149" w:lineRule="exact"/>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56.8</w:t>
            </w:r>
          </w:p>
        </w:tc>
        <w:tc>
          <w:tcPr>
            <w:tcW w:w="140" w:type="dxa"/>
            <w:vAlign w:val="bottom"/>
            <w:shd w:val="clear" w:color="auto" w:fill="CCEEFF"/>
          </w:tcPr>
          <w:p>
            <w:pPr>
              <w:spacing w:after="0"/>
              <w:rPr>
                <w:sz w:val="12"/>
                <w:szCs w:val="12"/>
                <w:color w:val="auto"/>
              </w:rPr>
            </w:pPr>
          </w:p>
        </w:tc>
        <w:tc>
          <w:tcPr>
            <w:tcW w:w="1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15,462.3</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080" w:type="dxa"/>
            <w:vAlign w:val="bottom"/>
            <w:gridSpan w:val="2"/>
          </w:tcPr>
          <w:p>
            <w:pPr>
              <w:spacing w:after="0" w:line="149" w:lineRule="exact"/>
              <w:rPr>
                <w:sz w:val="20"/>
                <w:szCs w:val="20"/>
                <w:color w:val="auto"/>
              </w:rPr>
            </w:pPr>
            <w:r>
              <w:rPr>
                <w:rFonts w:ascii="Arial" w:cs="Arial" w:eastAsia="Arial" w:hAnsi="Arial"/>
                <w:sz w:val="14"/>
                <w:szCs w:val="14"/>
                <w:color w:val="auto"/>
              </w:rPr>
              <w:t>Common stock issued</w:t>
            </w: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25.6</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92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7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2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25.6</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0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Stock-based compensation</w:t>
            </w:r>
          </w:p>
        </w:tc>
        <w:tc>
          <w:tcPr>
            <w:tcW w:w="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25.0</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(2.7)</w:t>
            </w:r>
          </w:p>
        </w:tc>
        <w:tc>
          <w:tcPr>
            <w:tcW w:w="1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22.3</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080" w:type="dxa"/>
            <w:vAlign w:val="bottom"/>
            <w:gridSpan w:val="2"/>
          </w:tcPr>
          <w:p>
            <w:pPr>
              <w:spacing w:after="0" w:line="149" w:lineRule="exact"/>
              <w:rPr>
                <w:sz w:val="20"/>
                <w:szCs w:val="20"/>
                <w:color w:val="auto"/>
              </w:rPr>
            </w:pPr>
            <w:r>
              <w:rPr>
                <w:rFonts w:ascii="Arial" w:cs="Arial" w:eastAsia="Arial" w:hAnsi="Arial"/>
                <w:sz w:val="14"/>
                <w:szCs w:val="14"/>
                <w:color w:val="auto"/>
              </w:rPr>
              <w:t>Treasury stock acquired, common</w:t>
            </w: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7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92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74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(266.1)</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2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(266.1)</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0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Dividends to common stockholders</w:t>
            </w:r>
          </w:p>
        </w:tc>
        <w:tc>
          <w:tcPr>
            <w:tcW w:w="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(165.2)</w:t>
            </w:r>
          </w:p>
        </w:tc>
        <w:tc>
          <w:tcPr>
            <w:tcW w:w="1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(165.2)</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2"/>
          </w:tcPr>
          <w:p>
            <w:pPr>
              <w:spacing w:after="0" w:line="149" w:lineRule="exact"/>
              <w:rPr>
                <w:sz w:val="20"/>
                <w:szCs w:val="20"/>
                <w:color w:val="auto"/>
              </w:rPr>
            </w:pPr>
            <w:r>
              <w:rPr>
                <w:rFonts w:ascii="Arial" w:cs="Arial" w:eastAsia="Arial" w:hAnsi="Arial"/>
                <w:sz w:val="14"/>
                <w:szCs w:val="14"/>
                <w:color w:val="auto"/>
              </w:rPr>
              <w:t>Distributions to noncontrolling interest</w:t>
            </w: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7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92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7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2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(1.8)</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(1.8)</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0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Contributions from noncontrolling interest</w:t>
            </w:r>
          </w:p>
        </w:tc>
        <w:tc>
          <w:tcPr>
            <w:tcW w:w="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w:t>
            </w: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3080" w:type="dxa"/>
            <w:vAlign w:val="bottom"/>
            <w:gridSpan w:val="2"/>
          </w:tcPr>
          <w:p>
            <w:pPr>
              <w:spacing w:after="0" w:line="130" w:lineRule="exact"/>
              <w:rPr>
                <w:sz w:val="20"/>
                <w:szCs w:val="20"/>
                <w:color w:val="auto"/>
              </w:rPr>
            </w:pPr>
            <w:r>
              <w:rPr>
                <w:rFonts w:ascii="Arial" w:cs="Arial" w:eastAsia="Arial" w:hAnsi="Arial"/>
                <w:sz w:val="14"/>
                <w:szCs w:val="14"/>
                <w:color w:val="auto"/>
                <w:w w:val="98"/>
              </w:rPr>
              <w:t>Purchase of subsidiary shares from noncontrolling</w:t>
            </w: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3080" w:type="dxa"/>
            <w:vAlign w:val="bottom"/>
            <w:gridSpan w:val="2"/>
          </w:tcPr>
          <w:p>
            <w:pPr>
              <w:ind w:left="120"/>
              <w:spacing w:after="0"/>
              <w:rPr>
                <w:sz w:val="20"/>
                <w:szCs w:val="20"/>
                <w:color w:val="auto"/>
              </w:rPr>
            </w:pPr>
            <w:r>
              <w:rPr>
                <w:rFonts w:ascii="Arial" w:cs="Arial" w:eastAsia="Arial" w:hAnsi="Arial"/>
                <w:sz w:val="14"/>
                <w:szCs w:val="14"/>
                <w:color w:val="auto"/>
              </w:rPr>
              <w:t>interest (1)</w:t>
            </w: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720" w:type="dxa"/>
            <w:vAlign w:val="bottom"/>
            <w:gridSpan w:val="2"/>
          </w:tcPr>
          <w:p>
            <w:pPr>
              <w:jc w:val="right"/>
              <w:ind w:right="80"/>
              <w:spacing w:after="0"/>
              <w:rPr>
                <w:sz w:val="20"/>
                <w:szCs w:val="20"/>
                <w:color w:val="auto"/>
              </w:rPr>
            </w:pPr>
            <w:r>
              <w:rPr>
                <w:rFonts w:ascii="Arial" w:cs="Arial" w:eastAsia="Arial" w:hAnsi="Arial"/>
                <w:sz w:val="14"/>
                <w:szCs w:val="14"/>
                <w:color w:val="auto"/>
              </w:rPr>
              <w:t>(0.4)</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4"/>
                <w:szCs w:val="14"/>
                <w:color w:val="auto"/>
              </w:rPr>
            </w:pP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(0.4)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3080" w:type="dxa"/>
            <w:vAlign w:val="bottom"/>
            <w:gridSpan w:val="2"/>
            <w:shd w:val="clear" w:color="auto" w:fill="CCEEFF"/>
          </w:tcPr>
          <w:p>
            <w:pPr>
              <w:spacing w:after="0" w:line="130" w:lineRule="exact"/>
              <w:rPr>
                <w:sz w:val="20"/>
                <w:szCs w:val="20"/>
                <w:color w:val="auto"/>
              </w:rPr>
            </w:pPr>
            <w:r>
              <w:rPr>
                <w:rFonts w:ascii="Arial" w:cs="Arial" w:eastAsia="Arial" w:hAnsi="Arial"/>
                <w:sz w:val="14"/>
                <w:szCs w:val="14"/>
                <w:color w:val="auto"/>
                <w:w w:val="98"/>
              </w:rPr>
              <w:t>Adjustments to redemption amount of redeemable</w:t>
            </w:r>
          </w:p>
        </w:tc>
        <w:tc>
          <w:tcPr>
            <w:tcW w:w="2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3080" w:type="dxa"/>
            <w:vAlign w:val="bottom"/>
            <w:gridSpan w:val="2"/>
            <w:shd w:val="clear" w:color="auto" w:fill="CCEEFF"/>
          </w:tcPr>
          <w:p>
            <w:pPr>
              <w:ind w:left="120"/>
              <w:spacing w:after="0"/>
              <w:rPr>
                <w:sz w:val="20"/>
                <w:szCs w:val="20"/>
                <w:color w:val="auto"/>
              </w:rPr>
            </w:pPr>
            <w:r>
              <w:rPr>
                <w:rFonts w:ascii="Arial" w:cs="Arial" w:eastAsia="Arial" w:hAnsi="Arial"/>
                <w:sz w:val="14"/>
                <w:szCs w:val="14"/>
                <w:color w:val="auto"/>
              </w:rPr>
              <w:t>noncontrolling interest</w:t>
            </w:r>
          </w:p>
        </w:tc>
        <w:tc>
          <w:tcPr>
            <w:tcW w:w="2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4"/>
                <w:szCs w:val="14"/>
                <w:color w:val="auto"/>
              </w:rPr>
            </w:pPr>
          </w:p>
        </w:tc>
        <w:tc>
          <w:tcPr>
            <w:tcW w:w="72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(2.3)</w:t>
            </w:r>
          </w:p>
        </w:tc>
        <w:tc>
          <w:tcPr>
            <w:tcW w:w="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w:t>
            </w:r>
          </w:p>
        </w:tc>
        <w:tc>
          <w:tcPr>
            <w:tcW w:w="1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9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4"/>
                <w:szCs w:val="14"/>
                <w:color w:val="auto"/>
              </w:rPr>
            </w:pPr>
          </w:p>
        </w:tc>
        <w:tc>
          <w:tcPr>
            <w:tcW w:w="74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9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(0.4)</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2"/>
          </w:tcPr>
          <w:p>
            <w:pPr>
              <w:spacing w:after="0" w:line="149" w:lineRule="exact"/>
              <w:rPr>
                <w:sz w:val="20"/>
                <w:szCs w:val="20"/>
                <w:color w:val="auto"/>
              </w:rPr>
            </w:pPr>
            <w:r>
              <w:rPr>
                <w:rFonts w:ascii="Arial" w:cs="Arial" w:eastAsia="Arial" w:hAnsi="Arial"/>
                <w:sz w:val="14"/>
                <w:szCs w:val="14"/>
                <w:color w:val="auto"/>
              </w:rPr>
              <w:t>Net income (1)</w:t>
            </w: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7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361.8</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2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7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1.2</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363.0</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0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Other comprehensive income (1)</w:t>
            </w:r>
          </w:p>
        </w:tc>
        <w:tc>
          <w:tcPr>
            <w:tcW w:w="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850.0</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(0.3)</w:t>
            </w: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849.7</w:t>
            </w: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3080" w:type="dxa"/>
            <w:vAlign w:val="bottom"/>
            <w:tcBorders>
              <w:bottom w:val="single" w:sz="8" w:color="CCEEFF"/>
            </w:tcBorders>
            <w:gridSpan w:val="2"/>
          </w:tcPr>
          <w:p>
            <w:pPr>
              <w:spacing w:after="0" w:line="142" w:lineRule="exact"/>
              <w:rPr>
                <w:sz w:val="20"/>
                <w:szCs w:val="20"/>
                <w:color w:val="auto"/>
              </w:rPr>
            </w:pPr>
            <w:r>
              <w:rPr>
                <w:rFonts w:ascii="Arial" w:cs="Arial" w:eastAsia="Arial" w:hAnsi="Arial"/>
                <w:sz w:val="14"/>
                <w:szCs w:val="14"/>
                <w:b w:val="1"/>
                <w:bCs w:val="1"/>
                <w:color w:val="auto"/>
              </w:rPr>
              <w:t>Balances as of June 30, 2021</w:t>
            </w:r>
          </w:p>
        </w:tc>
        <w:tc>
          <w:tcPr>
            <w:tcW w:w="200" w:type="dxa"/>
            <w:vAlign w:val="bottom"/>
            <w:tcBorders>
              <w:bottom w:val="single" w:sz="8" w:color="CCEEFF"/>
            </w:tcBorders>
          </w:tcPr>
          <w:p>
            <w:pPr>
              <w:spacing w:after="0"/>
              <w:rPr>
                <w:sz w:val="15"/>
                <w:szCs w:val="15"/>
                <w:color w:val="auto"/>
              </w:rPr>
            </w:pPr>
          </w:p>
        </w:tc>
        <w:tc>
          <w:tcPr>
            <w:tcW w:w="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6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4.8</w:t>
            </w:r>
          </w:p>
        </w:tc>
        <w:tc>
          <w:tcPr>
            <w:tcW w:w="140" w:type="dxa"/>
            <w:vAlign w:val="bottom"/>
            <w:tcBorders>
              <w:bottom w:val="single" w:sz="8" w:color="CCEEFF"/>
            </w:tcBorders>
          </w:tcPr>
          <w:p>
            <w:pPr>
              <w:spacing w:after="0"/>
              <w:rPr>
                <w:sz w:val="15"/>
                <w:szCs w:val="15"/>
                <w:color w:val="auto"/>
              </w:rPr>
            </w:pPr>
          </w:p>
        </w:tc>
        <w:tc>
          <w:tcPr>
            <w:tcW w:w="1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6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10,399.7</w:t>
            </w:r>
          </w:p>
        </w:tc>
        <w:tc>
          <w:tcPr>
            <w:tcW w:w="80" w:type="dxa"/>
            <w:vAlign w:val="bottom"/>
            <w:tcBorders>
              <w:bottom w:val="single" w:sz="8" w:color="CCEEFF"/>
            </w:tcBorders>
          </w:tcPr>
          <w:p>
            <w:pPr>
              <w:spacing w:after="0"/>
              <w:rPr>
                <w:sz w:val="15"/>
                <w:szCs w:val="15"/>
                <w:color w:val="auto"/>
              </w:rPr>
            </w:pPr>
          </w:p>
        </w:tc>
        <w:tc>
          <w:tcPr>
            <w:tcW w:w="80" w:type="dxa"/>
            <w:vAlign w:val="bottom"/>
            <w:tcBorders>
              <w:bottom w:val="single" w:sz="8" w:color="CCEEFF"/>
            </w:tcBorders>
          </w:tcPr>
          <w:p>
            <w:pPr>
              <w:spacing w:after="0"/>
              <w:rPr>
                <w:sz w:val="15"/>
                <w:szCs w:val="15"/>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6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12,395.0</w:t>
            </w:r>
          </w:p>
        </w:tc>
        <w:tc>
          <w:tcPr>
            <w:tcW w:w="160" w:type="dxa"/>
            <w:vAlign w:val="bottom"/>
            <w:tcBorders>
              <w:bottom w:val="single" w:sz="8" w:color="CCEEFF"/>
            </w:tcBorders>
          </w:tcPr>
          <w:p>
            <w:pPr>
              <w:spacing w:after="0"/>
              <w:rPr>
                <w:sz w:val="15"/>
                <w:szCs w:val="15"/>
                <w:color w:val="auto"/>
              </w:rPr>
            </w:pPr>
          </w:p>
        </w:tc>
        <w:tc>
          <w:tcPr>
            <w:tcW w:w="160" w:type="dxa"/>
            <w:vAlign w:val="bottom"/>
            <w:tcBorders>
              <w:top w:val="single" w:sz="8" w:color="auto"/>
              <w:bottom w:val="single" w:sz="8" w:color="auto"/>
            </w:tcBorders>
          </w:tcPr>
          <w:p>
            <w:pPr>
              <w:spacing w:after="0" w:line="142" w:lineRule="exact"/>
              <w:rPr>
                <w:sz w:val="20"/>
                <w:szCs w:val="20"/>
                <w:color w:val="auto"/>
              </w:rPr>
            </w:pPr>
            <w:r>
              <w:rPr>
                <w:rFonts w:ascii="Arial" w:cs="Arial" w:eastAsia="Arial" w:hAnsi="Arial"/>
                <w:sz w:val="14"/>
                <w:szCs w:val="14"/>
                <w:color w:val="auto"/>
              </w:rPr>
              <w:t>$</w:t>
            </w:r>
          </w:p>
        </w:tc>
        <w:tc>
          <w:tcPr>
            <w:tcW w:w="7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1,803.8</w:t>
            </w:r>
          </w:p>
        </w:tc>
        <w:tc>
          <w:tcPr>
            <w:tcW w:w="160" w:type="dxa"/>
            <w:vAlign w:val="bottom"/>
            <w:tcBorders>
              <w:bottom w:val="single" w:sz="8" w:color="CCEEFF"/>
            </w:tcBorders>
          </w:tcPr>
          <w:p>
            <w:pPr>
              <w:spacing w:after="0"/>
              <w:rPr>
                <w:sz w:val="15"/>
                <w:szCs w:val="15"/>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6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(8,370.2)</w:t>
            </w:r>
          </w:p>
        </w:tc>
        <w:tc>
          <w:tcPr>
            <w:tcW w:w="60" w:type="dxa"/>
            <w:vAlign w:val="bottom"/>
            <w:tcBorders>
              <w:bottom w:val="single" w:sz="8" w:color="CCEEFF"/>
            </w:tcBorders>
          </w:tcPr>
          <w:p>
            <w:pPr>
              <w:spacing w:after="0"/>
              <w:rPr>
                <w:sz w:val="15"/>
                <w:szCs w:val="15"/>
                <w:color w:val="auto"/>
              </w:rPr>
            </w:pPr>
          </w:p>
        </w:tc>
        <w:tc>
          <w:tcPr>
            <w:tcW w:w="80" w:type="dxa"/>
            <w:vAlign w:val="bottom"/>
            <w:tcBorders>
              <w:bottom w:val="single" w:sz="8" w:color="CCEEFF"/>
            </w:tcBorders>
          </w:tcPr>
          <w:p>
            <w:pPr>
              <w:spacing w:after="0"/>
              <w:rPr>
                <w:sz w:val="15"/>
                <w:szCs w:val="15"/>
                <w:color w:val="auto"/>
              </w:rPr>
            </w:pPr>
          </w:p>
        </w:tc>
        <w:tc>
          <w:tcPr>
            <w:tcW w:w="160" w:type="dxa"/>
            <w:vAlign w:val="bottom"/>
            <w:tcBorders>
              <w:top w:val="single" w:sz="8" w:color="auto"/>
              <w:bottom w:val="single" w:sz="8" w:color="auto"/>
            </w:tcBorders>
          </w:tcPr>
          <w:p>
            <w:pPr>
              <w:spacing w:after="0" w:line="142" w:lineRule="exact"/>
              <w:rPr>
                <w:sz w:val="20"/>
                <w:szCs w:val="20"/>
                <w:color w:val="auto"/>
              </w:rPr>
            </w:pPr>
            <w:r>
              <w:rPr>
                <w:rFonts w:ascii="Arial" w:cs="Arial" w:eastAsia="Arial" w:hAnsi="Arial"/>
                <w:sz w:val="14"/>
                <w:szCs w:val="14"/>
                <w:color w:val="auto"/>
              </w:rPr>
              <w:t>$</w:t>
            </w:r>
          </w:p>
        </w:tc>
        <w:tc>
          <w:tcPr>
            <w:tcW w:w="7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58.4</w:t>
            </w:r>
          </w:p>
        </w:tc>
        <w:tc>
          <w:tcPr>
            <w:tcW w:w="140" w:type="dxa"/>
            <w:vAlign w:val="bottom"/>
            <w:tcBorders>
              <w:bottom w:val="single" w:sz="8" w:color="CCEEFF"/>
            </w:tcBorders>
          </w:tcPr>
          <w:p>
            <w:pPr>
              <w:spacing w:after="0"/>
              <w:rPr>
                <w:sz w:val="15"/>
                <w:szCs w:val="15"/>
                <w:color w:val="auto"/>
              </w:rPr>
            </w:pPr>
          </w:p>
        </w:tc>
        <w:tc>
          <w:tcPr>
            <w:tcW w:w="20" w:type="dxa"/>
            <w:vAlign w:val="bottom"/>
            <w:tcBorders>
              <w:bottom w:val="single" w:sz="8" w:color="CCEEFF"/>
            </w:tcBorders>
          </w:tcPr>
          <w:p>
            <w:pPr>
              <w:spacing w:after="0"/>
              <w:rPr>
                <w:sz w:val="15"/>
                <w:szCs w:val="15"/>
                <w:color w:val="auto"/>
              </w:rPr>
            </w:pPr>
          </w:p>
        </w:tc>
        <w:tc>
          <w:tcPr>
            <w:tcW w:w="140" w:type="dxa"/>
            <w:vAlign w:val="bottom"/>
            <w:tcBorders>
              <w:top w:val="single" w:sz="8" w:color="auto"/>
              <w:bottom w:val="single" w:sz="8" w:color="auto"/>
            </w:tcBorders>
          </w:tcPr>
          <w:p>
            <w:pPr>
              <w:spacing w:after="0" w:line="142" w:lineRule="exact"/>
              <w:rPr>
                <w:sz w:val="20"/>
                <w:szCs w:val="20"/>
                <w:color w:val="auto"/>
              </w:rPr>
            </w:pPr>
            <w:r>
              <w:rPr>
                <w:rFonts w:ascii="Arial" w:cs="Arial" w:eastAsia="Arial" w:hAnsi="Arial"/>
                <w:sz w:val="14"/>
                <w:szCs w:val="14"/>
                <w:color w:val="auto"/>
              </w:rPr>
              <w:t>$</w:t>
            </w:r>
          </w:p>
        </w:tc>
        <w:tc>
          <w:tcPr>
            <w:tcW w:w="6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16,291.</w:t>
            </w:r>
            <w:r>
              <w:rPr>
                <w:rFonts w:ascii="Arial" w:cs="Arial" w:eastAsia="Arial" w:hAnsi="Arial"/>
                <w:sz w:val="14"/>
                <w:szCs w:val="14"/>
                <w:u w:val="single" w:color="auto"/>
                <w:color w:val="auto"/>
              </w:rPr>
              <w:t>5</w:t>
            </w:r>
          </w:p>
        </w:tc>
        <w:tc>
          <w:tcPr>
            <w:tcW w:w="0" w:type="dxa"/>
            <w:vAlign w:val="bottom"/>
          </w:tcPr>
          <w:p>
            <w:pPr>
              <w:spacing w:after="0"/>
              <w:rPr>
                <w:sz w:val="1"/>
                <w:szCs w:val="1"/>
                <w:color w:val="auto"/>
              </w:rPr>
            </w:pPr>
          </w:p>
        </w:tc>
      </w:tr>
      <w:tr>
        <w:trPr>
          <w:trHeight w:val="129"/>
        </w:trPr>
        <w:tc>
          <w:tcPr>
            <w:tcW w:w="20" w:type="dxa"/>
            <w:vAlign w:val="bottom"/>
            <w:vMerge w:val="restart"/>
          </w:tcPr>
          <w:p>
            <w:pPr>
              <w:spacing w:after="0"/>
              <w:rPr>
                <w:sz w:val="11"/>
                <w:szCs w:val="11"/>
                <w:color w:val="auto"/>
              </w:rPr>
            </w:pPr>
          </w:p>
        </w:tc>
        <w:tc>
          <w:tcPr>
            <w:tcW w:w="246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20" w:type="dxa"/>
            <w:vAlign w:val="bottom"/>
            <w:vMerge w:val="continue"/>
          </w:tcPr>
          <w:p>
            <w:pPr>
              <w:spacing w:after="0"/>
              <w:rPr>
                <w:sz w:val="12"/>
                <w:szCs w:val="12"/>
                <w:color w:val="auto"/>
              </w:rPr>
            </w:pPr>
          </w:p>
        </w:tc>
        <w:tc>
          <w:tcPr>
            <w:tcW w:w="308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rPr>
              <w:t>Balances as of April 1, 2022</w:t>
            </w:r>
          </w:p>
        </w:tc>
        <w:tc>
          <w:tcPr>
            <w:tcW w:w="28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4.9</w:t>
            </w:r>
          </w:p>
        </w:tc>
        <w:tc>
          <w:tcPr>
            <w:tcW w:w="140" w:type="dxa"/>
            <w:vAlign w:val="bottom"/>
          </w:tcPr>
          <w:p>
            <w:pPr>
              <w:spacing w:after="0"/>
              <w:rPr>
                <w:sz w:val="12"/>
                <w:szCs w:val="12"/>
                <w:color w:val="auto"/>
              </w:rPr>
            </w:pPr>
          </w:p>
        </w:tc>
        <w:tc>
          <w:tcPr>
            <w:tcW w:w="1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w w:val="76"/>
              </w:rPr>
              <w:t>$</w:t>
            </w:r>
          </w:p>
        </w:tc>
        <w:tc>
          <w:tcPr>
            <w:tcW w:w="6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10,402.4</w:t>
            </w:r>
          </w:p>
        </w:tc>
        <w:tc>
          <w:tcPr>
            <w:tcW w:w="80" w:type="dxa"/>
            <w:vAlign w:val="bottom"/>
          </w:tcPr>
          <w:p>
            <w:pPr>
              <w:spacing w:after="0"/>
              <w:rPr>
                <w:sz w:val="12"/>
                <w:szCs w:val="12"/>
                <w:color w:val="auto"/>
              </w:rPr>
            </w:pPr>
          </w:p>
        </w:tc>
        <w:tc>
          <w:tcPr>
            <w:tcW w:w="1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13,090.8</w:t>
            </w:r>
          </w:p>
        </w:tc>
        <w:tc>
          <w:tcPr>
            <w:tcW w:w="160" w:type="dxa"/>
            <w:vAlign w:val="bottom"/>
          </w:tcPr>
          <w:p>
            <w:pPr>
              <w:spacing w:after="0"/>
              <w:rPr>
                <w:sz w:val="12"/>
                <w:szCs w:val="12"/>
                <w:color w:val="auto"/>
              </w:rPr>
            </w:pPr>
          </w:p>
        </w:tc>
        <w:tc>
          <w:tcPr>
            <w:tcW w:w="160" w:type="dxa"/>
            <w:vAlign w:val="bottom"/>
          </w:tcPr>
          <w:p>
            <w:pPr>
              <w:spacing w:after="0" w:line="149" w:lineRule="exact"/>
              <w:rPr>
                <w:sz w:val="20"/>
                <w:szCs w:val="20"/>
                <w:color w:val="auto"/>
              </w:rPr>
            </w:pPr>
            <w:r>
              <w:rPr>
                <w:rFonts w:ascii="Arial" w:cs="Arial" w:eastAsia="Arial" w:hAnsi="Arial"/>
                <w:sz w:val="14"/>
                <w:szCs w:val="14"/>
                <w:b w:val="1"/>
                <w:bCs w:val="1"/>
                <w:color w:val="auto"/>
              </w:rPr>
              <w:t>$</w:t>
            </w:r>
          </w:p>
        </w:tc>
        <w:tc>
          <w:tcPr>
            <w:tcW w:w="920" w:type="dxa"/>
            <w:vAlign w:val="bottom"/>
            <w:gridSpan w:val="2"/>
          </w:tcPr>
          <w:p>
            <w:pPr>
              <w:jc w:val="right"/>
              <w:ind w:right="160"/>
              <w:spacing w:after="0" w:line="149" w:lineRule="exact"/>
              <w:rPr>
                <w:sz w:val="20"/>
                <w:szCs w:val="20"/>
                <w:color w:val="auto"/>
              </w:rPr>
            </w:pPr>
            <w:r>
              <w:rPr>
                <w:rFonts w:ascii="Arial" w:cs="Arial" w:eastAsia="Arial" w:hAnsi="Arial"/>
                <w:sz w:val="14"/>
                <w:szCs w:val="14"/>
                <w:b w:val="1"/>
                <w:bCs w:val="1"/>
                <w:color w:val="auto"/>
              </w:rPr>
              <w:t>(1,920.6)</w:t>
            </w:r>
          </w:p>
        </w:tc>
        <w:tc>
          <w:tcPr>
            <w:tcW w:w="80" w:type="dxa"/>
            <w:vAlign w:val="bottom"/>
          </w:tcPr>
          <w:p>
            <w:pPr>
              <w:jc w:val="right"/>
              <w:spacing w:after="0"/>
              <w:rPr>
                <w:sz w:val="20"/>
                <w:szCs w:val="20"/>
                <w:color w:val="auto"/>
              </w:rPr>
            </w:pPr>
            <w:r>
              <w:rPr>
                <w:rFonts w:ascii="Arial" w:cs="Arial" w:eastAsia="Arial" w:hAnsi="Arial"/>
                <w:sz w:val="10"/>
                <w:szCs w:val="10"/>
                <w:b w:val="1"/>
                <w:bCs w:val="1"/>
                <w:color w:val="auto"/>
                <w:w w:val="71"/>
              </w:rPr>
              <w:t>$</w:t>
            </w:r>
          </w:p>
        </w:tc>
        <w:tc>
          <w:tcPr>
            <w:tcW w:w="74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(9,679.9)</w:t>
            </w:r>
          </w:p>
        </w:tc>
        <w:tc>
          <w:tcPr>
            <w:tcW w:w="24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rPr>
              <w:t>$</w:t>
            </w:r>
          </w:p>
        </w:tc>
        <w:tc>
          <w:tcPr>
            <w:tcW w:w="7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55.1</w:t>
            </w:r>
          </w:p>
        </w:tc>
        <w:tc>
          <w:tcPr>
            <w:tcW w:w="140" w:type="dxa"/>
            <w:vAlign w:val="bottom"/>
          </w:tcPr>
          <w:p>
            <w:pPr>
              <w:spacing w:after="0"/>
              <w:rPr>
                <w:sz w:val="12"/>
                <w:szCs w:val="12"/>
                <w:color w:val="auto"/>
              </w:rPr>
            </w:pPr>
          </w:p>
        </w:tc>
        <w:tc>
          <w:tcPr>
            <w:tcW w:w="16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rPr>
              <w:t>$</w:t>
            </w: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11,952.7</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0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Common stock issued</w:t>
            </w:r>
          </w:p>
        </w:tc>
        <w:tc>
          <w:tcPr>
            <w:tcW w:w="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29.4</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29.4</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2"/>
          </w:tcPr>
          <w:p>
            <w:pPr>
              <w:spacing w:after="0" w:line="149" w:lineRule="exact"/>
              <w:rPr>
                <w:sz w:val="20"/>
                <w:szCs w:val="20"/>
                <w:color w:val="auto"/>
              </w:rPr>
            </w:pPr>
            <w:r>
              <w:rPr>
                <w:rFonts w:ascii="Arial" w:cs="Arial" w:eastAsia="Arial" w:hAnsi="Arial"/>
                <w:sz w:val="14"/>
                <w:szCs w:val="14"/>
                <w:color w:val="auto"/>
              </w:rPr>
              <w:t>Stock-based compensation</w:t>
            </w: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gridSpan w:val="2"/>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24.6</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gridSpan w:val="2"/>
          </w:tcPr>
          <w:p>
            <w:pPr>
              <w:jc w:val="right"/>
              <w:ind w:right="160"/>
              <w:spacing w:after="0" w:line="149" w:lineRule="exact"/>
              <w:rPr>
                <w:sz w:val="20"/>
                <w:szCs w:val="20"/>
                <w:color w:val="auto"/>
              </w:rPr>
            </w:pPr>
            <w:r>
              <w:rPr>
                <w:rFonts w:ascii="Arial" w:cs="Arial" w:eastAsia="Arial" w:hAnsi="Arial"/>
                <w:sz w:val="14"/>
                <w:szCs w:val="14"/>
                <w:b w:val="1"/>
                <w:bCs w:val="1"/>
                <w:color w:val="auto"/>
              </w:rPr>
              <w:t>(2.9)</w:t>
            </w:r>
          </w:p>
        </w:tc>
        <w:tc>
          <w:tcPr>
            <w:tcW w:w="160" w:type="dxa"/>
            <w:vAlign w:val="bottom"/>
          </w:tcPr>
          <w:p>
            <w:pPr>
              <w:spacing w:after="0"/>
              <w:rPr>
                <w:sz w:val="12"/>
                <w:szCs w:val="12"/>
                <w:color w:val="auto"/>
              </w:rPr>
            </w:pPr>
          </w:p>
        </w:tc>
        <w:tc>
          <w:tcPr>
            <w:tcW w:w="920" w:type="dxa"/>
            <w:vAlign w:val="bottom"/>
            <w:gridSpan w:val="2"/>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740" w:type="dxa"/>
            <w:vAlign w:val="bottom"/>
            <w:gridSpan w:val="2"/>
          </w:tcPr>
          <w:p>
            <w:pPr>
              <w:jc w:val="right"/>
              <w:ind w:right="12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0.2</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21.9</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0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Treasury stock acquired, common</w:t>
            </w:r>
          </w:p>
        </w:tc>
        <w:tc>
          <w:tcPr>
            <w:tcW w:w="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(197.2)</w:t>
            </w: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(197.2)</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080" w:type="dxa"/>
            <w:vAlign w:val="bottom"/>
            <w:gridSpan w:val="2"/>
          </w:tcPr>
          <w:p>
            <w:pPr>
              <w:spacing w:after="0" w:line="149" w:lineRule="exact"/>
              <w:rPr>
                <w:sz w:val="20"/>
                <w:szCs w:val="20"/>
                <w:color w:val="auto"/>
              </w:rPr>
            </w:pPr>
            <w:r>
              <w:rPr>
                <w:rFonts w:ascii="Arial" w:cs="Arial" w:eastAsia="Arial" w:hAnsi="Arial"/>
                <w:sz w:val="14"/>
                <w:szCs w:val="14"/>
                <w:color w:val="auto"/>
              </w:rPr>
              <w:t>Accelerated share repurchase</w:t>
            </w: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gridSpan w:val="2"/>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97.2</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gridSpan w:val="2"/>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920" w:type="dxa"/>
            <w:vAlign w:val="bottom"/>
            <w:gridSpan w:val="2"/>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740" w:type="dxa"/>
            <w:vAlign w:val="bottom"/>
            <w:gridSpan w:val="2"/>
          </w:tcPr>
          <w:p>
            <w:pPr>
              <w:jc w:val="right"/>
              <w:ind w:right="12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20" w:type="dxa"/>
            <w:vAlign w:val="bottom"/>
            <w:gridSpan w:val="2"/>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97.2</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0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Dividends to common stockholders</w:t>
            </w:r>
          </w:p>
        </w:tc>
        <w:tc>
          <w:tcPr>
            <w:tcW w:w="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b w:val="1"/>
                <w:bCs w:val="1"/>
                <w:color w:val="auto"/>
              </w:rPr>
              <w:t>(161.7)</w:t>
            </w:r>
          </w:p>
        </w:tc>
        <w:tc>
          <w:tcPr>
            <w:tcW w:w="1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(161.7)</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080" w:type="dxa"/>
            <w:vAlign w:val="bottom"/>
            <w:gridSpan w:val="2"/>
          </w:tcPr>
          <w:p>
            <w:pPr>
              <w:spacing w:after="0" w:line="149" w:lineRule="exact"/>
              <w:rPr>
                <w:sz w:val="20"/>
                <w:szCs w:val="20"/>
                <w:color w:val="auto"/>
              </w:rPr>
            </w:pPr>
            <w:r>
              <w:rPr>
                <w:rFonts w:ascii="Arial" w:cs="Arial" w:eastAsia="Arial" w:hAnsi="Arial"/>
                <w:sz w:val="14"/>
                <w:szCs w:val="14"/>
                <w:color w:val="auto"/>
              </w:rPr>
              <w:t>Distributions to noncontrolling interest</w:t>
            </w: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gridSpan w:val="2"/>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720" w:type="dxa"/>
            <w:vAlign w:val="bottom"/>
            <w:gridSpan w:val="2"/>
          </w:tcPr>
          <w:p>
            <w:pPr>
              <w:jc w:val="right"/>
              <w:ind w:right="12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gridSpan w:val="2"/>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920" w:type="dxa"/>
            <w:vAlign w:val="bottom"/>
            <w:gridSpan w:val="2"/>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740" w:type="dxa"/>
            <w:vAlign w:val="bottom"/>
            <w:gridSpan w:val="2"/>
          </w:tcPr>
          <w:p>
            <w:pPr>
              <w:jc w:val="right"/>
              <w:ind w:right="12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20" w:type="dxa"/>
            <w:vAlign w:val="bottom"/>
            <w:gridSpan w:val="2"/>
          </w:tcPr>
          <w:p>
            <w:pPr>
              <w:jc w:val="right"/>
              <w:ind w:right="140"/>
              <w:spacing w:after="0" w:line="149" w:lineRule="exact"/>
              <w:rPr>
                <w:sz w:val="20"/>
                <w:szCs w:val="20"/>
                <w:color w:val="auto"/>
              </w:rPr>
            </w:pPr>
            <w:r>
              <w:rPr>
                <w:rFonts w:ascii="Arial" w:cs="Arial" w:eastAsia="Arial" w:hAnsi="Arial"/>
                <w:sz w:val="14"/>
                <w:szCs w:val="14"/>
                <w:b w:val="1"/>
                <w:bCs w:val="1"/>
                <w:color w:val="auto"/>
              </w:rPr>
              <w:t>(50.9)</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(50.9)</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0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Contributions from noncontrolling interest</w:t>
            </w:r>
          </w:p>
        </w:tc>
        <w:tc>
          <w:tcPr>
            <w:tcW w:w="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2.2</w:t>
            </w: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2.2</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3080" w:type="dxa"/>
            <w:vAlign w:val="bottom"/>
            <w:gridSpan w:val="2"/>
          </w:tcPr>
          <w:p>
            <w:pPr>
              <w:spacing w:after="0" w:line="130" w:lineRule="exact"/>
              <w:rPr>
                <w:sz w:val="20"/>
                <w:szCs w:val="20"/>
                <w:color w:val="auto"/>
              </w:rPr>
            </w:pPr>
            <w:r>
              <w:rPr>
                <w:rFonts w:ascii="Arial" w:cs="Arial" w:eastAsia="Arial" w:hAnsi="Arial"/>
                <w:sz w:val="14"/>
                <w:szCs w:val="14"/>
                <w:color w:val="auto"/>
                <w:w w:val="98"/>
              </w:rPr>
              <w:t>Adjustments to redemption amount of redeemable</w:t>
            </w: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20" w:type="dxa"/>
            <w:vAlign w:val="bottom"/>
            <w:gridSpan w:val="2"/>
            <w:vMerge w:val="restart"/>
          </w:tcPr>
          <w:p>
            <w:pPr>
              <w:jc w:val="right"/>
              <w:ind w:right="200"/>
              <w:spacing w:after="0"/>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1"/>
                <w:szCs w:val="11"/>
                <w:color w:val="auto"/>
              </w:rPr>
            </w:pPr>
          </w:p>
        </w:tc>
        <w:tc>
          <w:tcPr>
            <w:tcW w:w="720" w:type="dxa"/>
            <w:vAlign w:val="bottom"/>
            <w:gridSpan w:val="2"/>
            <w:vMerge w:val="restart"/>
          </w:tcPr>
          <w:p>
            <w:pPr>
              <w:jc w:val="right"/>
              <w:ind w:right="80"/>
              <w:spacing w:after="0"/>
              <w:rPr>
                <w:sz w:val="20"/>
                <w:szCs w:val="20"/>
                <w:color w:val="auto"/>
              </w:rPr>
            </w:pPr>
            <w:r>
              <w:rPr>
                <w:rFonts w:ascii="Arial" w:cs="Arial" w:eastAsia="Arial" w:hAnsi="Arial"/>
                <w:sz w:val="14"/>
                <w:szCs w:val="14"/>
                <w:b w:val="1"/>
                <w:bCs w:val="1"/>
                <w:color w:val="auto"/>
              </w:rPr>
              <w:t>(0.1)</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20" w:type="dxa"/>
            <w:vAlign w:val="bottom"/>
            <w:gridSpan w:val="2"/>
            <w:vMerge w:val="restart"/>
          </w:tcPr>
          <w:p>
            <w:pPr>
              <w:jc w:val="right"/>
              <w:ind w:right="200"/>
              <w:spacing w:after="0"/>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1"/>
                <w:szCs w:val="11"/>
                <w:color w:val="auto"/>
              </w:rPr>
            </w:pPr>
          </w:p>
        </w:tc>
        <w:tc>
          <w:tcPr>
            <w:tcW w:w="920" w:type="dxa"/>
            <w:vAlign w:val="bottom"/>
            <w:gridSpan w:val="2"/>
            <w:vMerge w:val="restart"/>
          </w:tcPr>
          <w:p>
            <w:pPr>
              <w:jc w:val="right"/>
              <w:ind w:right="200"/>
              <w:spacing w:after="0"/>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1"/>
                <w:szCs w:val="11"/>
                <w:color w:val="auto"/>
              </w:rPr>
            </w:pPr>
          </w:p>
        </w:tc>
        <w:tc>
          <w:tcPr>
            <w:tcW w:w="740" w:type="dxa"/>
            <w:vAlign w:val="bottom"/>
            <w:gridSpan w:val="2"/>
            <w:vMerge w:val="restart"/>
          </w:tcPr>
          <w:p>
            <w:pPr>
              <w:jc w:val="right"/>
              <w:ind w:right="120"/>
              <w:spacing w:after="0"/>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20" w:type="dxa"/>
            <w:vAlign w:val="bottom"/>
            <w:gridSpan w:val="2"/>
            <w:vMerge w:val="restart"/>
          </w:tcPr>
          <w:p>
            <w:pPr>
              <w:jc w:val="right"/>
              <w:ind w:right="140"/>
              <w:spacing w:after="0"/>
              <w:rPr>
                <w:sz w:val="20"/>
                <w:szCs w:val="20"/>
                <w:color w:val="auto"/>
              </w:rPr>
            </w:pPr>
            <w:r>
              <w:rPr>
                <w:rFonts w:ascii="Arial" w:cs="Arial" w:eastAsia="Arial" w:hAnsi="Arial"/>
                <w:sz w:val="14"/>
                <w:szCs w:val="14"/>
                <w:b w:val="1"/>
                <w:bCs w:val="1"/>
                <w:color w:val="auto"/>
              </w:rPr>
              <w:t>(0.2)</w:t>
            </w: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8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(0.3)</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3080" w:type="dxa"/>
            <w:vAlign w:val="bottom"/>
            <w:gridSpan w:val="2"/>
          </w:tcPr>
          <w:p>
            <w:pPr>
              <w:ind w:left="120"/>
              <w:spacing w:after="0"/>
              <w:rPr>
                <w:sz w:val="20"/>
                <w:szCs w:val="20"/>
                <w:color w:val="auto"/>
              </w:rPr>
            </w:pPr>
            <w:r>
              <w:rPr>
                <w:rFonts w:ascii="Arial" w:cs="Arial" w:eastAsia="Arial" w:hAnsi="Arial"/>
                <w:sz w:val="14"/>
                <w:szCs w:val="14"/>
                <w:color w:val="auto"/>
              </w:rPr>
              <w:t>noncontrolling interest</w:t>
            </w: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72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92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20" w:type="dxa"/>
            <w:vAlign w:val="bottom"/>
            <w:gridSpan w:val="2"/>
            <w:vMerge w:val="continue"/>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8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0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Adjustment for reinsurance</w:t>
            </w:r>
          </w:p>
        </w:tc>
        <w:tc>
          <w:tcPr>
            <w:tcW w:w="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131.8</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131.8</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080" w:type="dxa"/>
            <w:vAlign w:val="bottom"/>
            <w:gridSpan w:val="2"/>
          </w:tcPr>
          <w:p>
            <w:pPr>
              <w:spacing w:after="0" w:line="149" w:lineRule="exact"/>
              <w:rPr>
                <w:sz w:val="20"/>
                <w:szCs w:val="20"/>
                <w:color w:val="auto"/>
              </w:rPr>
            </w:pPr>
            <w:r>
              <w:rPr>
                <w:rFonts w:ascii="Arial" w:cs="Arial" w:eastAsia="Arial" w:hAnsi="Arial"/>
                <w:sz w:val="14"/>
                <w:szCs w:val="14"/>
                <w:color w:val="auto"/>
              </w:rPr>
              <w:t>Net income (1)</w:t>
            </w: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gridSpan w:val="2"/>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720" w:type="dxa"/>
            <w:vAlign w:val="bottom"/>
            <w:gridSpan w:val="2"/>
          </w:tcPr>
          <w:p>
            <w:pPr>
              <w:jc w:val="right"/>
              <w:ind w:right="12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3,059.4</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20" w:type="dxa"/>
            <w:vAlign w:val="bottom"/>
            <w:gridSpan w:val="2"/>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740" w:type="dxa"/>
            <w:vAlign w:val="bottom"/>
            <w:gridSpan w:val="2"/>
          </w:tcPr>
          <w:p>
            <w:pPr>
              <w:jc w:val="right"/>
              <w:ind w:right="12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38.3</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3,097.7</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Other comprehensive loss (1)</w:t>
            </w:r>
          </w:p>
        </w:tc>
        <w:tc>
          <w:tcPr>
            <w:tcW w:w="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b w:val="1"/>
                <w:bCs w:val="1"/>
                <w:color w:val="auto"/>
              </w:rPr>
              <w:t>(3,841.3)</w:t>
            </w: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b w:val="1"/>
                <w:bCs w:val="1"/>
                <w:color w:val="auto"/>
              </w:rPr>
              <w:t>(2.9)</w:t>
            </w: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(3,844.2)</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080" w:type="dxa"/>
            <w:vAlign w:val="bottom"/>
            <w:gridSpan w:val="2"/>
          </w:tcPr>
          <w:p>
            <w:pPr>
              <w:spacing w:after="0" w:line="142" w:lineRule="exact"/>
              <w:rPr>
                <w:sz w:val="20"/>
                <w:szCs w:val="20"/>
                <w:color w:val="auto"/>
              </w:rPr>
            </w:pPr>
            <w:r>
              <w:rPr>
                <w:rFonts w:ascii="Arial" w:cs="Arial" w:eastAsia="Arial" w:hAnsi="Arial"/>
                <w:sz w:val="14"/>
                <w:szCs w:val="14"/>
                <w:b w:val="1"/>
                <w:bCs w:val="1"/>
                <w:color w:val="auto"/>
              </w:rPr>
              <w:t>Balances as of June 30, 2022</w:t>
            </w:r>
          </w:p>
        </w:tc>
        <w:tc>
          <w:tcPr>
            <w:tcW w:w="20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76"/>
              </w:rPr>
              <w:t>$</w:t>
            </w:r>
          </w:p>
        </w:tc>
        <w:tc>
          <w:tcPr>
            <w:tcW w:w="6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4.9</w:t>
            </w:r>
          </w:p>
        </w:tc>
        <w:tc>
          <w:tcPr>
            <w:tcW w:w="140" w:type="dxa"/>
            <w:vAlign w:val="bottom"/>
          </w:tcPr>
          <w:p>
            <w:pPr>
              <w:spacing w:after="0"/>
              <w:rPr>
                <w:sz w:val="12"/>
                <w:szCs w:val="12"/>
                <w:color w:val="auto"/>
              </w:rPr>
            </w:pPr>
          </w:p>
        </w:tc>
        <w:tc>
          <w:tcPr>
            <w:tcW w:w="1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76"/>
              </w:rPr>
              <w:t>$</w:t>
            </w:r>
          </w:p>
        </w:tc>
        <w:tc>
          <w:tcPr>
            <w:tcW w:w="6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10,553.5</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6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15,985.6</w:t>
            </w:r>
          </w:p>
        </w:tc>
        <w:tc>
          <w:tcPr>
            <w:tcW w:w="160" w:type="dxa"/>
            <w:vAlign w:val="bottom"/>
          </w:tcPr>
          <w:p>
            <w:pPr>
              <w:spacing w:after="0"/>
              <w:rPr>
                <w:sz w:val="12"/>
                <w:szCs w:val="12"/>
                <w:color w:val="auto"/>
              </w:rPr>
            </w:pPr>
          </w:p>
        </w:tc>
        <w:tc>
          <w:tcPr>
            <w:tcW w:w="160" w:type="dxa"/>
            <w:vAlign w:val="bottom"/>
            <w:tcBorders>
              <w:top w:val="single" w:sz="8" w:color="auto"/>
              <w:bottom w:val="single" w:sz="8" w:color="auto"/>
            </w:tcBorders>
          </w:tcPr>
          <w:p>
            <w:pPr>
              <w:spacing w:after="0" w:line="142" w:lineRule="exact"/>
              <w:rPr>
                <w:sz w:val="20"/>
                <w:szCs w:val="20"/>
                <w:color w:val="auto"/>
              </w:rPr>
            </w:pPr>
            <w:r>
              <w:rPr>
                <w:rFonts w:ascii="Arial" w:cs="Arial" w:eastAsia="Arial" w:hAnsi="Arial"/>
                <w:sz w:val="14"/>
                <w:szCs w:val="14"/>
                <w:b w:val="1"/>
                <w:bCs w:val="1"/>
                <w:color w:val="auto"/>
              </w:rPr>
              <w:t>$</w:t>
            </w:r>
          </w:p>
        </w:tc>
        <w:tc>
          <w:tcPr>
            <w:tcW w:w="7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(5,630.1)</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6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(9,877.1)</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Borders>
              <w:top w:val="single" w:sz="8" w:color="auto"/>
              <w:bottom w:val="single" w:sz="8" w:color="auto"/>
            </w:tcBorders>
          </w:tcPr>
          <w:p>
            <w:pPr>
              <w:spacing w:after="0" w:line="142" w:lineRule="exact"/>
              <w:rPr>
                <w:sz w:val="20"/>
                <w:szCs w:val="20"/>
                <w:color w:val="auto"/>
              </w:rPr>
            </w:pPr>
            <w:r>
              <w:rPr>
                <w:rFonts w:ascii="Arial" w:cs="Arial" w:eastAsia="Arial" w:hAnsi="Arial"/>
                <w:sz w:val="14"/>
                <w:szCs w:val="14"/>
                <w:b w:val="1"/>
                <w:bCs w:val="1"/>
                <w:color w:val="auto"/>
              </w:rPr>
              <w:t>$</w:t>
            </w:r>
          </w:p>
        </w:tc>
        <w:tc>
          <w:tcPr>
            <w:tcW w:w="7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41.8</w:t>
            </w:r>
          </w:p>
        </w:tc>
        <w:tc>
          <w:tcPr>
            <w:tcW w:w="140" w:type="dxa"/>
            <w:vAlign w:val="bottom"/>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140" w:type="dxa"/>
            <w:vAlign w:val="bottom"/>
            <w:tcBorders>
              <w:top w:val="single" w:sz="8" w:color="auto"/>
              <w:bottom w:val="single" w:sz="8" w:color="auto"/>
            </w:tcBorders>
          </w:tcPr>
          <w:p>
            <w:pPr>
              <w:spacing w:after="0" w:line="142" w:lineRule="exact"/>
              <w:rPr>
                <w:sz w:val="20"/>
                <w:szCs w:val="20"/>
                <w:color w:val="auto"/>
              </w:rPr>
            </w:pPr>
            <w:r>
              <w:rPr>
                <w:rFonts w:ascii="Arial" w:cs="Arial" w:eastAsia="Arial" w:hAnsi="Arial"/>
                <w:sz w:val="14"/>
                <w:szCs w:val="14"/>
                <w:b w:val="1"/>
                <w:bCs w:val="1"/>
                <w:color w:val="auto"/>
              </w:rPr>
              <w:t>$</w:t>
            </w:r>
          </w:p>
        </w:tc>
        <w:tc>
          <w:tcPr>
            <w:tcW w:w="6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11,078.</w:t>
            </w:r>
            <w:r>
              <w:rPr>
                <w:rFonts w:ascii="Arial" w:cs="Arial" w:eastAsia="Arial" w:hAnsi="Arial"/>
                <w:sz w:val="14"/>
                <w:szCs w:val="14"/>
                <w:b w:val="1"/>
                <w:bCs w:val="1"/>
                <w:u w:val="single" w:color="auto"/>
                <w:color w:val="auto"/>
              </w:rPr>
              <w:t>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8"/>
        </w:trPr>
        <w:tc>
          <w:tcPr>
            <w:tcW w:w="20" w:type="dxa"/>
            <w:vAlign w:val="bottom"/>
          </w:tcPr>
          <w:p>
            <w:pPr>
              <w:spacing w:after="0"/>
              <w:rPr>
                <w:sz w:val="7"/>
                <w:szCs w:val="7"/>
                <w:color w:val="auto"/>
              </w:rPr>
            </w:pPr>
          </w:p>
        </w:tc>
        <w:tc>
          <w:tcPr>
            <w:tcW w:w="2460" w:type="dxa"/>
            <w:vAlign w:val="bottom"/>
            <w:tcBorders>
              <w:bottom w:val="single" w:sz="8" w:color="auto"/>
            </w:tcBorders>
          </w:tcPr>
          <w:p>
            <w:pPr>
              <w:spacing w:after="0"/>
              <w:rPr>
                <w:sz w:val="7"/>
                <w:szCs w:val="7"/>
                <w:color w:val="auto"/>
              </w:rPr>
            </w:pPr>
          </w:p>
        </w:tc>
        <w:tc>
          <w:tcPr>
            <w:tcW w:w="620" w:type="dxa"/>
            <w:vAlign w:val="bottom"/>
          </w:tcPr>
          <w:p>
            <w:pPr>
              <w:spacing w:after="0"/>
              <w:rPr>
                <w:sz w:val="7"/>
                <w:szCs w:val="7"/>
                <w:color w:val="auto"/>
              </w:rPr>
            </w:pPr>
          </w:p>
        </w:tc>
        <w:tc>
          <w:tcPr>
            <w:tcW w:w="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80" w:type="dxa"/>
            <w:vAlign w:val="bottom"/>
          </w:tcPr>
          <w:p>
            <w:pPr>
              <w:spacing w:after="0"/>
              <w:rPr>
                <w:sz w:val="7"/>
                <w:szCs w:val="7"/>
                <w:color w:val="auto"/>
              </w:rPr>
            </w:pPr>
          </w:p>
        </w:tc>
        <w:tc>
          <w:tcPr>
            <w:tcW w:w="14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660" w:type="dxa"/>
            <w:vAlign w:val="bottom"/>
          </w:tcPr>
          <w:p>
            <w:pPr>
              <w:spacing w:after="0"/>
              <w:rPr>
                <w:sz w:val="7"/>
                <w:szCs w:val="7"/>
                <w:color w:val="auto"/>
              </w:rPr>
            </w:pPr>
          </w:p>
        </w:tc>
        <w:tc>
          <w:tcPr>
            <w:tcW w:w="160" w:type="dxa"/>
            <w:vAlign w:val="bottom"/>
          </w:tcPr>
          <w:p>
            <w:pPr>
              <w:spacing w:after="0"/>
              <w:rPr>
                <w:sz w:val="7"/>
                <w:szCs w:val="7"/>
                <w:color w:val="auto"/>
              </w:rPr>
            </w:pPr>
          </w:p>
        </w:tc>
        <w:tc>
          <w:tcPr>
            <w:tcW w:w="160" w:type="dxa"/>
            <w:vAlign w:val="bottom"/>
          </w:tcPr>
          <w:p>
            <w:pPr>
              <w:spacing w:after="0"/>
              <w:rPr>
                <w:sz w:val="7"/>
                <w:szCs w:val="7"/>
                <w:color w:val="auto"/>
              </w:rPr>
            </w:pPr>
          </w:p>
        </w:tc>
        <w:tc>
          <w:tcPr>
            <w:tcW w:w="76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68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160" w:type="dxa"/>
            <w:vAlign w:val="bottom"/>
          </w:tcPr>
          <w:p>
            <w:pPr>
              <w:spacing w:after="0"/>
              <w:rPr>
                <w:sz w:val="7"/>
                <w:szCs w:val="7"/>
                <w:color w:val="auto"/>
              </w:rPr>
            </w:pPr>
          </w:p>
        </w:tc>
        <w:tc>
          <w:tcPr>
            <w:tcW w:w="780" w:type="dxa"/>
            <w:vAlign w:val="bottom"/>
          </w:tcPr>
          <w:p>
            <w:pPr>
              <w:spacing w:after="0"/>
              <w:rPr>
                <w:sz w:val="7"/>
                <w:szCs w:val="7"/>
                <w:color w:val="auto"/>
              </w:rPr>
            </w:pPr>
          </w:p>
        </w:tc>
        <w:tc>
          <w:tcPr>
            <w:tcW w:w="140" w:type="dxa"/>
            <w:vAlign w:val="bottom"/>
          </w:tcPr>
          <w:p>
            <w:pPr>
              <w:spacing w:after="0"/>
              <w:rPr>
                <w:sz w:val="7"/>
                <w:szCs w:val="7"/>
                <w:color w:val="auto"/>
              </w:rPr>
            </w:pPr>
          </w:p>
        </w:tc>
        <w:tc>
          <w:tcPr>
            <w:tcW w:w="20" w:type="dxa"/>
            <w:vAlign w:val="bottom"/>
          </w:tcPr>
          <w:p>
            <w:pPr>
              <w:spacing w:after="0"/>
              <w:rPr>
                <w:sz w:val="7"/>
                <w:szCs w:val="7"/>
                <w:color w:val="auto"/>
              </w:rPr>
            </w:pPr>
          </w:p>
        </w:tc>
        <w:tc>
          <w:tcPr>
            <w:tcW w:w="140" w:type="dxa"/>
            <w:vAlign w:val="bottom"/>
          </w:tcPr>
          <w:p>
            <w:pPr>
              <w:spacing w:after="0"/>
              <w:rPr>
                <w:sz w:val="7"/>
                <w:szCs w:val="7"/>
                <w:color w:val="auto"/>
              </w:rPr>
            </w:pPr>
          </w:p>
        </w:tc>
        <w:tc>
          <w:tcPr>
            <w:tcW w:w="68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80" w:lineRule="exact"/>
        <w:rPr>
          <w:sz w:val="20"/>
          <w:szCs w:val="20"/>
          <w:color w:val="auto"/>
        </w:rPr>
      </w:pPr>
    </w:p>
    <w:p>
      <w:pPr>
        <w:spacing w:after="0"/>
        <w:rPr>
          <w:sz w:val="20"/>
          <w:szCs w:val="20"/>
          <w:color w:val="auto"/>
        </w:rPr>
      </w:pPr>
      <w:r>
        <w:rPr>
          <w:rFonts w:ascii="Arial" w:cs="Arial" w:eastAsia="Arial" w:hAnsi="Arial"/>
          <w:sz w:val="17"/>
          <w:szCs w:val="17"/>
          <w:color w:val="auto"/>
        </w:rPr>
        <w:t>(1) Excludes amounts attributable to redeemable noncontrolling interest. See Note 11, Stockholders’ Equity, for further details.</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notes.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54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6" w:name="page7"/>
    <w:bookmarkEnd w:id="6"/>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Stockholders’ Equity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60" w:type="dxa"/>
            <w:vAlign w:val="bottom"/>
            <w:gridSpan w:val="3"/>
            <w:vMerge w:val="restart"/>
          </w:tcPr>
          <w:p>
            <w:pPr>
              <w:jc w:val="center"/>
              <w:ind w:right="80"/>
              <w:spacing w:after="0"/>
              <w:rPr>
                <w:sz w:val="20"/>
                <w:szCs w:val="20"/>
                <w:color w:val="auto"/>
              </w:rPr>
            </w:pPr>
            <w:r>
              <w:rPr>
                <w:rFonts w:ascii="Arial" w:cs="Arial" w:eastAsia="Arial" w:hAnsi="Arial"/>
                <w:sz w:val="14"/>
                <w:szCs w:val="14"/>
                <w:b w:val="1"/>
                <w:bCs w:val="1"/>
                <w:color w:val="auto"/>
                <w:w w:val="96"/>
              </w:rPr>
              <w:t>Additional</w:t>
            </w: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6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93"/>
              </w:rPr>
              <w:t>Accumulated</w:t>
            </w:r>
          </w:p>
        </w:tc>
        <w:tc>
          <w:tcPr>
            <w:tcW w:w="1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80" w:type="dxa"/>
            <w:vAlign w:val="bottom"/>
            <w:vMerge w:val="restart"/>
          </w:tcPr>
          <w:p>
            <w:pPr>
              <w:jc w:val="right"/>
              <w:ind w:right="188"/>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4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vMerge w:val="restart"/>
          </w:tcPr>
          <w:p>
            <w:pPr>
              <w:jc w:val="right"/>
              <w:ind w:right="28"/>
              <w:spacing w:after="0"/>
              <w:rPr>
                <w:sz w:val="20"/>
                <w:szCs w:val="20"/>
                <w:color w:val="auto"/>
              </w:rPr>
            </w:pPr>
            <w:r>
              <w:rPr>
                <w:rFonts w:ascii="Arial" w:cs="Arial" w:eastAsia="Arial" w:hAnsi="Arial"/>
                <w:sz w:val="14"/>
                <w:szCs w:val="14"/>
                <w:b w:val="1"/>
                <w:bCs w:val="1"/>
                <w:color w:val="auto"/>
                <w:w w:val="92"/>
              </w:rPr>
              <w:t>Common</w:t>
            </w:r>
          </w:p>
        </w:tc>
        <w:tc>
          <w:tcPr>
            <w:tcW w:w="140" w:type="dxa"/>
            <w:vAlign w:val="bottom"/>
          </w:tcPr>
          <w:p>
            <w:pPr>
              <w:spacing w:after="0"/>
              <w:rPr>
                <w:sz w:val="12"/>
                <w:szCs w:val="12"/>
                <w:color w:val="auto"/>
              </w:rPr>
            </w:pPr>
          </w:p>
        </w:tc>
        <w:tc>
          <w:tcPr>
            <w:tcW w:w="860" w:type="dxa"/>
            <w:vAlign w:val="bottom"/>
            <w:gridSpan w:val="3"/>
            <w:vMerge w:val="continue"/>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Retained</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1"/>
              </w:rPr>
              <w:t>other</w:t>
            </w:r>
          </w:p>
        </w:tc>
        <w:tc>
          <w:tcPr>
            <w:tcW w:w="100" w:type="dxa"/>
            <w:vAlign w:val="bottom"/>
          </w:tcPr>
          <w:p>
            <w:pPr>
              <w:spacing w:after="0"/>
              <w:rPr>
                <w:sz w:val="12"/>
                <w:szCs w:val="12"/>
                <w:color w:val="auto"/>
              </w:rPr>
            </w:pPr>
          </w:p>
        </w:tc>
        <w:tc>
          <w:tcPr>
            <w:tcW w:w="82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4"/>
              </w:rPr>
              <w:t>Treasury</w:t>
            </w:r>
          </w:p>
        </w:tc>
        <w:tc>
          <w:tcPr>
            <w:tcW w:w="1020" w:type="dxa"/>
            <w:vAlign w:val="bottom"/>
            <w:gridSpan w:val="3"/>
            <w:vMerge w:val="restart"/>
          </w:tcPr>
          <w:p>
            <w:pPr>
              <w:ind w:left="20"/>
              <w:spacing w:after="0"/>
              <w:rPr>
                <w:sz w:val="20"/>
                <w:szCs w:val="20"/>
                <w:color w:val="auto"/>
              </w:rPr>
            </w:pPr>
            <w:r>
              <w:rPr>
                <w:rFonts w:ascii="Arial" w:cs="Arial" w:eastAsia="Arial" w:hAnsi="Arial"/>
                <w:sz w:val="14"/>
                <w:szCs w:val="14"/>
                <w:b w:val="1"/>
                <w:bCs w:val="1"/>
                <w:color w:val="auto"/>
                <w:w w:val="98"/>
              </w:rPr>
              <w:t>Noncontrolling</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4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5"/>
              </w:rPr>
              <w:t>paid-in</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106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comprehensive</w:t>
            </w:r>
          </w:p>
        </w:tc>
        <w:tc>
          <w:tcPr>
            <w:tcW w:w="100" w:type="dxa"/>
            <w:vAlign w:val="bottom"/>
          </w:tcPr>
          <w:p>
            <w:pPr>
              <w:spacing w:after="0"/>
              <w:rPr>
                <w:sz w:val="12"/>
                <w:szCs w:val="12"/>
                <w:color w:val="auto"/>
              </w:rPr>
            </w:pPr>
          </w:p>
        </w:tc>
        <w:tc>
          <w:tcPr>
            <w:tcW w:w="820" w:type="dxa"/>
            <w:vAlign w:val="bottom"/>
            <w:gridSpan w:val="2"/>
            <w:vMerge w:val="continue"/>
          </w:tcPr>
          <w:p>
            <w:pPr>
              <w:spacing w:after="0"/>
              <w:rPr>
                <w:sz w:val="12"/>
                <w:szCs w:val="12"/>
                <w:color w:val="auto"/>
              </w:rPr>
            </w:pPr>
          </w:p>
        </w:tc>
        <w:tc>
          <w:tcPr>
            <w:tcW w:w="1020" w:type="dxa"/>
            <w:vAlign w:val="bottom"/>
            <w:gridSpan w:val="3"/>
            <w:vMerge w:val="continue"/>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w w:val="90"/>
              </w:rPr>
              <w:t>stockholders’</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tcPr>
          <w:p>
            <w:pPr>
              <w:jc w:val="right"/>
              <w:ind w:right="148"/>
              <w:spacing w:after="0"/>
              <w:rPr>
                <w:sz w:val="20"/>
                <w:szCs w:val="20"/>
                <w:color w:val="auto"/>
              </w:rPr>
            </w:pPr>
            <w:r>
              <w:rPr>
                <w:rFonts w:ascii="Arial" w:cs="Arial" w:eastAsia="Arial" w:hAnsi="Arial"/>
                <w:sz w:val="14"/>
                <w:szCs w:val="14"/>
                <w:b w:val="1"/>
                <w:bCs w:val="1"/>
                <w:color w:val="auto"/>
              </w:rPr>
              <w:t>stock</w:t>
            </w:r>
          </w:p>
        </w:tc>
        <w:tc>
          <w:tcPr>
            <w:tcW w:w="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4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4"/>
              </w:rPr>
              <w:t>capital</w:t>
            </w: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40" w:type="dxa"/>
            <w:vAlign w:val="bottom"/>
            <w:gridSpan w:val="2"/>
          </w:tcPr>
          <w:p>
            <w:pPr>
              <w:ind w:left="20"/>
              <w:spacing w:after="0"/>
              <w:rPr>
                <w:sz w:val="20"/>
                <w:szCs w:val="20"/>
                <w:color w:val="auto"/>
              </w:rPr>
            </w:pPr>
            <w:r>
              <w:rPr>
                <w:rFonts w:ascii="Arial" w:cs="Arial" w:eastAsia="Arial" w:hAnsi="Arial"/>
                <w:sz w:val="14"/>
                <w:szCs w:val="14"/>
                <w:b w:val="1"/>
                <w:bCs w:val="1"/>
                <w:color w:val="auto"/>
              </w:rPr>
              <w:t>earnings</w:t>
            </w:r>
          </w:p>
        </w:tc>
        <w:tc>
          <w:tcPr>
            <w:tcW w:w="80" w:type="dxa"/>
            <w:vAlign w:val="bottom"/>
          </w:tcPr>
          <w:p>
            <w:pPr>
              <w:spacing w:after="0"/>
              <w:rPr>
                <w:sz w:val="14"/>
                <w:szCs w:val="14"/>
                <w:color w:val="auto"/>
              </w:rPr>
            </w:pPr>
          </w:p>
        </w:tc>
        <w:tc>
          <w:tcPr>
            <w:tcW w:w="1060" w:type="dxa"/>
            <w:vAlign w:val="bottom"/>
            <w:gridSpan w:val="3"/>
          </w:tcPr>
          <w:p>
            <w:pPr>
              <w:jc w:val="center"/>
              <w:ind w:right="140"/>
              <w:spacing w:after="0"/>
              <w:rPr>
                <w:sz w:val="20"/>
                <w:szCs w:val="20"/>
                <w:color w:val="auto"/>
              </w:rPr>
            </w:pPr>
            <w:r>
              <w:rPr>
                <w:rFonts w:ascii="Arial" w:cs="Arial" w:eastAsia="Arial" w:hAnsi="Arial"/>
                <w:sz w:val="14"/>
                <w:szCs w:val="14"/>
                <w:b w:val="1"/>
                <w:bCs w:val="1"/>
                <w:color w:val="auto"/>
                <w:w w:val="88"/>
              </w:rPr>
              <w:t>income (loss)</w:t>
            </w:r>
          </w:p>
        </w:tc>
        <w:tc>
          <w:tcPr>
            <w:tcW w:w="100" w:type="dxa"/>
            <w:vAlign w:val="bottom"/>
          </w:tcPr>
          <w:p>
            <w:pPr>
              <w:spacing w:after="0"/>
              <w:rPr>
                <w:sz w:val="14"/>
                <w:szCs w:val="14"/>
                <w:color w:val="auto"/>
              </w:rPr>
            </w:pPr>
          </w:p>
        </w:tc>
        <w:tc>
          <w:tcPr>
            <w:tcW w:w="8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7"/>
              </w:rPr>
              <w:t>stock</w:t>
            </w:r>
          </w:p>
        </w:tc>
        <w:tc>
          <w:tcPr>
            <w:tcW w:w="160" w:type="dxa"/>
            <w:vAlign w:val="bottom"/>
          </w:tcPr>
          <w:p>
            <w:pPr>
              <w:spacing w:after="0"/>
              <w:rPr>
                <w:sz w:val="14"/>
                <w:szCs w:val="14"/>
                <w:color w:val="auto"/>
              </w:rPr>
            </w:pPr>
          </w:p>
        </w:tc>
        <w:tc>
          <w:tcPr>
            <w:tcW w:w="860" w:type="dxa"/>
            <w:vAlign w:val="bottom"/>
            <w:gridSpan w:val="2"/>
          </w:tcPr>
          <w:p>
            <w:pPr>
              <w:ind w:left="100"/>
              <w:spacing w:after="0"/>
              <w:rPr>
                <w:sz w:val="20"/>
                <w:szCs w:val="20"/>
                <w:color w:val="auto"/>
              </w:rPr>
            </w:pPr>
            <w:r>
              <w:rPr>
                <w:rFonts w:ascii="Arial" w:cs="Arial" w:eastAsia="Arial" w:hAnsi="Arial"/>
                <w:sz w:val="14"/>
                <w:szCs w:val="14"/>
                <w:b w:val="1"/>
                <w:bCs w:val="1"/>
                <w:color w:val="auto"/>
              </w:rPr>
              <w:t>interest</w:t>
            </w: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80" w:type="dxa"/>
            <w:vAlign w:val="bottom"/>
          </w:tcPr>
          <w:p>
            <w:pPr>
              <w:jc w:val="right"/>
              <w:ind w:right="148"/>
              <w:spacing w:after="0"/>
              <w:rPr>
                <w:sz w:val="20"/>
                <w:szCs w:val="20"/>
                <w:color w:val="auto"/>
              </w:rPr>
            </w:pPr>
            <w:r>
              <w:rPr>
                <w:rFonts w:ascii="Arial" w:cs="Arial" w:eastAsia="Arial" w:hAnsi="Arial"/>
                <w:sz w:val="14"/>
                <w:szCs w:val="14"/>
                <w:b w:val="1"/>
                <w:bCs w:val="1"/>
                <w:color w:val="auto"/>
              </w:rPr>
              <w:t>equity</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24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68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660" w:type="dxa"/>
            <w:vAlign w:val="bottom"/>
            <w:tcBorders>
              <w:top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680" w:type="dxa"/>
            <w:vAlign w:val="bottom"/>
            <w:tcBorders>
              <w:top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760" w:type="dxa"/>
            <w:vAlign w:val="bottom"/>
            <w:tcBorders>
              <w:top w:val="single" w:sz="8" w:color="auto"/>
            </w:tcBorders>
          </w:tcPr>
          <w:p>
            <w:pPr>
              <w:jc w:val="right"/>
              <w:spacing w:after="0" w:line="129" w:lineRule="exact"/>
              <w:rPr>
                <w:sz w:val="20"/>
                <w:szCs w:val="20"/>
                <w:color w:val="auto"/>
              </w:rPr>
            </w:pPr>
            <w:r>
              <w:rPr>
                <w:rFonts w:ascii="Arial" w:cs="Arial" w:eastAsia="Arial" w:hAnsi="Arial"/>
                <w:sz w:val="14"/>
                <w:szCs w:val="14"/>
                <w:i w:val="1"/>
                <w:iCs w:val="1"/>
                <w:color w:val="auto"/>
              </w:rPr>
              <w:t>(in millions)</w:t>
            </w:r>
          </w:p>
        </w:tc>
        <w:tc>
          <w:tcPr>
            <w:tcW w:w="14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68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800" w:type="dxa"/>
            <w:vAlign w:val="bottom"/>
            <w:tcBorders>
              <w:top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680" w:type="dxa"/>
            <w:vAlign w:val="bottom"/>
            <w:tcBorders>
              <w:top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Balances as of January 1, 2021</w:t>
            </w:r>
          </w:p>
        </w:tc>
        <w:tc>
          <w:tcPr>
            <w:tcW w:w="2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4.8</w:t>
            </w:r>
          </w:p>
        </w:tc>
        <w:tc>
          <w:tcPr>
            <w:tcW w:w="2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10,321.6</w:t>
            </w:r>
          </w:p>
        </w:tc>
        <w:tc>
          <w:tcPr>
            <w:tcW w:w="80" w:type="dxa"/>
            <w:vAlign w:val="bottom"/>
            <w:shd w:val="clear" w:color="auto" w:fill="CCEEFF"/>
          </w:tcPr>
          <w:p>
            <w:pPr>
              <w:spacing w:after="0"/>
              <w:rPr>
                <w:sz w:val="12"/>
                <w:szCs w:val="12"/>
                <w:color w:val="auto"/>
              </w:rPr>
            </w:pPr>
          </w:p>
        </w:tc>
        <w:tc>
          <w:tcPr>
            <w:tcW w:w="1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11,838.0</w:t>
            </w:r>
          </w:p>
        </w:tc>
        <w:tc>
          <w:tcPr>
            <w:tcW w:w="60" w:type="dxa"/>
            <w:vAlign w:val="bottom"/>
            <w:shd w:val="clear" w:color="auto" w:fill="CCEEFF"/>
          </w:tcPr>
          <w:p>
            <w:pPr>
              <w:spacing w:after="0"/>
              <w:rPr>
                <w:sz w:val="12"/>
                <w:szCs w:val="12"/>
                <w:color w:val="auto"/>
              </w:rPr>
            </w:pPr>
          </w:p>
        </w:tc>
        <w:tc>
          <w:tcPr>
            <w:tcW w:w="240" w:type="dxa"/>
            <w:vAlign w:val="bottom"/>
            <w:gridSpan w:val="2"/>
            <w:shd w:val="clear" w:color="auto" w:fill="CCEEFF"/>
          </w:tcPr>
          <w:p>
            <w:pPr>
              <w:ind w:left="80"/>
              <w:spacing w:after="0" w:line="149" w:lineRule="exact"/>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2,383.1</w:t>
            </w: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82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(7,988.6)</w:t>
            </w:r>
          </w:p>
        </w:tc>
        <w:tc>
          <w:tcPr>
            <w:tcW w:w="1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58.4</w:t>
            </w:r>
          </w:p>
        </w:tc>
        <w:tc>
          <w:tcPr>
            <w:tcW w:w="60" w:type="dxa"/>
            <w:vAlign w:val="bottom"/>
            <w:shd w:val="clear" w:color="auto" w:fill="CCEEFF"/>
          </w:tcPr>
          <w:p>
            <w:pPr>
              <w:spacing w:after="0"/>
              <w:rPr>
                <w:sz w:val="12"/>
                <w:szCs w:val="12"/>
                <w:color w:val="auto"/>
              </w:rPr>
            </w:pPr>
          </w:p>
        </w:tc>
        <w:tc>
          <w:tcPr>
            <w:tcW w:w="240" w:type="dxa"/>
            <w:vAlign w:val="bottom"/>
            <w:gridSpan w:val="2"/>
            <w:shd w:val="clear" w:color="auto" w:fill="CCEEFF"/>
          </w:tcPr>
          <w:p>
            <w:pPr>
              <w:ind w:left="80"/>
              <w:spacing w:after="0" w:line="149" w:lineRule="exact"/>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16,617.3</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060" w:type="dxa"/>
            <w:vAlign w:val="bottom"/>
            <w:gridSpan w:val="2"/>
          </w:tcPr>
          <w:p>
            <w:pPr>
              <w:spacing w:after="0" w:line="149" w:lineRule="exact"/>
              <w:rPr>
                <w:sz w:val="20"/>
                <w:szCs w:val="20"/>
                <w:color w:val="auto"/>
              </w:rPr>
            </w:pPr>
            <w:r>
              <w:rPr>
                <w:rFonts w:ascii="Arial" w:cs="Arial" w:eastAsia="Arial" w:hAnsi="Arial"/>
                <w:sz w:val="14"/>
                <w:szCs w:val="14"/>
                <w:color w:val="auto"/>
              </w:rPr>
              <w:t>Common stock issued</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42.9</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82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42.9</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0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Stock-based compensation</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58.7</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(4.5)</w:t>
            </w: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54.2</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060" w:type="dxa"/>
            <w:vAlign w:val="bottom"/>
            <w:gridSpan w:val="2"/>
          </w:tcPr>
          <w:p>
            <w:pPr>
              <w:spacing w:after="0" w:line="149" w:lineRule="exact"/>
              <w:rPr>
                <w:sz w:val="20"/>
                <w:szCs w:val="20"/>
                <w:color w:val="auto"/>
              </w:rPr>
            </w:pPr>
            <w:r>
              <w:rPr>
                <w:rFonts w:ascii="Arial" w:cs="Arial" w:eastAsia="Arial" w:hAnsi="Arial"/>
                <w:sz w:val="14"/>
                <w:szCs w:val="14"/>
                <w:color w:val="auto"/>
              </w:rPr>
              <w:t>Treasury stock acquired, common</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4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82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(381.6)</w:t>
            </w:r>
          </w:p>
        </w:tc>
        <w:tc>
          <w:tcPr>
            <w:tcW w:w="160" w:type="dxa"/>
            <w:vAlign w:val="bottom"/>
          </w:tcPr>
          <w:p>
            <w:pPr>
              <w:spacing w:after="0"/>
              <w:rPr>
                <w:sz w:val="12"/>
                <w:szCs w:val="12"/>
                <w:color w:val="auto"/>
              </w:rPr>
            </w:pPr>
          </w:p>
        </w:tc>
        <w:tc>
          <w:tcPr>
            <w:tcW w:w="8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(381.6)</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0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Dividends to common stockholders</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(317.4)</w:t>
            </w: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(317.4)</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60" w:type="dxa"/>
            <w:vAlign w:val="bottom"/>
            <w:gridSpan w:val="2"/>
          </w:tcPr>
          <w:p>
            <w:pPr>
              <w:spacing w:after="0" w:line="149" w:lineRule="exact"/>
              <w:rPr>
                <w:sz w:val="20"/>
                <w:szCs w:val="20"/>
                <w:color w:val="auto"/>
              </w:rPr>
            </w:pPr>
            <w:r>
              <w:rPr>
                <w:rFonts w:ascii="Arial" w:cs="Arial" w:eastAsia="Arial" w:hAnsi="Arial"/>
                <w:sz w:val="14"/>
                <w:szCs w:val="14"/>
                <w:color w:val="auto"/>
              </w:rPr>
              <w:t>Distributions to noncontrolling interest</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4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82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6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(3.4)</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(3.4)</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0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Contributions from noncontrolling interest</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3.8</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3.8</w:t>
            </w: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3060" w:type="dxa"/>
            <w:vAlign w:val="bottom"/>
            <w:gridSpan w:val="2"/>
          </w:tcPr>
          <w:p>
            <w:pPr>
              <w:spacing w:after="0" w:line="143" w:lineRule="exact"/>
              <w:rPr>
                <w:sz w:val="20"/>
                <w:szCs w:val="20"/>
                <w:color w:val="auto"/>
              </w:rPr>
            </w:pPr>
            <w:r>
              <w:rPr>
                <w:rFonts w:ascii="Arial" w:cs="Arial" w:eastAsia="Arial" w:hAnsi="Arial"/>
                <w:sz w:val="14"/>
                <w:szCs w:val="14"/>
                <w:color w:val="auto"/>
                <w:w w:val="97"/>
              </w:rPr>
              <w:t>Purchase of subsidiary shares from noncontrolling</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3060" w:type="dxa"/>
            <w:vAlign w:val="bottom"/>
            <w:gridSpan w:val="2"/>
          </w:tcPr>
          <w:p>
            <w:pPr>
              <w:ind w:left="120"/>
              <w:spacing w:after="0"/>
              <w:rPr>
                <w:sz w:val="20"/>
                <w:szCs w:val="20"/>
                <w:color w:val="auto"/>
              </w:rPr>
            </w:pPr>
            <w:r>
              <w:rPr>
                <w:rFonts w:ascii="Arial" w:cs="Arial" w:eastAsia="Arial" w:hAnsi="Arial"/>
                <w:sz w:val="14"/>
                <w:szCs w:val="14"/>
                <w:color w:val="auto"/>
              </w:rPr>
              <w:t>interest (1)</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40" w:type="dxa"/>
            <w:vAlign w:val="bottom"/>
            <w:gridSpan w:val="2"/>
          </w:tcPr>
          <w:p>
            <w:pPr>
              <w:jc w:val="right"/>
              <w:ind w:right="80"/>
              <w:spacing w:after="0"/>
              <w:rPr>
                <w:sz w:val="20"/>
                <w:szCs w:val="20"/>
                <w:color w:val="auto"/>
              </w:rPr>
            </w:pPr>
            <w:r>
              <w:rPr>
                <w:rFonts w:ascii="Arial" w:cs="Arial" w:eastAsia="Arial" w:hAnsi="Arial"/>
                <w:sz w:val="14"/>
                <w:szCs w:val="14"/>
                <w:color w:val="auto"/>
              </w:rPr>
              <w:t>(15.3)</w:t>
            </w: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4"/>
                <w:szCs w:val="14"/>
                <w:color w:val="auto"/>
              </w:rPr>
            </w:pPr>
          </w:p>
        </w:tc>
        <w:tc>
          <w:tcPr>
            <w:tcW w:w="8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4"/>
                <w:szCs w:val="14"/>
                <w:color w:val="auto"/>
              </w:rPr>
            </w:pPr>
          </w:p>
        </w:tc>
        <w:tc>
          <w:tcPr>
            <w:tcW w:w="860" w:type="dxa"/>
            <w:vAlign w:val="bottom"/>
            <w:gridSpan w:val="2"/>
          </w:tcPr>
          <w:p>
            <w:pPr>
              <w:jc w:val="right"/>
              <w:ind w:right="60"/>
              <w:spacing w:after="0"/>
              <w:rPr>
                <w:sz w:val="20"/>
                <w:szCs w:val="20"/>
                <w:color w:val="auto"/>
              </w:rPr>
            </w:pPr>
            <w:r>
              <w:rPr>
                <w:rFonts w:ascii="Arial" w:cs="Arial" w:eastAsia="Arial" w:hAnsi="Arial"/>
                <w:sz w:val="14"/>
                <w:szCs w:val="14"/>
                <w:color w:val="auto"/>
              </w:rPr>
              <w:t>(1.7)</w:t>
            </w: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(17.0)</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3060" w:type="dxa"/>
            <w:vAlign w:val="bottom"/>
            <w:gridSpan w:val="2"/>
            <w:shd w:val="clear" w:color="auto" w:fill="CCEEFF"/>
          </w:tcPr>
          <w:p>
            <w:pPr>
              <w:spacing w:after="0" w:line="130" w:lineRule="exact"/>
              <w:rPr>
                <w:sz w:val="20"/>
                <w:szCs w:val="20"/>
                <w:color w:val="auto"/>
              </w:rPr>
            </w:pPr>
            <w:r>
              <w:rPr>
                <w:rFonts w:ascii="Arial" w:cs="Arial" w:eastAsia="Arial" w:hAnsi="Arial"/>
                <w:sz w:val="14"/>
                <w:szCs w:val="14"/>
                <w:color w:val="auto"/>
                <w:w w:val="97"/>
              </w:rPr>
              <w:t>Adjustments to redemption amount of redeemable</w:t>
            </w: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3060" w:type="dxa"/>
            <w:vAlign w:val="bottom"/>
            <w:gridSpan w:val="2"/>
            <w:shd w:val="clear" w:color="auto" w:fill="CCEEFF"/>
          </w:tcPr>
          <w:p>
            <w:pPr>
              <w:ind w:left="120"/>
              <w:spacing w:after="0"/>
              <w:rPr>
                <w:sz w:val="20"/>
                <w:szCs w:val="20"/>
                <w:color w:val="auto"/>
              </w:rPr>
            </w:pPr>
            <w:r>
              <w:rPr>
                <w:rFonts w:ascii="Arial" w:cs="Arial" w:eastAsia="Arial" w:hAnsi="Arial"/>
                <w:sz w:val="14"/>
                <w:szCs w:val="14"/>
                <w:color w:val="auto"/>
              </w:rPr>
              <w:t>noncontrolling interest</w:t>
            </w:r>
          </w:p>
        </w:tc>
        <w:tc>
          <w:tcPr>
            <w:tcW w:w="1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4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(8.2)</w:t>
            </w:r>
          </w:p>
        </w:tc>
        <w:tc>
          <w:tcPr>
            <w:tcW w:w="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4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90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4"/>
                <w:szCs w:val="14"/>
                <w:color w:val="auto"/>
              </w:rPr>
            </w:pPr>
          </w:p>
        </w:tc>
        <w:tc>
          <w:tcPr>
            <w:tcW w:w="8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4"/>
                <w:szCs w:val="14"/>
                <w:color w:val="auto"/>
              </w:rPr>
            </w:pP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(0.4)</w:t>
            </w:r>
          </w:p>
        </w:tc>
        <w:tc>
          <w:tcPr>
            <w:tcW w:w="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(8.6)</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060" w:type="dxa"/>
            <w:vAlign w:val="bottom"/>
            <w:gridSpan w:val="2"/>
          </w:tcPr>
          <w:p>
            <w:pPr>
              <w:spacing w:after="0" w:line="149" w:lineRule="exact"/>
              <w:rPr>
                <w:sz w:val="20"/>
                <w:szCs w:val="20"/>
                <w:color w:val="auto"/>
              </w:rPr>
            </w:pPr>
            <w:r>
              <w:rPr>
                <w:rFonts w:ascii="Arial" w:cs="Arial" w:eastAsia="Arial" w:hAnsi="Arial"/>
                <w:sz w:val="14"/>
                <w:szCs w:val="14"/>
                <w:color w:val="auto"/>
              </w:rPr>
              <w:t>Net income (1)</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4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878.9</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82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2.2</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881.1</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0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Other comprehensive loss (1)</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(579.3)</w:t>
            </w:r>
          </w:p>
        </w:tc>
        <w:tc>
          <w:tcPr>
            <w:tcW w:w="10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(0.5)</w:t>
            </w: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(579.8)</w:t>
            </w: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3060" w:type="dxa"/>
            <w:vAlign w:val="bottom"/>
            <w:tcBorders>
              <w:bottom w:val="single" w:sz="8" w:color="CCEEFF"/>
            </w:tcBorders>
            <w:gridSpan w:val="2"/>
          </w:tcPr>
          <w:p>
            <w:pPr>
              <w:spacing w:after="0" w:line="142" w:lineRule="exact"/>
              <w:rPr>
                <w:sz w:val="20"/>
                <w:szCs w:val="20"/>
                <w:color w:val="auto"/>
              </w:rPr>
            </w:pPr>
            <w:r>
              <w:rPr>
                <w:rFonts w:ascii="Arial" w:cs="Arial" w:eastAsia="Arial" w:hAnsi="Arial"/>
                <w:sz w:val="14"/>
                <w:szCs w:val="14"/>
                <w:b w:val="1"/>
                <w:bCs w:val="1"/>
                <w:color w:val="auto"/>
              </w:rPr>
              <w:t>Balances as of June 30, 2021</w:t>
            </w:r>
          </w:p>
        </w:tc>
        <w:tc>
          <w:tcPr>
            <w:tcW w:w="160" w:type="dxa"/>
            <w:vAlign w:val="bottom"/>
            <w:tcBorders>
              <w:bottom w:val="single" w:sz="8" w:color="CCEEFF"/>
            </w:tcBorders>
          </w:tcPr>
          <w:p>
            <w:pPr>
              <w:spacing w:after="0"/>
              <w:rPr>
                <w:sz w:val="15"/>
                <w:szCs w:val="15"/>
                <w:color w:val="auto"/>
              </w:rPr>
            </w:pPr>
          </w:p>
        </w:tc>
        <w:tc>
          <w:tcPr>
            <w:tcW w:w="1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6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4.8</w:t>
            </w:r>
          </w:p>
        </w:tc>
        <w:tc>
          <w:tcPr>
            <w:tcW w:w="140" w:type="dxa"/>
            <w:vAlign w:val="bottom"/>
            <w:tcBorders>
              <w:bottom w:val="single" w:sz="8" w:color="CCEEFF"/>
            </w:tcBorders>
          </w:tcPr>
          <w:p>
            <w:pPr>
              <w:spacing w:after="0"/>
              <w:rPr>
                <w:sz w:val="15"/>
                <w:szCs w:val="15"/>
                <w:color w:val="auto"/>
              </w:rPr>
            </w:pPr>
          </w:p>
        </w:tc>
        <w:tc>
          <w:tcPr>
            <w:tcW w:w="1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6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10,399.7</w:t>
            </w:r>
          </w:p>
        </w:tc>
        <w:tc>
          <w:tcPr>
            <w:tcW w:w="80" w:type="dxa"/>
            <w:vAlign w:val="bottom"/>
            <w:tcBorders>
              <w:bottom w:val="single" w:sz="8" w:color="CCEEFF"/>
            </w:tcBorders>
          </w:tcPr>
          <w:p>
            <w:pPr>
              <w:spacing w:after="0"/>
              <w:rPr>
                <w:sz w:val="15"/>
                <w:szCs w:val="15"/>
                <w:color w:val="auto"/>
              </w:rPr>
            </w:pPr>
          </w:p>
        </w:tc>
        <w:tc>
          <w:tcPr>
            <w:tcW w:w="60" w:type="dxa"/>
            <w:vAlign w:val="bottom"/>
            <w:tcBorders>
              <w:bottom w:val="single" w:sz="8" w:color="CCEEFF"/>
            </w:tcBorders>
          </w:tcPr>
          <w:p>
            <w:pPr>
              <w:spacing w:after="0"/>
              <w:rPr>
                <w:sz w:val="15"/>
                <w:szCs w:val="15"/>
                <w:color w:val="auto"/>
              </w:rPr>
            </w:pPr>
          </w:p>
        </w:tc>
        <w:tc>
          <w:tcPr>
            <w:tcW w:w="1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6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12,395.0</w:t>
            </w:r>
          </w:p>
        </w:tc>
        <w:tc>
          <w:tcPr>
            <w:tcW w:w="60" w:type="dxa"/>
            <w:vAlign w:val="bottom"/>
            <w:tcBorders>
              <w:bottom w:val="single" w:sz="8" w:color="CCEEFF"/>
            </w:tcBorders>
          </w:tcPr>
          <w:p>
            <w:pPr>
              <w:spacing w:after="0"/>
              <w:rPr>
                <w:sz w:val="15"/>
                <w:szCs w:val="15"/>
                <w:color w:val="auto"/>
              </w:rPr>
            </w:pPr>
          </w:p>
        </w:tc>
        <w:tc>
          <w:tcPr>
            <w:tcW w:w="80" w:type="dxa"/>
            <w:vAlign w:val="bottom"/>
            <w:tcBorders>
              <w:bottom w:val="single" w:sz="8" w:color="CCEEFF"/>
            </w:tcBorders>
          </w:tcPr>
          <w:p>
            <w:pPr>
              <w:spacing w:after="0"/>
              <w:rPr>
                <w:sz w:val="15"/>
                <w:szCs w:val="15"/>
                <w:color w:val="auto"/>
              </w:rPr>
            </w:pPr>
          </w:p>
        </w:tc>
        <w:tc>
          <w:tcPr>
            <w:tcW w:w="160" w:type="dxa"/>
            <w:vAlign w:val="bottom"/>
            <w:tcBorders>
              <w:top w:val="single" w:sz="8" w:color="auto"/>
              <w:bottom w:val="single" w:sz="8" w:color="auto"/>
            </w:tcBorders>
          </w:tcPr>
          <w:p>
            <w:pPr>
              <w:spacing w:after="0" w:line="142" w:lineRule="exact"/>
              <w:rPr>
                <w:sz w:val="20"/>
                <w:szCs w:val="20"/>
                <w:color w:val="auto"/>
              </w:rPr>
            </w:pPr>
            <w:r>
              <w:rPr>
                <w:rFonts w:ascii="Arial" w:cs="Arial" w:eastAsia="Arial" w:hAnsi="Arial"/>
                <w:sz w:val="14"/>
                <w:szCs w:val="14"/>
                <w:color w:val="auto"/>
              </w:rPr>
              <w:t>$</w:t>
            </w:r>
          </w:p>
        </w:tc>
        <w:tc>
          <w:tcPr>
            <w:tcW w:w="7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1,803.8</w:t>
            </w:r>
          </w:p>
        </w:tc>
        <w:tc>
          <w:tcPr>
            <w:tcW w:w="140" w:type="dxa"/>
            <w:vAlign w:val="bottom"/>
            <w:tcBorders>
              <w:bottom w:val="single" w:sz="8" w:color="CCEEFF"/>
            </w:tcBorders>
          </w:tcPr>
          <w:p>
            <w:pPr>
              <w:spacing w:after="0"/>
              <w:rPr>
                <w:sz w:val="15"/>
                <w:szCs w:val="15"/>
                <w:color w:val="auto"/>
              </w:rPr>
            </w:pPr>
          </w:p>
        </w:tc>
        <w:tc>
          <w:tcPr>
            <w:tcW w:w="1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6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(8,370.2)</w:t>
            </w:r>
          </w:p>
        </w:tc>
        <w:tc>
          <w:tcPr>
            <w:tcW w:w="140" w:type="dxa"/>
            <w:vAlign w:val="bottom"/>
            <w:tcBorders>
              <w:bottom w:val="single" w:sz="8" w:color="CCEEFF"/>
            </w:tcBorders>
          </w:tcPr>
          <w:p>
            <w:pPr>
              <w:spacing w:after="0"/>
              <w:rPr>
                <w:sz w:val="15"/>
                <w:szCs w:val="15"/>
                <w:color w:val="auto"/>
              </w:rPr>
            </w:pPr>
          </w:p>
        </w:tc>
        <w:tc>
          <w:tcPr>
            <w:tcW w:w="160" w:type="dxa"/>
            <w:vAlign w:val="bottom"/>
            <w:tcBorders>
              <w:top w:val="single" w:sz="8" w:color="auto"/>
              <w:bottom w:val="single" w:sz="8" w:color="auto"/>
            </w:tcBorders>
          </w:tcPr>
          <w:p>
            <w:pPr>
              <w:spacing w:after="0" w:line="142" w:lineRule="exact"/>
              <w:rPr>
                <w:sz w:val="20"/>
                <w:szCs w:val="20"/>
                <w:color w:val="auto"/>
              </w:rPr>
            </w:pPr>
            <w:r>
              <w:rPr>
                <w:rFonts w:ascii="Arial" w:cs="Arial" w:eastAsia="Arial" w:hAnsi="Arial"/>
                <w:sz w:val="14"/>
                <w:szCs w:val="14"/>
                <w:color w:val="auto"/>
              </w:rPr>
              <w:t>$</w:t>
            </w:r>
          </w:p>
        </w:tc>
        <w:tc>
          <w:tcPr>
            <w:tcW w:w="8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58.4</w:t>
            </w:r>
          </w:p>
        </w:tc>
        <w:tc>
          <w:tcPr>
            <w:tcW w:w="60" w:type="dxa"/>
            <w:vAlign w:val="bottom"/>
            <w:tcBorders>
              <w:bottom w:val="single" w:sz="8" w:color="CCEEFF"/>
            </w:tcBorders>
          </w:tcPr>
          <w:p>
            <w:pPr>
              <w:spacing w:after="0"/>
              <w:rPr>
                <w:sz w:val="15"/>
                <w:szCs w:val="15"/>
                <w:color w:val="auto"/>
              </w:rPr>
            </w:pPr>
          </w:p>
        </w:tc>
        <w:tc>
          <w:tcPr>
            <w:tcW w:w="80" w:type="dxa"/>
            <w:vAlign w:val="bottom"/>
            <w:tcBorders>
              <w:bottom w:val="single" w:sz="8" w:color="CCEEFF"/>
            </w:tcBorders>
          </w:tcPr>
          <w:p>
            <w:pPr>
              <w:spacing w:after="0"/>
              <w:rPr>
                <w:sz w:val="15"/>
                <w:szCs w:val="15"/>
                <w:color w:val="auto"/>
              </w:rPr>
            </w:pPr>
          </w:p>
        </w:tc>
        <w:tc>
          <w:tcPr>
            <w:tcW w:w="160" w:type="dxa"/>
            <w:vAlign w:val="bottom"/>
            <w:tcBorders>
              <w:top w:val="single" w:sz="8" w:color="auto"/>
              <w:bottom w:val="single" w:sz="8" w:color="auto"/>
            </w:tcBorders>
          </w:tcPr>
          <w:p>
            <w:pPr>
              <w:spacing w:after="0" w:line="142" w:lineRule="exact"/>
              <w:rPr>
                <w:sz w:val="20"/>
                <w:szCs w:val="20"/>
                <w:color w:val="auto"/>
              </w:rPr>
            </w:pPr>
            <w:r>
              <w:rPr>
                <w:rFonts w:ascii="Arial" w:cs="Arial" w:eastAsia="Arial" w:hAnsi="Arial"/>
                <w:sz w:val="14"/>
                <w:szCs w:val="14"/>
                <w:color w:val="auto"/>
              </w:rPr>
              <w:t>$</w:t>
            </w:r>
          </w:p>
        </w:tc>
        <w:tc>
          <w:tcPr>
            <w:tcW w:w="6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16,291.</w:t>
            </w:r>
            <w:r>
              <w:rPr>
                <w:rFonts w:ascii="Arial" w:cs="Arial" w:eastAsia="Arial" w:hAnsi="Arial"/>
                <w:sz w:val="14"/>
                <w:szCs w:val="14"/>
                <w:u w:val="single" w:color="auto"/>
                <w:color w:val="auto"/>
              </w:rPr>
              <w:t>5</w:t>
            </w:r>
          </w:p>
        </w:tc>
        <w:tc>
          <w:tcPr>
            <w:tcW w:w="0" w:type="dxa"/>
            <w:vAlign w:val="bottom"/>
          </w:tcPr>
          <w:p>
            <w:pPr>
              <w:spacing w:after="0"/>
              <w:rPr>
                <w:sz w:val="1"/>
                <w:szCs w:val="1"/>
                <w:color w:val="auto"/>
              </w:rPr>
            </w:pPr>
          </w:p>
        </w:tc>
      </w:tr>
      <w:tr>
        <w:trPr>
          <w:trHeight w:val="129"/>
        </w:trPr>
        <w:tc>
          <w:tcPr>
            <w:tcW w:w="20" w:type="dxa"/>
            <w:vAlign w:val="bottom"/>
            <w:vMerge w:val="restart"/>
          </w:tcPr>
          <w:p>
            <w:pPr>
              <w:spacing w:after="0"/>
              <w:rPr>
                <w:sz w:val="11"/>
                <w:szCs w:val="11"/>
                <w:color w:val="auto"/>
              </w:rPr>
            </w:pPr>
          </w:p>
        </w:tc>
        <w:tc>
          <w:tcPr>
            <w:tcW w:w="246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20" w:type="dxa"/>
            <w:vAlign w:val="bottom"/>
            <w:vMerge w:val="continue"/>
          </w:tcPr>
          <w:p>
            <w:pPr>
              <w:spacing w:after="0"/>
              <w:rPr>
                <w:sz w:val="12"/>
                <w:szCs w:val="12"/>
                <w:color w:val="auto"/>
              </w:rPr>
            </w:pPr>
          </w:p>
        </w:tc>
        <w:tc>
          <w:tcPr>
            <w:tcW w:w="306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rPr>
              <w:t>Balances as of January 1, 2022</w:t>
            </w:r>
          </w:p>
        </w:tc>
        <w:tc>
          <w:tcPr>
            <w:tcW w:w="2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4.8</w:t>
            </w:r>
          </w:p>
        </w:tc>
        <w:tc>
          <w:tcPr>
            <w:tcW w:w="2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10,495.0</w:t>
            </w:r>
          </w:p>
        </w:tc>
        <w:tc>
          <w:tcPr>
            <w:tcW w:w="80" w:type="dxa"/>
            <w:vAlign w:val="bottom"/>
          </w:tcPr>
          <w:p>
            <w:pPr>
              <w:spacing w:after="0"/>
              <w:rPr>
                <w:sz w:val="12"/>
                <w:szCs w:val="12"/>
                <w:color w:val="auto"/>
              </w:rPr>
            </w:pPr>
          </w:p>
        </w:tc>
        <w:tc>
          <w:tcPr>
            <w:tcW w:w="1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12,884.5</w:t>
            </w:r>
          </w:p>
        </w:tc>
        <w:tc>
          <w:tcPr>
            <w:tcW w:w="60" w:type="dxa"/>
            <w:vAlign w:val="bottom"/>
          </w:tcPr>
          <w:p>
            <w:pPr>
              <w:spacing w:after="0"/>
              <w:rPr>
                <w:sz w:val="12"/>
                <w:szCs w:val="12"/>
                <w:color w:val="auto"/>
              </w:rPr>
            </w:pPr>
          </w:p>
        </w:tc>
        <w:tc>
          <w:tcPr>
            <w:tcW w:w="24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rPr>
              <w:t>$</w:t>
            </w:r>
          </w:p>
        </w:tc>
        <w:tc>
          <w:tcPr>
            <w:tcW w:w="7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1,610.9</w:t>
            </w:r>
          </w:p>
        </w:tc>
        <w:tc>
          <w:tcPr>
            <w:tcW w:w="140" w:type="dxa"/>
            <w:vAlign w:val="bottom"/>
          </w:tcPr>
          <w:p>
            <w:pPr>
              <w:spacing w:after="0"/>
              <w:rPr>
                <w:sz w:val="12"/>
                <w:szCs w:val="12"/>
                <w:color w:val="auto"/>
              </w:rPr>
            </w:pPr>
          </w:p>
        </w:tc>
        <w:tc>
          <w:tcPr>
            <w:tcW w:w="1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w w:val="76"/>
              </w:rPr>
              <w:t>$</w:t>
            </w:r>
          </w:p>
        </w:tc>
        <w:tc>
          <w:tcPr>
            <w:tcW w:w="820" w:type="dxa"/>
            <w:vAlign w:val="bottom"/>
            <w:gridSpan w:val="2"/>
          </w:tcPr>
          <w:p>
            <w:pPr>
              <w:jc w:val="right"/>
              <w:ind w:right="140"/>
              <w:spacing w:after="0" w:line="149" w:lineRule="exact"/>
              <w:rPr>
                <w:sz w:val="20"/>
                <w:szCs w:val="20"/>
                <w:color w:val="auto"/>
              </w:rPr>
            </w:pPr>
            <w:r>
              <w:rPr>
                <w:rFonts w:ascii="Arial" w:cs="Arial" w:eastAsia="Arial" w:hAnsi="Arial"/>
                <w:sz w:val="14"/>
                <w:szCs w:val="14"/>
                <w:b w:val="1"/>
                <w:bCs w:val="1"/>
                <w:color w:val="auto"/>
              </w:rPr>
              <w:t>(8,925.8)</w:t>
            </w:r>
          </w:p>
        </w:tc>
        <w:tc>
          <w:tcPr>
            <w:tcW w:w="160" w:type="dxa"/>
            <w:vAlign w:val="bottom"/>
          </w:tcPr>
          <w:p>
            <w:pPr>
              <w:spacing w:after="0" w:line="149" w:lineRule="exact"/>
              <w:rPr>
                <w:sz w:val="20"/>
                <w:szCs w:val="20"/>
                <w:color w:val="auto"/>
              </w:rPr>
            </w:pPr>
            <w:r>
              <w:rPr>
                <w:rFonts w:ascii="Arial" w:cs="Arial" w:eastAsia="Arial" w:hAnsi="Arial"/>
                <w:sz w:val="14"/>
                <w:szCs w:val="14"/>
                <w:b w:val="1"/>
                <w:bCs w:val="1"/>
                <w:color w:val="auto"/>
              </w:rPr>
              <w:t>$</w:t>
            </w:r>
          </w:p>
        </w:tc>
        <w:tc>
          <w:tcPr>
            <w:tcW w:w="8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56.4</w:t>
            </w:r>
          </w:p>
        </w:tc>
        <w:tc>
          <w:tcPr>
            <w:tcW w:w="60" w:type="dxa"/>
            <w:vAlign w:val="bottom"/>
          </w:tcPr>
          <w:p>
            <w:pPr>
              <w:spacing w:after="0"/>
              <w:rPr>
                <w:sz w:val="12"/>
                <w:szCs w:val="12"/>
                <w:color w:val="auto"/>
              </w:rPr>
            </w:pPr>
          </w:p>
        </w:tc>
        <w:tc>
          <w:tcPr>
            <w:tcW w:w="24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rPr>
              <w:t>$</w:t>
            </w: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16,125.8</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Common stock issued</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0.1</w:t>
            </w:r>
          </w:p>
        </w:tc>
        <w:tc>
          <w:tcPr>
            <w:tcW w:w="1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48.9</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10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49.0</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060" w:type="dxa"/>
            <w:vAlign w:val="bottom"/>
            <w:gridSpan w:val="2"/>
          </w:tcPr>
          <w:p>
            <w:pPr>
              <w:spacing w:after="0" w:line="149" w:lineRule="exact"/>
              <w:rPr>
                <w:sz w:val="20"/>
                <w:szCs w:val="20"/>
                <w:color w:val="auto"/>
              </w:rPr>
            </w:pPr>
            <w:r>
              <w:rPr>
                <w:rFonts w:ascii="Arial" w:cs="Arial" w:eastAsia="Arial" w:hAnsi="Arial"/>
                <w:sz w:val="14"/>
                <w:szCs w:val="14"/>
                <w:color w:val="auto"/>
              </w:rPr>
              <w:t>Stock-based compensation</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56.5</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(5.8)</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gridSpan w:val="2"/>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2"/>
                <w:szCs w:val="12"/>
                <w:color w:val="auto"/>
              </w:rPr>
            </w:pPr>
          </w:p>
        </w:tc>
        <w:tc>
          <w:tcPr>
            <w:tcW w:w="820" w:type="dxa"/>
            <w:vAlign w:val="bottom"/>
            <w:gridSpan w:val="2"/>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0.2</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50.9</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0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Treasury stock acquired, common</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10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b w:val="1"/>
                <w:bCs w:val="1"/>
                <w:color w:val="auto"/>
              </w:rPr>
              <w:t>(951.3)</w:t>
            </w:r>
          </w:p>
        </w:tc>
        <w:tc>
          <w:tcPr>
            <w:tcW w:w="16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(951.3)</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060" w:type="dxa"/>
            <w:vAlign w:val="bottom"/>
            <w:gridSpan w:val="2"/>
          </w:tcPr>
          <w:p>
            <w:pPr>
              <w:spacing w:after="0" w:line="149" w:lineRule="exact"/>
              <w:rPr>
                <w:sz w:val="20"/>
                <w:szCs w:val="20"/>
                <w:color w:val="auto"/>
              </w:rPr>
            </w:pPr>
            <w:r>
              <w:rPr>
                <w:rFonts w:ascii="Arial" w:cs="Arial" w:eastAsia="Arial" w:hAnsi="Arial"/>
                <w:sz w:val="14"/>
                <w:szCs w:val="14"/>
                <w:color w:val="auto"/>
              </w:rPr>
              <w:t>Accelerated share repurchase</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40" w:type="dxa"/>
            <w:vAlign w:val="bottom"/>
            <w:gridSpan w:val="2"/>
          </w:tcPr>
          <w:p>
            <w:pPr>
              <w:jc w:val="right"/>
              <w:ind w:right="80"/>
              <w:spacing w:after="0" w:line="149" w:lineRule="exact"/>
              <w:rPr>
                <w:sz w:val="20"/>
                <w:szCs w:val="20"/>
                <w:color w:val="auto"/>
              </w:rPr>
            </w:pPr>
            <w:r>
              <w:rPr>
                <w:rFonts w:ascii="Arial" w:cs="Arial" w:eastAsia="Arial" w:hAnsi="Arial"/>
                <w:sz w:val="14"/>
                <w:szCs w:val="14"/>
                <w:b w:val="1"/>
                <w:bCs w:val="1"/>
                <w:color w:val="auto"/>
              </w:rPr>
              <w:t>(42.8)</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gridSpan w:val="2"/>
          </w:tcPr>
          <w:p>
            <w:pPr>
              <w:jc w:val="right"/>
              <w:ind w:right="12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gridSpan w:val="2"/>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2"/>
                <w:szCs w:val="12"/>
                <w:color w:val="auto"/>
              </w:rPr>
            </w:pPr>
          </w:p>
        </w:tc>
        <w:tc>
          <w:tcPr>
            <w:tcW w:w="820" w:type="dxa"/>
            <w:vAlign w:val="bottom"/>
            <w:gridSpan w:val="2"/>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860" w:type="dxa"/>
            <w:vAlign w:val="bottom"/>
            <w:gridSpan w:val="2"/>
          </w:tcPr>
          <w:p>
            <w:pPr>
              <w:jc w:val="right"/>
              <w:ind w:right="12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(42.8)</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0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Dividends to common stockholders</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(328.7)</w:t>
            </w: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10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(328.7)</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60" w:type="dxa"/>
            <w:vAlign w:val="bottom"/>
            <w:gridSpan w:val="2"/>
          </w:tcPr>
          <w:p>
            <w:pPr>
              <w:spacing w:after="0" w:line="149" w:lineRule="exact"/>
              <w:rPr>
                <w:sz w:val="20"/>
                <w:szCs w:val="20"/>
                <w:color w:val="auto"/>
              </w:rPr>
            </w:pPr>
            <w:r>
              <w:rPr>
                <w:rFonts w:ascii="Arial" w:cs="Arial" w:eastAsia="Arial" w:hAnsi="Arial"/>
                <w:sz w:val="14"/>
                <w:szCs w:val="14"/>
                <w:color w:val="auto"/>
              </w:rPr>
              <w:t>Distributions to noncontrolling interest</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40" w:type="dxa"/>
            <w:vAlign w:val="bottom"/>
            <w:gridSpan w:val="2"/>
          </w:tcPr>
          <w:p>
            <w:pPr>
              <w:jc w:val="right"/>
              <w:ind w:right="14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gridSpan w:val="2"/>
          </w:tcPr>
          <w:p>
            <w:pPr>
              <w:jc w:val="right"/>
              <w:ind w:right="12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gridSpan w:val="2"/>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2"/>
                <w:szCs w:val="12"/>
                <w:color w:val="auto"/>
              </w:rPr>
            </w:pPr>
          </w:p>
        </w:tc>
        <w:tc>
          <w:tcPr>
            <w:tcW w:w="820" w:type="dxa"/>
            <w:vAlign w:val="bottom"/>
            <w:gridSpan w:val="2"/>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86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(67.0)</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(67.0)</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0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Contributions from noncontrolling interest</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10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3.7</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3.7</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3060" w:type="dxa"/>
            <w:vAlign w:val="bottom"/>
            <w:gridSpan w:val="2"/>
          </w:tcPr>
          <w:p>
            <w:pPr>
              <w:spacing w:after="0" w:line="130" w:lineRule="exact"/>
              <w:rPr>
                <w:sz w:val="20"/>
                <w:szCs w:val="20"/>
                <w:color w:val="auto"/>
              </w:rPr>
            </w:pPr>
            <w:r>
              <w:rPr>
                <w:rFonts w:ascii="Arial" w:cs="Arial" w:eastAsia="Arial" w:hAnsi="Arial"/>
                <w:sz w:val="14"/>
                <w:szCs w:val="14"/>
                <w:color w:val="auto"/>
                <w:w w:val="97"/>
              </w:rPr>
              <w:t>Purchase of subsidiary shares from noncontrolling</w:t>
            </w: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w:t>
            </w: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gridSpan w:val="2"/>
            <w:vMerge w:val="restart"/>
          </w:tcPr>
          <w:p>
            <w:pPr>
              <w:jc w:val="right"/>
              <w:ind w:right="80"/>
              <w:spacing w:after="0"/>
              <w:rPr>
                <w:sz w:val="20"/>
                <w:szCs w:val="20"/>
                <w:color w:val="auto"/>
              </w:rPr>
            </w:pPr>
            <w:r>
              <w:rPr>
                <w:rFonts w:ascii="Arial" w:cs="Arial" w:eastAsia="Arial" w:hAnsi="Arial"/>
                <w:sz w:val="14"/>
                <w:szCs w:val="14"/>
                <w:b w:val="1"/>
                <w:bCs w:val="1"/>
                <w:color w:val="auto"/>
              </w:rPr>
              <w:t>(4.3)</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gridSpan w:val="2"/>
            <w:vMerge w:val="restart"/>
          </w:tcPr>
          <w:p>
            <w:pPr>
              <w:jc w:val="right"/>
              <w:ind w:right="120"/>
              <w:spacing w:after="0"/>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00" w:type="dxa"/>
            <w:vAlign w:val="bottom"/>
            <w:gridSpan w:val="2"/>
            <w:vMerge w:val="restart"/>
          </w:tcPr>
          <w:p>
            <w:pPr>
              <w:jc w:val="right"/>
              <w:ind w:right="200"/>
              <w:spacing w:after="0"/>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1"/>
                <w:szCs w:val="11"/>
                <w:color w:val="auto"/>
              </w:rPr>
            </w:pPr>
          </w:p>
        </w:tc>
        <w:tc>
          <w:tcPr>
            <w:tcW w:w="820" w:type="dxa"/>
            <w:vAlign w:val="bottom"/>
            <w:gridSpan w:val="2"/>
            <w:vMerge w:val="restart"/>
          </w:tcPr>
          <w:p>
            <w:pPr>
              <w:jc w:val="right"/>
              <w:ind w:right="200"/>
              <w:spacing w:after="0"/>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1"/>
                <w:szCs w:val="11"/>
                <w:color w:val="auto"/>
              </w:rPr>
            </w:pPr>
          </w:p>
        </w:tc>
        <w:tc>
          <w:tcPr>
            <w:tcW w:w="860" w:type="dxa"/>
            <w:vAlign w:val="bottom"/>
            <w:gridSpan w:val="2"/>
            <w:vMerge w:val="restart"/>
          </w:tcPr>
          <w:p>
            <w:pPr>
              <w:jc w:val="right"/>
              <w:ind w:right="60"/>
              <w:spacing w:after="0"/>
              <w:rPr>
                <w:sz w:val="20"/>
                <w:szCs w:val="20"/>
                <w:color w:val="auto"/>
              </w:rPr>
            </w:pPr>
            <w:r>
              <w:rPr>
                <w:rFonts w:ascii="Arial" w:cs="Arial" w:eastAsia="Arial" w:hAnsi="Arial"/>
                <w:sz w:val="14"/>
                <w:szCs w:val="14"/>
                <w:b w:val="1"/>
                <w:bCs w:val="1"/>
                <w:color w:val="auto"/>
              </w:rPr>
              <w:t>(2.4)</w:t>
            </w: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8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(6.7)</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3060" w:type="dxa"/>
            <w:vAlign w:val="bottom"/>
            <w:gridSpan w:val="2"/>
          </w:tcPr>
          <w:p>
            <w:pPr>
              <w:ind w:left="120"/>
              <w:spacing w:after="0"/>
              <w:rPr>
                <w:sz w:val="20"/>
                <w:szCs w:val="20"/>
                <w:color w:val="auto"/>
              </w:rPr>
            </w:pPr>
            <w:r>
              <w:rPr>
                <w:rFonts w:ascii="Arial" w:cs="Arial" w:eastAsia="Arial" w:hAnsi="Arial"/>
                <w:sz w:val="14"/>
                <w:szCs w:val="14"/>
                <w:color w:val="auto"/>
              </w:rPr>
              <w:t>interest (1)</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40" w:type="dxa"/>
            <w:vAlign w:val="bottom"/>
            <w:gridSpan w:val="2"/>
            <w:vMerge w:val="continue"/>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4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8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3060" w:type="dxa"/>
            <w:vAlign w:val="bottom"/>
            <w:gridSpan w:val="2"/>
            <w:shd w:val="clear" w:color="auto" w:fill="CCEEFF"/>
          </w:tcPr>
          <w:p>
            <w:pPr>
              <w:spacing w:after="0" w:line="130" w:lineRule="exact"/>
              <w:rPr>
                <w:sz w:val="20"/>
                <w:szCs w:val="20"/>
                <w:color w:val="auto"/>
              </w:rPr>
            </w:pPr>
            <w:r>
              <w:rPr>
                <w:rFonts w:ascii="Arial" w:cs="Arial" w:eastAsia="Arial" w:hAnsi="Arial"/>
                <w:sz w:val="14"/>
                <w:szCs w:val="14"/>
                <w:color w:val="auto"/>
                <w:w w:val="97"/>
              </w:rPr>
              <w:t>Adjustments to redemption amount of redeemable</w:t>
            </w: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8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1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6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0.2</w:t>
            </w:r>
          </w:p>
        </w:tc>
        <w:tc>
          <w:tcPr>
            <w:tcW w:w="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40" w:type="dxa"/>
            <w:vAlign w:val="bottom"/>
            <w:gridSpan w:val="2"/>
            <w:vMerge w:val="restart"/>
            <w:shd w:val="clear" w:color="auto" w:fill="CCEEFF"/>
          </w:tcPr>
          <w:p>
            <w:pPr>
              <w:jc w:val="right"/>
              <w:ind w:right="120"/>
              <w:spacing w:after="0"/>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900" w:type="dxa"/>
            <w:vAlign w:val="bottom"/>
            <w:gridSpan w:val="2"/>
            <w:vMerge w:val="restart"/>
            <w:shd w:val="clear" w:color="auto" w:fill="CCEEFF"/>
          </w:tcPr>
          <w:p>
            <w:pPr>
              <w:jc w:val="right"/>
              <w:ind w:right="200"/>
              <w:spacing w:after="0"/>
              <w:rPr>
                <w:sz w:val="20"/>
                <w:szCs w:val="20"/>
                <w:color w:val="auto"/>
              </w:rPr>
            </w:pPr>
            <w:r>
              <w:rPr>
                <w:rFonts w:ascii="Arial" w:cs="Arial" w:eastAsia="Arial" w:hAnsi="Arial"/>
                <w:sz w:val="14"/>
                <w:szCs w:val="14"/>
                <w:b w:val="1"/>
                <w:bCs w:val="1"/>
                <w:color w:val="auto"/>
              </w:rPr>
              <w:t>—</w:t>
            </w:r>
          </w:p>
        </w:tc>
        <w:tc>
          <w:tcPr>
            <w:tcW w:w="100" w:type="dxa"/>
            <w:vAlign w:val="bottom"/>
            <w:shd w:val="clear" w:color="auto" w:fill="CCEEFF"/>
          </w:tcPr>
          <w:p>
            <w:pPr>
              <w:spacing w:after="0"/>
              <w:rPr>
                <w:sz w:val="11"/>
                <w:szCs w:val="11"/>
                <w:color w:val="auto"/>
              </w:rPr>
            </w:pPr>
          </w:p>
        </w:tc>
        <w:tc>
          <w:tcPr>
            <w:tcW w:w="820" w:type="dxa"/>
            <w:vAlign w:val="bottom"/>
            <w:gridSpan w:val="2"/>
            <w:vMerge w:val="restart"/>
            <w:shd w:val="clear" w:color="auto" w:fill="CCEEFF"/>
          </w:tcPr>
          <w:p>
            <w:pPr>
              <w:jc w:val="right"/>
              <w:ind w:right="200"/>
              <w:spacing w:after="0"/>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1"/>
                <w:szCs w:val="11"/>
                <w:color w:val="auto"/>
              </w:rPr>
            </w:pPr>
          </w:p>
        </w:tc>
        <w:tc>
          <w:tcPr>
            <w:tcW w:w="860" w:type="dxa"/>
            <w:vAlign w:val="bottom"/>
            <w:gridSpan w:val="2"/>
            <w:vMerge w:val="restart"/>
            <w:shd w:val="clear" w:color="auto" w:fill="CCEEFF"/>
          </w:tcPr>
          <w:p>
            <w:pPr>
              <w:jc w:val="right"/>
              <w:ind w:right="60"/>
              <w:spacing w:after="0"/>
              <w:rPr>
                <w:sz w:val="20"/>
                <w:szCs w:val="20"/>
                <w:color w:val="auto"/>
              </w:rPr>
            </w:pPr>
            <w:r>
              <w:rPr>
                <w:rFonts w:ascii="Arial" w:cs="Arial" w:eastAsia="Arial" w:hAnsi="Arial"/>
                <w:sz w:val="14"/>
                <w:szCs w:val="14"/>
                <w:b w:val="1"/>
                <w:bCs w:val="1"/>
                <w:color w:val="auto"/>
              </w:rPr>
              <w:t>(0.6)</w:t>
            </w:r>
          </w:p>
        </w:tc>
        <w:tc>
          <w:tcPr>
            <w:tcW w:w="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8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(0.4)</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3060" w:type="dxa"/>
            <w:vAlign w:val="bottom"/>
            <w:gridSpan w:val="2"/>
            <w:shd w:val="clear" w:color="auto" w:fill="CCEEFF"/>
          </w:tcPr>
          <w:p>
            <w:pPr>
              <w:ind w:left="120"/>
              <w:spacing w:after="0"/>
              <w:rPr>
                <w:sz w:val="20"/>
                <w:szCs w:val="20"/>
                <w:color w:val="auto"/>
              </w:rPr>
            </w:pPr>
            <w:r>
              <w:rPr>
                <w:rFonts w:ascii="Arial" w:cs="Arial" w:eastAsia="Arial" w:hAnsi="Arial"/>
                <w:sz w:val="14"/>
                <w:szCs w:val="14"/>
                <w:color w:val="auto"/>
              </w:rPr>
              <w:t>noncontrolling interest</w:t>
            </w:r>
          </w:p>
        </w:tc>
        <w:tc>
          <w:tcPr>
            <w:tcW w:w="1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80" w:type="dxa"/>
            <w:vAlign w:val="bottom"/>
            <w:vMerge w:val="continue"/>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660" w:type="dxa"/>
            <w:vAlign w:val="bottom"/>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40" w:type="dxa"/>
            <w:vAlign w:val="bottom"/>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900" w:type="dxa"/>
            <w:vAlign w:val="bottom"/>
            <w:gridSpan w:val="2"/>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20" w:type="dxa"/>
            <w:vAlign w:val="bottom"/>
            <w:gridSpan w:val="2"/>
            <w:vMerge w:val="continue"/>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860" w:type="dxa"/>
            <w:vAlign w:val="bottom"/>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680" w:type="dxa"/>
            <w:vAlign w:val="bottom"/>
            <w:vMerge w:val="continue"/>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060" w:type="dxa"/>
            <w:vAlign w:val="bottom"/>
            <w:gridSpan w:val="2"/>
          </w:tcPr>
          <w:p>
            <w:pPr>
              <w:spacing w:after="0" w:line="149" w:lineRule="exact"/>
              <w:rPr>
                <w:sz w:val="20"/>
                <w:szCs w:val="20"/>
                <w:color w:val="auto"/>
              </w:rPr>
            </w:pPr>
            <w:r>
              <w:rPr>
                <w:rFonts w:ascii="Arial" w:cs="Arial" w:eastAsia="Arial" w:hAnsi="Arial"/>
                <w:sz w:val="14"/>
                <w:szCs w:val="14"/>
                <w:color w:val="auto"/>
              </w:rPr>
              <w:t>Adjustment for reinsurance</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40" w:type="dxa"/>
            <w:vAlign w:val="bottom"/>
            <w:gridSpan w:val="2"/>
          </w:tcPr>
          <w:p>
            <w:pPr>
              <w:jc w:val="right"/>
              <w:ind w:right="14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gridSpan w:val="2"/>
          </w:tcPr>
          <w:p>
            <w:pPr>
              <w:jc w:val="right"/>
              <w:ind w:right="12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131.8</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gridSpan w:val="2"/>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860" w:type="dxa"/>
            <w:vAlign w:val="bottom"/>
            <w:gridSpan w:val="2"/>
          </w:tcPr>
          <w:p>
            <w:pPr>
              <w:jc w:val="right"/>
              <w:ind w:right="12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131.8</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Net income (1)</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3,435.6</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10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53.1</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3,488.7</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060" w:type="dxa"/>
            <w:vAlign w:val="bottom"/>
            <w:gridSpan w:val="2"/>
          </w:tcPr>
          <w:p>
            <w:pPr>
              <w:spacing w:after="0" w:line="149" w:lineRule="exact"/>
              <w:rPr>
                <w:sz w:val="20"/>
                <w:szCs w:val="20"/>
                <w:color w:val="auto"/>
              </w:rPr>
            </w:pPr>
            <w:r>
              <w:rPr>
                <w:rFonts w:ascii="Arial" w:cs="Arial" w:eastAsia="Arial" w:hAnsi="Arial"/>
                <w:sz w:val="14"/>
                <w:szCs w:val="14"/>
                <w:color w:val="auto"/>
              </w:rPr>
              <w:t>Other comprehensive loss (1)</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40" w:type="dxa"/>
            <w:vAlign w:val="bottom"/>
            <w:gridSpan w:val="2"/>
          </w:tcPr>
          <w:p>
            <w:pPr>
              <w:jc w:val="right"/>
              <w:ind w:right="14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gridSpan w:val="2"/>
          </w:tcPr>
          <w:p>
            <w:pPr>
              <w:jc w:val="right"/>
              <w:ind w:right="12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gridSpan w:val="2"/>
          </w:tcPr>
          <w:p>
            <w:pPr>
              <w:jc w:val="right"/>
              <w:ind w:right="140"/>
              <w:spacing w:after="0" w:line="149" w:lineRule="exact"/>
              <w:rPr>
                <w:sz w:val="20"/>
                <w:szCs w:val="20"/>
                <w:color w:val="auto"/>
              </w:rPr>
            </w:pPr>
            <w:r>
              <w:rPr>
                <w:rFonts w:ascii="Arial" w:cs="Arial" w:eastAsia="Arial" w:hAnsi="Arial"/>
                <w:sz w:val="14"/>
                <w:szCs w:val="14"/>
                <w:b w:val="1"/>
                <w:bCs w:val="1"/>
                <w:color w:val="auto"/>
              </w:rPr>
              <w:t>(7,372.8)</w:t>
            </w:r>
          </w:p>
        </w:tc>
        <w:tc>
          <w:tcPr>
            <w:tcW w:w="100" w:type="dxa"/>
            <w:vAlign w:val="bottom"/>
          </w:tcPr>
          <w:p>
            <w:pPr>
              <w:spacing w:after="0"/>
              <w:rPr>
                <w:sz w:val="12"/>
                <w:szCs w:val="12"/>
                <w:color w:val="auto"/>
              </w:rPr>
            </w:pPr>
          </w:p>
        </w:tc>
        <w:tc>
          <w:tcPr>
            <w:tcW w:w="820" w:type="dxa"/>
            <w:vAlign w:val="bottom"/>
            <w:gridSpan w:val="2"/>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86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(1.6)</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(7,374.4)</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060" w:type="dxa"/>
            <w:vAlign w:val="bottom"/>
            <w:tcBorders>
              <w:top w:val="single" w:sz="8" w:color="CCEEFF"/>
              <w:bottom w:val="single" w:sz="8" w:color="CCEEFF"/>
            </w:tcBorders>
            <w:gridSpan w:val="2"/>
            <w:shd w:val="clear" w:color="auto" w:fill="CCEEFF"/>
          </w:tcPr>
          <w:p>
            <w:pPr>
              <w:spacing w:after="0" w:line="142" w:lineRule="exact"/>
              <w:rPr>
                <w:sz w:val="20"/>
                <w:szCs w:val="20"/>
                <w:color w:val="auto"/>
              </w:rPr>
            </w:pPr>
            <w:r>
              <w:rPr>
                <w:rFonts w:ascii="Arial" w:cs="Arial" w:eastAsia="Arial" w:hAnsi="Arial"/>
                <w:sz w:val="14"/>
                <w:szCs w:val="14"/>
                <w:b w:val="1"/>
                <w:bCs w:val="1"/>
                <w:color w:val="auto"/>
              </w:rPr>
              <w:t>Balances as of June 30, 2022</w:t>
            </w:r>
          </w:p>
        </w:tc>
        <w:tc>
          <w:tcPr>
            <w:tcW w:w="160" w:type="dxa"/>
            <w:vAlign w:val="bottom"/>
            <w:tcBorders>
              <w:top w:val="single" w:sz="8" w:color="CCEEFF"/>
              <w:bottom w:val="single" w:sz="8" w:color="CCEEFF"/>
            </w:tcBorders>
            <w:shd w:val="clear" w:color="auto" w:fill="CCEEFF"/>
          </w:tcPr>
          <w:p>
            <w:pPr>
              <w:spacing w:after="0"/>
              <w:rPr>
                <w:sz w:val="12"/>
                <w:szCs w:val="12"/>
                <w:color w:val="auto"/>
              </w:rPr>
            </w:pPr>
          </w:p>
        </w:tc>
        <w:tc>
          <w:tcPr>
            <w:tcW w:w="10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w w:val="76"/>
              </w:rPr>
              <w:t>$</w:t>
            </w:r>
          </w:p>
        </w:tc>
        <w:tc>
          <w:tcPr>
            <w:tcW w:w="68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4.9</w:t>
            </w:r>
          </w:p>
        </w:tc>
        <w:tc>
          <w:tcPr>
            <w:tcW w:w="140" w:type="dxa"/>
            <w:vAlign w:val="bottom"/>
            <w:tcBorders>
              <w:top w:val="single" w:sz="8" w:color="CCEEFF"/>
              <w:bottom w:val="single" w:sz="8" w:color="CCEEFF"/>
            </w:tcBorders>
            <w:shd w:val="clear" w:color="auto" w:fill="CCEEFF"/>
          </w:tcPr>
          <w:p>
            <w:pPr>
              <w:spacing w:after="0"/>
              <w:rPr>
                <w:sz w:val="12"/>
                <w:szCs w:val="12"/>
                <w:color w:val="auto"/>
              </w:rPr>
            </w:pPr>
          </w:p>
        </w:tc>
        <w:tc>
          <w:tcPr>
            <w:tcW w:w="12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w w:val="76"/>
              </w:rPr>
              <w:t>$</w:t>
            </w:r>
          </w:p>
        </w:tc>
        <w:tc>
          <w:tcPr>
            <w:tcW w:w="66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10,553.5</w:t>
            </w:r>
          </w:p>
        </w:tc>
        <w:tc>
          <w:tcPr>
            <w:tcW w:w="80" w:type="dxa"/>
            <w:vAlign w:val="bottom"/>
            <w:tcBorders>
              <w:top w:val="single" w:sz="8" w:color="CCEEFF"/>
              <w:bottom w:val="single" w:sz="8" w:color="CCEEFF"/>
            </w:tcBorders>
            <w:shd w:val="clear" w:color="auto" w:fill="CCEEFF"/>
          </w:tcPr>
          <w:p>
            <w:pPr>
              <w:spacing w:after="0"/>
              <w:rPr>
                <w:sz w:val="12"/>
                <w:szCs w:val="12"/>
                <w:color w:val="auto"/>
              </w:rPr>
            </w:pPr>
          </w:p>
        </w:tc>
        <w:tc>
          <w:tcPr>
            <w:tcW w:w="60" w:type="dxa"/>
            <w:vAlign w:val="bottom"/>
            <w:tcBorders>
              <w:top w:val="single" w:sz="8" w:color="CCEEFF"/>
              <w:bottom w:val="single" w:sz="8" w:color="CCEEFF"/>
            </w:tcBorders>
            <w:shd w:val="clear" w:color="auto" w:fill="CCEEFF"/>
          </w:tcPr>
          <w:p>
            <w:pPr>
              <w:spacing w:after="0"/>
              <w:rPr>
                <w:sz w:val="12"/>
                <w:szCs w:val="12"/>
                <w:color w:val="auto"/>
              </w:rPr>
            </w:pPr>
          </w:p>
        </w:tc>
        <w:tc>
          <w:tcPr>
            <w:tcW w:w="10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w w:val="76"/>
              </w:rPr>
              <w:t>$</w:t>
            </w:r>
          </w:p>
        </w:tc>
        <w:tc>
          <w:tcPr>
            <w:tcW w:w="68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15,985.6</w:t>
            </w:r>
          </w:p>
        </w:tc>
        <w:tc>
          <w:tcPr>
            <w:tcW w:w="60" w:type="dxa"/>
            <w:vAlign w:val="bottom"/>
            <w:tcBorders>
              <w:top w:val="single" w:sz="8" w:color="CCEEFF"/>
              <w:bottom w:val="single" w:sz="8" w:color="CCEEFF"/>
            </w:tcBorders>
            <w:shd w:val="clear" w:color="auto" w:fill="CCEEFF"/>
          </w:tcPr>
          <w:p>
            <w:pPr>
              <w:spacing w:after="0"/>
              <w:rPr>
                <w:sz w:val="12"/>
                <w:szCs w:val="12"/>
                <w:color w:val="auto"/>
              </w:rPr>
            </w:pPr>
          </w:p>
        </w:tc>
        <w:tc>
          <w:tcPr>
            <w:tcW w:w="80" w:type="dxa"/>
            <w:vAlign w:val="bottom"/>
            <w:tcBorders>
              <w:top w:val="single" w:sz="8" w:color="CCEEFF"/>
              <w:bottom w:val="single" w:sz="8" w:color="CCEEFF"/>
            </w:tcBorders>
            <w:shd w:val="clear" w:color="auto" w:fill="CCEEFF"/>
          </w:tcPr>
          <w:p>
            <w:pPr>
              <w:spacing w:after="0"/>
              <w:rPr>
                <w:sz w:val="12"/>
                <w:szCs w:val="12"/>
                <w:color w:val="auto"/>
              </w:rPr>
            </w:pPr>
          </w:p>
        </w:tc>
        <w:tc>
          <w:tcPr>
            <w:tcW w:w="160" w:type="dxa"/>
            <w:vAlign w:val="bottom"/>
            <w:tcBorders>
              <w:top w:val="single" w:sz="8" w:color="auto"/>
              <w:bottom w:val="single" w:sz="8" w:color="auto"/>
            </w:tcBorders>
            <w:shd w:val="clear" w:color="auto" w:fill="CCEEFF"/>
          </w:tcPr>
          <w:p>
            <w:pPr>
              <w:spacing w:after="0" w:line="142" w:lineRule="exact"/>
              <w:rPr>
                <w:sz w:val="20"/>
                <w:szCs w:val="20"/>
                <w:color w:val="auto"/>
              </w:rPr>
            </w:pPr>
            <w:r>
              <w:rPr>
                <w:rFonts w:ascii="Arial" w:cs="Arial" w:eastAsia="Arial" w:hAnsi="Arial"/>
                <w:sz w:val="14"/>
                <w:szCs w:val="14"/>
                <w:b w:val="1"/>
                <w:bCs w:val="1"/>
                <w:color w:val="auto"/>
              </w:rPr>
              <w:t>$</w:t>
            </w:r>
          </w:p>
        </w:tc>
        <w:tc>
          <w:tcPr>
            <w:tcW w:w="76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(5,630.1)</w:t>
            </w:r>
          </w:p>
        </w:tc>
        <w:tc>
          <w:tcPr>
            <w:tcW w:w="140" w:type="dxa"/>
            <w:vAlign w:val="bottom"/>
            <w:tcBorders>
              <w:top w:val="single" w:sz="8" w:color="CCEEFF"/>
              <w:bottom w:val="single" w:sz="8" w:color="CCEEFF"/>
            </w:tcBorders>
            <w:shd w:val="clear" w:color="auto" w:fill="CCEEFF"/>
          </w:tcPr>
          <w:p>
            <w:pPr>
              <w:spacing w:after="0"/>
              <w:rPr>
                <w:sz w:val="12"/>
                <w:szCs w:val="12"/>
                <w:color w:val="auto"/>
              </w:rPr>
            </w:pPr>
          </w:p>
        </w:tc>
        <w:tc>
          <w:tcPr>
            <w:tcW w:w="10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w w:val="76"/>
              </w:rPr>
              <w:t>$</w:t>
            </w:r>
          </w:p>
        </w:tc>
        <w:tc>
          <w:tcPr>
            <w:tcW w:w="68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(9,877.1)</w:t>
            </w:r>
          </w:p>
        </w:tc>
        <w:tc>
          <w:tcPr>
            <w:tcW w:w="140" w:type="dxa"/>
            <w:vAlign w:val="bottom"/>
            <w:tcBorders>
              <w:top w:val="single" w:sz="8" w:color="CCEEFF"/>
              <w:bottom w:val="single" w:sz="8" w:color="CCEEFF"/>
            </w:tcBorders>
            <w:shd w:val="clear" w:color="auto" w:fill="CCEEFF"/>
          </w:tcPr>
          <w:p>
            <w:pPr>
              <w:spacing w:after="0"/>
              <w:rPr>
                <w:sz w:val="12"/>
                <w:szCs w:val="12"/>
                <w:color w:val="auto"/>
              </w:rPr>
            </w:pPr>
          </w:p>
        </w:tc>
        <w:tc>
          <w:tcPr>
            <w:tcW w:w="160" w:type="dxa"/>
            <w:vAlign w:val="bottom"/>
            <w:tcBorders>
              <w:top w:val="single" w:sz="8" w:color="auto"/>
              <w:bottom w:val="single" w:sz="8" w:color="auto"/>
            </w:tcBorders>
            <w:shd w:val="clear" w:color="auto" w:fill="CCEEFF"/>
          </w:tcPr>
          <w:p>
            <w:pPr>
              <w:spacing w:after="0" w:line="142" w:lineRule="exact"/>
              <w:rPr>
                <w:sz w:val="20"/>
                <w:szCs w:val="20"/>
                <w:color w:val="auto"/>
              </w:rPr>
            </w:pPr>
            <w:r>
              <w:rPr>
                <w:rFonts w:ascii="Arial" w:cs="Arial" w:eastAsia="Arial" w:hAnsi="Arial"/>
                <w:sz w:val="14"/>
                <w:szCs w:val="14"/>
                <w:b w:val="1"/>
                <w:bCs w:val="1"/>
                <w:color w:val="auto"/>
              </w:rPr>
              <w:t>$</w:t>
            </w:r>
          </w:p>
        </w:tc>
        <w:tc>
          <w:tcPr>
            <w:tcW w:w="80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41.8</w:t>
            </w:r>
          </w:p>
        </w:tc>
        <w:tc>
          <w:tcPr>
            <w:tcW w:w="60" w:type="dxa"/>
            <w:vAlign w:val="bottom"/>
            <w:tcBorders>
              <w:top w:val="single" w:sz="8" w:color="CCEEFF"/>
              <w:bottom w:val="single" w:sz="8" w:color="CCEEFF"/>
            </w:tcBorders>
            <w:shd w:val="clear" w:color="auto" w:fill="CCEEFF"/>
          </w:tcPr>
          <w:p>
            <w:pPr>
              <w:spacing w:after="0"/>
              <w:rPr>
                <w:sz w:val="12"/>
                <w:szCs w:val="12"/>
                <w:color w:val="auto"/>
              </w:rPr>
            </w:pPr>
          </w:p>
        </w:tc>
        <w:tc>
          <w:tcPr>
            <w:tcW w:w="80" w:type="dxa"/>
            <w:vAlign w:val="bottom"/>
            <w:tcBorders>
              <w:top w:val="single" w:sz="8" w:color="CCEEFF"/>
              <w:bottom w:val="single" w:sz="8" w:color="CCEEFF"/>
            </w:tcBorders>
            <w:shd w:val="clear" w:color="auto" w:fill="CCEEFF"/>
          </w:tcPr>
          <w:p>
            <w:pPr>
              <w:spacing w:after="0"/>
              <w:rPr>
                <w:sz w:val="12"/>
                <w:szCs w:val="12"/>
                <w:color w:val="auto"/>
              </w:rPr>
            </w:pPr>
          </w:p>
        </w:tc>
        <w:tc>
          <w:tcPr>
            <w:tcW w:w="160" w:type="dxa"/>
            <w:vAlign w:val="bottom"/>
            <w:tcBorders>
              <w:top w:val="single" w:sz="8" w:color="auto"/>
              <w:bottom w:val="single" w:sz="8" w:color="auto"/>
            </w:tcBorders>
            <w:shd w:val="clear" w:color="auto" w:fill="CCEEFF"/>
          </w:tcPr>
          <w:p>
            <w:pPr>
              <w:spacing w:after="0" w:line="142" w:lineRule="exact"/>
              <w:rPr>
                <w:sz w:val="20"/>
                <w:szCs w:val="20"/>
                <w:color w:val="auto"/>
              </w:rPr>
            </w:pPr>
            <w:r>
              <w:rPr>
                <w:rFonts w:ascii="Arial" w:cs="Arial" w:eastAsia="Arial" w:hAnsi="Arial"/>
                <w:sz w:val="14"/>
                <w:szCs w:val="14"/>
                <w:b w:val="1"/>
                <w:bCs w:val="1"/>
                <w:color w:val="auto"/>
              </w:rPr>
              <w:t>$</w:t>
            </w:r>
          </w:p>
        </w:tc>
        <w:tc>
          <w:tcPr>
            <w:tcW w:w="68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11,078.</w:t>
            </w:r>
            <w:r>
              <w:rPr>
                <w:rFonts w:ascii="Arial" w:cs="Arial" w:eastAsia="Arial" w:hAnsi="Arial"/>
                <w:sz w:val="14"/>
                <w:szCs w:val="14"/>
                <w:b w:val="1"/>
                <w:bCs w:val="1"/>
                <w:u w:val="single" w:color="auto"/>
                <w:color w:val="auto"/>
              </w:rPr>
              <w:t>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8"/>
        </w:trPr>
        <w:tc>
          <w:tcPr>
            <w:tcW w:w="20" w:type="dxa"/>
            <w:vAlign w:val="bottom"/>
          </w:tcPr>
          <w:p>
            <w:pPr>
              <w:spacing w:after="0"/>
              <w:rPr>
                <w:sz w:val="7"/>
                <w:szCs w:val="7"/>
                <w:color w:val="auto"/>
              </w:rPr>
            </w:pPr>
          </w:p>
        </w:tc>
        <w:tc>
          <w:tcPr>
            <w:tcW w:w="2460" w:type="dxa"/>
            <w:vAlign w:val="bottom"/>
            <w:tcBorders>
              <w:bottom w:val="single" w:sz="8" w:color="auto"/>
            </w:tcBorders>
          </w:tcPr>
          <w:p>
            <w:pPr>
              <w:spacing w:after="0"/>
              <w:rPr>
                <w:sz w:val="7"/>
                <w:szCs w:val="7"/>
                <w:color w:val="auto"/>
              </w:rPr>
            </w:pPr>
          </w:p>
        </w:tc>
        <w:tc>
          <w:tcPr>
            <w:tcW w:w="60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80" w:type="dxa"/>
            <w:vAlign w:val="bottom"/>
          </w:tcPr>
          <w:p>
            <w:pPr>
              <w:spacing w:after="0"/>
              <w:rPr>
                <w:sz w:val="7"/>
                <w:szCs w:val="7"/>
                <w:color w:val="auto"/>
              </w:rPr>
            </w:pPr>
          </w:p>
        </w:tc>
        <w:tc>
          <w:tcPr>
            <w:tcW w:w="140" w:type="dxa"/>
            <w:vAlign w:val="bottom"/>
          </w:tcPr>
          <w:p>
            <w:pPr>
              <w:spacing w:after="0"/>
              <w:rPr>
                <w:sz w:val="7"/>
                <w:szCs w:val="7"/>
                <w:color w:val="auto"/>
              </w:rPr>
            </w:pPr>
          </w:p>
        </w:tc>
        <w:tc>
          <w:tcPr>
            <w:tcW w:w="120" w:type="dxa"/>
            <w:vAlign w:val="bottom"/>
          </w:tcPr>
          <w:p>
            <w:pPr>
              <w:spacing w:after="0"/>
              <w:rPr>
                <w:sz w:val="7"/>
                <w:szCs w:val="7"/>
                <w:color w:val="auto"/>
              </w:rPr>
            </w:pPr>
          </w:p>
        </w:tc>
        <w:tc>
          <w:tcPr>
            <w:tcW w:w="660" w:type="dxa"/>
            <w:vAlign w:val="bottom"/>
          </w:tcPr>
          <w:p>
            <w:pPr>
              <w:spacing w:after="0"/>
              <w:rPr>
                <w:sz w:val="7"/>
                <w:szCs w:val="7"/>
                <w:color w:val="auto"/>
              </w:rPr>
            </w:pPr>
          </w:p>
        </w:tc>
        <w:tc>
          <w:tcPr>
            <w:tcW w:w="8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8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160" w:type="dxa"/>
            <w:vAlign w:val="bottom"/>
          </w:tcPr>
          <w:p>
            <w:pPr>
              <w:spacing w:after="0"/>
              <w:rPr>
                <w:sz w:val="7"/>
                <w:szCs w:val="7"/>
                <w:color w:val="auto"/>
              </w:rPr>
            </w:pPr>
          </w:p>
        </w:tc>
        <w:tc>
          <w:tcPr>
            <w:tcW w:w="76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680" w:type="dxa"/>
            <w:vAlign w:val="bottom"/>
          </w:tcPr>
          <w:p>
            <w:pPr>
              <w:spacing w:after="0"/>
              <w:rPr>
                <w:sz w:val="7"/>
                <w:szCs w:val="7"/>
                <w:color w:val="auto"/>
              </w:rPr>
            </w:pPr>
          </w:p>
        </w:tc>
        <w:tc>
          <w:tcPr>
            <w:tcW w:w="14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160" w:type="dxa"/>
            <w:vAlign w:val="bottom"/>
          </w:tcPr>
          <w:p>
            <w:pPr>
              <w:spacing w:after="0"/>
              <w:rPr>
                <w:sz w:val="7"/>
                <w:szCs w:val="7"/>
                <w:color w:val="auto"/>
              </w:rPr>
            </w:pPr>
          </w:p>
        </w:tc>
        <w:tc>
          <w:tcPr>
            <w:tcW w:w="68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80" w:lineRule="exact"/>
        <w:rPr>
          <w:sz w:val="20"/>
          <w:szCs w:val="20"/>
          <w:color w:val="auto"/>
        </w:rPr>
      </w:pPr>
    </w:p>
    <w:p>
      <w:pPr>
        <w:spacing w:after="0"/>
        <w:rPr>
          <w:sz w:val="20"/>
          <w:szCs w:val="20"/>
          <w:color w:val="auto"/>
        </w:rPr>
      </w:pPr>
      <w:r>
        <w:rPr>
          <w:rFonts w:ascii="Arial" w:cs="Arial" w:eastAsia="Arial" w:hAnsi="Arial"/>
          <w:sz w:val="17"/>
          <w:szCs w:val="17"/>
          <w:color w:val="auto"/>
        </w:rPr>
        <w:t>(1) Excludes amounts attributable to redeemable noncontrolling interest. See Note 11, Stockholders’ Equity, for further details.</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notes.</w:t>
      </w: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60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7" w:name="page8"/>
    <w:bookmarkEnd w:id="7"/>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6" w:lineRule="exact"/>
        <w:rPr>
          <w:sz w:val="20"/>
          <w:szCs w:val="20"/>
          <w:color w:val="auto"/>
        </w:rPr>
      </w:pPr>
    </w:p>
    <w:p>
      <w:pPr>
        <w:jc w:val="center"/>
        <w:ind w:left="7540"/>
        <w:spacing w:after="0"/>
        <w:rPr>
          <w:sz w:val="20"/>
          <w:szCs w:val="20"/>
          <w:color w:val="auto"/>
        </w:rPr>
      </w:pPr>
      <w:r>
        <w:rPr>
          <w:rFonts w:ascii="Arial" w:cs="Arial" w:eastAsia="Arial" w:hAnsi="Arial"/>
          <w:sz w:val="14"/>
          <w:szCs w:val="14"/>
          <w:b w:val="1"/>
          <w:bCs w:val="1"/>
          <w:color w:val="auto"/>
        </w:rPr>
        <w:t>For the six months ended</w:t>
      </w:r>
    </w:p>
    <w:p>
      <w:pPr>
        <w:jc w:val="center"/>
        <w:ind w:left="7500"/>
        <w:spacing w:after="0" w:line="236" w:lineRule="auto"/>
        <w:rPr>
          <w:sz w:val="20"/>
          <w:szCs w:val="20"/>
          <w:color w:val="auto"/>
        </w:rPr>
      </w:pPr>
      <w:r>
        <w:rPr>
          <w:rFonts w:ascii="Arial" w:cs="Arial" w:eastAsia="Arial" w:hAnsi="Arial"/>
          <w:sz w:val="14"/>
          <w:szCs w:val="14"/>
          <w:b w:val="1"/>
          <w:bCs w:val="1"/>
          <w:color w:val="auto"/>
        </w:rPr>
        <w:t>June 30,</w:t>
      </w:r>
    </w:p>
    <w:tbl>
      <w:tblPr>
        <w:tblLayout w:type="fixed"/>
        <w:tblInd w:w="0" w:type="dxa"/>
        <w:tblCellMar>
          <w:top w:w="0" w:type="dxa"/>
          <w:left w:w="0" w:type="dxa"/>
          <w:bottom w:w="0" w:type="dxa"/>
          <w:right w:w="0" w:type="dxa"/>
        </w:tblCellMar>
      </w:tblPr>
      <w:tr>
        <w:trPr>
          <w:trHeight w:val="142"/>
        </w:trPr>
        <w:tc>
          <w:tcPr>
            <w:tcW w:w="20" w:type="dxa"/>
            <w:vAlign w:val="bottom"/>
          </w:tcPr>
          <w:p>
            <w:pPr>
              <w:spacing w:after="0"/>
              <w:rPr>
                <w:sz w:val="12"/>
                <w:szCs w:val="12"/>
                <w:color w:val="auto"/>
              </w:rPr>
            </w:pPr>
          </w:p>
        </w:tc>
        <w:tc>
          <w:tcPr>
            <w:tcW w:w="7540" w:type="dxa"/>
            <w:vAlign w:val="bottom"/>
          </w:tcPr>
          <w:p>
            <w:pPr>
              <w:spacing w:after="0"/>
              <w:rPr>
                <w:sz w:val="12"/>
                <w:szCs w:val="12"/>
                <w:color w:val="auto"/>
              </w:rPr>
            </w:pPr>
          </w:p>
        </w:tc>
        <w:tc>
          <w:tcPr>
            <w:tcW w:w="220" w:type="dxa"/>
            <w:vAlign w:val="bottom"/>
            <w:tcBorders>
              <w:top w:val="single" w:sz="8" w:color="auto"/>
              <w:bottom w:val="single" w:sz="8" w:color="auto"/>
            </w:tcBorders>
          </w:tcPr>
          <w:p>
            <w:pPr>
              <w:spacing w:after="0"/>
              <w:rPr>
                <w:sz w:val="12"/>
                <w:szCs w:val="12"/>
                <w:color w:val="auto"/>
              </w:rPr>
            </w:pPr>
          </w:p>
        </w:tc>
        <w:tc>
          <w:tcPr>
            <w:tcW w:w="840" w:type="dxa"/>
            <w:vAlign w:val="bottom"/>
            <w:tcBorders>
              <w:top w:val="single" w:sz="8" w:color="auto"/>
              <w:bottom w:val="single" w:sz="8" w:color="auto"/>
            </w:tcBorders>
          </w:tcPr>
          <w:p>
            <w:pPr>
              <w:jc w:val="right"/>
              <w:ind w:right="308"/>
              <w:spacing w:after="0" w:line="142" w:lineRule="exact"/>
              <w:rPr>
                <w:sz w:val="20"/>
                <w:szCs w:val="20"/>
                <w:color w:val="auto"/>
              </w:rPr>
            </w:pPr>
            <w:r>
              <w:rPr>
                <w:rFonts w:ascii="Arial" w:cs="Arial" w:eastAsia="Arial" w:hAnsi="Arial"/>
                <w:sz w:val="14"/>
                <w:szCs w:val="14"/>
                <w:b w:val="1"/>
                <w:bCs w:val="1"/>
                <w:color w:val="auto"/>
              </w:rPr>
              <w:t>2022</w:t>
            </w:r>
          </w:p>
        </w:tc>
        <w:tc>
          <w:tcPr>
            <w:tcW w:w="240" w:type="dxa"/>
            <w:vAlign w:val="bottom"/>
            <w:tcBorders>
              <w:top w:val="single" w:sz="8" w:color="auto"/>
            </w:tcBorders>
          </w:tcPr>
          <w:p>
            <w:pPr>
              <w:spacing w:after="0"/>
              <w:rPr>
                <w:sz w:val="12"/>
                <w:szCs w:val="12"/>
                <w:color w:val="auto"/>
              </w:rPr>
            </w:pPr>
          </w:p>
        </w:tc>
        <w:tc>
          <w:tcPr>
            <w:tcW w:w="300" w:type="dxa"/>
            <w:vAlign w:val="bottom"/>
            <w:tcBorders>
              <w:top w:val="single" w:sz="8" w:color="auto"/>
              <w:bottom w:val="single" w:sz="8" w:color="auto"/>
            </w:tcBorders>
          </w:tcPr>
          <w:p>
            <w:pPr>
              <w:spacing w:after="0"/>
              <w:rPr>
                <w:sz w:val="12"/>
                <w:szCs w:val="12"/>
                <w:color w:val="auto"/>
              </w:rPr>
            </w:pPr>
          </w:p>
        </w:tc>
        <w:tc>
          <w:tcPr>
            <w:tcW w:w="760" w:type="dxa"/>
            <w:vAlign w:val="bottom"/>
            <w:tcBorders>
              <w:top w:val="single" w:sz="8" w:color="auto"/>
              <w:bottom w:val="single" w:sz="8" w:color="auto"/>
            </w:tcBorders>
          </w:tcPr>
          <w:p>
            <w:pPr>
              <w:jc w:val="right"/>
              <w:ind w:right="328"/>
              <w:spacing w:after="0" w:line="142" w:lineRule="exact"/>
              <w:rPr>
                <w:sz w:val="20"/>
                <w:szCs w:val="20"/>
                <w:color w:val="auto"/>
              </w:rPr>
            </w:pPr>
            <w:r>
              <w:rPr>
                <w:rFonts w:ascii="Arial" w:cs="Arial" w:eastAsia="Arial" w:hAnsi="Arial"/>
                <w:sz w:val="14"/>
                <w:szCs w:val="14"/>
                <w:b w:val="1"/>
                <w:bCs w:val="1"/>
                <w:color w:val="auto"/>
              </w:rPr>
              <w:t>2021</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75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380" w:type="dxa"/>
            <w:vAlign w:val="bottom"/>
            <w:gridSpan w:val="3"/>
          </w:tcPr>
          <w:p>
            <w:pPr>
              <w:jc w:val="right"/>
              <w:ind w:right="9"/>
              <w:spacing w:after="0" w:line="129" w:lineRule="exact"/>
              <w:rPr>
                <w:sz w:val="20"/>
                <w:szCs w:val="20"/>
                <w:color w:val="auto"/>
              </w:rPr>
            </w:pPr>
            <w:r>
              <w:rPr>
                <w:rFonts w:ascii="Arial" w:cs="Arial" w:eastAsia="Arial" w:hAnsi="Arial"/>
                <w:sz w:val="14"/>
                <w:szCs w:val="14"/>
                <w:i w:val="1"/>
                <w:iCs w:val="1"/>
                <w:color w:val="auto"/>
              </w:rPr>
              <w:t>(in millions)</w:t>
            </w: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54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Net cash provided by operating activities</w:t>
            </w:r>
          </w:p>
        </w:tc>
        <w:tc>
          <w:tcPr>
            <w:tcW w:w="220" w:type="dxa"/>
            <w:vAlign w:val="bottom"/>
            <w:shd w:val="clear" w:color="auto" w:fill="CCEEFF"/>
          </w:tcPr>
          <w:p>
            <w:pPr>
              <w:jc w:val="right"/>
              <w:ind w:right="109"/>
              <w:spacing w:after="0"/>
              <w:rPr>
                <w:sz w:val="20"/>
                <w:szCs w:val="20"/>
                <w:color w:val="auto"/>
              </w:rPr>
            </w:pPr>
            <w:r>
              <w:rPr>
                <w:rFonts w:ascii="Arial" w:cs="Arial" w:eastAsia="Arial" w:hAnsi="Arial"/>
                <w:sz w:val="10"/>
                <w:szCs w:val="10"/>
                <w:b w:val="1"/>
                <w:bCs w:val="1"/>
                <w:color w:val="auto"/>
                <w:w w:val="71"/>
              </w:rPr>
              <w:t>$</w:t>
            </w: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838.7</w:t>
            </w:r>
          </w:p>
        </w:tc>
        <w:tc>
          <w:tcPr>
            <w:tcW w:w="240" w:type="dxa"/>
            <w:vAlign w:val="bottom"/>
            <w:shd w:val="clear" w:color="auto" w:fill="CCEEFF"/>
          </w:tcPr>
          <w:p>
            <w:pPr>
              <w:spacing w:after="0"/>
              <w:rPr>
                <w:sz w:val="12"/>
                <w:szCs w:val="12"/>
                <w:color w:val="auto"/>
              </w:rPr>
            </w:pPr>
          </w:p>
        </w:tc>
        <w:tc>
          <w:tcPr>
            <w:tcW w:w="300" w:type="dxa"/>
            <w:vAlign w:val="bottom"/>
            <w:shd w:val="clear" w:color="auto" w:fill="CCEEFF"/>
          </w:tcPr>
          <w:p>
            <w:pPr>
              <w:jc w:val="right"/>
              <w:ind w:right="189"/>
              <w:spacing w:after="0"/>
              <w:rPr>
                <w:sz w:val="20"/>
                <w:szCs w:val="20"/>
                <w:color w:val="auto"/>
              </w:rPr>
            </w:pPr>
            <w:r>
              <w:rPr>
                <w:rFonts w:ascii="Arial" w:cs="Arial" w:eastAsia="Arial" w:hAnsi="Arial"/>
                <w:sz w:val="10"/>
                <w:szCs w:val="10"/>
                <w:color w:val="auto"/>
                <w:w w:val="71"/>
              </w:rPr>
              <w:t>$</w:t>
            </w: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1,133.6</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540" w:type="dxa"/>
            <w:vAlign w:val="bottom"/>
          </w:tcPr>
          <w:p>
            <w:pPr>
              <w:spacing w:after="0" w:line="149" w:lineRule="exact"/>
              <w:rPr>
                <w:sz w:val="20"/>
                <w:szCs w:val="20"/>
                <w:color w:val="auto"/>
              </w:rPr>
            </w:pPr>
            <w:r>
              <w:rPr>
                <w:rFonts w:ascii="Arial" w:cs="Arial" w:eastAsia="Arial" w:hAnsi="Arial"/>
                <w:sz w:val="14"/>
                <w:szCs w:val="14"/>
                <w:b w:val="1"/>
                <w:bCs w:val="1"/>
                <w:color w:val="auto"/>
              </w:rPr>
              <w:t>Investing activities</w:t>
            </w:r>
          </w:p>
        </w:tc>
        <w:tc>
          <w:tcPr>
            <w:tcW w:w="2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5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Fixed maturities available-for-sale and equity securities with intent to hold:</w:t>
            </w:r>
          </w:p>
        </w:tc>
        <w:tc>
          <w:tcPr>
            <w:tcW w:w="22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540" w:type="dxa"/>
            <w:vAlign w:val="bottom"/>
          </w:tcPr>
          <w:p>
            <w:pPr>
              <w:ind w:left="100"/>
              <w:spacing w:after="0" w:line="149" w:lineRule="exact"/>
              <w:rPr>
                <w:sz w:val="20"/>
                <w:szCs w:val="20"/>
                <w:color w:val="auto"/>
              </w:rPr>
            </w:pPr>
            <w:r>
              <w:rPr>
                <w:rFonts w:ascii="Arial" w:cs="Arial" w:eastAsia="Arial" w:hAnsi="Arial"/>
                <w:sz w:val="14"/>
                <w:szCs w:val="14"/>
                <w:color w:val="auto"/>
              </w:rPr>
              <w:t>Purchases</w:t>
            </w:r>
          </w:p>
        </w:tc>
        <w:tc>
          <w:tcPr>
            <w:tcW w:w="220" w:type="dxa"/>
            <w:vAlign w:val="bottom"/>
          </w:tcPr>
          <w:p>
            <w:pPr>
              <w:spacing w:after="0"/>
              <w:rPr>
                <w:sz w:val="12"/>
                <w:szCs w:val="12"/>
                <w:color w:val="auto"/>
              </w:rPr>
            </w:pPr>
          </w:p>
        </w:tc>
        <w:tc>
          <w:tcPr>
            <w:tcW w:w="1080" w:type="dxa"/>
            <w:vAlign w:val="bottom"/>
            <w:gridSpan w:val="2"/>
          </w:tcPr>
          <w:p>
            <w:pPr>
              <w:jc w:val="right"/>
              <w:ind w:right="240"/>
              <w:spacing w:after="0" w:line="149" w:lineRule="exact"/>
              <w:rPr>
                <w:sz w:val="20"/>
                <w:szCs w:val="20"/>
                <w:color w:val="auto"/>
              </w:rPr>
            </w:pPr>
            <w:r>
              <w:rPr>
                <w:rFonts w:ascii="Arial" w:cs="Arial" w:eastAsia="Arial" w:hAnsi="Arial"/>
                <w:sz w:val="14"/>
                <w:szCs w:val="14"/>
                <w:b w:val="1"/>
                <w:bCs w:val="1"/>
                <w:color w:val="auto"/>
              </w:rPr>
              <w:t>(11,819.9)</w:t>
            </w:r>
          </w:p>
        </w:tc>
        <w:tc>
          <w:tcPr>
            <w:tcW w:w="30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(7,522.9)</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54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Sales</w:t>
            </w:r>
          </w:p>
        </w:tc>
        <w:tc>
          <w:tcPr>
            <w:tcW w:w="22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8,403.4</w:t>
            </w:r>
          </w:p>
        </w:tc>
        <w:tc>
          <w:tcPr>
            <w:tcW w:w="24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1,936.0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540" w:type="dxa"/>
            <w:vAlign w:val="bottom"/>
          </w:tcPr>
          <w:p>
            <w:pPr>
              <w:ind w:left="100"/>
              <w:spacing w:after="0" w:line="149" w:lineRule="exact"/>
              <w:rPr>
                <w:sz w:val="20"/>
                <w:szCs w:val="20"/>
                <w:color w:val="auto"/>
              </w:rPr>
            </w:pPr>
            <w:r>
              <w:rPr>
                <w:rFonts w:ascii="Arial" w:cs="Arial" w:eastAsia="Arial" w:hAnsi="Arial"/>
                <w:sz w:val="14"/>
                <w:szCs w:val="14"/>
                <w:color w:val="auto"/>
              </w:rPr>
              <w:t>Maturities</w:t>
            </w:r>
          </w:p>
        </w:tc>
        <w:tc>
          <w:tcPr>
            <w:tcW w:w="22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3,782.3</w:t>
            </w:r>
          </w:p>
        </w:tc>
        <w:tc>
          <w:tcPr>
            <w:tcW w:w="2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5,896.2</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5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Mortgage loans acquired or originated</w:t>
            </w:r>
          </w:p>
        </w:tc>
        <w:tc>
          <w:tcPr>
            <w:tcW w:w="22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b w:val="1"/>
                <w:bCs w:val="1"/>
                <w:color w:val="auto"/>
              </w:rPr>
              <w:t>(2,372.0)</w:t>
            </w:r>
          </w:p>
        </w:tc>
        <w:tc>
          <w:tcPr>
            <w:tcW w:w="30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(2,360.4)</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540" w:type="dxa"/>
            <w:vAlign w:val="bottom"/>
          </w:tcPr>
          <w:p>
            <w:pPr>
              <w:spacing w:after="0" w:line="149" w:lineRule="exact"/>
              <w:rPr>
                <w:sz w:val="20"/>
                <w:szCs w:val="20"/>
                <w:color w:val="auto"/>
              </w:rPr>
            </w:pPr>
            <w:r>
              <w:rPr>
                <w:rFonts w:ascii="Arial" w:cs="Arial" w:eastAsia="Arial" w:hAnsi="Arial"/>
                <w:sz w:val="14"/>
                <w:szCs w:val="14"/>
                <w:color w:val="auto"/>
              </w:rPr>
              <w:t>Mortgage loans sold or repaid</w:t>
            </w:r>
          </w:p>
        </w:tc>
        <w:tc>
          <w:tcPr>
            <w:tcW w:w="22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1,749.0</w:t>
            </w:r>
          </w:p>
        </w:tc>
        <w:tc>
          <w:tcPr>
            <w:tcW w:w="2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1,306.6</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5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Real estate acquired</w:t>
            </w:r>
          </w:p>
        </w:tc>
        <w:tc>
          <w:tcPr>
            <w:tcW w:w="22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b w:val="1"/>
                <w:bCs w:val="1"/>
                <w:color w:val="auto"/>
              </w:rPr>
              <w:t>(116.4)</w:t>
            </w:r>
          </w:p>
        </w:tc>
        <w:tc>
          <w:tcPr>
            <w:tcW w:w="30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(141.6)</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540" w:type="dxa"/>
            <w:vAlign w:val="bottom"/>
          </w:tcPr>
          <w:p>
            <w:pPr>
              <w:spacing w:after="0" w:line="149" w:lineRule="exact"/>
              <w:rPr>
                <w:sz w:val="20"/>
                <w:szCs w:val="20"/>
                <w:color w:val="auto"/>
              </w:rPr>
            </w:pPr>
            <w:r>
              <w:rPr>
                <w:rFonts w:ascii="Arial" w:cs="Arial" w:eastAsia="Arial" w:hAnsi="Arial"/>
                <w:sz w:val="14"/>
                <w:szCs w:val="14"/>
                <w:color w:val="auto"/>
              </w:rPr>
              <w:t>Real estate sold</w:t>
            </w:r>
          </w:p>
        </w:tc>
        <w:tc>
          <w:tcPr>
            <w:tcW w:w="22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288.4</w:t>
            </w:r>
          </w:p>
        </w:tc>
        <w:tc>
          <w:tcPr>
            <w:tcW w:w="2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5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Net purchases of property and equipment</w:t>
            </w:r>
          </w:p>
        </w:tc>
        <w:tc>
          <w:tcPr>
            <w:tcW w:w="22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b w:val="1"/>
                <w:bCs w:val="1"/>
                <w:color w:val="auto"/>
              </w:rPr>
              <w:t>(51.7)</w:t>
            </w:r>
          </w:p>
        </w:tc>
        <w:tc>
          <w:tcPr>
            <w:tcW w:w="30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(45.8)</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540" w:type="dxa"/>
            <w:vAlign w:val="bottom"/>
            <w:tcBorders>
              <w:bottom w:val="single" w:sz="8" w:color="CCEEFF"/>
            </w:tcBorders>
          </w:tcPr>
          <w:p>
            <w:pPr>
              <w:spacing w:after="0" w:line="149" w:lineRule="exact"/>
              <w:rPr>
                <w:sz w:val="20"/>
                <w:szCs w:val="20"/>
                <w:color w:val="auto"/>
              </w:rPr>
            </w:pPr>
            <w:r>
              <w:rPr>
                <w:rFonts w:ascii="Arial" w:cs="Arial" w:eastAsia="Arial" w:hAnsi="Arial"/>
                <w:sz w:val="14"/>
                <w:szCs w:val="14"/>
                <w:color w:val="auto"/>
              </w:rPr>
              <w:t>Net change in other investments</w:t>
            </w:r>
          </w:p>
        </w:tc>
        <w:tc>
          <w:tcPr>
            <w:tcW w:w="220" w:type="dxa"/>
            <w:vAlign w:val="bottom"/>
            <w:tcBorders>
              <w:bottom w:val="single" w:sz="8" w:color="auto"/>
            </w:tcBorders>
          </w:tcPr>
          <w:p>
            <w:pPr>
              <w:spacing w:after="0"/>
              <w:rPr>
                <w:sz w:val="12"/>
                <w:szCs w:val="12"/>
                <w:color w:val="auto"/>
              </w:rPr>
            </w:pPr>
          </w:p>
        </w:tc>
        <w:tc>
          <w:tcPr>
            <w:tcW w:w="8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39.0</w:t>
            </w:r>
          </w:p>
        </w:tc>
        <w:tc>
          <w:tcPr>
            <w:tcW w:w="240" w:type="dxa"/>
            <w:vAlign w:val="bottom"/>
            <w:tcBorders>
              <w:bottom w:val="single" w:sz="8" w:color="CCEEFF"/>
            </w:tcBorders>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(10.9)</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754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cash used in investing activities</w:t>
            </w:r>
          </w:p>
        </w:tc>
        <w:tc>
          <w:tcPr>
            <w:tcW w:w="22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(97.9)</w:t>
            </w:r>
          </w:p>
        </w:tc>
        <w:tc>
          <w:tcPr>
            <w:tcW w:w="24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(942.8)</w:t>
            </w:r>
          </w:p>
        </w:tc>
        <w:tc>
          <w:tcPr>
            <w:tcW w:w="0" w:type="dxa"/>
            <w:vAlign w:val="bottom"/>
          </w:tcPr>
          <w:p>
            <w:pPr>
              <w:spacing w:after="0"/>
              <w:rPr>
                <w:sz w:val="1"/>
                <w:szCs w:val="1"/>
                <w:color w:val="auto"/>
              </w:rPr>
            </w:pPr>
          </w:p>
        </w:tc>
      </w:tr>
      <w:tr>
        <w:trPr>
          <w:trHeight w:val="148"/>
        </w:trPr>
        <w:tc>
          <w:tcPr>
            <w:tcW w:w="20" w:type="dxa"/>
            <w:vAlign w:val="bottom"/>
            <w:vMerge w:val="restart"/>
          </w:tcPr>
          <w:p>
            <w:pPr>
              <w:spacing w:after="0"/>
              <w:rPr>
                <w:sz w:val="12"/>
                <w:szCs w:val="12"/>
                <w:color w:val="auto"/>
              </w:rPr>
            </w:pPr>
          </w:p>
        </w:tc>
        <w:tc>
          <w:tcPr>
            <w:tcW w:w="75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vMerge w:val="continue"/>
          </w:tcPr>
          <w:p>
            <w:pPr>
              <w:spacing w:after="0"/>
              <w:rPr>
                <w:sz w:val="12"/>
                <w:szCs w:val="12"/>
                <w:color w:val="auto"/>
              </w:rPr>
            </w:pPr>
          </w:p>
        </w:tc>
        <w:tc>
          <w:tcPr>
            <w:tcW w:w="754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Financing activities</w:t>
            </w:r>
          </w:p>
        </w:tc>
        <w:tc>
          <w:tcPr>
            <w:tcW w:w="22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540" w:type="dxa"/>
            <w:vAlign w:val="bottom"/>
          </w:tcPr>
          <w:p>
            <w:pPr>
              <w:spacing w:after="0" w:line="149" w:lineRule="exact"/>
              <w:rPr>
                <w:sz w:val="20"/>
                <w:szCs w:val="20"/>
                <w:color w:val="auto"/>
              </w:rPr>
            </w:pPr>
            <w:r>
              <w:rPr>
                <w:rFonts w:ascii="Arial" w:cs="Arial" w:eastAsia="Arial" w:hAnsi="Arial"/>
                <w:sz w:val="14"/>
                <w:szCs w:val="14"/>
                <w:color w:val="auto"/>
              </w:rPr>
              <w:t>Issuance of common stock</w:t>
            </w:r>
          </w:p>
        </w:tc>
        <w:tc>
          <w:tcPr>
            <w:tcW w:w="22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49.0</w:t>
            </w:r>
          </w:p>
        </w:tc>
        <w:tc>
          <w:tcPr>
            <w:tcW w:w="2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42.9</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5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Accelerated share repurchase</w:t>
            </w:r>
          </w:p>
        </w:tc>
        <w:tc>
          <w:tcPr>
            <w:tcW w:w="22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b w:val="1"/>
                <w:bCs w:val="1"/>
                <w:color w:val="auto"/>
              </w:rPr>
              <w:t>(42.8)</w:t>
            </w:r>
          </w:p>
        </w:tc>
        <w:tc>
          <w:tcPr>
            <w:tcW w:w="30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540" w:type="dxa"/>
            <w:vAlign w:val="bottom"/>
          </w:tcPr>
          <w:p>
            <w:pPr>
              <w:spacing w:after="0" w:line="149" w:lineRule="exact"/>
              <w:rPr>
                <w:sz w:val="20"/>
                <w:szCs w:val="20"/>
                <w:color w:val="auto"/>
              </w:rPr>
            </w:pPr>
            <w:r>
              <w:rPr>
                <w:rFonts w:ascii="Arial" w:cs="Arial" w:eastAsia="Arial" w:hAnsi="Arial"/>
                <w:sz w:val="14"/>
                <w:szCs w:val="14"/>
                <w:color w:val="auto"/>
              </w:rPr>
              <w:t>Acquisition of treasury stock</w:t>
            </w:r>
          </w:p>
        </w:tc>
        <w:tc>
          <w:tcPr>
            <w:tcW w:w="220" w:type="dxa"/>
            <w:vAlign w:val="bottom"/>
          </w:tcPr>
          <w:p>
            <w:pPr>
              <w:spacing w:after="0"/>
              <w:rPr>
                <w:sz w:val="12"/>
                <w:szCs w:val="12"/>
                <w:color w:val="auto"/>
              </w:rPr>
            </w:pPr>
          </w:p>
        </w:tc>
        <w:tc>
          <w:tcPr>
            <w:tcW w:w="1080" w:type="dxa"/>
            <w:vAlign w:val="bottom"/>
            <w:gridSpan w:val="2"/>
          </w:tcPr>
          <w:p>
            <w:pPr>
              <w:jc w:val="right"/>
              <w:ind w:right="240"/>
              <w:spacing w:after="0" w:line="149" w:lineRule="exact"/>
              <w:rPr>
                <w:sz w:val="20"/>
                <w:szCs w:val="20"/>
                <w:color w:val="auto"/>
              </w:rPr>
            </w:pPr>
            <w:r>
              <w:rPr>
                <w:rFonts w:ascii="Arial" w:cs="Arial" w:eastAsia="Arial" w:hAnsi="Arial"/>
                <w:sz w:val="14"/>
                <w:szCs w:val="14"/>
                <w:b w:val="1"/>
                <w:bCs w:val="1"/>
                <w:color w:val="auto"/>
              </w:rPr>
              <w:t>(951.3)</w:t>
            </w:r>
          </w:p>
        </w:tc>
        <w:tc>
          <w:tcPr>
            <w:tcW w:w="30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(381.6)</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5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Payments for financing element derivatives</w:t>
            </w:r>
          </w:p>
        </w:tc>
        <w:tc>
          <w:tcPr>
            <w:tcW w:w="22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b w:val="1"/>
                <w:bCs w:val="1"/>
                <w:color w:val="auto"/>
              </w:rPr>
              <w:t>(26.1)</w:t>
            </w:r>
          </w:p>
        </w:tc>
        <w:tc>
          <w:tcPr>
            <w:tcW w:w="30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(17.7)</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540" w:type="dxa"/>
            <w:vAlign w:val="bottom"/>
          </w:tcPr>
          <w:p>
            <w:pPr>
              <w:spacing w:after="0" w:line="149" w:lineRule="exact"/>
              <w:rPr>
                <w:sz w:val="20"/>
                <w:szCs w:val="20"/>
                <w:color w:val="auto"/>
              </w:rPr>
            </w:pPr>
            <w:r>
              <w:rPr>
                <w:rFonts w:ascii="Arial" w:cs="Arial" w:eastAsia="Arial" w:hAnsi="Arial"/>
                <w:sz w:val="14"/>
                <w:szCs w:val="14"/>
                <w:color w:val="auto"/>
              </w:rPr>
              <w:t>Purchase of subsidiary shares from noncontrolling interest</w:t>
            </w:r>
          </w:p>
        </w:tc>
        <w:tc>
          <w:tcPr>
            <w:tcW w:w="220" w:type="dxa"/>
            <w:vAlign w:val="bottom"/>
          </w:tcPr>
          <w:p>
            <w:pPr>
              <w:spacing w:after="0"/>
              <w:rPr>
                <w:sz w:val="12"/>
                <w:szCs w:val="12"/>
                <w:color w:val="auto"/>
              </w:rPr>
            </w:pPr>
          </w:p>
        </w:tc>
        <w:tc>
          <w:tcPr>
            <w:tcW w:w="1080" w:type="dxa"/>
            <w:vAlign w:val="bottom"/>
            <w:gridSpan w:val="2"/>
          </w:tcPr>
          <w:p>
            <w:pPr>
              <w:jc w:val="right"/>
              <w:ind w:right="240"/>
              <w:spacing w:after="0" w:line="149" w:lineRule="exact"/>
              <w:rPr>
                <w:sz w:val="20"/>
                <w:szCs w:val="20"/>
                <w:color w:val="auto"/>
              </w:rPr>
            </w:pPr>
            <w:r>
              <w:rPr>
                <w:rFonts w:ascii="Arial" w:cs="Arial" w:eastAsia="Arial" w:hAnsi="Arial"/>
                <w:sz w:val="14"/>
                <w:szCs w:val="14"/>
                <w:b w:val="1"/>
                <w:bCs w:val="1"/>
                <w:color w:val="auto"/>
              </w:rPr>
              <w:t>(6.7)</w:t>
            </w:r>
          </w:p>
        </w:tc>
        <w:tc>
          <w:tcPr>
            <w:tcW w:w="30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(22.4)</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5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Dividends to common stockholders</w:t>
            </w:r>
          </w:p>
        </w:tc>
        <w:tc>
          <w:tcPr>
            <w:tcW w:w="22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b w:val="1"/>
                <w:bCs w:val="1"/>
                <w:color w:val="auto"/>
              </w:rPr>
              <w:t>(328.7)</w:t>
            </w:r>
          </w:p>
        </w:tc>
        <w:tc>
          <w:tcPr>
            <w:tcW w:w="30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(317.4)</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540" w:type="dxa"/>
            <w:vAlign w:val="bottom"/>
          </w:tcPr>
          <w:p>
            <w:pPr>
              <w:spacing w:after="0" w:line="149" w:lineRule="exact"/>
              <w:rPr>
                <w:sz w:val="20"/>
                <w:szCs w:val="20"/>
                <w:color w:val="auto"/>
              </w:rPr>
            </w:pPr>
            <w:r>
              <w:rPr>
                <w:rFonts w:ascii="Arial" w:cs="Arial" w:eastAsia="Arial" w:hAnsi="Arial"/>
                <w:sz w:val="14"/>
                <w:szCs w:val="14"/>
                <w:color w:val="auto"/>
              </w:rPr>
              <w:t>Principal repayments of long-term debt</w:t>
            </w:r>
          </w:p>
        </w:tc>
        <w:tc>
          <w:tcPr>
            <w:tcW w:w="220" w:type="dxa"/>
            <w:vAlign w:val="bottom"/>
          </w:tcPr>
          <w:p>
            <w:pPr>
              <w:spacing w:after="0"/>
              <w:rPr>
                <w:sz w:val="12"/>
                <w:szCs w:val="12"/>
                <w:color w:val="auto"/>
              </w:rPr>
            </w:pPr>
          </w:p>
        </w:tc>
        <w:tc>
          <w:tcPr>
            <w:tcW w:w="1080" w:type="dxa"/>
            <w:vAlign w:val="bottom"/>
            <w:gridSpan w:val="2"/>
          </w:tcPr>
          <w:p>
            <w:pPr>
              <w:jc w:val="right"/>
              <w:ind w:right="240"/>
              <w:spacing w:after="0" w:line="149" w:lineRule="exact"/>
              <w:rPr>
                <w:sz w:val="20"/>
                <w:szCs w:val="20"/>
                <w:color w:val="auto"/>
              </w:rPr>
            </w:pPr>
            <w:r>
              <w:rPr>
                <w:rFonts w:ascii="Arial" w:cs="Arial" w:eastAsia="Arial" w:hAnsi="Arial"/>
                <w:sz w:val="14"/>
                <w:szCs w:val="14"/>
                <w:b w:val="1"/>
                <w:bCs w:val="1"/>
                <w:color w:val="auto"/>
              </w:rPr>
              <w:t>(0.9)</w:t>
            </w:r>
          </w:p>
        </w:tc>
        <w:tc>
          <w:tcPr>
            <w:tcW w:w="30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(0.9)</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5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Net repayments of short-term borrowings</w:t>
            </w:r>
          </w:p>
        </w:tc>
        <w:tc>
          <w:tcPr>
            <w:tcW w:w="22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b w:val="1"/>
                <w:bCs w:val="1"/>
                <w:color w:val="auto"/>
              </w:rPr>
              <w:t>(6.4)</w:t>
            </w:r>
          </w:p>
        </w:tc>
        <w:tc>
          <w:tcPr>
            <w:tcW w:w="30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540" w:type="dxa"/>
            <w:vAlign w:val="bottom"/>
          </w:tcPr>
          <w:p>
            <w:pPr>
              <w:spacing w:after="0" w:line="149" w:lineRule="exact"/>
              <w:rPr>
                <w:sz w:val="20"/>
                <w:szCs w:val="20"/>
                <w:color w:val="auto"/>
              </w:rPr>
            </w:pPr>
            <w:r>
              <w:rPr>
                <w:rFonts w:ascii="Arial" w:cs="Arial" w:eastAsia="Arial" w:hAnsi="Arial"/>
                <w:sz w:val="14"/>
                <w:szCs w:val="14"/>
                <w:color w:val="auto"/>
              </w:rPr>
              <w:t>Investment contract deposits</w:t>
            </w:r>
          </w:p>
        </w:tc>
        <w:tc>
          <w:tcPr>
            <w:tcW w:w="22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4,209.9</w:t>
            </w:r>
          </w:p>
        </w:tc>
        <w:tc>
          <w:tcPr>
            <w:tcW w:w="2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4,847.5</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5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Investment contract withdrawals</w:t>
            </w:r>
          </w:p>
        </w:tc>
        <w:tc>
          <w:tcPr>
            <w:tcW w:w="22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b w:val="1"/>
                <w:bCs w:val="1"/>
                <w:color w:val="auto"/>
              </w:rPr>
              <w:t>(3,476.9)</w:t>
            </w:r>
          </w:p>
        </w:tc>
        <w:tc>
          <w:tcPr>
            <w:tcW w:w="30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(4,980.1)</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540" w:type="dxa"/>
            <w:vAlign w:val="bottom"/>
            <w:tcBorders>
              <w:bottom w:val="single" w:sz="8" w:color="CCEEFF"/>
            </w:tcBorders>
          </w:tcPr>
          <w:p>
            <w:pPr>
              <w:spacing w:after="0" w:line="149" w:lineRule="exact"/>
              <w:rPr>
                <w:sz w:val="20"/>
                <w:szCs w:val="20"/>
                <w:color w:val="auto"/>
              </w:rPr>
            </w:pPr>
            <w:r>
              <w:rPr>
                <w:rFonts w:ascii="Arial" w:cs="Arial" w:eastAsia="Arial" w:hAnsi="Arial"/>
                <w:sz w:val="14"/>
                <w:szCs w:val="14"/>
                <w:color w:val="auto"/>
              </w:rPr>
              <w:t>Net increase in banking operation deposits</w:t>
            </w:r>
          </w:p>
        </w:tc>
        <w:tc>
          <w:tcPr>
            <w:tcW w:w="220" w:type="dxa"/>
            <w:vAlign w:val="bottom"/>
            <w:tcBorders>
              <w:bottom w:val="single" w:sz="8" w:color="auto"/>
            </w:tcBorders>
          </w:tcPr>
          <w:p>
            <w:pPr>
              <w:spacing w:after="0"/>
              <w:rPr>
                <w:sz w:val="12"/>
                <w:szCs w:val="12"/>
                <w:color w:val="auto"/>
              </w:rPr>
            </w:pPr>
          </w:p>
        </w:tc>
        <w:tc>
          <w:tcPr>
            <w:tcW w:w="8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681.2</w:t>
            </w:r>
          </w:p>
        </w:tc>
        <w:tc>
          <w:tcPr>
            <w:tcW w:w="240" w:type="dxa"/>
            <w:vAlign w:val="bottom"/>
            <w:tcBorders>
              <w:bottom w:val="single" w:sz="8" w:color="CCEEFF"/>
            </w:tcBorders>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206.5</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754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cash provided by (used in) financing activities</w:t>
            </w:r>
          </w:p>
        </w:tc>
        <w:tc>
          <w:tcPr>
            <w:tcW w:w="220" w:type="dxa"/>
            <w:vAlign w:val="bottom"/>
            <w:tcBorders>
              <w:bottom w:val="single" w:sz="8" w:color="auto"/>
            </w:tcBorders>
            <w:shd w:val="clear" w:color="auto" w:fill="CCEEFF"/>
          </w:tcPr>
          <w:p>
            <w:pPr>
              <w:spacing w:after="0"/>
              <w:rPr>
                <w:sz w:val="12"/>
                <w:szCs w:val="12"/>
                <w:color w:val="auto"/>
              </w:rPr>
            </w:pPr>
          </w:p>
        </w:tc>
        <w:tc>
          <w:tcPr>
            <w:tcW w:w="84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100.3</w:t>
            </w:r>
          </w:p>
        </w:tc>
        <w:tc>
          <w:tcPr>
            <w:tcW w:w="240" w:type="dxa"/>
            <w:vAlign w:val="bottom"/>
            <w:shd w:val="clear" w:color="auto" w:fill="CCEEFF"/>
          </w:tcPr>
          <w:p>
            <w:pPr>
              <w:spacing w:after="0"/>
              <w:rPr>
                <w:sz w:val="12"/>
                <w:szCs w:val="12"/>
                <w:color w:val="auto"/>
              </w:rPr>
            </w:pPr>
          </w:p>
        </w:tc>
        <w:tc>
          <w:tcPr>
            <w:tcW w:w="300" w:type="dxa"/>
            <w:vAlign w:val="bottom"/>
            <w:tcBorders>
              <w:bottom w:val="single" w:sz="8" w:color="auto"/>
            </w:tcBorders>
            <w:shd w:val="clear" w:color="auto" w:fill="CCEEFF"/>
          </w:tcPr>
          <w:p>
            <w:pPr>
              <w:spacing w:after="0"/>
              <w:rPr>
                <w:sz w:val="12"/>
                <w:szCs w:val="12"/>
                <w:color w:val="auto"/>
              </w:rPr>
            </w:pPr>
          </w:p>
        </w:tc>
        <w:tc>
          <w:tcPr>
            <w:tcW w:w="76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(623.2)</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7540" w:type="dxa"/>
            <w:vAlign w:val="bottom"/>
          </w:tcPr>
          <w:p>
            <w:pPr>
              <w:spacing w:after="0" w:line="142" w:lineRule="exact"/>
              <w:rPr>
                <w:sz w:val="20"/>
                <w:szCs w:val="20"/>
                <w:color w:val="auto"/>
              </w:rPr>
            </w:pPr>
            <w:r>
              <w:rPr>
                <w:rFonts w:ascii="Arial" w:cs="Arial" w:eastAsia="Arial" w:hAnsi="Arial"/>
                <w:sz w:val="14"/>
                <w:szCs w:val="14"/>
                <w:color w:val="auto"/>
              </w:rPr>
              <w:t>Net increase (decrease) in cash and cash equivalents</w:t>
            </w:r>
          </w:p>
        </w:tc>
        <w:tc>
          <w:tcPr>
            <w:tcW w:w="220" w:type="dxa"/>
            <w:vAlign w:val="bottom"/>
          </w:tcPr>
          <w:p>
            <w:pPr>
              <w:spacing w:after="0"/>
              <w:rPr>
                <w:sz w:val="12"/>
                <w:szCs w:val="12"/>
                <w:color w:val="auto"/>
              </w:rPr>
            </w:pPr>
          </w:p>
        </w:tc>
        <w:tc>
          <w:tcPr>
            <w:tcW w:w="84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841.1</w:t>
            </w:r>
          </w:p>
        </w:tc>
        <w:tc>
          <w:tcPr>
            <w:tcW w:w="2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jc w:val="right"/>
              <w:spacing w:after="0" w:line="142" w:lineRule="exact"/>
              <w:rPr>
                <w:sz w:val="20"/>
                <w:szCs w:val="20"/>
                <w:color w:val="auto"/>
              </w:rPr>
            </w:pPr>
            <w:r>
              <w:rPr>
                <w:rFonts w:ascii="Arial" w:cs="Arial" w:eastAsia="Arial" w:hAnsi="Arial"/>
                <w:sz w:val="14"/>
                <w:szCs w:val="14"/>
                <w:color w:val="auto"/>
              </w:rPr>
              <w:t>(432.4)</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5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Cash and cash equivalents at beginning of period</w:t>
            </w:r>
          </w:p>
        </w:tc>
        <w:tc>
          <w:tcPr>
            <w:tcW w:w="220" w:type="dxa"/>
            <w:vAlign w:val="bottom"/>
            <w:tcBorders>
              <w:bottom w:val="single" w:sz="8" w:color="auto"/>
            </w:tcBorders>
            <w:shd w:val="clear" w:color="auto" w:fill="CCEEFF"/>
          </w:tcPr>
          <w:p>
            <w:pPr>
              <w:spacing w:after="0"/>
              <w:rPr>
                <w:sz w:val="12"/>
                <w:szCs w:val="12"/>
                <w:color w:val="auto"/>
              </w:rPr>
            </w:pPr>
          </w:p>
        </w:tc>
        <w:tc>
          <w:tcPr>
            <w:tcW w:w="84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2,332.0</w:t>
            </w:r>
          </w:p>
        </w:tc>
        <w:tc>
          <w:tcPr>
            <w:tcW w:w="240" w:type="dxa"/>
            <w:vAlign w:val="bottom"/>
            <w:shd w:val="clear" w:color="auto" w:fill="CCEEFF"/>
          </w:tcPr>
          <w:p>
            <w:pPr>
              <w:spacing w:after="0"/>
              <w:rPr>
                <w:sz w:val="12"/>
                <w:szCs w:val="12"/>
                <w:color w:val="auto"/>
              </w:rPr>
            </w:pPr>
          </w:p>
        </w:tc>
        <w:tc>
          <w:tcPr>
            <w:tcW w:w="300" w:type="dxa"/>
            <w:vAlign w:val="bottom"/>
            <w:tcBorders>
              <w:bottom w:val="single" w:sz="8" w:color="auto"/>
            </w:tcBorders>
            <w:shd w:val="clear" w:color="auto" w:fill="CCEEFF"/>
          </w:tcPr>
          <w:p>
            <w:pPr>
              <w:spacing w:after="0"/>
              <w:rPr>
                <w:sz w:val="12"/>
                <w:szCs w:val="12"/>
                <w:color w:val="auto"/>
              </w:rPr>
            </w:pPr>
          </w:p>
        </w:tc>
        <w:tc>
          <w:tcPr>
            <w:tcW w:w="7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2,849.8</w:t>
            </w: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7540" w:type="dxa"/>
            <w:vAlign w:val="bottom"/>
            <w:tcBorders>
              <w:bottom w:val="single" w:sz="8" w:color="CCEEFF"/>
            </w:tcBorders>
          </w:tcPr>
          <w:p>
            <w:pPr>
              <w:spacing w:after="0" w:line="142" w:lineRule="exact"/>
              <w:rPr>
                <w:sz w:val="20"/>
                <w:szCs w:val="20"/>
                <w:color w:val="auto"/>
              </w:rPr>
            </w:pPr>
            <w:r>
              <w:rPr>
                <w:rFonts w:ascii="Arial" w:cs="Arial" w:eastAsia="Arial" w:hAnsi="Arial"/>
                <w:sz w:val="14"/>
                <w:szCs w:val="14"/>
                <w:color w:val="auto"/>
              </w:rPr>
              <w:t>Cash and cash equivalents at end of period</w:t>
            </w:r>
          </w:p>
        </w:tc>
        <w:tc>
          <w:tcPr>
            <w:tcW w:w="220" w:type="dxa"/>
            <w:vAlign w:val="bottom"/>
            <w:tcBorders>
              <w:bottom w:val="single" w:sz="8" w:color="auto"/>
            </w:tcBorders>
          </w:tcPr>
          <w:p>
            <w:pPr>
              <w:jc w:val="right"/>
              <w:ind w:right="109"/>
              <w:spacing w:after="0"/>
              <w:rPr>
                <w:sz w:val="20"/>
                <w:szCs w:val="20"/>
                <w:color w:val="auto"/>
              </w:rPr>
            </w:pPr>
            <w:r>
              <w:rPr>
                <w:rFonts w:ascii="Arial" w:cs="Arial" w:eastAsia="Arial" w:hAnsi="Arial"/>
                <w:sz w:val="10"/>
                <w:szCs w:val="10"/>
                <w:b w:val="1"/>
                <w:bCs w:val="1"/>
                <w:color w:val="auto"/>
                <w:w w:val="71"/>
              </w:rPr>
              <w:t>$</w:t>
            </w:r>
          </w:p>
        </w:tc>
        <w:tc>
          <w:tcPr>
            <w:tcW w:w="84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3,173.1</w:t>
            </w:r>
          </w:p>
        </w:tc>
        <w:tc>
          <w:tcPr>
            <w:tcW w:w="240" w:type="dxa"/>
            <w:vAlign w:val="bottom"/>
            <w:tcBorders>
              <w:bottom w:val="single" w:sz="8" w:color="CCEEFF"/>
            </w:tcBorders>
          </w:tcPr>
          <w:p>
            <w:pPr>
              <w:spacing w:after="0"/>
              <w:rPr>
                <w:sz w:val="15"/>
                <w:szCs w:val="15"/>
                <w:color w:val="auto"/>
              </w:rPr>
            </w:pPr>
          </w:p>
        </w:tc>
        <w:tc>
          <w:tcPr>
            <w:tcW w:w="300" w:type="dxa"/>
            <w:vAlign w:val="bottom"/>
            <w:tcBorders>
              <w:bottom w:val="single" w:sz="8" w:color="auto"/>
            </w:tcBorders>
          </w:tcPr>
          <w:p>
            <w:pPr>
              <w:jc w:val="right"/>
              <w:ind w:right="189"/>
              <w:spacing w:after="0"/>
              <w:rPr>
                <w:sz w:val="20"/>
                <w:szCs w:val="20"/>
                <w:color w:val="auto"/>
              </w:rPr>
            </w:pPr>
            <w:r>
              <w:rPr>
                <w:rFonts w:ascii="Arial" w:cs="Arial" w:eastAsia="Arial" w:hAnsi="Arial"/>
                <w:sz w:val="10"/>
                <w:szCs w:val="10"/>
                <w:color w:val="auto"/>
                <w:w w:val="71"/>
              </w:rPr>
              <w:t>$</w:t>
            </w:r>
          </w:p>
        </w:tc>
        <w:tc>
          <w:tcPr>
            <w:tcW w:w="7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2,417.4</w:t>
            </w:r>
          </w:p>
        </w:tc>
        <w:tc>
          <w:tcPr>
            <w:tcW w:w="0" w:type="dxa"/>
            <w:vAlign w:val="bottom"/>
          </w:tcPr>
          <w:p>
            <w:pPr>
              <w:spacing w:after="0"/>
              <w:rPr>
                <w:sz w:val="1"/>
                <w:szCs w:val="1"/>
                <w:color w:val="auto"/>
              </w:rPr>
            </w:pPr>
          </w:p>
        </w:tc>
      </w:tr>
      <w:tr>
        <w:trPr>
          <w:trHeight w:val="129"/>
        </w:trPr>
        <w:tc>
          <w:tcPr>
            <w:tcW w:w="20" w:type="dxa"/>
            <w:vAlign w:val="bottom"/>
            <w:vMerge w:val="restart"/>
          </w:tcPr>
          <w:p>
            <w:pPr>
              <w:spacing w:after="0"/>
              <w:rPr>
                <w:sz w:val="11"/>
                <w:szCs w:val="11"/>
                <w:color w:val="auto"/>
              </w:rPr>
            </w:pPr>
          </w:p>
        </w:tc>
        <w:tc>
          <w:tcPr>
            <w:tcW w:w="754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7540" w:type="dxa"/>
            <w:vAlign w:val="bottom"/>
          </w:tcPr>
          <w:p>
            <w:pPr>
              <w:spacing w:after="0" w:line="149" w:lineRule="exact"/>
              <w:rPr>
                <w:sz w:val="20"/>
                <w:szCs w:val="20"/>
                <w:color w:val="auto"/>
              </w:rPr>
            </w:pPr>
            <w:r>
              <w:rPr>
                <w:rFonts w:ascii="Arial" w:cs="Arial" w:eastAsia="Arial" w:hAnsi="Arial"/>
                <w:sz w:val="14"/>
                <w:szCs w:val="14"/>
                <w:b w:val="1"/>
                <w:bCs w:val="1"/>
                <w:color w:val="auto"/>
              </w:rPr>
              <w:t>Supplemental disclosure of non-cash activities:</w:t>
            </w:r>
          </w:p>
        </w:tc>
        <w:tc>
          <w:tcPr>
            <w:tcW w:w="2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5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w w:val="98"/>
              </w:rPr>
              <w:t>Changes from re-designation of other postretirement employee benefits (“OPEB”) plan assets to cover non-retiree benefits:</w:t>
            </w:r>
          </w:p>
        </w:tc>
        <w:tc>
          <w:tcPr>
            <w:tcW w:w="22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540" w:type="dxa"/>
            <w:vAlign w:val="bottom"/>
          </w:tcPr>
          <w:p>
            <w:pPr>
              <w:ind w:left="100"/>
              <w:spacing w:after="0" w:line="149" w:lineRule="exact"/>
              <w:rPr>
                <w:sz w:val="20"/>
                <w:szCs w:val="20"/>
                <w:color w:val="auto"/>
              </w:rPr>
            </w:pPr>
            <w:r>
              <w:rPr>
                <w:rFonts w:ascii="Arial" w:cs="Arial" w:eastAsia="Arial" w:hAnsi="Arial"/>
                <w:sz w:val="14"/>
                <w:szCs w:val="14"/>
                <w:color w:val="auto"/>
              </w:rPr>
              <w:t>Increases in equity securities re-designated from funded status of OPEB plan</w:t>
            </w:r>
          </w:p>
        </w:tc>
        <w:tc>
          <w:tcPr>
            <w:tcW w:w="220" w:type="dxa"/>
            <w:vAlign w:val="bottom"/>
          </w:tcPr>
          <w:p>
            <w:pPr>
              <w:jc w:val="right"/>
              <w:ind w:right="109"/>
              <w:spacing w:after="0"/>
              <w:rPr>
                <w:sz w:val="20"/>
                <w:szCs w:val="20"/>
                <w:color w:val="auto"/>
              </w:rPr>
            </w:pPr>
            <w:r>
              <w:rPr>
                <w:rFonts w:ascii="Arial" w:cs="Arial" w:eastAsia="Arial" w:hAnsi="Arial"/>
                <w:sz w:val="10"/>
                <w:szCs w:val="10"/>
                <w:b w:val="1"/>
                <w:bCs w:val="1"/>
                <w:color w:val="auto"/>
                <w:w w:val="71"/>
              </w:rPr>
              <w:t>$</w:t>
            </w:r>
          </w:p>
        </w:tc>
        <w:tc>
          <w:tcPr>
            <w:tcW w:w="1080" w:type="dxa"/>
            <w:vAlign w:val="bottom"/>
            <w:gridSpan w:val="2"/>
          </w:tcPr>
          <w:p>
            <w:pPr>
              <w:jc w:val="right"/>
              <w:ind w:right="300"/>
              <w:spacing w:after="0" w:line="149" w:lineRule="exact"/>
              <w:rPr>
                <w:sz w:val="20"/>
                <w:szCs w:val="20"/>
                <w:color w:val="auto"/>
              </w:rPr>
            </w:pPr>
            <w:r>
              <w:rPr>
                <w:rFonts w:ascii="Arial" w:cs="Arial" w:eastAsia="Arial" w:hAnsi="Arial"/>
                <w:sz w:val="14"/>
                <w:szCs w:val="14"/>
                <w:b w:val="1"/>
                <w:bCs w:val="1"/>
                <w:color w:val="auto"/>
              </w:rPr>
              <w:t>—</w:t>
            </w:r>
          </w:p>
        </w:tc>
        <w:tc>
          <w:tcPr>
            <w:tcW w:w="300" w:type="dxa"/>
            <w:vAlign w:val="bottom"/>
          </w:tcPr>
          <w:p>
            <w:pPr>
              <w:jc w:val="right"/>
              <w:ind w:right="189"/>
              <w:spacing w:after="0"/>
              <w:rPr>
                <w:sz w:val="20"/>
                <w:szCs w:val="20"/>
                <w:color w:val="auto"/>
              </w:rPr>
            </w:pPr>
            <w:r>
              <w:rPr>
                <w:rFonts w:ascii="Arial" w:cs="Arial" w:eastAsia="Arial" w:hAnsi="Arial"/>
                <w:sz w:val="10"/>
                <w:szCs w:val="10"/>
                <w:color w:val="auto"/>
                <w:w w:val="71"/>
              </w:rPr>
              <w:t>$</w:t>
            </w: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548.1</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54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Increases in other investments re-designated from funded status of OPEB plan</w:t>
            </w:r>
          </w:p>
        </w:tc>
        <w:tc>
          <w:tcPr>
            <w:tcW w:w="22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300"/>
              <w:spacing w:after="0" w:line="149" w:lineRule="exact"/>
              <w:rPr>
                <w:sz w:val="20"/>
                <w:szCs w:val="20"/>
                <w:color w:val="auto"/>
              </w:rPr>
            </w:pPr>
            <w:r>
              <w:rPr>
                <w:rFonts w:ascii="Arial" w:cs="Arial" w:eastAsia="Arial" w:hAnsi="Arial"/>
                <w:sz w:val="14"/>
                <w:szCs w:val="14"/>
                <w:b w:val="1"/>
                <w:bCs w:val="1"/>
                <w:color w:val="auto"/>
              </w:rPr>
              <w:t>—</w:t>
            </w:r>
          </w:p>
        </w:tc>
        <w:tc>
          <w:tcPr>
            <w:tcW w:w="30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117.5</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540" w:type="dxa"/>
            <w:vAlign w:val="bottom"/>
          </w:tcPr>
          <w:p>
            <w:pPr>
              <w:ind w:left="100"/>
              <w:spacing w:after="0" w:line="149" w:lineRule="exact"/>
              <w:rPr>
                <w:sz w:val="20"/>
                <w:szCs w:val="20"/>
                <w:color w:val="auto"/>
              </w:rPr>
            </w:pPr>
            <w:r>
              <w:rPr>
                <w:rFonts w:ascii="Arial" w:cs="Arial" w:eastAsia="Arial" w:hAnsi="Arial"/>
                <w:sz w:val="14"/>
                <w:szCs w:val="14"/>
                <w:color w:val="auto"/>
              </w:rPr>
              <w:t>Decrease in tax receivable re-designated from funded status of OPEB plan</w:t>
            </w:r>
          </w:p>
        </w:tc>
        <w:tc>
          <w:tcPr>
            <w:tcW w:w="220" w:type="dxa"/>
            <w:vAlign w:val="bottom"/>
          </w:tcPr>
          <w:p>
            <w:pPr>
              <w:spacing w:after="0"/>
              <w:rPr>
                <w:sz w:val="12"/>
                <w:szCs w:val="12"/>
                <w:color w:val="auto"/>
              </w:rPr>
            </w:pPr>
          </w:p>
        </w:tc>
        <w:tc>
          <w:tcPr>
            <w:tcW w:w="1080" w:type="dxa"/>
            <w:vAlign w:val="bottom"/>
            <w:gridSpan w:val="2"/>
          </w:tcPr>
          <w:p>
            <w:pPr>
              <w:jc w:val="right"/>
              <w:ind w:right="300"/>
              <w:spacing w:after="0" w:line="149" w:lineRule="exact"/>
              <w:rPr>
                <w:sz w:val="20"/>
                <w:szCs w:val="20"/>
                <w:color w:val="auto"/>
              </w:rPr>
            </w:pPr>
            <w:r>
              <w:rPr>
                <w:rFonts w:ascii="Arial" w:cs="Arial" w:eastAsia="Arial" w:hAnsi="Arial"/>
                <w:sz w:val="14"/>
                <w:szCs w:val="14"/>
                <w:b w:val="1"/>
                <w:bCs w:val="1"/>
                <w:color w:val="auto"/>
              </w:rPr>
              <w:t>—</w:t>
            </w:r>
          </w:p>
        </w:tc>
        <w:tc>
          <w:tcPr>
            <w:tcW w:w="30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(9.1)</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540" w:type="dxa"/>
            <w:vAlign w:val="bottom"/>
            <w:shd w:val="clear" w:color="auto" w:fill="CCEEFF"/>
          </w:tcPr>
          <w:p>
            <w:pPr>
              <w:ind w:left="100"/>
              <w:spacing w:after="0" w:line="130" w:lineRule="exact"/>
              <w:rPr>
                <w:sz w:val="20"/>
                <w:szCs w:val="20"/>
                <w:color w:val="auto"/>
              </w:rPr>
            </w:pPr>
            <w:r>
              <w:rPr>
                <w:rFonts w:ascii="Arial" w:cs="Arial" w:eastAsia="Arial" w:hAnsi="Arial"/>
                <w:sz w:val="14"/>
                <w:szCs w:val="14"/>
                <w:color w:val="auto"/>
                <w:w w:val="98"/>
              </w:rPr>
              <w:t>Decrease in accumulated other comprehensive income (“AOCI”) due to reclassifying excess assets out of funded status of</w:t>
            </w:r>
          </w:p>
        </w:tc>
        <w:tc>
          <w:tcPr>
            <w:tcW w:w="220" w:type="dxa"/>
            <w:vAlign w:val="bottom"/>
            <w:shd w:val="clear" w:color="auto" w:fill="CCEEFF"/>
          </w:tcPr>
          <w:p>
            <w:pPr>
              <w:spacing w:after="0"/>
              <w:rPr>
                <w:sz w:val="11"/>
                <w:szCs w:val="11"/>
                <w:color w:val="auto"/>
              </w:rPr>
            </w:pPr>
          </w:p>
        </w:tc>
        <w:tc>
          <w:tcPr>
            <w:tcW w:w="1080" w:type="dxa"/>
            <w:vAlign w:val="bottom"/>
            <w:gridSpan w:val="2"/>
            <w:vMerge w:val="restart"/>
            <w:shd w:val="clear" w:color="auto" w:fill="CCEEFF"/>
          </w:tcPr>
          <w:p>
            <w:pPr>
              <w:jc w:val="right"/>
              <w:ind w:right="300"/>
              <w:spacing w:after="0"/>
              <w:rPr>
                <w:sz w:val="20"/>
                <w:szCs w:val="20"/>
                <w:color w:val="auto"/>
              </w:rPr>
            </w:pPr>
            <w:r>
              <w:rPr>
                <w:rFonts w:ascii="Arial" w:cs="Arial" w:eastAsia="Arial" w:hAnsi="Arial"/>
                <w:sz w:val="14"/>
                <w:szCs w:val="14"/>
                <w:b w:val="1"/>
                <w:bCs w:val="1"/>
                <w:color w:val="auto"/>
              </w:rPr>
              <w:t>—</w:t>
            </w:r>
          </w:p>
        </w:tc>
        <w:tc>
          <w:tcPr>
            <w:tcW w:w="30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7540" w:type="dxa"/>
            <w:vAlign w:val="bottom"/>
            <w:shd w:val="clear" w:color="auto" w:fill="CCEEFF"/>
          </w:tcPr>
          <w:p>
            <w:pPr>
              <w:ind w:left="220"/>
              <w:spacing w:after="0"/>
              <w:rPr>
                <w:sz w:val="20"/>
                <w:szCs w:val="20"/>
                <w:color w:val="auto"/>
              </w:rPr>
            </w:pPr>
            <w:r>
              <w:rPr>
                <w:rFonts w:ascii="Arial" w:cs="Arial" w:eastAsia="Arial" w:hAnsi="Arial"/>
                <w:sz w:val="14"/>
                <w:szCs w:val="14"/>
                <w:color w:val="auto"/>
              </w:rPr>
              <w:t>OPEB plan</w:t>
            </w:r>
          </w:p>
        </w:tc>
        <w:tc>
          <w:tcPr>
            <w:tcW w:w="220" w:type="dxa"/>
            <w:vAlign w:val="bottom"/>
            <w:shd w:val="clear" w:color="auto" w:fill="CCEEFF"/>
          </w:tcPr>
          <w:p>
            <w:pPr>
              <w:spacing w:after="0"/>
              <w:rPr>
                <w:sz w:val="14"/>
                <w:szCs w:val="14"/>
                <w:color w:val="auto"/>
              </w:rPr>
            </w:pPr>
          </w:p>
        </w:tc>
        <w:tc>
          <w:tcPr>
            <w:tcW w:w="1080" w:type="dxa"/>
            <w:vAlign w:val="bottom"/>
            <w:gridSpan w:val="2"/>
            <w:vMerge w:val="continue"/>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9.1</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540" w:type="dxa"/>
            <w:vAlign w:val="bottom"/>
          </w:tcPr>
          <w:p>
            <w:pPr>
              <w:ind w:left="100"/>
              <w:spacing w:after="0" w:line="149" w:lineRule="exact"/>
              <w:rPr>
                <w:sz w:val="20"/>
                <w:szCs w:val="20"/>
                <w:color w:val="auto"/>
              </w:rPr>
            </w:pPr>
            <w:r>
              <w:rPr>
                <w:rFonts w:ascii="Arial" w:cs="Arial" w:eastAsia="Arial" w:hAnsi="Arial"/>
                <w:sz w:val="14"/>
                <w:szCs w:val="14"/>
                <w:color w:val="auto"/>
              </w:rPr>
              <w:t>Decrease in other assets due to reclassifying excess assets out of funded status of OPEB plan</w:t>
            </w:r>
          </w:p>
        </w:tc>
        <w:tc>
          <w:tcPr>
            <w:tcW w:w="220" w:type="dxa"/>
            <w:vAlign w:val="bottom"/>
          </w:tcPr>
          <w:p>
            <w:pPr>
              <w:spacing w:after="0"/>
              <w:rPr>
                <w:sz w:val="12"/>
                <w:szCs w:val="12"/>
                <w:color w:val="auto"/>
              </w:rPr>
            </w:pPr>
          </w:p>
        </w:tc>
        <w:tc>
          <w:tcPr>
            <w:tcW w:w="1080" w:type="dxa"/>
            <w:vAlign w:val="bottom"/>
            <w:gridSpan w:val="2"/>
          </w:tcPr>
          <w:p>
            <w:pPr>
              <w:jc w:val="right"/>
              <w:ind w:right="300"/>
              <w:spacing w:after="0" w:line="149" w:lineRule="exact"/>
              <w:rPr>
                <w:sz w:val="20"/>
                <w:szCs w:val="20"/>
                <w:color w:val="auto"/>
              </w:rPr>
            </w:pPr>
            <w:r>
              <w:rPr>
                <w:rFonts w:ascii="Arial" w:cs="Arial" w:eastAsia="Arial" w:hAnsi="Arial"/>
                <w:sz w:val="14"/>
                <w:szCs w:val="14"/>
                <w:b w:val="1"/>
                <w:bCs w:val="1"/>
                <w:color w:val="auto"/>
              </w:rPr>
              <w:t>—</w:t>
            </w:r>
          </w:p>
        </w:tc>
        <w:tc>
          <w:tcPr>
            <w:tcW w:w="30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(665.6)</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5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Assets transferred in kind for settlement to reinsurer</w:t>
            </w:r>
          </w:p>
        </w:tc>
        <w:tc>
          <w:tcPr>
            <w:tcW w:w="22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b w:val="1"/>
                <w:bCs w:val="1"/>
                <w:color w:val="auto"/>
              </w:rPr>
              <w:t>(428.5)</w:t>
            </w:r>
          </w:p>
        </w:tc>
        <w:tc>
          <w:tcPr>
            <w:tcW w:w="30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bl>
    <w:p>
      <w:pPr>
        <w:spacing w:after="0" w:line="13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notes.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54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8" w:name="page9"/>
    <w:bookmarkEnd w:id="8"/>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ind w:right="5340" w:firstLine="8"/>
        <w:spacing w:after="0" w:line="503" w:lineRule="auto"/>
        <w:tabs>
          <w:tab w:leader="none" w:pos="180"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color w:val="auto"/>
        </w:rPr>
        <w:t>Nature of Operations and Significant Accounting Policies Basis of Presentation</w:t>
      </w:r>
    </w:p>
    <w:p>
      <w:pPr>
        <w:ind w:firstLine="648"/>
        <w:spacing w:after="0" w:line="286" w:lineRule="auto"/>
        <w:rPr>
          <w:sz w:val="20"/>
          <w:szCs w:val="20"/>
          <w:color w:val="auto"/>
        </w:rPr>
      </w:pPr>
      <w:r>
        <w:rPr>
          <w:rFonts w:ascii="Arial" w:cs="Arial" w:eastAsia="Arial" w:hAnsi="Arial"/>
          <w:sz w:val="16"/>
          <w:szCs w:val="16"/>
          <w:color w:val="auto"/>
        </w:rPr>
        <w:t>The accompanying unaudited condensed consolidated financial statements of Principal Financial Group, Inc. (“PFG”) have been prepared in conformity with accounting principles generally accepted in the U.S. (“U.S. GAAP”) for interim financial statements and with the instructions to Form 10-Q and Article 10 of Regulation S-X. In the opinion of management, all adjustments (consisting of normal recurring accruals) considered necessary for a fair presentation have been included. Operating results for the three and six months ended June 30, 2022, are not necessarily indicative of the results that may be expected for the year ended December 31, 2022, especially when considering risks and uncertainties, including those associated with the novel coronavirus (“COVID-19”), that may impact our business, results of operations, financial condition and liquidity. Our use of estimates and assumptions affect amounts reported and disclosed and includes, but is not limited to, the fair value of investments in the absence of quoted market values, investment impairments and valuation allowances, the fair value of derivatives, funds withheld embedded derivative, deferred acquisition costs (“DAC”) and other actuarial balances, measurement of goodwill and intangible assets, the liability for future policy benefits and claims, the value of pension and other postretirement benefits and accounting for income taxes and the valuation of deferred tax assets. Our estimates and assumptions could change in the future. Our results of operations and financial condition may also be impacted by other uncertainties including evolving regulatory, legislative and standard-setter accounting interpretations and guidance.</w:t>
      </w:r>
    </w:p>
    <w:p>
      <w:pPr>
        <w:spacing w:after="0" w:line="174" w:lineRule="exact"/>
        <w:rPr>
          <w:sz w:val="20"/>
          <w:szCs w:val="20"/>
          <w:color w:val="auto"/>
        </w:rPr>
      </w:pPr>
    </w:p>
    <w:p>
      <w:pPr>
        <w:ind w:right="200" w:firstLine="648"/>
        <w:spacing w:after="0" w:line="275" w:lineRule="auto"/>
        <w:rPr>
          <w:sz w:val="20"/>
          <w:szCs w:val="20"/>
          <w:color w:val="auto"/>
        </w:rPr>
      </w:pPr>
      <w:r>
        <w:rPr>
          <w:rFonts w:ascii="Arial" w:cs="Arial" w:eastAsia="Arial" w:hAnsi="Arial"/>
          <w:sz w:val="17"/>
          <w:szCs w:val="17"/>
          <w:color w:val="auto"/>
        </w:rPr>
        <w:t>These interim unaudited condensed consolidated financial statements should be read in conjunction with our annual audited financial statements as of December 31, 2021, included in our Form 10-K for the year ended December 31, 2021, filed with the United States Securities and Exchange Commission (“SEC”). The accompanying condensed consolidated statement of financial position as of December 31, 2021, has been derived from the audited consolidated statement of financial position but does not include all of the information and footnotes required by U.S. GAAP for complete financial statements.</w:t>
      </w:r>
    </w:p>
    <w:p>
      <w:pPr>
        <w:spacing w:after="0" w:line="176" w:lineRule="exact"/>
        <w:rPr>
          <w:sz w:val="20"/>
          <w:szCs w:val="20"/>
          <w:color w:val="auto"/>
        </w:rPr>
      </w:pPr>
    </w:p>
    <w:p>
      <w:pPr>
        <w:ind w:firstLine="648"/>
        <w:spacing w:after="0" w:line="254" w:lineRule="auto"/>
        <w:rPr>
          <w:sz w:val="20"/>
          <w:szCs w:val="20"/>
          <w:color w:val="auto"/>
        </w:rPr>
      </w:pPr>
      <w:r>
        <w:rPr>
          <w:rFonts w:ascii="Arial" w:cs="Arial" w:eastAsia="Arial" w:hAnsi="Arial"/>
          <w:sz w:val="18"/>
          <w:szCs w:val="18"/>
          <w:color w:val="auto"/>
        </w:rPr>
        <w:t>During the second quarter of 2022, we closed a coinsurance with funds withheld reinsurance transaction with Talcott Life &amp;Annuity Re, Ltd. (“Talcott Life &amp; Annuity Re”), a limited liability company organized under the laws of the Cayman Islands and an affiliate of Talcott Resolution Life, Inc., a subsidiary of Sixth Street, pursuant to which we ceded our in-force U.S. retail fixed annuity and universal life insurance with secondary guarantee (“ULSG”) blocks of business (the “Reinsurance Transaction”). The economics of the Reinsurance Transaction were effective as of January 1, 2022. As such, we recorded impacts for January through June 2022 in our second quarter 2022 results. Therefore, results for the three months ended June 30, 2022, are not comparable to prior periods. See Note 7, Reinsurance, for further details.</w:t>
      </w:r>
    </w:p>
    <w:p>
      <w:pPr>
        <w:spacing w:after="0" w:line="195" w:lineRule="exact"/>
        <w:rPr>
          <w:sz w:val="20"/>
          <w:szCs w:val="20"/>
          <w:color w:val="auto"/>
        </w:rPr>
      </w:pPr>
    </w:p>
    <w:p>
      <w:pPr>
        <w:jc w:val="both"/>
        <w:ind w:right="800" w:firstLine="648"/>
        <w:spacing w:after="0" w:line="342" w:lineRule="auto"/>
        <w:rPr>
          <w:sz w:val="20"/>
          <w:szCs w:val="20"/>
          <w:color w:val="auto"/>
        </w:rPr>
      </w:pPr>
      <w:r>
        <w:rPr>
          <w:rFonts w:ascii="Arial" w:cs="Arial" w:eastAsia="Arial" w:hAnsi="Arial"/>
          <w:sz w:val="16"/>
          <w:szCs w:val="16"/>
          <w:color w:val="auto"/>
        </w:rPr>
        <w:t>Reclassifications have been made to prior periods to report the reinsurance recoverable and deposit receivable on the consolidated statements of financial position. Those amounts were previously reported in premiums due and other receivables.</w:t>
      </w: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60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9" w:name="page10"/>
    <w:bookmarkEnd w:id="9"/>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Consolidation</w:t>
      </w:r>
    </w:p>
    <w:p>
      <w:pPr>
        <w:spacing w:after="0" w:line="229" w:lineRule="exact"/>
        <w:rPr>
          <w:sz w:val="20"/>
          <w:szCs w:val="20"/>
          <w:color w:val="auto"/>
        </w:rPr>
      </w:pPr>
    </w:p>
    <w:p>
      <w:pPr>
        <w:ind w:firstLine="648"/>
        <w:spacing w:after="0" w:line="268" w:lineRule="auto"/>
        <w:rPr>
          <w:sz w:val="20"/>
          <w:szCs w:val="20"/>
          <w:color w:val="auto"/>
        </w:rPr>
      </w:pPr>
      <w:r>
        <w:rPr>
          <w:rFonts w:ascii="Arial" w:cs="Arial" w:eastAsia="Arial" w:hAnsi="Arial"/>
          <w:sz w:val="17"/>
          <w:szCs w:val="17"/>
          <w:color w:val="auto"/>
        </w:rPr>
        <w:t>We have relationships with various special purpose entities and other legal entities that must be evaluated to determine if the entities meet the criteria of a variable interest entity (“VIE”) or a voting interest entity (“VOE”). This assessment is performed by reviewing contractual, ownership and other rights, including involvement of related parties, and requires use of judgment. First, we determine if we hold a variable interest in an entity by assessing if we have the right to receive expected losses and expected residual returns of the entity. If we hold a variable interest, then the entity is assessed to determine if it is a VIE. An entity is a VIE if the equity at risk is not sufficient to support its activities, if the equity holders lack a controlling financial interest or if the entity is structured with non-substantive voting rights. In addition to the previous criteria, if the entity is a limited partnership or similar entity, it is a VIE if the limited partners do not have the power to direct the entity’s most significant activities through substantive kick-out rights or participating rights. A VIE is evaluated to determine the primary beneficiary. The primary beneficiary of a VIE is the enterprise with (1) the power to direct the activities of a VIE that most significantly impact the entity’s economic performance and (2) the obligation to absorb losses of the entity or the right to receive benefits from the entity that could potentially be significant to the VIE. When we are the primary beneficiary, we are required to consolidate the entity in our financial statements. We reassess our involvement with VIEs on a quarterly basis. For further information about VIEs, refer to Note 2, Variable Interest Entities.</w:t>
      </w:r>
    </w:p>
    <w:p>
      <w:pPr>
        <w:spacing w:after="0" w:line="186" w:lineRule="exact"/>
        <w:rPr>
          <w:sz w:val="20"/>
          <w:szCs w:val="20"/>
          <w:color w:val="auto"/>
        </w:rPr>
      </w:pPr>
    </w:p>
    <w:p>
      <w:pPr>
        <w:ind w:right="60" w:firstLine="648"/>
        <w:spacing w:after="0" w:line="257" w:lineRule="auto"/>
        <w:rPr>
          <w:sz w:val="20"/>
          <w:szCs w:val="20"/>
          <w:color w:val="auto"/>
        </w:rPr>
      </w:pPr>
      <w:r>
        <w:rPr>
          <w:rFonts w:ascii="Arial" w:cs="Arial" w:eastAsia="Arial" w:hAnsi="Arial"/>
          <w:sz w:val="18"/>
          <w:szCs w:val="18"/>
          <w:color w:val="auto"/>
        </w:rPr>
        <w:t>If an entity is not a VIE, it is considered a VOE. VOEs are generally consolidated if we own a greater than 50% voting interest. If we determine our involvement in an entity no longer meets the requirements for consolidation under either the VIE or VOE models, the entity is deconsolidated. Entities in which we have management influence over the operating and financing decisions but are not required to consolidate, other than investments accounted for at fair value under the fair value option, are reported using the equity method.</w:t>
      </w: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540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880"/>
          </w:cols>
          <w:pgMar w:left="980" w:top="665" w:right="1039" w:bottom="1440" w:gutter="0" w:footer="0" w:header="0"/>
        </w:sectPr>
      </w:pPr>
    </w:p>
    <w:bookmarkStart w:id="10" w:name="page11"/>
    <w:bookmarkEnd w:id="10"/>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Accounting Pronouncements</w:t>
      </w:r>
    </w:p>
    <w:p>
      <w:pPr>
        <w:spacing w:after="0" w:line="223" w:lineRule="exact"/>
        <w:rPr>
          <w:sz w:val="20"/>
          <w:szCs w:val="20"/>
          <w:color w:val="auto"/>
        </w:rPr>
      </w:pPr>
    </w:p>
    <w:tbl>
      <w:tblPr>
        <w:tblLayout w:type="fixed"/>
        <w:tblInd w:w="10" w:type="dxa"/>
        <w:tblCellMar>
          <w:top w:w="0" w:type="dxa"/>
          <w:left w:w="0" w:type="dxa"/>
          <w:bottom w:w="0" w:type="dxa"/>
          <w:right w:w="0" w:type="dxa"/>
        </w:tblCellMar>
      </w:tblPr>
      <w:tr>
        <w:trPr>
          <w:trHeight w:val="211"/>
        </w:trPr>
        <w:tc>
          <w:tcPr>
            <w:tcW w:w="4660" w:type="dxa"/>
            <w:vAlign w:val="bottom"/>
            <w:tcBorders>
              <w:top w:val="single" w:sz="8" w:color="auto"/>
              <w:left w:val="single" w:sz="8" w:color="auto"/>
              <w:right w:val="single" w:sz="8" w:color="auto"/>
            </w:tcBorders>
          </w:tcPr>
          <w:p>
            <w:pPr>
              <w:spacing w:after="0"/>
              <w:rPr>
                <w:sz w:val="18"/>
                <w:szCs w:val="18"/>
                <w:color w:val="auto"/>
              </w:rPr>
            </w:pPr>
          </w:p>
        </w:tc>
        <w:tc>
          <w:tcPr>
            <w:tcW w:w="1560" w:type="dxa"/>
            <w:vAlign w:val="bottom"/>
            <w:tcBorders>
              <w:top w:val="single" w:sz="8" w:color="auto"/>
              <w:right w:val="single" w:sz="8" w:color="auto"/>
            </w:tcBorders>
          </w:tcPr>
          <w:p>
            <w:pPr>
              <w:spacing w:after="0"/>
              <w:rPr>
                <w:sz w:val="18"/>
                <w:szCs w:val="18"/>
                <w:color w:val="auto"/>
              </w:rPr>
            </w:pPr>
          </w:p>
        </w:tc>
        <w:tc>
          <w:tcPr>
            <w:tcW w:w="370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8"/>
              </w:rPr>
              <w:t>Effect on our consolidated</w:t>
            </w:r>
          </w:p>
        </w:tc>
        <w:tc>
          <w:tcPr>
            <w:tcW w:w="0" w:type="dxa"/>
            <w:vAlign w:val="bottom"/>
          </w:tcPr>
          <w:p>
            <w:pPr>
              <w:spacing w:after="0"/>
              <w:rPr>
                <w:sz w:val="1"/>
                <w:szCs w:val="1"/>
                <w:color w:val="auto"/>
              </w:rPr>
            </w:pPr>
          </w:p>
        </w:tc>
      </w:tr>
      <w:tr>
        <w:trPr>
          <w:trHeight w:val="216"/>
        </w:trPr>
        <w:tc>
          <w:tcPr>
            <w:tcW w:w="4660" w:type="dxa"/>
            <w:vAlign w:val="bottom"/>
            <w:tcBorders>
              <w:left w:val="single" w:sz="8" w:color="auto"/>
              <w:right w:val="single" w:sz="8" w:color="auto"/>
            </w:tcBorders>
          </w:tcPr>
          <w:p>
            <w:pPr>
              <w:spacing w:after="0"/>
              <w:rPr>
                <w:sz w:val="18"/>
                <w:szCs w:val="18"/>
                <w:color w:val="auto"/>
              </w:rPr>
            </w:pPr>
          </w:p>
        </w:tc>
        <w:tc>
          <w:tcPr>
            <w:tcW w:w="1560" w:type="dxa"/>
            <w:vAlign w:val="bottom"/>
            <w:tcBorders>
              <w:right w:val="single" w:sz="8" w:color="auto"/>
            </w:tcBorders>
          </w:tcPr>
          <w:p>
            <w:pPr>
              <w:jc w:val="center"/>
              <w:spacing w:after="0"/>
              <w:rPr>
                <w:sz w:val="20"/>
                <w:szCs w:val="20"/>
                <w:color w:val="auto"/>
              </w:rPr>
            </w:pPr>
            <w:r>
              <w:rPr>
                <w:rFonts w:ascii="Arial" w:cs="Arial" w:eastAsia="Arial" w:hAnsi="Arial"/>
                <w:sz w:val="18"/>
                <w:szCs w:val="18"/>
                <w:b w:val="1"/>
                <w:bCs w:val="1"/>
                <w:color w:val="auto"/>
                <w:w w:val="88"/>
              </w:rPr>
              <w:t>Date of</w:t>
            </w:r>
          </w:p>
        </w:tc>
        <w:tc>
          <w:tcPr>
            <w:tcW w:w="3700" w:type="dxa"/>
            <w:vAlign w:val="bottom"/>
            <w:tcBorders>
              <w:right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financial statements or other</w:t>
            </w:r>
          </w:p>
        </w:tc>
        <w:tc>
          <w:tcPr>
            <w:tcW w:w="0" w:type="dxa"/>
            <w:vAlign w:val="bottom"/>
          </w:tcPr>
          <w:p>
            <w:pPr>
              <w:spacing w:after="0"/>
              <w:rPr>
                <w:sz w:val="1"/>
                <w:szCs w:val="1"/>
                <w:color w:val="auto"/>
              </w:rPr>
            </w:pPr>
          </w:p>
        </w:tc>
      </w:tr>
      <w:tr>
        <w:trPr>
          <w:trHeight w:val="234"/>
        </w:trPr>
        <w:tc>
          <w:tcPr>
            <w:tcW w:w="4660" w:type="dxa"/>
            <w:vAlign w:val="bottom"/>
            <w:tcBorders>
              <w:left w:val="single" w:sz="8" w:color="auto"/>
              <w:bottom w:val="single" w:sz="8" w:color="auto"/>
              <w:right w:val="single" w:sz="8" w:color="auto"/>
            </w:tcBorders>
          </w:tcPr>
          <w:p>
            <w:pPr>
              <w:ind w:left="1880"/>
              <w:spacing w:after="0"/>
              <w:rPr>
                <w:sz w:val="20"/>
                <w:szCs w:val="20"/>
                <w:color w:val="auto"/>
              </w:rPr>
            </w:pPr>
            <w:r>
              <w:rPr>
                <w:rFonts w:ascii="Arial" w:cs="Arial" w:eastAsia="Arial" w:hAnsi="Arial"/>
                <w:sz w:val="18"/>
                <w:szCs w:val="18"/>
                <w:b w:val="1"/>
                <w:bCs w:val="1"/>
                <w:color w:val="auto"/>
              </w:rPr>
              <w:t>Description</w:t>
            </w:r>
          </w:p>
        </w:tc>
        <w:tc>
          <w:tcPr>
            <w:tcW w:w="15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adoption</w:t>
            </w:r>
          </w:p>
        </w:tc>
        <w:tc>
          <w:tcPr>
            <w:tcW w:w="37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significant matters</w:t>
            </w:r>
          </w:p>
        </w:tc>
        <w:tc>
          <w:tcPr>
            <w:tcW w:w="0" w:type="dxa"/>
            <w:vAlign w:val="bottom"/>
          </w:tcPr>
          <w:p>
            <w:pPr>
              <w:spacing w:after="0"/>
              <w:rPr>
                <w:sz w:val="1"/>
                <w:szCs w:val="1"/>
                <w:color w:val="auto"/>
              </w:rPr>
            </w:pPr>
          </w:p>
        </w:tc>
      </w:tr>
      <w:tr>
        <w:trPr>
          <w:trHeight w:val="209"/>
        </w:trPr>
        <w:tc>
          <w:tcPr>
            <w:tcW w:w="466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8"/>
                <w:szCs w:val="18"/>
                <w:b w:val="1"/>
                <w:bCs w:val="1"/>
                <w:i w:val="1"/>
                <w:iCs w:val="1"/>
                <w:color w:val="auto"/>
              </w:rPr>
              <w:t>Standards not yet adopted:</w:t>
            </w:r>
          </w:p>
        </w:tc>
        <w:tc>
          <w:tcPr>
            <w:tcW w:w="1560" w:type="dxa"/>
            <w:vAlign w:val="bottom"/>
            <w:tcBorders>
              <w:bottom w:val="single" w:sz="8" w:color="auto"/>
              <w:right w:val="single" w:sz="8" w:color="auto"/>
            </w:tcBorders>
          </w:tcPr>
          <w:p>
            <w:pPr>
              <w:spacing w:after="0"/>
              <w:rPr>
                <w:sz w:val="18"/>
                <w:szCs w:val="18"/>
                <w:color w:val="auto"/>
              </w:rPr>
            </w:pPr>
          </w:p>
        </w:tc>
        <w:tc>
          <w:tcPr>
            <w:tcW w:w="370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91"/>
        </w:trPr>
        <w:tc>
          <w:tcPr>
            <w:tcW w:w="4660" w:type="dxa"/>
            <w:vAlign w:val="bottom"/>
            <w:tcBorders>
              <w:left w:val="single" w:sz="8" w:color="auto"/>
              <w:right w:val="single" w:sz="8" w:color="auto"/>
            </w:tcBorders>
          </w:tcPr>
          <w:p>
            <w:pPr>
              <w:ind w:left="120"/>
              <w:spacing w:after="0" w:line="191" w:lineRule="exact"/>
              <w:rPr>
                <w:sz w:val="20"/>
                <w:szCs w:val="20"/>
                <w:color w:val="auto"/>
              </w:rPr>
            </w:pPr>
            <w:r>
              <w:rPr>
                <w:rFonts w:ascii="Arial" w:cs="Arial" w:eastAsia="Arial" w:hAnsi="Arial"/>
                <w:sz w:val="18"/>
                <w:szCs w:val="18"/>
                <w:b w:val="1"/>
                <w:bCs w:val="1"/>
                <w:color w:val="auto"/>
              </w:rPr>
              <w:t>Targeted improvements to the accounting for long-</w:t>
            </w:r>
          </w:p>
        </w:tc>
        <w:tc>
          <w:tcPr>
            <w:tcW w:w="1560" w:type="dxa"/>
            <w:vAlign w:val="bottom"/>
            <w:tcBorders>
              <w:right w:val="single" w:sz="8" w:color="auto"/>
            </w:tcBorders>
          </w:tcPr>
          <w:p>
            <w:pPr>
              <w:jc w:val="right"/>
              <w:ind w:right="230"/>
              <w:spacing w:after="0" w:line="191" w:lineRule="exact"/>
              <w:rPr>
                <w:sz w:val="20"/>
                <w:szCs w:val="20"/>
                <w:color w:val="auto"/>
              </w:rPr>
            </w:pPr>
            <w:r>
              <w:rPr>
                <w:rFonts w:ascii="Arial" w:cs="Arial" w:eastAsia="Arial" w:hAnsi="Arial"/>
                <w:sz w:val="18"/>
                <w:szCs w:val="18"/>
                <w:color w:val="auto"/>
                <w:w w:val="94"/>
              </w:rPr>
              <w:t>January 1, 2023</w:t>
            </w:r>
          </w:p>
        </w:tc>
        <w:tc>
          <w:tcPr>
            <w:tcW w:w="3700" w:type="dxa"/>
            <w:vAlign w:val="bottom"/>
            <w:tcBorders>
              <w:right w:val="single" w:sz="8" w:color="auto"/>
            </w:tcBorders>
          </w:tcPr>
          <w:p>
            <w:pPr>
              <w:ind w:left="140"/>
              <w:spacing w:after="0" w:line="191" w:lineRule="exact"/>
              <w:rPr>
                <w:sz w:val="20"/>
                <w:szCs w:val="20"/>
                <w:color w:val="auto"/>
              </w:rPr>
            </w:pPr>
            <w:r>
              <w:rPr>
                <w:rFonts w:ascii="Arial" w:cs="Arial" w:eastAsia="Arial" w:hAnsi="Arial"/>
                <w:sz w:val="18"/>
                <w:szCs w:val="18"/>
                <w:color w:val="auto"/>
                <w:w w:val="90"/>
              </w:rPr>
              <w:t>We have created a governance framework and a</w:t>
            </w:r>
          </w:p>
        </w:tc>
        <w:tc>
          <w:tcPr>
            <w:tcW w:w="0" w:type="dxa"/>
            <w:vAlign w:val="bottom"/>
          </w:tcPr>
          <w:p>
            <w:pPr>
              <w:spacing w:after="0"/>
              <w:rPr>
                <w:sz w:val="1"/>
                <w:szCs w:val="1"/>
                <w:color w:val="auto"/>
              </w:rPr>
            </w:pPr>
          </w:p>
        </w:tc>
      </w:tr>
      <w:tr>
        <w:trPr>
          <w:trHeight w:val="220"/>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b w:val="1"/>
                <w:bCs w:val="1"/>
                <w:color w:val="auto"/>
              </w:rPr>
              <w:t>duration insurance contracts</w:t>
            </w:r>
          </w:p>
        </w:tc>
        <w:tc>
          <w:tcPr>
            <w:tcW w:w="1560" w:type="dxa"/>
            <w:vAlign w:val="bottom"/>
            <w:tcBorders>
              <w:right w:val="single" w:sz="8" w:color="auto"/>
            </w:tcBorders>
          </w:tcPr>
          <w:p>
            <w:pPr>
              <w:spacing w:after="0"/>
              <w:rPr>
                <w:sz w:val="19"/>
                <w:szCs w:val="19"/>
                <w:color w:val="auto"/>
              </w:rPr>
            </w:pPr>
          </w:p>
        </w:tc>
        <w:tc>
          <w:tcPr>
            <w:tcW w:w="3700" w:type="dxa"/>
            <w:vAlign w:val="bottom"/>
            <w:tcBorders>
              <w:right w:val="single" w:sz="8" w:color="auto"/>
            </w:tcBorders>
          </w:tcPr>
          <w:p>
            <w:pPr>
              <w:ind w:left="140"/>
              <w:spacing w:after="0"/>
              <w:rPr>
                <w:sz w:val="20"/>
                <w:szCs w:val="20"/>
                <w:color w:val="auto"/>
              </w:rPr>
            </w:pPr>
            <w:r>
              <w:rPr>
                <w:rFonts w:ascii="Arial" w:cs="Arial" w:eastAsia="Arial" w:hAnsi="Arial"/>
                <w:sz w:val="18"/>
                <w:szCs w:val="18"/>
                <w:color w:val="auto"/>
                <w:w w:val="93"/>
              </w:rPr>
              <w:t>plan to support implementation of the standard.</w:t>
            </w:r>
          </w:p>
        </w:tc>
        <w:tc>
          <w:tcPr>
            <w:tcW w:w="0" w:type="dxa"/>
            <w:vAlign w:val="bottom"/>
          </w:tcPr>
          <w:p>
            <w:pPr>
              <w:spacing w:after="0"/>
              <w:rPr>
                <w:sz w:val="1"/>
                <w:szCs w:val="1"/>
                <w:color w:val="auto"/>
              </w:rPr>
            </w:pPr>
          </w:p>
        </w:tc>
      </w:tr>
      <w:tr>
        <w:trPr>
          <w:trHeight w:val="216"/>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w w:val="95"/>
              </w:rPr>
              <w:t>This authoritative guidance updates certain requirements in</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ind w:left="140"/>
              <w:spacing w:after="0"/>
              <w:rPr>
                <w:sz w:val="20"/>
                <w:szCs w:val="20"/>
                <w:color w:val="auto"/>
              </w:rPr>
            </w:pPr>
            <w:r>
              <w:rPr>
                <w:rFonts w:ascii="Arial" w:cs="Arial" w:eastAsia="Arial" w:hAnsi="Arial"/>
                <w:sz w:val="18"/>
                <w:szCs w:val="18"/>
                <w:color w:val="auto"/>
                <w:w w:val="95"/>
              </w:rPr>
              <w:t>Our implementation and evaluation process to</w:t>
            </w:r>
          </w:p>
        </w:tc>
        <w:tc>
          <w:tcPr>
            <w:tcW w:w="0" w:type="dxa"/>
            <w:vAlign w:val="bottom"/>
          </w:tcPr>
          <w:p>
            <w:pPr>
              <w:spacing w:after="0"/>
              <w:rPr>
                <w:sz w:val="1"/>
                <w:szCs w:val="1"/>
                <w:color w:val="auto"/>
              </w:rPr>
            </w:pPr>
          </w:p>
        </w:tc>
      </w:tr>
      <w:tr>
        <w:trPr>
          <w:trHeight w:val="216"/>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the accounting for long-duration insurance and annuity</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ind w:left="140"/>
              <w:spacing w:after="0"/>
              <w:rPr>
                <w:sz w:val="20"/>
                <w:szCs w:val="20"/>
                <w:color w:val="auto"/>
              </w:rPr>
            </w:pPr>
            <w:r>
              <w:rPr>
                <w:rFonts w:ascii="Arial" w:cs="Arial" w:eastAsia="Arial" w:hAnsi="Arial"/>
                <w:sz w:val="18"/>
                <w:szCs w:val="18"/>
                <w:color w:val="auto"/>
                <w:w w:val="93"/>
              </w:rPr>
              <w:t>date includes, but is not limited to the following:</w:t>
            </w:r>
          </w:p>
        </w:tc>
        <w:tc>
          <w:tcPr>
            <w:tcW w:w="0" w:type="dxa"/>
            <w:vAlign w:val="bottom"/>
          </w:tcPr>
          <w:p>
            <w:pPr>
              <w:spacing w:after="0"/>
              <w:rPr>
                <w:sz w:val="1"/>
                <w:szCs w:val="1"/>
                <w:color w:val="auto"/>
              </w:rPr>
            </w:pPr>
          </w:p>
        </w:tc>
      </w:tr>
      <w:tr>
        <w:trPr>
          <w:trHeight w:val="230"/>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contracts.</w:t>
            </w:r>
          </w:p>
        </w:tc>
        <w:tc>
          <w:tcPr>
            <w:tcW w:w="1560" w:type="dxa"/>
            <w:vAlign w:val="bottom"/>
            <w:tcBorders>
              <w:right w:val="single" w:sz="8" w:color="auto"/>
            </w:tcBorders>
          </w:tcPr>
          <w:p>
            <w:pPr>
              <w:spacing w:after="0"/>
              <w:rPr>
                <w:sz w:val="20"/>
                <w:szCs w:val="20"/>
                <w:color w:val="auto"/>
              </w:rPr>
            </w:pPr>
          </w:p>
        </w:tc>
        <w:tc>
          <w:tcPr>
            <w:tcW w:w="3700" w:type="dxa"/>
            <w:vAlign w:val="bottom"/>
            <w:tcBorders>
              <w:right w:val="single" w:sz="8" w:color="auto"/>
            </w:tcBorders>
            <w:vMerge w:val="restart"/>
          </w:tcPr>
          <w:p>
            <w:pPr>
              <w:ind w:left="120"/>
              <w:spacing w:after="0"/>
              <w:rPr>
                <w:sz w:val="20"/>
                <w:szCs w:val="20"/>
                <w:color w:val="auto"/>
              </w:rPr>
            </w:pPr>
            <w:r>
              <w:rPr>
                <w:rFonts w:ascii="Arial" w:cs="Arial" w:eastAsia="Arial" w:hAnsi="Arial"/>
                <w:sz w:val="18"/>
                <w:szCs w:val="18"/>
                <w:color w:val="auto"/>
                <w:w w:val="97"/>
              </w:rPr>
              <w:t>●   identifying and documenting contracts and</w:t>
            </w:r>
          </w:p>
        </w:tc>
        <w:tc>
          <w:tcPr>
            <w:tcW w:w="0" w:type="dxa"/>
            <w:vAlign w:val="bottom"/>
          </w:tcPr>
          <w:p>
            <w:pPr>
              <w:spacing w:after="0"/>
              <w:rPr>
                <w:sz w:val="1"/>
                <w:szCs w:val="1"/>
                <w:color w:val="auto"/>
              </w:rPr>
            </w:pPr>
          </w:p>
        </w:tc>
      </w:tr>
      <w:tr>
        <w:trPr>
          <w:trHeight w:val="107"/>
        </w:trPr>
        <w:tc>
          <w:tcPr>
            <w:tcW w:w="4660" w:type="dxa"/>
            <w:vAlign w:val="bottom"/>
            <w:tcBorders>
              <w:left w:val="single" w:sz="8" w:color="auto"/>
              <w:right w:val="single" w:sz="8" w:color="auto"/>
            </w:tcBorders>
            <w:vMerge w:val="restart"/>
          </w:tcPr>
          <w:p>
            <w:pPr>
              <w:ind w:left="340"/>
              <w:spacing w:after="0"/>
              <w:rPr>
                <w:sz w:val="20"/>
                <w:szCs w:val="20"/>
                <w:color w:val="auto"/>
              </w:rPr>
            </w:pPr>
            <w:r>
              <w:rPr>
                <w:rFonts w:ascii="Arial" w:cs="Arial" w:eastAsia="Arial" w:hAnsi="Arial"/>
                <w:sz w:val="18"/>
                <w:szCs w:val="18"/>
                <w:color w:val="auto"/>
              </w:rPr>
              <w:t>1.  The assumptions used to calculate the liability for</w:t>
            </w:r>
          </w:p>
        </w:tc>
        <w:tc>
          <w:tcPr>
            <w:tcW w:w="1560" w:type="dxa"/>
            <w:vAlign w:val="bottom"/>
            <w:tcBorders>
              <w:right w:val="single" w:sz="8" w:color="auto"/>
            </w:tcBorders>
          </w:tcPr>
          <w:p>
            <w:pPr>
              <w:spacing w:after="0"/>
              <w:rPr>
                <w:sz w:val="9"/>
                <w:szCs w:val="9"/>
                <w:color w:val="auto"/>
              </w:rPr>
            </w:pPr>
          </w:p>
        </w:tc>
        <w:tc>
          <w:tcPr>
            <w:tcW w:w="370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3"/>
        </w:trPr>
        <w:tc>
          <w:tcPr>
            <w:tcW w:w="4660" w:type="dxa"/>
            <w:vAlign w:val="bottom"/>
            <w:tcBorders>
              <w:left w:val="single" w:sz="8" w:color="auto"/>
              <w:right w:val="single" w:sz="8" w:color="auto"/>
            </w:tcBorders>
            <w:vMerge w:val="continue"/>
          </w:tcPr>
          <w:p>
            <w:pPr>
              <w:spacing w:after="0"/>
              <w:rPr>
                <w:sz w:val="17"/>
                <w:szCs w:val="17"/>
                <w:color w:val="auto"/>
              </w:rPr>
            </w:pPr>
          </w:p>
        </w:tc>
        <w:tc>
          <w:tcPr>
            <w:tcW w:w="1560" w:type="dxa"/>
            <w:vAlign w:val="bottom"/>
            <w:tcBorders>
              <w:right w:val="single" w:sz="8" w:color="auto"/>
            </w:tcBorders>
          </w:tcPr>
          <w:p>
            <w:pPr>
              <w:spacing w:after="0"/>
              <w:rPr>
                <w:sz w:val="17"/>
                <w:szCs w:val="17"/>
                <w:color w:val="auto"/>
              </w:rPr>
            </w:pPr>
          </w:p>
        </w:tc>
        <w:tc>
          <w:tcPr>
            <w:tcW w:w="3700" w:type="dxa"/>
            <w:vAlign w:val="bottom"/>
            <w:tcBorders>
              <w:right w:val="single" w:sz="8" w:color="auto"/>
            </w:tcBorders>
          </w:tcPr>
          <w:p>
            <w:pPr>
              <w:ind w:left="460"/>
              <w:spacing w:after="0" w:line="202" w:lineRule="exact"/>
              <w:rPr>
                <w:sz w:val="20"/>
                <w:szCs w:val="20"/>
                <w:color w:val="auto"/>
              </w:rPr>
            </w:pPr>
            <w:r>
              <w:rPr>
                <w:rFonts w:ascii="Arial" w:cs="Arial" w:eastAsia="Arial" w:hAnsi="Arial"/>
                <w:sz w:val="18"/>
                <w:szCs w:val="18"/>
                <w:color w:val="auto"/>
                <w:w w:val="94"/>
              </w:rPr>
              <w:t>contract features in scope of the guidance;</w:t>
            </w:r>
          </w:p>
        </w:tc>
        <w:tc>
          <w:tcPr>
            <w:tcW w:w="0" w:type="dxa"/>
            <w:vAlign w:val="bottom"/>
          </w:tcPr>
          <w:p>
            <w:pPr>
              <w:spacing w:after="0"/>
              <w:rPr>
                <w:sz w:val="1"/>
                <w:szCs w:val="1"/>
                <w:color w:val="auto"/>
              </w:rPr>
            </w:pPr>
          </w:p>
        </w:tc>
      </w:tr>
      <w:tr>
        <w:trPr>
          <w:trHeight w:val="216"/>
        </w:trPr>
        <w:tc>
          <w:tcPr>
            <w:tcW w:w="4660" w:type="dxa"/>
            <w:vAlign w:val="bottom"/>
            <w:tcBorders>
              <w:left w:val="single" w:sz="8" w:color="auto"/>
              <w:right w:val="single" w:sz="8" w:color="auto"/>
            </w:tcBorders>
          </w:tcPr>
          <w:p>
            <w:pPr>
              <w:ind w:left="680"/>
              <w:spacing w:after="0"/>
              <w:rPr>
                <w:sz w:val="20"/>
                <w:szCs w:val="20"/>
                <w:color w:val="auto"/>
              </w:rPr>
            </w:pPr>
            <w:r>
              <w:rPr>
                <w:rFonts w:ascii="Arial" w:cs="Arial" w:eastAsia="Arial" w:hAnsi="Arial"/>
                <w:sz w:val="18"/>
                <w:szCs w:val="18"/>
                <w:color w:val="auto"/>
              </w:rPr>
              <w:t>future policy benefits on traditional and limited-</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ind w:left="120"/>
              <w:spacing w:after="0"/>
              <w:rPr>
                <w:sz w:val="20"/>
                <w:szCs w:val="20"/>
                <w:color w:val="auto"/>
              </w:rPr>
            </w:pPr>
            <w:r>
              <w:rPr>
                <w:rFonts w:ascii="Arial" w:cs="Arial" w:eastAsia="Arial" w:hAnsi="Arial"/>
                <w:sz w:val="18"/>
                <w:szCs w:val="18"/>
                <w:color w:val="auto"/>
              </w:rPr>
              <w:t>●   identifying the actuarial models, systems</w:t>
            </w:r>
          </w:p>
        </w:tc>
        <w:tc>
          <w:tcPr>
            <w:tcW w:w="0" w:type="dxa"/>
            <w:vAlign w:val="bottom"/>
          </w:tcPr>
          <w:p>
            <w:pPr>
              <w:spacing w:after="0"/>
              <w:rPr>
                <w:sz w:val="1"/>
                <w:szCs w:val="1"/>
                <w:color w:val="auto"/>
              </w:rPr>
            </w:pPr>
          </w:p>
        </w:tc>
      </w:tr>
      <w:tr>
        <w:trPr>
          <w:trHeight w:val="216"/>
        </w:trPr>
        <w:tc>
          <w:tcPr>
            <w:tcW w:w="4660" w:type="dxa"/>
            <w:vAlign w:val="bottom"/>
            <w:tcBorders>
              <w:left w:val="single" w:sz="8" w:color="auto"/>
              <w:right w:val="single" w:sz="8" w:color="auto"/>
            </w:tcBorders>
          </w:tcPr>
          <w:p>
            <w:pPr>
              <w:ind w:left="680"/>
              <w:spacing w:after="0"/>
              <w:rPr>
                <w:sz w:val="20"/>
                <w:szCs w:val="20"/>
                <w:color w:val="auto"/>
              </w:rPr>
            </w:pPr>
            <w:r>
              <w:rPr>
                <w:rFonts w:ascii="Arial" w:cs="Arial" w:eastAsia="Arial" w:hAnsi="Arial"/>
                <w:sz w:val="18"/>
                <w:szCs w:val="18"/>
                <w:color w:val="auto"/>
              </w:rPr>
              <w:t>payment contracts will be reviewed and updated</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ind w:left="460"/>
              <w:spacing w:after="0"/>
              <w:rPr>
                <w:sz w:val="20"/>
                <w:szCs w:val="20"/>
                <w:color w:val="auto"/>
              </w:rPr>
            </w:pPr>
            <w:r>
              <w:rPr>
                <w:rFonts w:ascii="Arial" w:cs="Arial" w:eastAsia="Arial" w:hAnsi="Arial"/>
                <w:sz w:val="18"/>
                <w:szCs w:val="18"/>
                <w:color w:val="auto"/>
              </w:rPr>
              <w:t>and processes to be updated;</w:t>
            </w:r>
          </w:p>
        </w:tc>
        <w:tc>
          <w:tcPr>
            <w:tcW w:w="0" w:type="dxa"/>
            <w:vAlign w:val="bottom"/>
          </w:tcPr>
          <w:p>
            <w:pPr>
              <w:spacing w:after="0"/>
              <w:rPr>
                <w:sz w:val="1"/>
                <w:szCs w:val="1"/>
                <w:color w:val="auto"/>
              </w:rPr>
            </w:pPr>
          </w:p>
        </w:tc>
      </w:tr>
      <w:tr>
        <w:trPr>
          <w:trHeight w:val="216"/>
        </w:trPr>
        <w:tc>
          <w:tcPr>
            <w:tcW w:w="4660" w:type="dxa"/>
            <w:vAlign w:val="bottom"/>
            <w:tcBorders>
              <w:left w:val="single" w:sz="8" w:color="auto"/>
              <w:right w:val="single" w:sz="8" w:color="auto"/>
            </w:tcBorders>
          </w:tcPr>
          <w:p>
            <w:pPr>
              <w:ind w:left="680"/>
              <w:spacing w:after="0"/>
              <w:rPr>
                <w:sz w:val="20"/>
                <w:szCs w:val="20"/>
                <w:color w:val="auto"/>
              </w:rPr>
            </w:pPr>
            <w:r>
              <w:rPr>
                <w:rFonts w:ascii="Arial" w:cs="Arial" w:eastAsia="Arial" w:hAnsi="Arial"/>
                <w:sz w:val="18"/>
                <w:szCs w:val="18"/>
                <w:color w:val="auto"/>
                <w:w w:val="94"/>
              </w:rPr>
              <w:t>periodically. Cash flow assumptions will be reviewed</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ind w:left="120"/>
              <w:spacing w:after="0"/>
              <w:rPr>
                <w:sz w:val="20"/>
                <w:szCs w:val="20"/>
                <w:color w:val="auto"/>
              </w:rPr>
            </w:pPr>
            <w:r>
              <w:rPr>
                <w:rFonts w:ascii="Arial" w:cs="Arial" w:eastAsia="Arial" w:hAnsi="Arial"/>
                <w:sz w:val="18"/>
                <w:szCs w:val="18"/>
                <w:color w:val="auto"/>
              </w:rPr>
              <w:t>●   evaluating and selecting our systems</w:t>
            </w:r>
          </w:p>
        </w:tc>
        <w:tc>
          <w:tcPr>
            <w:tcW w:w="0" w:type="dxa"/>
            <w:vAlign w:val="bottom"/>
          </w:tcPr>
          <w:p>
            <w:pPr>
              <w:spacing w:after="0"/>
              <w:rPr>
                <w:sz w:val="1"/>
                <w:szCs w:val="1"/>
                <w:color w:val="auto"/>
              </w:rPr>
            </w:pPr>
          </w:p>
        </w:tc>
      </w:tr>
      <w:tr>
        <w:trPr>
          <w:trHeight w:val="216"/>
        </w:trPr>
        <w:tc>
          <w:tcPr>
            <w:tcW w:w="4660" w:type="dxa"/>
            <w:vAlign w:val="bottom"/>
            <w:tcBorders>
              <w:left w:val="single" w:sz="8" w:color="auto"/>
              <w:right w:val="single" w:sz="8" w:color="auto"/>
            </w:tcBorders>
          </w:tcPr>
          <w:p>
            <w:pPr>
              <w:ind w:left="680"/>
              <w:spacing w:after="0"/>
              <w:rPr>
                <w:sz w:val="20"/>
                <w:szCs w:val="20"/>
                <w:color w:val="auto"/>
              </w:rPr>
            </w:pPr>
            <w:r>
              <w:rPr>
                <w:rFonts w:ascii="Arial" w:cs="Arial" w:eastAsia="Arial" w:hAnsi="Arial"/>
                <w:sz w:val="18"/>
                <w:szCs w:val="18"/>
                <w:color w:val="auto"/>
                <w:w w:val="90"/>
              </w:rPr>
              <w:t>at least annually and updated when necessary with the</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ind w:left="460"/>
              <w:spacing w:after="0"/>
              <w:rPr>
                <w:sz w:val="20"/>
                <w:szCs w:val="20"/>
                <w:color w:val="auto"/>
              </w:rPr>
            </w:pPr>
            <w:r>
              <w:rPr>
                <w:rFonts w:ascii="Arial" w:cs="Arial" w:eastAsia="Arial" w:hAnsi="Arial"/>
                <w:sz w:val="18"/>
                <w:szCs w:val="18"/>
                <w:color w:val="auto"/>
              </w:rPr>
              <w:t>solutions for implementing the new</w:t>
            </w:r>
          </w:p>
        </w:tc>
        <w:tc>
          <w:tcPr>
            <w:tcW w:w="0" w:type="dxa"/>
            <w:vAlign w:val="bottom"/>
          </w:tcPr>
          <w:p>
            <w:pPr>
              <w:spacing w:after="0"/>
              <w:rPr>
                <w:sz w:val="1"/>
                <w:szCs w:val="1"/>
                <w:color w:val="auto"/>
              </w:rPr>
            </w:pPr>
          </w:p>
        </w:tc>
      </w:tr>
      <w:tr>
        <w:trPr>
          <w:trHeight w:val="216"/>
        </w:trPr>
        <w:tc>
          <w:tcPr>
            <w:tcW w:w="4660" w:type="dxa"/>
            <w:vAlign w:val="bottom"/>
            <w:tcBorders>
              <w:left w:val="single" w:sz="8" w:color="auto"/>
              <w:right w:val="single" w:sz="8" w:color="auto"/>
            </w:tcBorders>
          </w:tcPr>
          <w:p>
            <w:pPr>
              <w:ind w:left="680"/>
              <w:spacing w:after="0"/>
              <w:rPr>
                <w:sz w:val="20"/>
                <w:szCs w:val="20"/>
                <w:color w:val="auto"/>
              </w:rPr>
            </w:pPr>
            <w:r>
              <w:rPr>
                <w:rFonts w:ascii="Arial" w:cs="Arial" w:eastAsia="Arial" w:hAnsi="Arial"/>
                <w:sz w:val="18"/>
                <w:szCs w:val="18"/>
                <w:color w:val="auto"/>
              </w:rPr>
              <w:t>impact recognized in net income. Discount rate</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ind w:left="460"/>
              <w:spacing w:after="0"/>
              <w:rPr>
                <w:sz w:val="20"/>
                <w:szCs w:val="20"/>
                <w:color w:val="auto"/>
              </w:rPr>
            </w:pPr>
            <w:r>
              <w:rPr>
                <w:rFonts w:ascii="Arial" w:cs="Arial" w:eastAsia="Arial" w:hAnsi="Arial"/>
                <w:sz w:val="18"/>
                <w:szCs w:val="18"/>
                <w:color w:val="auto"/>
              </w:rPr>
              <w:t>guidance;</w:t>
            </w:r>
          </w:p>
        </w:tc>
        <w:tc>
          <w:tcPr>
            <w:tcW w:w="0" w:type="dxa"/>
            <w:vAlign w:val="bottom"/>
          </w:tcPr>
          <w:p>
            <w:pPr>
              <w:spacing w:after="0"/>
              <w:rPr>
                <w:sz w:val="1"/>
                <w:szCs w:val="1"/>
                <w:color w:val="auto"/>
              </w:rPr>
            </w:pPr>
          </w:p>
        </w:tc>
      </w:tr>
      <w:tr>
        <w:trPr>
          <w:trHeight w:val="216"/>
        </w:trPr>
        <w:tc>
          <w:tcPr>
            <w:tcW w:w="4660" w:type="dxa"/>
            <w:vAlign w:val="bottom"/>
            <w:tcBorders>
              <w:left w:val="single" w:sz="8" w:color="auto"/>
              <w:right w:val="single" w:sz="8" w:color="auto"/>
            </w:tcBorders>
          </w:tcPr>
          <w:p>
            <w:pPr>
              <w:ind w:left="680"/>
              <w:spacing w:after="0"/>
              <w:rPr>
                <w:sz w:val="20"/>
                <w:szCs w:val="20"/>
                <w:color w:val="auto"/>
              </w:rPr>
            </w:pPr>
            <w:r>
              <w:rPr>
                <w:rFonts w:ascii="Arial" w:cs="Arial" w:eastAsia="Arial" w:hAnsi="Arial"/>
                <w:sz w:val="18"/>
                <w:szCs w:val="18"/>
                <w:color w:val="auto"/>
              </w:rPr>
              <w:t>assumptions are prescribed as the current upper-</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ind w:left="120"/>
              <w:spacing w:after="0"/>
              <w:rPr>
                <w:sz w:val="20"/>
                <w:szCs w:val="20"/>
                <w:color w:val="auto"/>
              </w:rPr>
            </w:pPr>
            <w:r>
              <w:rPr>
                <w:rFonts w:ascii="Arial" w:cs="Arial" w:eastAsia="Arial" w:hAnsi="Arial"/>
                <w:sz w:val="18"/>
                <w:szCs w:val="18"/>
                <w:color w:val="auto"/>
                <w:w w:val="96"/>
              </w:rPr>
              <w:t>●   building models and evaluating preliminary</w:t>
            </w:r>
          </w:p>
        </w:tc>
        <w:tc>
          <w:tcPr>
            <w:tcW w:w="0" w:type="dxa"/>
            <w:vAlign w:val="bottom"/>
          </w:tcPr>
          <w:p>
            <w:pPr>
              <w:spacing w:after="0"/>
              <w:rPr>
                <w:sz w:val="1"/>
                <w:szCs w:val="1"/>
                <w:color w:val="auto"/>
              </w:rPr>
            </w:pPr>
          </w:p>
        </w:tc>
      </w:tr>
      <w:tr>
        <w:trPr>
          <w:trHeight w:val="216"/>
        </w:trPr>
        <w:tc>
          <w:tcPr>
            <w:tcW w:w="4660" w:type="dxa"/>
            <w:vAlign w:val="bottom"/>
            <w:tcBorders>
              <w:left w:val="single" w:sz="8" w:color="auto"/>
              <w:right w:val="single" w:sz="8" w:color="auto"/>
            </w:tcBorders>
          </w:tcPr>
          <w:p>
            <w:pPr>
              <w:ind w:left="680"/>
              <w:spacing w:after="0"/>
              <w:rPr>
                <w:sz w:val="20"/>
                <w:szCs w:val="20"/>
                <w:color w:val="auto"/>
              </w:rPr>
            </w:pPr>
            <w:r>
              <w:rPr>
                <w:rFonts w:ascii="Arial" w:cs="Arial" w:eastAsia="Arial" w:hAnsi="Arial"/>
                <w:sz w:val="18"/>
                <w:szCs w:val="18"/>
                <w:color w:val="auto"/>
              </w:rPr>
              <w:t>medium grade (low credit risk) fixed income</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ind w:left="460"/>
              <w:spacing w:after="0"/>
              <w:rPr>
                <w:sz w:val="20"/>
                <w:szCs w:val="20"/>
                <w:color w:val="auto"/>
              </w:rPr>
            </w:pPr>
            <w:r>
              <w:rPr>
                <w:rFonts w:ascii="Arial" w:cs="Arial" w:eastAsia="Arial" w:hAnsi="Arial"/>
                <w:sz w:val="18"/>
                <w:szCs w:val="18"/>
                <w:color w:val="auto"/>
              </w:rPr>
              <w:t>output as models are developed;</w:t>
            </w:r>
          </w:p>
        </w:tc>
        <w:tc>
          <w:tcPr>
            <w:tcW w:w="0" w:type="dxa"/>
            <w:vAlign w:val="bottom"/>
          </w:tcPr>
          <w:p>
            <w:pPr>
              <w:spacing w:after="0"/>
              <w:rPr>
                <w:sz w:val="1"/>
                <w:szCs w:val="1"/>
                <w:color w:val="auto"/>
              </w:rPr>
            </w:pPr>
          </w:p>
        </w:tc>
      </w:tr>
      <w:tr>
        <w:trPr>
          <w:trHeight w:val="216"/>
        </w:trPr>
        <w:tc>
          <w:tcPr>
            <w:tcW w:w="4660" w:type="dxa"/>
            <w:vAlign w:val="bottom"/>
            <w:tcBorders>
              <w:left w:val="single" w:sz="8" w:color="auto"/>
              <w:right w:val="single" w:sz="8" w:color="auto"/>
            </w:tcBorders>
          </w:tcPr>
          <w:p>
            <w:pPr>
              <w:ind w:left="680"/>
              <w:spacing w:after="0"/>
              <w:rPr>
                <w:sz w:val="20"/>
                <w:szCs w:val="20"/>
                <w:color w:val="auto"/>
              </w:rPr>
            </w:pPr>
            <w:r>
              <w:rPr>
                <w:rFonts w:ascii="Arial" w:cs="Arial" w:eastAsia="Arial" w:hAnsi="Arial"/>
                <w:sz w:val="18"/>
                <w:szCs w:val="18"/>
                <w:color w:val="auto"/>
                <w:w w:val="92"/>
              </w:rPr>
              <w:t>instrument yield and will be updated quarterly with the</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ind w:left="120"/>
              <w:spacing w:after="0"/>
              <w:rPr>
                <w:sz w:val="20"/>
                <w:szCs w:val="20"/>
                <w:color w:val="auto"/>
              </w:rPr>
            </w:pPr>
            <w:r>
              <w:rPr>
                <w:rFonts w:ascii="Arial" w:cs="Arial" w:eastAsia="Arial" w:hAnsi="Arial"/>
                <w:sz w:val="18"/>
                <w:szCs w:val="18"/>
                <w:color w:val="auto"/>
              </w:rPr>
              <w:t>●   evaluating and finalizing our key</w:t>
            </w:r>
          </w:p>
        </w:tc>
        <w:tc>
          <w:tcPr>
            <w:tcW w:w="0" w:type="dxa"/>
            <w:vAlign w:val="bottom"/>
          </w:tcPr>
          <w:p>
            <w:pPr>
              <w:spacing w:after="0"/>
              <w:rPr>
                <w:sz w:val="1"/>
                <w:szCs w:val="1"/>
                <w:color w:val="auto"/>
              </w:rPr>
            </w:pPr>
          </w:p>
        </w:tc>
      </w:tr>
      <w:tr>
        <w:trPr>
          <w:trHeight w:val="216"/>
        </w:trPr>
        <w:tc>
          <w:tcPr>
            <w:tcW w:w="4660" w:type="dxa"/>
            <w:vAlign w:val="bottom"/>
            <w:tcBorders>
              <w:left w:val="single" w:sz="8" w:color="auto"/>
              <w:right w:val="single" w:sz="8" w:color="auto"/>
            </w:tcBorders>
          </w:tcPr>
          <w:p>
            <w:pPr>
              <w:ind w:left="680"/>
              <w:spacing w:after="0"/>
              <w:rPr>
                <w:sz w:val="20"/>
                <w:szCs w:val="20"/>
                <w:color w:val="auto"/>
              </w:rPr>
            </w:pPr>
            <w:r>
              <w:rPr>
                <w:rFonts w:ascii="Arial" w:cs="Arial" w:eastAsia="Arial" w:hAnsi="Arial"/>
                <w:sz w:val="18"/>
                <w:szCs w:val="18"/>
                <w:color w:val="auto"/>
                <w:w w:val="98"/>
              </w:rPr>
              <w:t>impact recognized in other comprehensive income</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ind w:left="460"/>
              <w:spacing w:after="0"/>
              <w:rPr>
                <w:sz w:val="20"/>
                <w:szCs w:val="20"/>
                <w:color w:val="auto"/>
              </w:rPr>
            </w:pPr>
            <w:r>
              <w:rPr>
                <w:rFonts w:ascii="Arial" w:cs="Arial" w:eastAsia="Arial" w:hAnsi="Arial"/>
                <w:sz w:val="18"/>
                <w:szCs w:val="18"/>
                <w:color w:val="auto"/>
              </w:rPr>
              <w:t>accounting policies;</w:t>
            </w:r>
          </w:p>
        </w:tc>
        <w:tc>
          <w:tcPr>
            <w:tcW w:w="0" w:type="dxa"/>
            <w:vAlign w:val="bottom"/>
          </w:tcPr>
          <w:p>
            <w:pPr>
              <w:spacing w:after="0"/>
              <w:rPr>
                <w:sz w:val="1"/>
                <w:szCs w:val="1"/>
                <w:color w:val="auto"/>
              </w:rPr>
            </w:pPr>
          </w:p>
        </w:tc>
      </w:tr>
      <w:tr>
        <w:trPr>
          <w:trHeight w:val="216"/>
        </w:trPr>
        <w:tc>
          <w:tcPr>
            <w:tcW w:w="4660" w:type="dxa"/>
            <w:vAlign w:val="bottom"/>
            <w:tcBorders>
              <w:left w:val="single" w:sz="8" w:color="auto"/>
              <w:right w:val="single" w:sz="8" w:color="auto"/>
            </w:tcBorders>
          </w:tcPr>
          <w:p>
            <w:pPr>
              <w:ind w:left="680"/>
              <w:spacing w:after="0"/>
              <w:rPr>
                <w:sz w:val="20"/>
                <w:szCs w:val="20"/>
                <w:color w:val="auto"/>
              </w:rPr>
            </w:pPr>
            <w:r>
              <w:rPr>
                <w:rFonts w:ascii="Arial" w:cs="Arial" w:eastAsia="Arial" w:hAnsi="Arial"/>
                <w:sz w:val="18"/>
                <w:szCs w:val="18"/>
                <w:color w:val="auto"/>
              </w:rPr>
              <w:t>(“OCI”).</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ind w:left="120"/>
              <w:spacing w:after="0"/>
              <w:rPr>
                <w:sz w:val="20"/>
                <w:szCs w:val="20"/>
                <w:color w:val="auto"/>
              </w:rPr>
            </w:pPr>
            <w:r>
              <w:rPr>
                <w:rFonts w:ascii="Arial" w:cs="Arial" w:eastAsia="Arial" w:hAnsi="Arial"/>
                <w:sz w:val="18"/>
                <w:szCs w:val="18"/>
                <w:color w:val="auto"/>
              </w:rPr>
              <w:t>●   assessing the impact to our chart of</w:t>
            </w:r>
          </w:p>
        </w:tc>
        <w:tc>
          <w:tcPr>
            <w:tcW w:w="0" w:type="dxa"/>
            <w:vAlign w:val="bottom"/>
          </w:tcPr>
          <w:p>
            <w:pPr>
              <w:spacing w:after="0"/>
              <w:rPr>
                <w:sz w:val="1"/>
                <w:szCs w:val="1"/>
                <w:color w:val="auto"/>
              </w:rPr>
            </w:pPr>
          </w:p>
        </w:tc>
      </w:tr>
      <w:tr>
        <w:trPr>
          <w:trHeight w:val="216"/>
        </w:trPr>
        <w:tc>
          <w:tcPr>
            <w:tcW w:w="4660" w:type="dxa"/>
            <w:vAlign w:val="bottom"/>
            <w:tcBorders>
              <w:left w:val="single" w:sz="8" w:color="auto"/>
              <w:right w:val="single" w:sz="8" w:color="auto"/>
            </w:tcBorders>
          </w:tcPr>
          <w:p>
            <w:pPr>
              <w:ind w:left="340"/>
              <w:spacing w:after="0"/>
              <w:rPr>
                <w:sz w:val="20"/>
                <w:szCs w:val="20"/>
                <w:color w:val="auto"/>
              </w:rPr>
            </w:pPr>
            <w:r>
              <w:rPr>
                <w:rFonts w:ascii="Arial" w:cs="Arial" w:eastAsia="Arial" w:hAnsi="Arial"/>
                <w:sz w:val="18"/>
                <w:szCs w:val="18"/>
                <w:color w:val="auto"/>
                <w:w w:val="98"/>
              </w:rPr>
              <w:t>2.  Market risk benefits, which are contracts or contract</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ind w:left="460"/>
              <w:spacing w:after="0"/>
              <w:rPr>
                <w:sz w:val="20"/>
                <w:szCs w:val="20"/>
                <w:color w:val="auto"/>
              </w:rPr>
            </w:pPr>
            <w:r>
              <w:rPr>
                <w:rFonts w:ascii="Arial" w:cs="Arial" w:eastAsia="Arial" w:hAnsi="Arial"/>
                <w:sz w:val="18"/>
                <w:szCs w:val="18"/>
                <w:color w:val="auto"/>
              </w:rPr>
              <w:t>accounts;</w:t>
            </w:r>
          </w:p>
        </w:tc>
        <w:tc>
          <w:tcPr>
            <w:tcW w:w="0" w:type="dxa"/>
            <w:vAlign w:val="bottom"/>
          </w:tcPr>
          <w:p>
            <w:pPr>
              <w:spacing w:after="0"/>
              <w:rPr>
                <w:sz w:val="1"/>
                <w:szCs w:val="1"/>
                <w:color w:val="auto"/>
              </w:rPr>
            </w:pPr>
          </w:p>
        </w:tc>
      </w:tr>
      <w:tr>
        <w:trPr>
          <w:trHeight w:val="216"/>
        </w:trPr>
        <w:tc>
          <w:tcPr>
            <w:tcW w:w="4660" w:type="dxa"/>
            <w:vAlign w:val="bottom"/>
            <w:tcBorders>
              <w:left w:val="single" w:sz="8" w:color="auto"/>
              <w:right w:val="single" w:sz="8" w:color="auto"/>
            </w:tcBorders>
          </w:tcPr>
          <w:p>
            <w:pPr>
              <w:ind w:left="680"/>
              <w:spacing w:after="0"/>
              <w:rPr>
                <w:sz w:val="20"/>
                <w:szCs w:val="20"/>
                <w:color w:val="auto"/>
              </w:rPr>
            </w:pPr>
            <w:r>
              <w:rPr>
                <w:rFonts w:ascii="Arial" w:cs="Arial" w:eastAsia="Arial" w:hAnsi="Arial"/>
                <w:sz w:val="18"/>
                <w:szCs w:val="18"/>
                <w:color w:val="auto"/>
                <w:w w:val="98"/>
              </w:rPr>
              <w:t>features that provide protection to the policyholder</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ind w:left="120"/>
              <w:spacing w:after="0"/>
              <w:rPr>
                <w:sz w:val="20"/>
                <w:szCs w:val="20"/>
                <w:color w:val="auto"/>
              </w:rPr>
            </w:pPr>
            <w:r>
              <w:rPr>
                <w:rFonts w:ascii="Arial" w:cs="Arial" w:eastAsia="Arial" w:hAnsi="Arial"/>
                <w:sz w:val="18"/>
                <w:szCs w:val="18"/>
                <w:color w:val="auto"/>
              </w:rPr>
              <w:t>●   developing format and content of new</w:t>
            </w:r>
          </w:p>
        </w:tc>
        <w:tc>
          <w:tcPr>
            <w:tcW w:w="0" w:type="dxa"/>
            <w:vAlign w:val="bottom"/>
          </w:tcPr>
          <w:p>
            <w:pPr>
              <w:spacing w:after="0"/>
              <w:rPr>
                <w:sz w:val="1"/>
                <w:szCs w:val="1"/>
                <w:color w:val="auto"/>
              </w:rPr>
            </w:pPr>
          </w:p>
        </w:tc>
      </w:tr>
      <w:tr>
        <w:trPr>
          <w:trHeight w:val="216"/>
        </w:trPr>
        <w:tc>
          <w:tcPr>
            <w:tcW w:w="4660" w:type="dxa"/>
            <w:vAlign w:val="bottom"/>
            <w:tcBorders>
              <w:left w:val="single" w:sz="8" w:color="auto"/>
              <w:right w:val="single" w:sz="8" w:color="auto"/>
            </w:tcBorders>
          </w:tcPr>
          <w:p>
            <w:pPr>
              <w:ind w:left="680"/>
              <w:spacing w:after="0"/>
              <w:rPr>
                <w:sz w:val="20"/>
                <w:szCs w:val="20"/>
                <w:color w:val="auto"/>
              </w:rPr>
            </w:pPr>
            <w:r>
              <w:rPr>
                <w:rFonts w:ascii="Arial" w:cs="Arial" w:eastAsia="Arial" w:hAnsi="Arial"/>
                <w:sz w:val="18"/>
                <w:szCs w:val="18"/>
                <w:color w:val="auto"/>
                <w:w w:val="93"/>
              </w:rPr>
              <w:t>from capital market risk and expose us to other-than-</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ind w:left="460"/>
              <w:spacing w:after="0"/>
              <w:rPr>
                <w:sz w:val="20"/>
                <w:szCs w:val="20"/>
                <w:color w:val="auto"/>
              </w:rPr>
            </w:pPr>
            <w:r>
              <w:rPr>
                <w:rFonts w:ascii="Arial" w:cs="Arial" w:eastAsia="Arial" w:hAnsi="Arial"/>
                <w:sz w:val="18"/>
                <w:szCs w:val="18"/>
                <w:color w:val="auto"/>
              </w:rPr>
              <w:t>disclosures;</w:t>
            </w:r>
          </w:p>
        </w:tc>
        <w:tc>
          <w:tcPr>
            <w:tcW w:w="0" w:type="dxa"/>
            <w:vAlign w:val="bottom"/>
          </w:tcPr>
          <w:p>
            <w:pPr>
              <w:spacing w:after="0"/>
              <w:rPr>
                <w:sz w:val="1"/>
                <w:szCs w:val="1"/>
                <w:color w:val="auto"/>
              </w:rPr>
            </w:pPr>
          </w:p>
        </w:tc>
      </w:tr>
      <w:tr>
        <w:trPr>
          <w:trHeight w:val="216"/>
        </w:trPr>
        <w:tc>
          <w:tcPr>
            <w:tcW w:w="4660" w:type="dxa"/>
            <w:vAlign w:val="bottom"/>
            <w:tcBorders>
              <w:left w:val="single" w:sz="8" w:color="auto"/>
              <w:right w:val="single" w:sz="8" w:color="auto"/>
            </w:tcBorders>
          </w:tcPr>
          <w:p>
            <w:pPr>
              <w:ind w:left="680"/>
              <w:spacing w:after="0"/>
              <w:rPr>
                <w:sz w:val="20"/>
                <w:szCs w:val="20"/>
                <w:color w:val="auto"/>
              </w:rPr>
            </w:pPr>
            <w:r>
              <w:rPr>
                <w:rFonts w:ascii="Arial" w:cs="Arial" w:eastAsia="Arial" w:hAnsi="Arial"/>
                <w:sz w:val="18"/>
                <w:szCs w:val="18"/>
                <w:color w:val="auto"/>
                <w:w w:val="90"/>
              </w:rPr>
              <w:t>nominal capital market risk, are measured at fair value.</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ind w:left="120"/>
              <w:spacing w:after="0"/>
              <w:rPr>
                <w:sz w:val="20"/>
                <w:szCs w:val="20"/>
                <w:color w:val="auto"/>
              </w:rPr>
            </w:pPr>
            <w:r>
              <w:rPr>
                <w:rFonts w:ascii="Arial" w:cs="Arial" w:eastAsia="Arial" w:hAnsi="Arial"/>
                <w:sz w:val="18"/>
                <w:szCs w:val="18"/>
                <w:color w:val="auto"/>
                <w:w w:val="99"/>
              </w:rPr>
              <w:t>●   conducting financial dry runs using model</w:t>
            </w:r>
          </w:p>
        </w:tc>
        <w:tc>
          <w:tcPr>
            <w:tcW w:w="0" w:type="dxa"/>
            <w:vAlign w:val="bottom"/>
          </w:tcPr>
          <w:p>
            <w:pPr>
              <w:spacing w:after="0"/>
              <w:rPr>
                <w:sz w:val="1"/>
                <w:szCs w:val="1"/>
                <w:color w:val="auto"/>
              </w:rPr>
            </w:pPr>
          </w:p>
        </w:tc>
      </w:tr>
      <w:tr>
        <w:trPr>
          <w:trHeight w:val="216"/>
        </w:trPr>
        <w:tc>
          <w:tcPr>
            <w:tcW w:w="4660" w:type="dxa"/>
            <w:vAlign w:val="bottom"/>
            <w:tcBorders>
              <w:left w:val="single" w:sz="8" w:color="auto"/>
              <w:right w:val="single" w:sz="8" w:color="auto"/>
            </w:tcBorders>
          </w:tcPr>
          <w:p>
            <w:pPr>
              <w:ind w:left="680"/>
              <w:spacing w:after="0"/>
              <w:rPr>
                <w:sz w:val="20"/>
                <w:szCs w:val="20"/>
                <w:color w:val="auto"/>
              </w:rPr>
            </w:pPr>
            <w:r>
              <w:rPr>
                <w:rFonts w:ascii="Arial" w:cs="Arial" w:eastAsia="Arial" w:hAnsi="Arial"/>
                <w:sz w:val="18"/>
                <w:szCs w:val="18"/>
                <w:color w:val="auto"/>
                <w:w w:val="93"/>
              </w:rPr>
              <w:t>The periodic change in fair value is recognized in net</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ind w:left="460"/>
              <w:spacing w:after="0"/>
              <w:rPr>
                <w:sz w:val="20"/>
                <w:szCs w:val="20"/>
                <w:color w:val="auto"/>
              </w:rPr>
            </w:pPr>
            <w:r>
              <w:rPr>
                <w:rFonts w:ascii="Arial" w:cs="Arial" w:eastAsia="Arial" w:hAnsi="Arial"/>
                <w:sz w:val="18"/>
                <w:szCs w:val="18"/>
                <w:color w:val="auto"/>
              </w:rPr>
              <w:t>output and updated chart of accounts;</w:t>
            </w:r>
          </w:p>
        </w:tc>
        <w:tc>
          <w:tcPr>
            <w:tcW w:w="0" w:type="dxa"/>
            <w:vAlign w:val="bottom"/>
          </w:tcPr>
          <w:p>
            <w:pPr>
              <w:spacing w:after="0"/>
              <w:rPr>
                <w:sz w:val="1"/>
                <w:szCs w:val="1"/>
                <w:color w:val="auto"/>
              </w:rPr>
            </w:pPr>
          </w:p>
        </w:tc>
      </w:tr>
      <w:tr>
        <w:trPr>
          <w:trHeight w:val="216"/>
        </w:trPr>
        <w:tc>
          <w:tcPr>
            <w:tcW w:w="4660" w:type="dxa"/>
            <w:vAlign w:val="bottom"/>
            <w:tcBorders>
              <w:left w:val="single" w:sz="8" w:color="auto"/>
              <w:right w:val="single" w:sz="8" w:color="auto"/>
            </w:tcBorders>
          </w:tcPr>
          <w:p>
            <w:pPr>
              <w:ind w:left="680"/>
              <w:spacing w:after="0"/>
              <w:rPr>
                <w:sz w:val="20"/>
                <w:szCs w:val="20"/>
                <w:color w:val="auto"/>
              </w:rPr>
            </w:pPr>
            <w:r>
              <w:rPr>
                <w:rFonts w:ascii="Arial" w:cs="Arial" w:eastAsia="Arial" w:hAnsi="Arial"/>
                <w:sz w:val="18"/>
                <w:szCs w:val="18"/>
                <w:color w:val="auto"/>
                <w:w w:val="96"/>
              </w:rPr>
              <w:t>income with the exception of the periodic change in</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ind w:left="120"/>
              <w:spacing w:after="0"/>
              <w:rPr>
                <w:sz w:val="20"/>
                <w:szCs w:val="20"/>
                <w:color w:val="auto"/>
              </w:rPr>
            </w:pPr>
            <w:r>
              <w:rPr>
                <w:rFonts w:ascii="Arial" w:cs="Arial" w:eastAsia="Arial" w:hAnsi="Arial"/>
                <w:sz w:val="18"/>
                <w:szCs w:val="18"/>
                <w:color w:val="auto"/>
              </w:rPr>
              <w:t>●   evaluating transition requirements and</w:t>
            </w:r>
          </w:p>
        </w:tc>
        <w:tc>
          <w:tcPr>
            <w:tcW w:w="0" w:type="dxa"/>
            <w:vAlign w:val="bottom"/>
          </w:tcPr>
          <w:p>
            <w:pPr>
              <w:spacing w:after="0"/>
              <w:rPr>
                <w:sz w:val="1"/>
                <w:szCs w:val="1"/>
                <w:color w:val="auto"/>
              </w:rPr>
            </w:pPr>
          </w:p>
        </w:tc>
      </w:tr>
      <w:tr>
        <w:trPr>
          <w:trHeight w:val="216"/>
        </w:trPr>
        <w:tc>
          <w:tcPr>
            <w:tcW w:w="4660" w:type="dxa"/>
            <w:vAlign w:val="bottom"/>
            <w:tcBorders>
              <w:left w:val="single" w:sz="8" w:color="auto"/>
              <w:right w:val="single" w:sz="8" w:color="auto"/>
            </w:tcBorders>
          </w:tcPr>
          <w:p>
            <w:pPr>
              <w:ind w:left="680"/>
              <w:spacing w:after="0"/>
              <w:rPr>
                <w:sz w:val="20"/>
                <w:szCs w:val="20"/>
                <w:color w:val="auto"/>
              </w:rPr>
            </w:pPr>
            <w:r>
              <w:rPr>
                <w:rFonts w:ascii="Arial" w:cs="Arial" w:eastAsia="Arial" w:hAnsi="Arial"/>
                <w:sz w:val="18"/>
                <w:szCs w:val="18"/>
                <w:color w:val="auto"/>
                <w:w w:val="99"/>
              </w:rPr>
              <w:t>fair value related to our own nonperformance risk,</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ind w:left="460"/>
              <w:spacing w:after="0"/>
              <w:rPr>
                <w:sz w:val="20"/>
                <w:szCs w:val="20"/>
                <w:color w:val="auto"/>
              </w:rPr>
            </w:pPr>
            <w:r>
              <w:rPr>
                <w:rFonts w:ascii="Arial" w:cs="Arial" w:eastAsia="Arial" w:hAnsi="Arial"/>
                <w:sz w:val="18"/>
                <w:szCs w:val="18"/>
                <w:color w:val="auto"/>
              </w:rPr>
              <w:t>impacts and</w:t>
            </w:r>
          </w:p>
        </w:tc>
        <w:tc>
          <w:tcPr>
            <w:tcW w:w="0" w:type="dxa"/>
            <w:vAlign w:val="bottom"/>
          </w:tcPr>
          <w:p>
            <w:pPr>
              <w:spacing w:after="0"/>
              <w:rPr>
                <w:sz w:val="1"/>
                <w:szCs w:val="1"/>
                <w:color w:val="auto"/>
              </w:rPr>
            </w:pPr>
          </w:p>
        </w:tc>
      </w:tr>
      <w:tr>
        <w:trPr>
          <w:trHeight w:val="216"/>
        </w:trPr>
        <w:tc>
          <w:tcPr>
            <w:tcW w:w="4660" w:type="dxa"/>
            <w:vAlign w:val="bottom"/>
            <w:tcBorders>
              <w:left w:val="single" w:sz="8" w:color="auto"/>
              <w:right w:val="single" w:sz="8" w:color="auto"/>
            </w:tcBorders>
          </w:tcPr>
          <w:p>
            <w:pPr>
              <w:ind w:left="680"/>
              <w:spacing w:after="0"/>
              <w:rPr>
                <w:sz w:val="20"/>
                <w:szCs w:val="20"/>
                <w:color w:val="auto"/>
              </w:rPr>
            </w:pPr>
            <w:r>
              <w:rPr>
                <w:rFonts w:ascii="Arial" w:cs="Arial" w:eastAsia="Arial" w:hAnsi="Arial"/>
                <w:sz w:val="18"/>
                <w:szCs w:val="18"/>
                <w:color w:val="auto"/>
              </w:rPr>
              <w:t>which is recognized in OCI.</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ind w:left="120"/>
              <w:spacing w:after="0"/>
              <w:rPr>
                <w:sz w:val="20"/>
                <w:szCs w:val="20"/>
                <w:color w:val="auto"/>
              </w:rPr>
            </w:pPr>
            <w:r>
              <w:rPr>
                <w:rFonts w:ascii="Arial" w:cs="Arial" w:eastAsia="Arial" w:hAnsi="Arial"/>
                <w:sz w:val="18"/>
                <w:szCs w:val="18"/>
                <w:color w:val="auto"/>
                <w:w w:val="98"/>
              </w:rPr>
              <w:t>●   establishing and documenting appropriate</w:t>
            </w:r>
          </w:p>
        </w:tc>
        <w:tc>
          <w:tcPr>
            <w:tcW w:w="0" w:type="dxa"/>
            <w:vAlign w:val="bottom"/>
          </w:tcPr>
          <w:p>
            <w:pPr>
              <w:spacing w:after="0"/>
              <w:rPr>
                <w:sz w:val="1"/>
                <w:szCs w:val="1"/>
                <w:color w:val="auto"/>
              </w:rPr>
            </w:pPr>
          </w:p>
        </w:tc>
      </w:tr>
      <w:tr>
        <w:trPr>
          <w:trHeight w:val="216"/>
        </w:trPr>
        <w:tc>
          <w:tcPr>
            <w:tcW w:w="4660" w:type="dxa"/>
            <w:vAlign w:val="bottom"/>
            <w:tcBorders>
              <w:left w:val="single" w:sz="8" w:color="auto"/>
              <w:right w:val="single" w:sz="8" w:color="auto"/>
            </w:tcBorders>
          </w:tcPr>
          <w:p>
            <w:pPr>
              <w:ind w:left="340"/>
              <w:spacing w:after="0"/>
              <w:rPr>
                <w:sz w:val="20"/>
                <w:szCs w:val="20"/>
                <w:color w:val="auto"/>
              </w:rPr>
            </w:pPr>
            <w:r>
              <w:rPr>
                <w:rFonts w:ascii="Arial" w:cs="Arial" w:eastAsia="Arial" w:hAnsi="Arial"/>
                <w:sz w:val="18"/>
                <w:szCs w:val="18"/>
                <w:color w:val="auto"/>
                <w:w w:val="92"/>
              </w:rPr>
              <w:t>3.  DAC and other actuarial balances for all insurance and</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ind w:left="460"/>
              <w:spacing w:after="0"/>
              <w:rPr>
                <w:sz w:val="20"/>
                <w:szCs w:val="20"/>
                <w:color w:val="auto"/>
              </w:rPr>
            </w:pPr>
            <w:r>
              <w:rPr>
                <w:rFonts w:ascii="Arial" w:cs="Arial" w:eastAsia="Arial" w:hAnsi="Arial"/>
                <w:sz w:val="18"/>
                <w:szCs w:val="18"/>
                <w:color w:val="auto"/>
              </w:rPr>
              <w:t>internal controls.</w:t>
            </w:r>
          </w:p>
        </w:tc>
        <w:tc>
          <w:tcPr>
            <w:tcW w:w="0" w:type="dxa"/>
            <w:vAlign w:val="bottom"/>
          </w:tcPr>
          <w:p>
            <w:pPr>
              <w:spacing w:after="0"/>
              <w:rPr>
                <w:sz w:val="1"/>
                <w:szCs w:val="1"/>
                <w:color w:val="auto"/>
              </w:rPr>
            </w:pPr>
          </w:p>
        </w:tc>
      </w:tr>
      <w:tr>
        <w:trPr>
          <w:trHeight w:val="216"/>
        </w:trPr>
        <w:tc>
          <w:tcPr>
            <w:tcW w:w="4660" w:type="dxa"/>
            <w:vAlign w:val="bottom"/>
            <w:tcBorders>
              <w:left w:val="single" w:sz="8" w:color="auto"/>
              <w:right w:val="single" w:sz="8" w:color="auto"/>
            </w:tcBorders>
          </w:tcPr>
          <w:p>
            <w:pPr>
              <w:ind w:left="680"/>
              <w:spacing w:after="0"/>
              <w:rPr>
                <w:sz w:val="20"/>
                <w:szCs w:val="20"/>
                <w:color w:val="auto"/>
              </w:rPr>
            </w:pPr>
            <w:r>
              <w:rPr>
                <w:rFonts w:ascii="Arial" w:cs="Arial" w:eastAsia="Arial" w:hAnsi="Arial"/>
                <w:sz w:val="18"/>
                <w:szCs w:val="18"/>
                <w:color w:val="auto"/>
                <w:w w:val="90"/>
              </w:rPr>
              <w:t>annuity contracts will be amortized on a constant basis</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8"/>
                <w:szCs w:val="18"/>
                <w:color w:val="auto"/>
                <w:w w:val="95"/>
              </w:rPr>
              <w:t>This guidance will significantly change how we</w:t>
            </w:r>
          </w:p>
        </w:tc>
        <w:tc>
          <w:tcPr>
            <w:tcW w:w="0" w:type="dxa"/>
            <w:vAlign w:val="bottom"/>
          </w:tcPr>
          <w:p>
            <w:pPr>
              <w:spacing w:after="0"/>
              <w:rPr>
                <w:sz w:val="1"/>
                <w:szCs w:val="1"/>
                <w:color w:val="auto"/>
              </w:rPr>
            </w:pPr>
          </w:p>
        </w:tc>
      </w:tr>
      <w:tr>
        <w:trPr>
          <w:trHeight w:val="135"/>
        </w:trPr>
        <w:tc>
          <w:tcPr>
            <w:tcW w:w="4660" w:type="dxa"/>
            <w:vAlign w:val="bottom"/>
            <w:tcBorders>
              <w:left w:val="single" w:sz="8" w:color="auto"/>
              <w:right w:val="single" w:sz="8" w:color="auto"/>
            </w:tcBorders>
            <w:vMerge w:val="restart"/>
          </w:tcPr>
          <w:p>
            <w:pPr>
              <w:ind w:left="680"/>
              <w:spacing w:after="0"/>
              <w:rPr>
                <w:sz w:val="20"/>
                <w:szCs w:val="20"/>
                <w:color w:val="auto"/>
              </w:rPr>
            </w:pPr>
            <w:r>
              <w:rPr>
                <w:rFonts w:ascii="Arial" w:cs="Arial" w:eastAsia="Arial" w:hAnsi="Arial"/>
                <w:sz w:val="18"/>
                <w:szCs w:val="18"/>
                <w:color w:val="auto"/>
              </w:rPr>
              <w:t>over the expected term of the related contracts.</w:t>
            </w:r>
          </w:p>
        </w:tc>
        <w:tc>
          <w:tcPr>
            <w:tcW w:w="1560" w:type="dxa"/>
            <w:vAlign w:val="bottom"/>
            <w:tcBorders>
              <w:right w:val="single" w:sz="8" w:color="auto"/>
            </w:tcBorders>
          </w:tcPr>
          <w:p>
            <w:pPr>
              <w:spacing w:after="0"/>
              <w:rPr>
                <w:sz w:val="11"/>
                <w:szCs w:val="11"/>
                <w:color w:val="auto"/>
              </w:rPr>
            </w:pPr>
          </w:p>
        </w:tc>
        <w:tc>
          <w:tcPr>
            <w:tcW w:w="37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81"/>
        </w:trPr>
        <w:tc>
          <w:tcPr>
            <w:tcW w:w="4660" w:type="dxa"/>
            <w:vAlign w:val="bottom"/>
            <w:tcBorders>
              <w:left w:val="single" w:sz="8" w:color="auto"/>
              <w:right w:val="single" w:sz="8" w:color="auto"/>
            </w:tcBorders>
            <w:vMerge w:val="continue"/>
          </w:tcPr>
          <w:p>
            <w:pPr>
              <w:spacing w:after="0"/>
              <w:rPr>
                <w:sz w:val="7"/>
                <w:szCs w:val="7"/>
                <w:color w:val="auto"/>
              </w:rPr>
            </w:pPr>
          </w:p>
        </w:tc>
        <w:tc>
          <w:tcPr>
            <w:tcW w:w="1560" w:type="dxa"/>
            <w:vAlign w:val="bottom"/>
            <w:tcBorders>
              <w:right w:val="single" w:sz="8" w:color="auto"/>
            </w:tcBorders>
          </w:tcPr>
          <w:p>
            <w:pPr>
              <w:spacing w:after="0"/>
              <w:rPr>
                <w:sz w:val="7"/>
                <w:szCs w:val="7"/>
                <w:color w:val="auto"/>
              </w:rPr>
            </w:pPr>
          </w:p>
        </w:tc>
        <w:tc>
          <w:tcPr>
            <w:tcW w:w="37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8"/>
                <w:szCs w:val="18"/>
                <w:color w:val="auto"/>
                <w:w w:val="95"/>
              </w:rPr>
              <w:t>account for many of our insurance and annuity</w:t>
            </w:r>
          </w:p>
        </w:tc>
        <w:tc>
          <w:tcPr>
            <w:tcW w:w="0" w:type="dxa"/>
            <w:vAlign w:val="bottom"/>
          </w:tcPr>
          <w:p>
            <w:pPr>
              <w:spacing w:after="0"/>
              <w:rPr>
                <w:sz w:val="1"/>
                <w:szCs w:val="1"/>
                <w:color w:val="auto"/>
              </w:rPr>
            </w:pPr>
          </w:p>
        </w:tc>
      </w:tr>
      <w:tr>
        <w:trPr>
          <w:trHeight w:val="135"/>
        </w:trPr>
        <w:tc>
          <w:tcPr>
            <w:tcW w:w="4660" w:type="dxa"/>
            <w:vAlign w:val="bottom"/>
            <w:tcBorders>
              <w:left w:val="single" w:sz="8" w:color="auto"/>
              <w:right w:val="single" w:sz="8" w:color="auto"/>
            </w:tcBorders>
            <w:vMerge w:val="restart"/>
          </w:tcPr>
          <w:p>
            <w:pPr>
              <w:ind w:left="340"/>
              <w:spacing w:after="0"/>
              <w:rPr>
                <w:sz w:val="20"/>
                <w:szCs w:val="20"/>
                <w:color w:val="auto"/>
              </w:rPr>
            </w:pPr>
            <w:r>
              <w:rPr>
                <w:rFonts w:ascii="Arial" w:cs="Arial" w:eastAsia="Arial" w:hAnsi="Arial"/>
                <w:sz w:val="18"/>
                <w:szCs w:val="18"/>
                <w:color w:val="auto"/>
              </w:rPr>
              <w:t>4.  Additional disclosures are required, including</w:t>
            </w:r>
          </w:p>
        </w:tc>
        <w:tc>
          <w:tcPr>
            <w:tcW w:w="1560" w:type="dxa"/>
            <w:vAlign w:val="bottom"/>
            <w:tcBorders>
              <w:right w:val="single" w:sz="8" w:color="auto"/>
            </w:tcBorders>
          </w:tcPr>
          <w:p>
            <w:pPr>
              <w:spacing w:after="0"/>
              <w:rPr>
                <w:sz w:val="11"/>
                <w:szCs w:val="11"/>
                <w:color w:val="auto"/>
              </w:rPr>
            </w:pPr>
          </w:p>
        </w:tc>
        <w:tc>
          <w:tcPr>
            <w:tcW w:w="37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81"/>
        </w:trPr>
        <w:tc>
          <w:tcPr>
            <w:tcW w:w="4660" w:type="dxa"/>
            <w:vAlign w:val="bottom"/>
            <w:tcBorders>
              <w:left w:val="single" w:sz="8" w:color="auto"/>
              <w:right w:val="single" w:sz="8" w:color="auto"/>
            </w:tcBorders>
            <w:vMerge w:val="continue"/>
          </w:tcPr>
          <w:p>
            <w:pPr>
              <w:spacing w:after="0"/>
              <w:rPr>
                <w:sz w:val="7"/>
                <w:szCs w:val="7"/>
                <w:color w:val="auto"/>
              </w:rPr>
            </w:pPr>
          </w:p>
        </w:tc>
        <w:tc>
          <w:tcPr>
            <w:tcW w:w="1560" w:type="dxa"/>
            <w:vAlign w:val="bottom"/>
            <w:tcBorders>
              <w:right w:val="single" w:sz="8" w:color="auto"/>
            </w:tcBorders>
          </w:tcPr>
          <w:p>
            <w:pPr>
              <w:spacing w:after="0"/>
              <w:rPr>
                <w:sz w:val="7"/>
                <w:szCs w:val="7"/>
                <w:color w:val="auto"/>
              </w:rPr>
            </w:pPr>
          </w:p>
        </w:tc>
        <w:tc>
          <w:tcPr>
            <w:tcW w:w="37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8"/>
                <w:szCs w:val="18"/>
                <w:color w:val="auto"/>
              </w:rPr>
              <w:t>products.</w:t>
            </w:r>
          </w:p>
        </w:tc>
        <w:tc>
          <w:tcPr>
            <w:tcW w:w="0" w:type="dxa"/>
            <w:vAlign w:val="bottom"/>
          </w:tcPr>
          <w:p>
            <w:pPr>
              <w:spacing w:after="0"/>
              <w:rPr>
                <w:sz w:val="1"/>
                <w:szCs w:val="1"/>
                <w:color w:val="auto"/>
              </w:rPr>
            </w:pPr>
          </w:p>
        </w:tc>
      </w:tr>
      <w:tr>
        <w:trPr>
          <w:trHeight w:val="149"/>
        </w:trPr>
        <w:tc>
          <w:tcPr>
            <w:tcW w:w="4660" w:type="dxa"/>
            <w:vAlign w:val="bottom"/>
            <w:tcBorders>
              <w:left w:val="single" w:sz="8" w:color="auto"/>
              <w:right w:val="single" w:sz="8" w:color="auto"/>
            </w:tcBorders>
            <w:vMerge w:val="restart"/>
          </w:tcPr>
          <w:p>
            <w:pPr>
              <w:ind w:left="680"/>
              <w:spacing w:after="0"/>
              <w:rPr>
                <w:sz w:val="20"/>
                <w:szCs w:val="20"/>
                <w:color w:val="auto"/>
              </w:rPr>
            </w:pPr>
            <w:r>
              <w:rPr>
                <w:rFonts w:ascii="Arial" w:cs="Arial" w:eastAsia="Arial" w:hAnsi="Arial"/>
                <w:sz w:val="18"/>
                <w:szCs w:val="18"/>
                <w:color w:val="auto"/>
                <w:w w:val="98"/>
              </w:rPr>
              <w:t>disaggregated rollforwards of significant insurance</w:t>
            </w:r>
          </w:p>
        </w:tc>
        <w:tc>
          <w:tcPr>
            <w:tcW w:w="1560" w:type="dxa"/>
            <w:vAlign w:val="bottom"/>
            <w:tcBorders>
              <w:right w:val="single" w:sz="8" w:color="auto"/>
            </w:tcBorders>
          </w:tcPr>
          <w:p>
            <w:pPr>
              <w:spacing w:after="0"/>
              <w:rPr>
                <w:sz w:val="12"/>
                <w:szCs w:val="12"/>
                <w:color w:val="auto"/>
              </w:rPr>
            </w:pPr>
          </w:p>
        </w:tc>
        <w:tc>
          <w:tcPr>
            <w:tcW w:w="37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67"/>
        </w:trPr>
        <w:tc>
          <w:tcPr>
            <w:tcW w:w="4660" w:type="dxa"/>
            <w:vAlign w:val="bottom"/>
            <w:tcBorders>
              <w:left w:val="single" w:sz="8" w:color="auto"/>
              <w:right w:val="single" w:sz="8" w:color="auto"/>
            </w:tcBorders>
            <w:vMerge w:val="continue"/>
          </w:tcPr>
          <w:p>
            <w:pPr>
              <w:spacing w:after="0"/>
              <w:rPr>
                <w:sz w:val="5"/>
                <w:szCs w:val="5"/>
                <w:color w:val="auto"/>
              </w:rPr>
            </w:pPr>
          </w:p>
        </w:tc>
        <w:tc>
          <w:tcPr>
            <w:tcW w:w="1560" w:type="dxa"/>
            <w:vAlign w:val="bottom"/>
            <w:tcBorders>
              <w:right w:val="single" w:sz="8" w:color="auto"/>
            </w:tcBorders>
          </w:tcPr>
          <w:p>
            <w:pPr>
              <w:spacing w:after="0"/>
              <w:rPr>
                <w:sz w:val="5"/>
                <w:szCs w:val="5"/>
                <w:color w:val="auto"/>
              </w:rPr>
            </w:pPr>
          </w:p>
        </w:tc>
        <w:tc>
          <w:tcPr>
            <w:tcW w:w="37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4660" w:type="dxa"/>
            <w:vAlign w:val="bottom"/>
            <w:tcBorders>
              <w:left w:val="single" w:sz="8" w:color="auto"/>
              <w:right w:val="single" w:sz="8" w:color="auto"/>
            </w:tcBorders>
          </w:tcPr>
          <w:p>
            <w:pPr>
              <w:ind w:left="680"/>
              <w:spacing w:after="0"/>
              <w:rPr>
                <w:sz w:val="20"/>
                <w:szCs w:val="20"/>
                <w:color w:val="auto"/>
              </w:rPr>
            </w:pPr>
            <w:r>
              <w:rPr>
                <w:rFonts w:ascii="Arial" w:cs="Arial" w:eastAsia="Arial" w:hAnsi="Arial"/>
                <w:sz w:val="18"/>
                <w:szCs w:val="18"/>
                <w:color w:val="auto"/>
              </w:rPr>
              <w:t>liabilities and other account balances as well as</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60" w:type="dxa"/>
            <w:vAlign w:val="bottom"/>
            <w:tcBorders>
              <w:left w:val="single" w:sz="8" w:color="auto"/>
              <w:right w:val="single" w:sz="8" w:color="auto"/>
            </w:tcBorders>
          </w:tcPr>
          <w:p>
            <w:pPr>
              <w:ind w:left="680"/>
              <w:spacing w:after="0"/>
              <w:rPr>
                <w:sz w:val="20"/>
                <w:szCs w:val="20"/>
                <w:color w:val="auto"/>
              </w:rPr>
            </w:pPr>
            <w:r>
              <w:rPr>
                <w:rFonts w:ascii="Arial" w:cs="Arial" w:eastAsia="Arial" w:hAnsi="Arial"/>
                <w:sz w:val="18"/>
                <w:szCs w:val="18"/>
                <w:color w:val="auto"/>
              </w:rPr>
              <w:t>disclosures about significant inputs, judgments,</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660" w:type="dxa"/>
            <w:vAlign w:val="bottom"/>
            <w:tcBorders>
              <w:left w:val="single" w:sz="8" w:color="auto"/>
              <w:right w:val="single" w:sz="8" w:color="auto"/>
            </w:tcBorders>
          </w:tcPr>
          <w:p>
            <w:pPr>
              <w:ind w:left="680"/>
              <w:spacing w:after="0"/>
              <w:rPr>
                <w:sz w:val="20"/>
                <w:szCs w:val="20"/>
                <w:color w:val="auto"/>
              </w:rPr>
            </w:pPr>
            <w:r>
              <w:rPr>
                <w:rFonts w:ascii="Arial" w:cs="Arial" w:eastAsia="Arial" w:hAnsi="Arial"/>
                <w:sz w:val="18"/>
                <w:szCs w:val="18"/>
                <w:color w:val="auto"/>
              </w:rPr>
              <w:t>assumptions and methods used in measurement.</w:t>
            </w:r>
          </w:p>
        </w:tc>
        <w:tc>
          <w:tcPr>
            <w:tcW w:w="1560" w:type="dxa"/>
            <w:vAlign w:val="bottom"/>
            <w:tcBorders>
              <w:right w:val="single" w:sz="8" w:color="auto"/>
            </w:tcBorders>
          </w:tcPr>
          <w:p>
            <w:pPr>
              <w:spacing w:after="0"/>
              <w:rPr>
                <w:sz w:val="20"/>
                <w:szCs w:val="20"/>
                <w:color w:val="auto"/>
              </w:rPr>
            </w:pPr>
          </w:p>
        </w:tc>
        <w:tc>
          <w:tcPr>
            <w:tcW w:w="37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10"/>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The guidance for the liability for future policy benefits for</w:t>
            </w:r>
          </w:p>
        </w:tc>
        <w:tc>
          <w:tcPr>
            <w:tcW w:w="1560" w:type="dxa"/>
            <w:vAlign w:val="bottom"/>
            <w:tcBorders>
              <w:right w:val="single" w:sz="8" w:color="auto"/>
            </w:tcBorders>
          </w:tcPr>
          <w:p>
            <w:pPr>
              <w:spacing w:after="0"/>
              <w:rPr>
                <w:sz w:val="24"/>
                <w:szCs w:val="24"/>
                <w:color w:val="auto"/>
              </w:rPr>
            </w:pPr>
          </w:p>
        </w:tc>
        <w:tc>
          <w:tcPr>
            <w:tcW w:w="3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w w:val="98"/>
              </w:rPr>
              <w:t>traditional and limited-payment contracts and DAC will be</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w w:val="92"/>
              </w:rPr>
              <w:t>applied on a modified retrospective basis; that is, to contracts</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w w:val="95"/>
              </w:rPr>
              <w:t>in force as of the beginning of the earliest period presented</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w w:val="90"/>
              </w:rPr>
              <w:t>(January 1, 2021, also referred to as the transition date) based</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w w:val="99"/>
              </w:rPr>
              <w:t>on their existing carrying amounts. An entity may elect to</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w w:val="95"/>
              </w:rPr>
              <w:t>apply the changes retrospectively. The guidance for market</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risk benefits will be applied retrospectively.</w:t>
            </w:r>
          </w:p>
        </w:tc>
        <w:tc>
          <w:tcPr>
            <w:tcW w:w="1560" w:type="dxa"/>
            <w:vAlign w:val="bottom"/>
            <w:tcBorders>
              <w:right w:val="single" w:sz="8" w:color="auto"/>
            </w:tcBorders>
          </w:tcPr>
          <w:p>
            <w:pPr>
              <w:spacing w:after="0"/>
              <w:rPr>
                <w:sz w:val="20"/>
                <w:szCs w:val="20"/>
                <w:color w:val="auto"/>
              </w:rPr>
            </w:pPr>
          </w:p>
        </w:tc>
        <w:tc>
          <w:tcPr>
            <w:tcW w:w="37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4660" w:type="dxa"/>
            <w:vAlign w:val="bottom"/>
            <w:tcBorders>
              <w:left w:val="single" w:sz="8" w:color="auto"/>
              <w:bottom w:val="single" w:sz="8" w:color="auto"/>
              <w:right w:val="single" w:sz="8" w:color="auto"/>
            </w:tcBorders>
          </w:tcPr>
          <w:p>
            <w:pPr>
              <w:spacing w:after="0"/>
              <w:rPr>
                <w:sz w:val="18"/>
                <w:szCs w:val="18"/>
                <w:color w:val="auto"/>
              </w:rPr>
            </w:pPr>
          </w:p>
        </w:tc>
        <w:tc>
          <w:tcPr>
            <w:tcW w:w="1560" w:type="dxa"/>
            <w:vAlign w:val="bottom"/>
            <w:tcBorders>
              <w:bottom w:val="single" w:sz="8" w:color="auto"/>
              <w:right w:val="single" w:sz="8" w:color="auto"/>
            </w:tcBorders>
          </w:tcPr>
          <w:p>
            <w:pPr>
              <w:spacing w:after="0"/>
              <w:rPr>
                <w:sz w:val="18"/>
                <w:szCs w:val="18"/>
                <w:color w:val="auto"/>
              </w:rPr>
            </w:pPr>
          </w:p>
        </w:tc>
        <w:tc>
          <w:tcPr>
            <w:tcW w:w="370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641"/>
        </w:trPr>
        <w:tc>
          <w:tcPr>
            <w:tcW w:w="4660" w:type="dxa"/>
            <w:vAlign w:val="bottom"/>
          </w:tcPr>
          <w:p>
            <w:pPr>
              <w:spacing w:after="0"/>
              <w:rPr>
                <w:sz w:val="24"/>
                <w:szCs w:val="24"/>
                <w:color w:val="auto"/>
              </w:rPr>
            </w:pPr>
          </w:p>
        </w:tc>
        <w:tc>
          <w:tcPr>
            <w:tcW w:w="1560" w:type="dxa"/>
            <w:vAlign w:val="bottom"/>
          </w:tcPr>
          <w:p>
            <w:pPr>
              <w:jc w:val="right"/>
              <w:ind w:right="1070"/>
              <w:spacing w:after="0"/>
              <w:rPr>
                <w:sz w:val="20"/>
                <w:szCs w:val="20"/>
                <w:color w:val="auto"/>
              </w:rPr>
            </w:pPr>
            <w:r>
              <w:rPr>
                <w:rFonts w:ascii="Arial" w:cs="Arial" w:eastAsia="Arial" w:hAnsi="Arial"/>
                <w:sz w:val="18"/>
                <w:szCs w:val="18"/>
                <w:color w:val="auto"/>
              </w:rPr>
              <w:t>11</w:t>
            </w:r>
          </w:p>
        </w:tc>
        <w:tc>
          <w:tcPr>
            <w:tcW w:w="3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60"/>
        </w:trPr>
        <w:tc>
          <w:tcPr>
            <w:tcW w:w="466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37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920"/>
          </w:cols>
          <w:pgMar w:left="980" w:top="665" w:right="999" w:bottom="1440" w:gutter="0" w:footer="0" w:header="0"/>
        </w:sectPr>
      </w:pPr>
    </w:p>
    <w:bookmarkStart w:id="11" w:name="page12"/>
    <w:bookmarkEnd w:id="11"/>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5" w:lineRule="exact"/>
        <w:rPr>
          <w:sz w:val="20"/>
          <w:szCs w:val="20"/>
          <w:color w:val="auto"/>
        </w:rPr>
      </w:pPr>
    </w:p>
    <w:tbl>
      <w:tblPr>
        <w:tblLayout w:type="fixed"/>
        <w:tblInd w:w="10" w:type="dxa"/>
        <w:tblCellMar>
          <w:top w:w="0" w:type="dxa"/>
          <w:left w:w="0" w:type="dxa"/>
          <w:bottom w:w="0" w:type="dxa"/>
          <w:right w:w="0" w:type="dxa"/>
        </w:tblCellMar>
      </w:tblPr>
      <w:tr>
        <w:trPr>
          <w:trHeight w:val="211"/>
        </w:trPr>
        <w:tc>
          <w:tcPr>
            <w:tcW w:w="4660" w:type="dxa"/>
            <w:vAlign w:val="bottom"/>
            <w:tcBorders>
              <w:top w:val="single" w:sz="8" w:color="auto"/>
              <w:left w:val="single" w:sz="8" w:color="auto"/>
              <w:right w:val="single" w:sz="8" w:color="auto"/>
            </w:tcBorders>
          </w:tcPr>
          <w:p>
            <w:pPr>
              <w:spacing w:after="0"/>
              <w:rPr>
                <w:sz w:val="18"/>
                <w:szCs w:val="18"/>
                <w:color w:val="auto"/>
              </w:rPr>
            </w:pPr>
          </w:p>
        </w:tc>
        <w:tc>
          <w:tcPr>
            <w:tcW w:w="1560" w:type="dxa"/>
            <w:vAlign w:val="bottom"/>
            <w:tcBorders>
              <w:top w:val="single" w:sz="8" w:color="auto"/>
              <w:right w:val="single" w:sz="8" w:color="auto"/>
            </w:tcBorders>
          </w:tcPr>
          <w:p>
            <w:pPr>
              <w:spacing w:after="0"/>
              <w:rPr>
                <w:sz w:val="18"/>
                <w:szCs w:val="18"/>
                <w:color w:val="auto"/>
              </w:rPr>
            </w:pPr>
          </w:p>
        </w:tc>
        <w:tc>
          <w:tcPr>
            <w:tcW w:w="370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8"/>
              </w:rPr>
              <w:t>Effect on our consolidated</w:t>
            </w:r>
          </w:p>
        </w:tc>
      </w:tr>
      <w:tr>
        <w:trPr>
          <w:trHeight w:val="216"/>
        </w:trPr>
        <w:tc>
          <w:tcPr>
            <w:tcW w:w="4660" w:type="dxa"/>
            <w:vAlign w:val="bottom"/>
            <w:tcBorders>
              <w:left w:val="single" w:sz="8" w:color="auto"/>
              <w:right w:val="single" w:sz="8" w:color="auto"/>
            </w:tcBorders>
          </w:tcPr>
          <w:p>
            <w:pPr>
              <w:spacing w:after="0"/>
              <w:rPr>
                <w:sz w:val="18"/>
                <w:szCs w:val="18"/>
                <w:color w:val="auto"/>
              </w:rPr>
            </w:pPr>
          </w:p>
        </w:tc>
        <w:tc>
          <w:tcPr>
            <w:tcW w:w="1560" w:type="dxa"/>
            <w:vAlign w:val="bottom"/>
            <w:tcBorders>
              <w:right w:val="single" w:sz="8" w:color="auto"/>
            </w:tcBorders>
          </w:tcPr>
          <w:p>
            <w:pPr>
              <w:jc w:val="center"/>
              <w:spacing w:after="0"/>
              <w:rPr>
                <w:sz w:val="20"/>
                <w:szCs w:val="20"/>
                <w:color w:val="auto"/>
              </w:rPr>
            </w:pPr>
            <w:r>
              <w:rPr>
                <w:rFonts w:ascii="Arial" w:cs="Arial" w:eastAsia="Arial" w:hAnsi="Arial"/>
                <w:sz w:val="18"/>
                <w:szCs w:val="18"/>
                <w:b w:val="1"/>
                <w:bCs w:val="1"/>
                <w:color w:val="auto"/>
                <w:w w:val="88"/>
              </w:rPr>
              <w:t>Date of</w:t>
            </w:r>
          </w:p>
        </w:tc>
        <w:tc>
          <w:tcPr>
            <w:tcW w:w="3700" w:type="dxa"/>
            <w:vAlign w:val="bottom"/>
            <w:tcBorders>
              <w:right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financial statements or other</w:t>
            </w:r>
          </w:p>
        </w:tc>
      </w:tr>
      <w:tr>
        <w:trPr>
          <w:trHeight w:val="234"/>
        </w:trPr>
        <w:tc>
          <w:tcPr>
            <w:tcW w:w="4660" w:type="dxa"/>
            <w:vAlign w:val="bottom"/>
            <w:tcBorders>
              <w:left w:val="single" w:sz="8" w:color="auto"/>
              <w:bottom w:val="single" w:sz="8" w:color="auto"/>
              <w:right w:val="single" w:sz="8" w:color="auto"/>
            </w:tcBorders>
          </w:tcPr>
          <w:p>
            <w:pPr>
              <w:ind w:left="1880"/>
              <w:spacing w:after="0"/>
              <w:rPr>
                <w:sz w:val="20"/>
                <w:szCs w:val="20"/>
                <w:color w:val="auto"/>
              </w:rPr>
            </w:pPr>
            <w:r>
              <w:rPr>
                <w:rFonts w:ascii="Arial" w:cs="Arial" w:eastAsia="Arial" w:hAnsi="Arial"/>
                <w:sz w:val="18"/>
                <w:szCs w:val="18"/>
                <w:b w:val="1"/>
                <w:bCs w:val="1"/>
                <w:color w:val="auto"/>
              </w:rPr>
              <w:t>Description</w:t>
            </w:r>
          </w:p>
        </w:tc>
        <w:tc>
          <w:tcPr>
            <w:tcW w:w="15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adoption</w:t>
            </w:r>
          </w:p>
        </w:tc>
        <w:tc>
          <w:tcPr>
            <w:tcW w:w="37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significant matters</w:t>
            </w:r>
          </w:p>
        </w:tc>
      </w:tr>
      <w:tr>
        <w:trPr>
          <w:trHeight w:val="195"/>
        </w:trPr>
        <w:tc>
          <w:tcPr>
            <w:tcW w:w="4660" w:type="dxa"/>
            <w:vAlign w:val="bottom"/>
            <w:tcBorders>
              <w:left w:val="single" w:sz="8" w:color="auto"/>
              <w:right w:val="single" w:sz="8" w:color="auto"/>
            </w:tcBorders>
          </w:tcPr>
          <w:p>
            <w:pPr>
              <w:spacing w:after="0"/>
              <w:rPr>
                <w:sz w:val="16"/>
                <w:szCs w:val="16"/>
                <w:color w:val="auto"/>
              </w:rPr>
            </w:pPr>
          </w:p>
        </w:tc>
        <w:tc>
          <w:tcPr>
            <w:tcW w:w="1560" w:type="dxa"/>
            <w:vAlign w:val="bottom"/>
            <w:tcBorders>
              <w:right w:val="single" w:sz="8" w:color="auto"/>
            </w:tcBorders>
          </w:tcPr>
          <w:p>
            <w:pPr>
              <w:spacing w:after="0"/>
              <w:rPr>
                <w:sz w:val="16"/>
                <w:szCs w:val="16"/>
                <w:color w:val="auto"/>
              </w:rPr>
            </w:pPr>
          </w:p>
        </w:tc>
        <w:tc>
          <w:tcPr>
            <w:tcW w:w="3700" w:type="dxa"/>
            <w:vAlign w:val="bottom"/>
            <w:tcBorders>
              <w:right w:val="single" w:sz="8" w:color="auto"/>
            </w:tcBorders>
          </w:tcPr>
          <w:p>
            <w:pPr>
              <w:ind w:left="140"/>
              <w:spacing w:after="0" w:line="195" w:lineRule="exact"/>
              <w:rPr>
                <w:sz w:val="20"/>
                <w:szCs w:val="20"/>
                <w:color w:val="auto"/>
              </w:rPr>
            </w:pPr>
            <w:r>
              <w:rPr>
                <w:rFonts w:ascii="Arial" w:cs="Arial" w:eastAsia="Arial" w:hAnsi="Arial"/>
                <w:sz w:val="18"/>
                <w:szCs w:val="18"/>
                <w:color w:val="auto"/>
                <w:w w:val="98"/>
              </w:rPr>
              <w:t>We currently estimate that the transition date</w:t>
            </w:r>
          </w:p>
        </w:tc>
      </w:tr>
      <w:tr>
        <w:trPr>
          <w:trHeight w:val="216"/>
        </w:trPr>
        <w:tc>
          <w:tcPr>
            <w:tcW w:w="4660" w:type="dxa"/>
            <w:vAlign w:val="bottom"/>
            <w:tcBorders>
              <w:left w:val="single" w:sz="8" w:color="auto"/>
              <w:right w:val="single" w:sz="8" w:color="auto"/>
            </w:tcBorders>
          </w:tcPr>
          <w:p>
            <w:pPr>
              <w:spacing w:after="0"/>
              <w:rPr>
                <w:sz w:val="18"/>
                <w:szCs w:val="18"/>
                <w:color w:val="auto"/>
              </w:rPr>
            </w:pP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ind w:left="140"/>
              <w:spacing w:after="0"/>
              <w:rPr>
                <w:sz w:val="20"/>
                <w:szCs w:val="20"/>
                <w:color w:val="auto"/>
              </w:rPr>
            </w:pPr>
            <w:r>
              <w:rPr>
                <w:rFonts w:ascii="Arial" w:cs="Arial" w:eastAsia="Arial" w:hAnsi="Arial"/>
                <w:sz w:val="18"/>
                <w:szCs w:val="18"/>
                <w:color w:val="auto"/>
              </w:rPr>
              <w:t>impact from adoption of this standard is a</w:t>
            </w:r>
          </w:p>
        </w:tc>
      </w:tr>
      <w:tr>
        <w:trPr>
          <w:trHeight w:val="216"/>
        </w:trPr>
        <w:tc>
          <w:tcPr>
            <w:tcW w:w="4660" w:type="dxa"/>
            <w:vAlign w:val="bottom"/>
            <w:tcBorders>
              <w:left w:val="single" w:sz="8" w:color="auto"/>
              <w:right w:val="single" w:sz="8" w:color="auto"/>
            </w:tcBorders>
          </w:tcPr>
          <w:p>
            <w:pPr>
              <w:spacing w:after="0"/>
              <w:rPr>
                <w:sz w:val="18"/>
                <w:szCs w:val="18"/>
                <w:color w:val="auto"/>
              </w:rPr>
            </w:pP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ind w:left="140"/>
              <w:spacing w:after="0"/>
              <w:rPr>
                <w:sz w:val="20"/>
                <w:szCs w:val="20"/>
                <w:color w:val="auto"/>
              </w:rPr>
            </w:pPr>
            <w:r>
              <w:rPr>
                <w:rFonts w:ascii="Arial" w:cs="Arial" w:eastAsia="Arial" w:hAnsi="Arial"/>
                <w:sz w:val="18"/>
                <w:szCs w:val="18"/>
                <w:color w:val="auto"/>
              </w:rPr>
              <w:t>decrease to our total stockholders’ equity</w:t>
            </w:r>
          </w:p>
        </w:tc>
      </w:tr>
      <w:tr>
        <w:trPr>
          <w:trHeight w:val="216"/>
        </w:trPr>
        <w:tc>
          <w:tcPr>
            <w:tcW w:w="4660" w:type="dxa"/>
            <w:vAlign w:val="bottom"/>
            <w:tcBorders>
              <w:left w:val="single" w:sz="8" w:color="auto"/>
              <w:right w:val="single" w:sz="8" w:color="auto"/>
            </w:tcBorders>
          </w:tcPr>
          <w:p>
            <w:pPr>
              <w:spacing w:after="0"/>
              <w:rPr>
                <w:sz w:val="18"/>
                <w:szCs w:val="18"/>
                <w:color w:val="auto"/>
              </w:rPr>
            </w:pP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ind w:left="140"/>
              <w:spacing w:after="0"/>
              <w:rPr>
                <w:sz w:val="20"/>
                <w:szCs w:val="20"/>
                <w:color w:val="auto"/>
              </w:rPr>
            </w:pPr>
            <w:r>
              <w:rPr>
                <w:rFonts w:ascii="Arial" w:cs="Arial" w:eastAsia="Arial" w:hAnsi="Arial"/>
                <w:sz w:val="18"/>
                <w:szCs w:val="18"/>
                <w:color w:val="auto"/>
              </w:rPr>
              <w:t>between approximately $4.8 billion and $5.8</w:t>
            </w:r>
          </w:p>
        </w:tc>
      </w:tr>
      <w:tr>
        <w:trPr>
          <w:trHeight w:val="216"/>
        </w:trPr>
        <w:tc>
          <w:tcPr>
            <w:tcW w:w="4660" w:type="dxa"/>
            <w:vAlign w:val="bottom"/>
            <w:tcBorders>
              <w:left w:val="single" w:sz="8" w:color="auto"/>
              <w:right w:val="single" w:sz="8" w:color="auto"/>
            </w:tcBorders>
          </w:tcPr>
          <w:p>
            <w:pPr>
              <w:spacing w:after="0"/>
              <w:rPr>
                <w:sz w:val="18"/>
                <w:szCs w:val="18"/>
                <w:color w:val="auto"/>
              </w:rPr>
            </w:pP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ind w:left="140"/>
              <w:spacing w:after="0"/>
              <w:rPr>
                <w:sz w:val="20"/>
                <w:szCs w:val="20"/>
                <w:color w:val="auto"/>
              </w:rPr>
            </w:pPr>
            <w:r>
              <w:rPr>
                <w:rFonts w:ascii="Arial" w:cs="Arial" w:eastAsia="Arial" w:hAnsi="Arial"/>
                <w:sz w:val="18"/>
                <w:szCs w:val="18"/>
                <w:color w:val="auto"/>
              </w:rPr>
              <w:t>billion. The most significant driver of this</w:t>
            </w:r>
          </w:p>
        </w:tc>
      </w:tr>
      <w:tr>
        <w:trPr>
          <w:trHeight w:val="216"/>
        </w:trPr>
        <w:tc>
          <w:tcPr>
            <w:tcW w:w="4660" w:type="dxa"/>
            <w:vAlign w:val="bottom"/>
            <w:tcBorders>
              <w:left w:val="single" w:sz="8" w:color="auto"/>
              <w:right w:val="single" w:sz="8" w:color="auto"/>
            </w:tcBorders>
          </w:tcPr>
          <w:p>
            <w:pPr>
              <w:spacing w:after="0"/>
              <w:rPr>
                <w:sz w:val="18"/>
                <w:szCs w:val="18"/>
                <w:color w:val="auto"/>
              </w:rPr>
            </w:pP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ind w:left="140"/>
              <w:spacing w:after="0"/>
              <w:rPr>
                <w:sz w:val="20"/>
                <w:szCs w:val="20"/>
                <w:color w:val="auto"/>
              </w:rPr>
            </w:pPr>
            <w:r>
              <w:rPr>
                <w:rFonts w:ascii="Arial" w:cs="Arial" w:eastAsia="Arial" w:hAnsi="Arial"/>
                <w:sz w:val="18"/>
                <w:szCs w:val="18"/>
                <w:color w:val="auto"/>
                <w:w w:val="94"/>
              </w:rPr>
              <w:t>adjustment is due to the requirement to update</w:t>
            </w:r>
          </w:p>
        </w:tc>
      </w:tr>
      <w:tr>
        <w:trPr>
          <w:trHeight w:val="216"/>
        </w:trPr>
        <w:tc>
          <w:tcPr>
            <w:tcW w:w="4660" w:type="dxa"/>
            <w:vAlign w:val="bottom"/>
            <w:tcBorders>
              <w:left w:val="single" w:sz="8" w:color="auto"/>
              <w:right w:val="single" w:sz="8" w:color="auto"/>
            </w:tcBorders>
          </w:tcPr>
          <w:p>
            <w:pPr>
              <w:spacing w:after="0"/>
              <w:rPr>
                <w:sz w:val="18"/>
                <w:szCs w:val="18"/>
                <w:color w:val="auto"/>
              </w:rPr>
            </w:pP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ind w:left="140"/>
              <w:spacing w:after="0"/>
              <w:rPr>
                <w:sz w:val="20"/>
                <w:szCs w:val="20"/>
                <w:color w:val="auto"/>
              </w:rPr>
            </w:pPr>
            <w:r>
              <w:rPr>
                <w:rFonts w:ascii="Arial" w:cs="Arial" w:eastAsia="Arial" w:hAnsi="Arial"/>
                <w:sz w:val="18"/>
                <w:szCs w:val="18"/>
                <w:color w:val="auto"/>
                <w:w w:val="91"/>
              </w:rPr>
              <w:t>the discount rate assumption to reflect an upper-</w:t>
            </w:r>
          </w:p>
        </w:tc>
      </w:tr>
      <w:tr>
        <w:trPr>
          <w:trHeight w:val="216"/>
        </w:trPr>
        <w:tc>
          <w:tcPr>
            <w:tcW w:w="4660" w:type="dxa"/>
            <w:vAlign w:val="bottom"/>
            <w:tcBorders>
              <w:left w:val="single" w:sz="8" w:color="auto"/>
              <w:right w:val="single" w:sz="8" w:color="auto"/>
            </w:tcBorders>
          </w:tcPr>
          <w:p>
            <w:pPr>
              <w:spacing w:after="0"/>
              <w:rPr>
                <w:sz w:val="18"/>
                <w:szCs w:val="18"/>
                <w:color w:val="auto"/>
              </w:rPr>
            </w:pP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ind w:left="140"/>
              <w:spacing w:after="0"/>
              <w:rPr>
                <w:sz w:val="20"/>
                <w:szCs w:val="20"/>
                <w:color w:val="auto"/>
              </w:rPr>
            </w:pPr>
            <w:r>
              <w:rPr>
                <w:rFonts w:ascii="Arial" w:cs="Arial" w:eastAsia="Arial" w:hAnsi="Arial"/>
                <w:sz w:val="18"/>
                <w:szCs w:val="18"/>
                <w:color w:val="auto"/>
                <w:w w:val="95"/>
              </w:rPr>
              <w:t>medium grade fixed-income instrument, which</w:t>
            </w:r>
          </w:p>
        </w:tc>
      </w:tr>
      <w:tr>
        <w:trPr>
          <w:trHeight w:val="216"/>
        </w:trPr>
        <w:tc>
          <w:tcPr>
            <w:tcW w:w="4660" w:type="dxa"/>
            <w:vAlign w:val="bottom"/>
            <w:tcBorders>
              <w:left w:val="single" w:sz="8" w:color="auto"/>
              <w:right w:val="single" w:sz="8" w:color="auto"/>
            </w:tcBorders>
          </w:tcPr>
          <w:p>
            <w:pPr>
              <w:spacing w:after="0"/>
              <w:rPr>
                <w:sz w:val="18"/>
                <w:szCs w:val="18"/>
                <w:color w:val="auto"/>
              </w:rPr>
            </w:pP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ind w:left="140"/>
              <w:spacing w:after="0"/>
              <w:rPr>
                <w:sz w:val="20"/>
                <w:szCs w:val="20"/>
                <w:color w:val="auto"/>
              </w:rPr>
            </w:pPr>
            <w:r>
              <w:rPr>
                <w:rFonts w:ascii="Arial" w:cs="Arial" w:eastAsia="Arial" w:hAnsi="Arial"/>
                <w:sz w:val="18"/>
                <w:szCs w:val="18"/>
                <w:color w:val="auto"/>
              </w:rPr>
              <w:t>will generally be equivalent to a single-A</w:t>
            </w:r>
          </w:p>
        </w:tc>
      </w:tr>
      <w:tr>
        <w:trPr>
          <w:trHeight w:val="216"/>
        </w:trPr>
        <w:tc>
          <w:tcPr>
            <w:tcW w:w="4660" w:type="dxa"/>
            <w:vAlign w:val="bottom"/>
            <w:tcBorders>
              <w:left w:val="single" w:sz="8" w:color="auto"/>
              <w:right w:val="single" w:sz="8" w:color="auto"/>
            </w:tcBorders>
          </w:tcPr>
          <w:p>
            <w:pPr>
              <w:spacing w:after="0"/>
              <w:rPr>
                <w:sz w:val="18"/>
                <w:szCs w:val="18"/>
                <w:color w:val="auto"/>
              </w:rPr>
            </w:pP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ind w:left="140"/>
              <w:spacing w:after="0"/>
              <w:rPr>
                <w:sz w:val="20"/>
                <w:szCs w:val="20"/>
                <w:color w:val="auto"/>
              </w:rPr>
            </w:pPr>
            <w:r>
              <w:rPr>
                <w:rFonts w:ascii="Arial" w:cs="Arial" w:eastAsia="Arial" w:hAnsi="Arial"/>
                <w:sz w:val="18"/>
                <w:szCs w:val="18"/>
                <w:color w:val="auto"/>
              </w:rPr>
              <w:t>interest rate matched to the duration</w:t>
            </w:r>
          </w:p>
        </w:tc>
      </w:tr>
      <w:tr>
        <w:trPr>
          <w:trHeight w:val="216"/>
        </w:trPr>
        <w:tc>
          <w:tcPr>
            <w:tcW w:w="4660" w:type="dxa"/>
            <w:vAlign w:val="bottom"/>
            <w:tcBorders>
              <w:left w:val="single" w:sz="8" w:color="auto"/>
              <w:right w:val="single" w:sz="8" w:color="auto"/>
            </w:tcBorders>
          </w:tcPr>
          <w:p>
            <w:pPr>
              <w:spacing w:after="0"/>
              <w:rPr>
                <w:sz w:val="18"/>
                <w:szCs w:val="18"/>
                <w:color w:val="auto"/>
              </w:rPr>
            </w:pP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ind w:left="140"/>
              <w:spacing w:after="0"/>
              <w:rPr>
                <w:sz w:val="20"/>
                <w:szCs w:val="20"/>
                <w:color w:val="auto"/>
              </w:rPr>
            </w:pPr>
            <w:r>
              <w:rPr>
                <w:rFonts w:ascii="Arial" w:cs="Arial" w:eastAsia="Arial" w:hAnsi="Arial"/>
                <w:sz w:val="18"/>
                <w:szCs w:val="18"/>
                <w:color w:val="auto"/>
                <w:w w:val="96"/>
              </w:rPr>
              <w:t>characteristics of our insurance liabilities. This</w:t>
            </w:r>
          </w:p>
        </w:tc>
      </w:tr>
      <w:tr>
        <w:trPr>
          <w:trHeight w:val="216"/>
        </w:trPr>
        <w:tc>
          <w:tcPr>
            <w:tcW w:w="4660" w:type="dxa"/>
            <w:vAlign w:val="bottom"/>
            <w:tcBorders>
              <w:left w:val="single" w:sz="8" w:color="auto"/>
              <w:right w:val="single" w:sz="8" w:color="auto"/>
            </w:tcBorders>
          </w:tcPr>
          <w:p>
            <w:pPr>
              <w:spacing w:after="0"/>
              <w:rPr>
                <w:sz w:val="18"/>
                <w:szCs w:val="18"/>
                <w:color w:val="auto"/>
              </w:rPr>
            </w:pP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ind w:left="140"/>
              <w:spacing w:after="0"/>
              <w:rPr>
                <w:sz w:val="20"/>
                <w:szCs w:val="20"/>
                <w:color w:val="auto"/>
              </w:rPr>
            </w:pPr>
            <w:r>
              <w:rPr>
                <w:rFonts w:ascii="Arial" w:cs="Arial" w:eastAsia="Arial" w:hAnsi="Arial"/>
                <w:sz w:val="18"/>
                <w:szCs w:val="18"/>
                <w:color w:val="auto"/>
                <w:w w:val="93"/>
              </w:rPr>
              <w:t>estimate is subject to change as we continue to</w:t>
            </w:r>
          </w:p>
        </w:tc>
      </w:tr>
      <w:tr>
        <w:trPr>
          <w:trHeight w:val="216"/>
        </w:trPr>
        <w:tc>
          <w:tcPr>
            <w:tcW w:w="4660" w:type="dxa"/>
            <w:vAlign w:val="bottom"/>
            <w:tcBorders>
              <w:left w:val="single" w:sz="8" w:color="auto"/>
              <w:right w:val="single" w:sz="8" w:color="auto"/>
            </w:tcBorders>
          </w:tcPr>
          <w:p>
            <w:pPr>
              <w:spacing w:after="0"/>
              <w:rPr>
                <w:sz w:val="18"/>
                <w:szCs w:val="18"/>
                <w:color w:val="auto"/>
              </w:rPr>
            </w:pP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ind w:left="140"/>
              <w:spacing w:after="0"/>
              <w:rPr>
                <w:sz w:val="20"/>
                <w:szCs w:val="20"/>
                <w:color w:val="auto"/>
              </w:rPr>
            </w:pPr>
            <w:r>
              <w:rPr>
                <w:rFonts w:ascii="Arial" w:cs="Arial" w:eastAsia="Arial" w:hAnsi="Arial"/>
                <w:sz w:val="18"/>
                <w:szCs w:val="18"/>
                <w:color w:val="auto"/>
              </w:rPr>
              <w:t>refine aspects of the underlying models, our</w:t>
            </w:r>
          </w:p>
        </w:tc>
      </w:tr>
      <w:tr>
        <w:trPr>
          <w:trHeight w:val="230"/>
        </w:trPr>
        <w:tc>
          <w:tcPr>
            <w:tcW w:w="4660" w:type="dxa"/>
            <w:vAlign w:val="bottom"/>
            <w:tcBorders>
              <w:left w:val="single" w:sz="8" w:color="auto"/>
              <w:right w:val="single" w:sz="8" w:color="auto"/>
            </w:tcBorders>
          </w:tcPr>
          <w:p>
            <w:pPr>
              <w:spacing w:after="0"/>
              <w:rPr>
                <w:sz w:val="20"/>
                <w:szCs w:val="20"/>
                <w:color w:val="auto"/>
              </w:rPr>
            </w:pPr>
          </w:p>
        </w:tc>
        <w:tc>
          <w:tcPr>
            <w:tcW w:w="1560" w:type="dxa"/>
            <w:vAlign w:val="bottom"/>
            <w:tcBorders>
              <w:right w:val="single" w:sz="8" w:color="auto"/>
            </w:tcBorders>
          </w:tcPr>
          <w:p>
            <w:pPr>
              <w:spacing w:after="0"/>
              <w:rPr>
                <w:sz w:val="20"/>
                <w:szCs w:val="20"/>
                <w:color w:val="auto"/>
              </w:rPr>
            </w:pPr>
          </w:p>
        </w:tc>
        <w:tc>
          <w:tcPr>
            <w:tcW w:w="3700" w:type="dxa"/>
            <w:vAlign w:val="bottom"/>
            <w:tcBorders>
              <w:right w:val="single" w:sz="8" w:color="auto"/>
            </w:tcBorders>
          </w:tcPr>
          <w:p>
            <w:pPr>
              <w:ind w:left="140"/>
              <w:spacing w:after="0"/>
              <w:rPr>
                <w:sz w:val="20"/>
                <w:szCs w:val="20"/>
                <w:color w:val="auto"/>
              </w:rPr>
            </w:pPr>
            <w:r>
              <w:rPr>
                <w:rFonts w:ascii="Arial" w:cs="Arial" w:eastAsia="Arial" w:hAnsi="Arial"/>
                <w:sz w:val="18"/>
                <w:szCs w:val="18"/>
                <w:color w:val="auto"/>
              </w:rPr>
              <w:t>assumptions, methodologies and controls.</w:t>
            </w:r>
          </w:p>
        </w:tc>
      </w:tr>
      <w:tr>
        <w:trPr>
          <w:trHeight w:val="310"/>
        </w:trPr>
        <w:tc>
          <w:tcPr>
            <w:tcW w:w="466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3700" w:type="dxa"/>
            <w:vAlign w:val="bottom"/>
            <w:tcBorders>
              <w:right w:val="single" w:sz="8" w:color="auto"/>
            </w:tcBorders>
          </w:tcPr>
          <w:p>
            <w:pPr>
              <w:ind w:left="140"/>
              <w:spacing w:after="0"/>
              <w:rPr>
                <w:sz w:val="20"/>
                <w:szCs w:val="20"/>
                <w:color w:val="auto"/>
              </w:rPr>
            </w:pPr>
            <w:r>
              <w:rPr>
                <w:rFonts w:ascii="Arial" w:cs="Arial" w:eastAsia="Arial" w:hAnsi="Arial"/>
                <w:sz w:val="18"/>
                <w:szCs w:val="18"/>
                <w:color w:val="auto"/>
                <w:w w:val="92"/>
              </w:rPr>
              <w:t>As we progress through our implementation, we</w:t>
            </w:r>
          </w:p>
        </w:tc>
      </w:tr>
      <w:tr>
        <w:trPr>
          <w:trHeight w:val="216"/>
        </w:trPr>
        <w:tc>
          <w:tcPr>
            <w:tcW w:w="4660" w:type="dxa"/>
            <w:vAlign w:val="bottom"/>
            <w:tcBorders>
              <w:left w:val="single" w:sz="8" w:color="auto"/>
              <w:right w:val="single" w:sz="8" w:color="auto"/>
            </w:tcBorders>
          </w:tcPr>
          <w:p>
            <w:pPr>
              <w:spacing w:after="0"/>
              <w:rPr>
                <w:sz w:val="18"/>
                <w:szCs w:val="18"/>
                <w:color w:val="auto"/>
              </w:rPr>
            </w:pP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ind w:left="140"/>
              <w:spacing w:after="0"/>
              <w:rPr>
                <w:sz w:val="20"/>
                <w:szCs w:val="20"/>
                <w:color w:val="auto"/>
              </w:rPr>
            </w:pPr>
            <w:r>
              <w:rPr>
                <w:rFonts w:ascii="Arial" w:cs="Arial" w:eastAsia="Arial" w:hAnsi="Arial"/>
                <w:sz w:val="18"/>
                <w:szCs w:val="18"/>
                <w:color w:val="auto"/>
                <w:w w:val="97"/>
              </w:rPr>
              <w:t>will be able to better assess the impact to our</w:t>
            </w:r>
          </w:p>
        </w:tc>
      </w:tr>
      <w:tr>
        <w:trPr>
          <w:trHeight w:val="230"/>
        </w:trPr>
        <w:tc>
          <w:tcPr>
            <w:tcW w:w="4660" w:type="dxa"/>
            <w:vAlign w:val="bottom"/>
            <w:tcBorders>
              <w:left w:val="single" w:sz="8" w:color="auto"/>
              <w:right w:val="single" w:sz="8" w:color="auto"/>
            </w:tcBorders>
          </w:tcPr>
          <w:p>
            <w:pPr>
              <w:spacing w:after="0"/>
              <w:rPr>
                <w:sz w:val="20"/>
                <w:szCs w:val="20"/>
                <w:color w:val="auto"/>
              </w:rPr>
            </w:pPr>
          </w:p>
        </w:tc>
        <w:tc>
          <w:tcPr>
            <w:tcW w:w="1560" w:type="dxa"/>
            <w:vAlign w:val="bottom"/>
            <w:tcBorders>
              <w:right w:val="single" w:sz="8" w:color="auto"/>
            </w:tcBorders>
          </w:tcPr>
          <w:p>
            <w:pPr>
              <w:spacing w:after="0"/>
              <w:rPr>
                <w:sz w:val="20"/>
                <w:szCs w:val="20"/>
                <w:color w:val="auto"/>
              </w:rPr>
            </w:pPr>
          </w:p>
        </w:tc>
        <w:tc>
          <w:tcPr>
            <w:tcW w:w="3700" w:type="dxa"/>
            <w:vAlign w:val="bottom"/>
            <w:tcBorders>
              <w:right w:val="single" w:sz="8" w:color="auto"/>
            </w:tcBorders>
          </w:tcPr>
          <w:p>
            <w:pPr>
              <w:ind w:left="140"/>
              <w:spacing w:after="0"/>
              <w:rPr>
                <w:sz w:val="20"/>
                <w:szCs w:val="20"/>
                <w:color w:val="auto"/>
              </w:rPr>
            </w:pPr>
            <w:r>
              <w:rPr>
                <w:rFonts w:ascii="Arial" w:cs="Arial" w:eastAsia="Arial" w:hAnsi="Arial"/>
                <w:sz w:val="18"/>
                <w:szCs w:val="18"/>
                <w:color w:val="auto"/>
              </w:rPr>
              <w:t>consolidated financial statements.</w:t>
            </w:r>
          </w:p>
        </w:tc>
      </w:tr>
      <w:tr>
        <w:trPr>
          <w:trHeight w:val="108"/>
        </w:trPr>
        <w:tc>
          <w:tcPr>
            <w:tcW w:w="4660" w:type="dxa"/>
            <w:vAlign w:val="bottom"/>
            <w:tcBorders>
              <w:left w:val="single" w:sz="8" w:color="auto"/>
              <w:bottom w:val="single" w:sz="8" w:color="auto"/>
              <w:right w:val="single" w:sz="8" w:color="auto"/>
            </w:tcBorders>
          </w:tcPr>
          <w:p>
            <w:pPr>
              <w:spacing w:after="0"/>
              <w:rPr>
                <w:sz w:val="9"/>
                <w:szCs w:val="9"/>
                <w:color w:val="auto"/>
              </w:rPr>
            </w:pPr>
          </w:p>
        </w:tc>
        <w:tc>
          <w:tcPr>
            <w:tcW w:w="1560" w:type="dxa"/>
            <w:vAlign w:val="bottom"/>
            <w:tcBorders>
              <w:bottom w:val="single" w:sz="8" w:color="auto"/>
              <w:right w:val="single" w:sz="8" w:color="auto"/>
            </w:tcBorders>
          </w:tcPr>
          <w:p>
            <w:pPr>
              <w:spacing w:after="0"/>
              <w:rPr>
                <w:sz w:val="9"/>
                <w:szCs w:val="9"/>
                <w:color w:val="auto"/>
              </w:rPr>
            </w:pPr>
          </w:p>
        </w:tc>
        <w:tc>
          <w:tcPr>
            <w:tcW w:w="3700" w:type="dxa"/>
            <w:vAlign w:val="bottom"/>
            <w:tcBorders>
              <w:bottom w:val="single" w:sz="8" w:color="auto"/>
              <w:right w:val="single" w:sz="8" w:color="auto"/>
            </w:tcBorders>
          </w:tcPr>
          <w:p>
            <w:pPr>
              <w:spacing w:after="0"/>
              <w:rPr>
                <w:sz w:val="9"/>
                <w:szCs w:val="9"/>
                <w:color w:val="auto"/>
              </w:rPr>
            </w:pPr>
          </w:p>
        </w:tc>
      </w:tr>
      <w:tr>
        <w:trPr>
          <w:trHeight w:val="195"/>
        </w:trPr>
        <w:tc>
          <w:tcPr>
            <w:tcW w:w="4660" w:type="dxa"/>
            <w:vAlign w:val="bottom"/>
            <w:tcBorders>
              <w:left w:val="single" w:sz="8" w:color="auto"/>
              <w:right w:val="single" w:sz="8" w:color="auto"/>
            </w:tcBorders>
          </w:tcPr>
          <w:p>
            <w:pPr>
              <w:ind w:left="120"/>
              <w:spacing w:after="0" w:line="195" w:lineRule="exact"/>
              <w:rPr>
                <w:sz w:val="20"/>
                <w:szCs w:val="20"/>
                <w:color w:val="auto"/>
              </w:rPr>
            </w:pPr>
            <w:r>
              <w:rPr>
                <w:rFonts w:ascii="Arial" w:cs="Arial" w:eastAsia="Arial" w:hAnsi="Arial"/>
                <w:sz w:val="18"/>
                <w:szCs w:val="18"/>
                <w:b w:val="1"/>
                <w:bCs w:val="1"/>
                <w:color w:val="auto"/>
                <w:w w:val="98"/>
              </w:rPr>
              <w:t>Troubled debt restructurings and vintage disclosures</w:t>
            </w:r>
          </w:p>
        </w:tc>
        <w:tc>
          <w:tcPr>
            <w:tcW w:w="1560" w:type="dxa"/>
            <w:vAlign w:val="bottom"/>
            <w:tcBorders>
              <w:right w:val="single" w:sz="8" w:color="auto"/>
            </w:tcBorders>
          </w:tcPr>
          <w:p>
            <w:pPr>
              <w:ind w:left="100"/>
              <w:spacing w:after="0" w:line="195" w:lineRule="exact"/>
              <w:rPr>
                <w:sz w:val="20"/>
                <w:szCs w:val="20"/>
                <w:color w:val="auto"/>
              </w:rPr>
            </w:pPr>
            <w:r>
              <w:rPr>
                <w:rFonts w:ascii="Arial" w:cs="Arial" w:eastAsia="Arial" w:hAnsi="Arial"/>
                <w:sz w:val="18"/>
                <w:szCs w:val="18"/>
                <w:color w:val="auto"/>
              </w:rPr>
              <w:t>January 1, 2023</w:t>
            </w:r>
          </w:p>
        </w:tc>
        <w:tc>
          <w:tcPr>
            <w:tcW w:w="3700" w:type="dxa"/>
            <w:vAlign w:val="bottom"/>
            <w:tcBorders>
              <w:right w:val="single" w:sz="8" w:color="auto"/>
            </w:tcBorders>
          </w:tcPr>
          <w:p>
            <w:pPr>
              <w:ind w:left="140"/>
              <w:spacing w:after="0" w:line="195" w:lineRule="exact"/>
              <w:rPr>
                <w:sz w:val="20"/>
                <w:szCs w:val="20"/>
                <w:color w:val="auto"/>
              </w:rPr>
            </w:pPr>
            <w:r>
              <w:rPr>
                <w:rFonts w:ascii="Arial" w:cs="Arial" w:eastAsia="Arial" w:hAnsi="Arial"/>
                <w:sz w:val="18"/>
                <w:szCs w:val="18"/>
                <w:color w:val="auto"/>
                <w:w w:val="92"/>
              </w:rPr>
              <w:t>The adoption of this guidance is not expected to</w:t>
            </w:r>
          </w:p>
        </w:tc>
      </w:tr>
      <w:tr>
        <w:trPr>
          <w:trHeight w:val="216"/>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This authoritative guidance eliminates the accounting</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ind w:left="140"/>
              <w:spacing w:after="0"/>
              <w:rPr>
                <w:sz w:val="20"/>
                <w:szCs w:val="20"/>
                <w:color w:val="auto"/>
              </w:rPr>
            </w:pPr>
            <w:r>
              <w:rPr>
                <w:rFonts w:ascii="Arial" w:cs="Arial" w:eastAsia="Arial" w:hAnsi="Arial"/>
                <w:sz w:val="18"/>
                <w:szCs w:val="18"/>
                <w:color w:val="auto"/>
              </w:rPr>
              <w:t>have a material impact on our consolidated</w:t>
            </w:r>
          </w:p>
        </w:tc>
      </w:tr>
      <w:tr>
        <w:trPr>
          <w:trHeight w:val="216"/>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w w:val="95"/>
              </w:rPr>
              <w:t>requirements for Troubled Debt Restructurings (“TDRs”) by</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ind w:left="140"/>
              <w:spacing w:after="0"/>
              <w:rPr>
                <w:sz w:val="20"/>
                <w:szCs w:val="20"/>
                <w:color w:val="auto"/>
              </w:rPr>
            </w:pPr>
            <w:r>
              <w:rPr>
                <w:rFonts w:ascii="Arial" w:cs="Arial" w:eastAsia="Arial" w:hAnsi="Arial"/>
                <w:sz w:val="18"/>
                <w:szCs w:val="18"/>
                <w:color w:val="auto"/>
              </w:rPr>
              <w:t>financial statements.</w:t>
            </w:r>
          </w:p>
        </w:tc>
      </w:tr>
      <w:tr>
        <w:trPr>
          <w:trHeight w:val="216"/>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w w:val="90"/>
              </w:rPr>
              <w:t>creditors and enhances the disclosure requirements for certain</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spacing w:after="0"/>
              <w:rPr>
                <w:sz w:val="18"/>
                <w:szCs w:val="18"/>
                <w:color w:val="auto"/>
              </w:rPr>
            </w:pPr>
          </w:p>
        </w:tc>
      </w:tr>
      <w:tr>
        <w:trPr>
          <w:trHeight w:val="216"/>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loan refinancing and restructuring by creditors when a</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spacing w:after="0"/>
              <w:rPr>
                <w:sz w:val="18"/>
                <w:szCs w:val="18"/>
                <w:color w:val="auto"/>
              </w:rPr>
            </w:pPr>
          </w:p>
        </w:tc>
      </w:tr>
      <w:tr>
        <w:trPr>
          <w:trHeight w:val="216"/>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borrower is experiencing financial difficulty. The update</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spacing w:after="0"/>
              <w:rPr>
                <w:sz w:val="18"/>
                <w:szCs w:val="18"/>
                <w:color w:val="auto"/>
              </w:rPr>
            </w:pPr>
          </w:p>
        </w:tc>
      </w:tr>
      <w:tr>
        <w:trPr>
          <w:trHeight w:val="216"/>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w w:val="92"/>
              </w:rPr>
              <w:t>requires entities to disclose current-period gross write-offs by</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spacing w:after="0"/>
              <w:rPr>
                <w:sz w:val="18"/>
                <w:szCs w:val="18"/>
                <w:color w:val="auto"/>
              </w:rPr>
            </w:pPr>
          </w:p>
        </w:tc>
      </w:tr>
      <w:tr>
        <w:trPr>
          <w:trHeight w:val="216"/>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year of origination for financing receivables and net</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spacing w:after="0"/>
              <w:rPr>
                <w:sz w:val="18"/>
                <w:szCs w:val="18"/>
                <w:color w:val="auto"/>
              </w:rPr>
            </w:pPr>
          </w:p>
        </w:tc>
      </w:tr>
      <w:tr>
        <w:trPr>
          <w:trHeight w:val="216"/>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w w:val="91"/>
              </w:rPr>
              <w:t>investments in leases. The amendments in this update should</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spacing w:after="0"/>
              <w:rPr>
                <w:sz w:val="18"/>
                <w:szCs w:val="18"/>
                <w:color w:val="auto"/>
              </w:rPr>
            </w:pPr>
          </w:p>
        </w:tc>
      </w:tr>
      <w:tr>
        <w:trPr>
          <w:trHeight w:val="216"/>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w w:val="98"/>
              </w:rPr>
              <w:t>be applied prospectively, except for the transition method</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spacing w:after="0"/>
              <w:rPr>
                <w:sz w:val="18"/>
                <w:szCs w:val="18"/>
                <w:color w:val="auto"/>
              </w:rPr>
            </w:pPr>
          </w:p>
        </w:tc>
      </w:tr>
      <w:tr>
        <w:trPr>
          <w:trHeight w:val="216"/>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w w:val="94"/>
              </w:rPr>
              <w:t>related to the recognition and measurement of troubled debt</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spacing w:after="0"/>
              <w:rPr>
                <w:sz w:val="18"/>
                <w:szCs w:val="18"/>
                <w:color w:val="auto"/>
              </w:rPr>
            </w:pPr>
          </w:p>
        </w:tc>
      </w:tr>
      <w:tr>
        <w:trPr>
          <w:trHeight w:val="216"/>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w w:val="96"/>
              </w:rPr>
              <w:t>restructurings, for which an entity has the option to apply a</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spacing w:after="0"/>
              <w:rPr>
                <w:sz w:val="18"/>
                <w:szCs w:val="18"/>
                <w:color w:val="auto"/>
              </w:rPr>
            </w:pPr>
          </w:p>
        </w:tc>
      </w:tr>
      <w:tr>
        <w:trPr>
          <w:trHeight w:val="216"/>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w w:val="97"/>
              </w:rPr>
              <w:t>modified retrospective transition method. Early adoption is</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spacing w:after="0"/>
              <w:rPr>
                <w:sz w:val="18"/>
                <w:szCs w:val="18"/>
                <w:color w:val="auto"/>
              </w:rPr>
            </w:pPr>
          </w:p>
        </w:tc>
      </w:tr>
      <w:tr>
        <w:trPr>
          <w:trHeight w:val="230"/>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permitted.</w:t>
            </w:r>
          </w:p>
        </w:tc>
        <w:tc>
          <w:tcPr>
            <w:tcW w:w="1560" w:type="dxa"/>
            <w:vAlign w:val="bottom"/>
            <w:tcBorders>
              <w:right w:val="single" w:sz="8" w:color="auto"/>
            </w:tcBorders>
          </w:tcPr>
          <w:p>
            <w:pPr>
              <w:spacing w:after="0"/>
              <w:rPr>
                <w:sz w:val="20"/>
                <w:szCs w:val="20"/>
                <w:color w:val="auto"/>
              </w:rPr>
            </w:pPr>
          </w:p>
        </w:tc>
        <w:tc>
          <w:tcPr>
            <w:tcW w:w="3700" w:type="dxa"/>
            <w:vAlign w:val="bottom"/>
            <w:tcBorders>
              <w:right w:val="single" w:sz="8" w:color="auto"/>
            </w:tcBorders>
          </w:tcPr>
          <w:p>
            <w:pPr>
              <w:spacing w:after="0"/>
              <w:rPr>
                <w:sz w:val="20"/>
                <w:szCs w:val="20"/>
                <w:color w:val="auto"/>
              </w:rPr>
            </w:pPr>
          </w:p>
        </w:tc>
      </w:tr>
      <w:tr>
        <w:trPr>
          <w:trHeight w:val="108"/>
        </w:trPr>
        <w:tc>
          <w:tcPr>
            <w:tcW w:w="4660" w:type="dxa"/>
            <w:vAlign w:val="bottom"/>
            <w:tcBorders>
              <w:left w:val="single" w:sz="8" w:color="auto"/>
              <w:bottom w:val="single" w:sz="8" w:color="auto"/>
              <w:right w:val="single" w:sz="8" w:color="auto"/>
            </w:tcBorders>
          </w:tcPr>
          <w:p>
            <w:pPr>
              <w:spacing w:after="0"/>
              <w:rPr>
                <w:sz w:val="9"/>
                <w:szCs w:val="9"/>
                <w:color w:val="auto"/>
              </w:rPr>
            </w:pPr>
          </w:p>
        </w:tc>
        <w:tc>
          <w:tcPr>
            <w:tcW w:w="1560" w:type="dxa"/>
            <w:vAlign w:val="bottom"/>
            <w:tcBorders>
              <w:bottom w:val="single" w:sz="8" w:color="auto"/>
              <w:right w:val="single" w:sz="8" w:color="auto"/>
            </w:tcBorders>
          </w:tcPr>
          <w:p>
            <w:pPr>
              <w:spacing w:after="0"/>
              <w:rPr>
                <w:sz w:val="9"/>
                <w:szCs w:val="9"/>
                <w:color w:val="auto"/>
              </w:rPr>
            </w:pPr>
          </w:p>
        </w:tc>
        <w:tc>
          <w:tcPr>
            <w:tcW w:w="3700" w:type="dxa"/>
            <w:vAlign w:val="bottom"/>
            <w:tcBorders>
              <w:bottom w:val="single" w:sz="8" w:color="auto"/>
              <w:right w:val="single" w:sz="8" w:color="auto"/>
            </w:tcBorders>
          </w:tcPr>
          <w:p>
            <w:pPr>
              <w:spacing w:after="0"/>
              <w:rPr>
                <w:sz w:val="9"/>
                <w:szCs w:val="9"/>
                <w:color w:val="auto"/>
              </w:rPr>
            </w:pPr>
          </w:p>
        </w:tc>
      </w:tr>
      <w:tr>
        <w:trPr>
          <w:trHeight w:val="191"/>
        </w:trPr>
        <w:tc>
          <w:tcPr>
            <w:tcW w:w="4660" w:type="dxa"/>
            <w:vAlign w:val="bottom"/>
            <w:tcBorders>
              <w:left w:val="single" w:sz="8" w:color="auto"/>
              <w:right w:val="single" w:sz="8" w:color="auto"/>
            </w:tcBorders>
          </w:tcPr>
          <w:p>
            <w:pPr>
              <w:ind w:left="120"/>
              <w:spacing w:after="0" w:line="191" w:lineRule="exact"/>
              <w:rPr>
                <w:sz w:val="20"/>
                <w:szCs w:val="20"/>
                <w:color w:val="auto"/>
              </w:rPr>
            </w:pPr>
            <w:r>
              <w:rPr>
                <w:rFonts w:ascii="Arial" w:cs="Arial" w:eastAsia="Arial" w:hAnsi="Arial"/>
                <w:sz w:val="18"/>
                <w:szCs w:val="18"/>
                <w:b w:val="1"/>
                <w:bCs w:val="1"/>
                <w:color w:val="auto"/>
              </w:rPr>
              <w:t>Targeted improvements to accounting for hedging</w:t>
            </w:r>
          </w:p>
        </w:tc>
        <w:tc>
          <w:tcPr>
            <w:tcW w:w="1560" w:type="dxa"/>
            <w:vAlign w:val="bottom"/>
            <w:tcBorders>
              <w:right w:val="single" w:sz="8" w:color="auto"/>
            </w:tcBorders>
          </w:tcPr>
          <w:p>
            <w:pPr>
              <w:ind w:left="100"/>
              <w:spacing w:after="0" w:line="191" w:lineRule="exact"/>
              <w:rPr>
                <w:sz w:val="20"/>
                <w:szCs w:val="20"/>
                <w:color w:val="auto"/>
              </w:rPr>
            </w:pPr>
            <w:r>
              <w:rPr>
                <w:rFonts w:ascii="Arial" w:cs="Arial" w:eastAsia="Arial" w:hAnsi="Arial"/>
                <w:sz w:val="18"/>
                <w:szCs w:val="18"/>
                <w:color w:val="auto"/>
              </w:rPr>
              <w:t>January 1, 2023</w:t>
            </w:r>
          </w:p>
        </w:tc>
        <w:tc>
          <w:tcPr>
            <w:tcW w:w="3700" w:type="dxa"/>
            <w:vAlign w:val="bottom"/>
            <w:tcBorders>
              <w:right w:val="single" w:sz="8" w:color="auto"/>
            </w:tcBorders>
          </w:tcPr>
          <w:p>
            <w:pPr>
              <w:ind w:left="140"/>
              <w:spacing w:after="0" w:line="191" w:lineRule="exact"/>
              <w:rPr>
                <w:sz w:val="20"/>
                <w:szCs w:val="20"/>
                <w:color w:val="auto"/>
              </w:rPr>
            </w:pPr>
            <w:r>
              <w:rPr>
                <w:rFonts w:ascii="Arial" w:cs="Arial" w:eastAsia="Arial" w:hAnsi="Arial"/>
                <w:sz w:val="18"/>
                <w:szCs w:val="18"/>
                <w:color w:val="auto"/>
              </w:rPr>
              <w:t>We are currently evaluating the timing of</w:t>
            </w:r>
          </w:p>
        </w:tc>
      </w:tr>
      <w:tr>
        <w:trPr>
          <w:trHeight w:val="220"/>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b w:val="1"/>
                <w:bCs w:val="1"/>
                <w:color w:val="auto"/>
              </w:rPr>
              <w:t>activities – portfolio layer method</w:t>
            </w:r>
          </w:p>
        </w:tc>
        <w:tc>
          <w:tcPr>
            <w:tcW w:w="1560" w:type="dxa"/>
            <w:vAlign w:val="bottom"/>
            <w:tcBorders>
              <w:right w:val="single" w:sz="8" w:color="auto"/>
            </w:tcBorders>
          </w:tcPr>
          <w:p>
            <w:pPr>
              <w:spacing w:after="0"/>
              <w:rPr>
                <w:sz w:val="19"/>
                <w:szCs w:val="19"/>
                <w:color w:val="auto"/>
              </w:rPr>
            </w:pPr>
          </w:p>
        </w:tc>
        <w:tc>
          <w:tcPr>
            <w:tcW w:w="3700" w:type="dxa"/>
            <w:vAlign w:val="bottom"/>
            <w:tcBorders>
              <w:right w:val="single" w:sz="8" w:color="auto"/>
            </w:tcBorders>
          </w:tcPr>
          <w:p>
            <w:pPr>
              <w:ind w:left="140"/>
              <w:spacing w:after="0"/>
              <w:rPr>
                <w:sz w:val="20"/>
                <w:szCs w:val="20"/>
                <w:color w:val="auto"/>
              </w:rPr>
            </w:pPr>
            <w:r>
              <w:rPr>
                <w:rFonts w:ascii="Arial" w:cs="Arial" w:eastAsia="Arial" w:hAnsi="Arial"/>
                <w:sz w:val="18"/>
                <w:szCs w:val="18"/>
                <w:color w:val="auto"/>
                <w:w w:val="96"/>
              </w:rPr>
              <w:t>adoption and are assessing the impact on our</w:t>
            </w:r>
          </w:p>
        </w:tc>
      </w:tr>
      <w:tr>
        <w:trPr>
          <w:trHeight w:val="216"/>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This authoritative guidance intends to further align the</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ind w:left="140"/>
              <w:spacing w:after="0"/>
              <w:rPr>
                <w:sz w:val="20"/>
                <w:szCs w:val="20"/>
                <w:color w:val="auto"/>
              </w:rPr>
            </w:pPr>
            <w:r>
              <w:rPr>
                <w:rFonts w:ascii="Arial" w:cs="Arial" w:eastAsia="Arial" w:hAnsi="Arial"/>
                <w:sz w:val="18"/>
                <w:szCs w:val="18"/>
                <w:color w:val="auto"/>
              </w:rPr>
              <w:t>consolidated financial statements.</w:t>
            </w:r>
          </w:p>
        </w:tc>
      </w:tr>
      <w:tr>
        <w:trPr>
          <w:trHeight w:val="216"/>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w w:val="95"/>
              </w:rPr>
              <w:t>economics of a company’s risk management activities in its</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spacing w:after="0"/>
              <w:rPr>
                <w:sz w:val="18"/>
                <w:szCs w:val="18"/>
                <w:color w:val="auto"/>
              </w:rPr>
            </w:pPr>
          </w:p>
        </w:tc>
      </w:tr>
      <w:tr>
        <w:trPr>
          <w:trHeight w:val="216"/>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w w:val="91"/>
              </w:rPr>
              <w:t>financial statements with hedge accounting requirements. The</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spacing w:after="0"/>
              <w:rPr>
                <w:sz w:val="18"/>
                <w:szCs w:val="18"/>
                <w:color w:val="auto"/>
              </w:rPr>
            </w:pPr>
          </w:p>
        </w:tc>
      </w:tr>
      <w:tr>
        <w:trPr>
          <w:trHeight w:val="216"/>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w w:val="96"/>
              </w:rPr>
              <w:t>guidance expands the current single-layer method to allow</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spacing w:after="0"/>
              <w:rPr>
                <w:sz w:val="18"/>
                <w:szCs w:val="18"/>
                <w:color w:val="auto"/>
              </w:rPr>
            </w:pPr>
          </w:p>
        </w:tc>
      </w:tr>
      <w:tr>
        <w:trPr>
          <w:trHeight w:val="216"/>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multiple hedge layers of a single closed portfolio. Non-</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spacing w:after="0"/>
              <w:rPr>
                <w:sz w:val="18"/>
                <w:szCs w:val="18"/>
                <w:color w:val="auto"/>
              </w:rPr>
            </w:pPr>
          </w:p>
        </w:tc>
      </w:tr>
      <w:tr>
        <w:trPr>
          <w:trHeight w:val="216"/>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w w:val="92"/>
              </w:rPr>
              <w:t>prepayable assets can also be included in the same portfolio.</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spacing w:after="0"/>
              <w:rPr>
                <w:sz w:val="18"/>
                <w:szCs w:val="18"/>
                <w:color w:val="auto"/>
              </w:rPr>
            </w:pPr>
          </w:p>
        </w:tc>
      </w:tr>
      <w:tr>
        <w:trPr>
          <w:trHeight w:val="216"/>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This guidance also clarifies the current guidance on</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spacing w:after="0"/>
              <w:rPr>
                <w:sz w:val="18"/>
                <w:szCs w:val="18"/>
                <w:color w:val="auto"/>
              </w:rPr>
            </w:pPr>
          </w:p>
        </w:tc>
      </w:tr>
      <w:tr>
        <w:trPr>
          <w:trHeight w:val="216"/>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w w:val="92"/>
              </w:rPr>
              <w:t>accounting for fair value basis adjustments applicable to both</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spacing w:after="0"/>
              <w:rPr>
                <w:sz w:val="18"/>
                <w:szCs w:val="18"/>
                <w:color w:val="auto"/>
              </w:rPr>
            </w:pPr>
          </w:p>
        </w:tc>
      </w:tr>
      <w:tr>
        <w:trPr>
          <w:trHeight w:val="216"/>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a single hedged layer and multiple hedged layers. Upon</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spacing w:after="0"/>
              <w:rPr>
                <w:sz w:val="18"/>
                <w:szCs w:val="18"/>
                <w:color w:val="auto"/>
              </w:rPr>
            </w:pPr>
          </w:p>
        </w:tc>
      </w:tr>
      <w:tr>
        <w:trPr>
          <w:trHeight w:val="216"/>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w w:val="93"/>
              </w:rPr>
              <w:t>adoption, the application of these hedge strategies would be</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spacing w:after="0"/>
              <w:rPr>
                <w:sz w:val="18"/>
                <w:szCs w:val="18"/>
                <w:color w:val="auto"/>
              </w:rPr>
            </w:pPr>
          </w:p>
        </w:tc>
      </w:tr>
      <w:tr>
        <w:trPr>
          <w:trHeight w:val="230"/>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applied prospectively. Early adoption is permitted.</w:t>
            </w:r>
          </w:p>
        </w:tc>
        <w:tc>
          <w:tcPr>
            <w:tcW w:w="1560" w:type="dxa"/>
            <w:vAlign w:val="bottom"/>
            <w:tcBorders>
              <w:right w:val="single" w:sz="8" w:color="auto"/>
            </w:tcBorders>
          </w:tcPr>
          <w:p>
            <w:pPr>
              <w:spacing w:after="0"/>
              <w:rPr>
                <w:sz w:val="20"/>
                <w:szCs w:val="20"/>
                <w:color w:val="auto"/>
              </w:rPr>
            </w:pPr>
          </w:p>
        </w:tc>
        <w:tc>
          <w:tcPr>
            <w:tcW w:w="3700" w:type="dxa"/>
            <w:vAlign w:val="bottom"/>
            <w:tcBorders>
              <w:right w:val="single" w:sz="8" w:color="auto"/>
            </w:tcBorders>
          </w:tcPr>
          <w:p>
            <w:pPr>
              <w:spacing w:after="0"/>
              <w:rPr>
                <w:sz w:val="20"/>
                <w:szCs w:val="20"/>
                <w:color w:val="auto"/>
              </w:rPr>
            </w:pPr>
          </w:p>
        </w:tc>
      </w:tr>
      <w:tr>
        <w:trPr>
          <w:trHeight w:val="216"/>
        </w:trPr>
        <w:tc>
          <w:tcPr>
            <w:tcW w:w="4660" w:type="dxa"/>
            <w:vAlign w:val="bottom"/>
            <w:tcBorders>
              <w:left w:val="single" w:sz="8" w:color="auto"/>
              <w:bottom w:val="single" w:sz="8" w:color="auto"/>
              <w:right w:val="single" w:sz="8" w:color="auto"/>
            </w:tcBorders>
          </w:tcPr>
          <w:p>
            <w:pPr>
              <w:spacing w:after="0"/>
              <w:rPr>
                <w:sz w:val="18"/>
                <w:szCs w:val="18"/>
                <w:color w:val="auto"/>
              </w:rPr>
            </w:pPr>
          </w:p>
        </w:tc>
        <w:tc>
          <w:tcPr>
            <w:tcW w:w="1560" w:type="dxa"/>
            <w:vAlign w:val="bottom"/>
            <w:tcBorders>
              <w:bottom w:val="single" w:sz="8" w:color="auto"/>
              <w:right w:val="single" w:sz="8" w:color="auto"/>
            </w:tcBorders>
          </w:tcPr>
          <w:p>
            <w:pPr>
              <w:spacing w:after="0"/>
              <w:rPr>
                <w:sz w:val="18"/>
                <w:szCs w:val="18"/>
                <w:color w:val="auto"/>
              </w:rPr>
            </w:pPr>
          </w:p>
        </w:tc>
        <w:tc>
          <w:tcPr>
            <w:tcW w:w="3700" w:type="dxa"/>
            <w:vAlign w:val="bottom"/>
            <w:tcBorders>
              <w:bottom w:val="single" w:sz="8" w:color="auto"/>
              <w:right w:val="single" w:sz="8" w:color="auto"/>
            </w:tcBorders>
          </w:tcPr>
          <w:p>
            <w:pPr>
              <w:spacing w:after="0"/>
              <w:rPr>
                <w:sz w:val="18"/>
                <w:szCs w:val="18"/>
                <w:color w:val="auto"/>
              </w:rPr>
            </w:pPr>
          </w:p>
        </w:tc>
      </w:tr>
    </w:tbl>
    <w:p>
      <w:pPr>
        <w:spacing w:after="0" w:line="200" w:lineRule="exact"/>
        <w:rPr>
          <w:sz w:val="20"/>
          <w:szCs w:val="20"/>
          <w:color w:val="auto"/>
        </w:rPr>
      </w:pPr>
    </w:p>
    <w:p>
      <w:pPr>
        <w:sectPr>
          <w:pgSz w:w="11900" w:h="16838" w:orient="portrait"/>
          <w:cols w:equalWidth="0" w:num="1">
            <w:col w:w="9920"/>
          </w:cols>
          <w:pgMar w:left="980" w:top="665" w:right="999" w:bottom="1440" w:gutter="0" w:footer="0" w:header="0"/>
        </w:sectPr>
      </w:pPr>
    </w:p>
    <w:p>
      <w:pPr>
        <w:spacing w:after="0" w:line="218"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372110</wp:posOffset>
            </wp:positionV>
            <wp:extent cx="6292215" cy="2540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type w:val="continuous"/>
        </w:sectPr>
      </w:pPr>
    </w:p>
    <w:bookmarkStart w:id="12" w:name="page13"/>
    <w:bookmarkEnd w:id="12"/>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5" w:lineRule="exact"/>
        <w:rPr>
          <w:sz w:val="20"/>
          <w:szCs w:val="20"/>
          <w:color w:val="auto"/>
        </w:rPr>
      </w:pPr>
    </w:p>
    <w:tbl>
      <w:tblPr>
        <w:tblLayout w:type="fixed"/>
        <w:tblInd w:w="10" w:type="dxa"/>
        <w:tblCellMar>
          <w:top w:w="0" w:type="dxa"/>
          <w:left w:w="0" w:type="dxa"/>
          <w:bottom w:w="0" w:type="dxa"/>
          <w:right w:w="0" w:type="dxa"/>
        </w:tblCellMar>
      </w:tblPr>
      <w:tr>
        <w:trPr>
          <w:trHeight w:val="211"/>
        </w:trPr>
        <w:tc>
          <w:tcPr>
            <w:tcW w:w="4660" w:type="dxa"/>
            <w:vAlign w:val="bottom"/>
            <w:tcBorders>
              <w:top w:val="single" w:sz="8" w:color="auto"/>
              <w:left w:val="single" w:sz="8" w:color="auto"/>
              <w:right w:val="single" w:sz="8" w:color="auto"/>
            </w:tcBorders>
          </w:tcPr>
          <w:p>
            <w:pPr>
              <w:spacing w:after="0"/>
              <w:rPr>
                <w:sz w:val="18"/>
                <w:szCs w:val="18"/>
                <w:color w:val="auto"/>
              </w:rPr>
            </w:pPr>
          </w:p>
        </w:tc>
        <w:tc>
          <w:tcPr>
            <w:tcW w:w="1560" w:type="dxa"/>
            <w:vAlign w:val="bottom"/>
            <w:tcBorders>
              <w:top w:val="single" w:sz="8" w:color="auto"/>
              <w:right w:val="single" w:sz="8" w:color="auto"/>
            </w:tcBorders>
          </w:tcPr>
          <w:p>
            <w:pPr>
              <w:spacing w:after="0"/>
              <w:rPr>
                <w:sz w:val="18"/>
                <w:szCs w:val="18"/>
                <w:color w:val="auto"/>
              </w:rPr>
            </w:pPr>
          </w:p>
        </w:tc>
        <w:tc>
          <w:tcPr>
            <w:tcW w:w="370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8"/>
              </w:rPr>
              <w:t>Effect on our consolidated</w:t>
            </w:r>
          </w:p>
        </w:tc>
      </w:tr>
      <w:tr>
        <w:trPr>
          <w:trHeight w:val="216"/>
        </w:trPr>
        <w:tc>
          <w:tcPr>
            <w:tcW w:w="4660" w:type="dxa"/>
            <w:vAlign w:val="bottom"/>
            <w:tcBorders>
              <w:left w:val="single" w:sz="8" w:color="auto"/>
              <w:right w:val="single" w:sz="8" w:color="auto"/>
            </w:tcBorders>
          </w:tcPr>
          <w:p>
            <w:pPr>
              <w:spacing w:after="0"/>
              <w:rPr>
                <w:sz w:val="18"/>
                <w:szCs w:val="18"/>
                <w:color w:val="auto"/>
              </w:rPr>
            </w:pPr>
          </w:p>
        </w:tc>
        <w:tc>
          <w:tcPr>
            <w:tcW w:w="1560" w:type="dxa"/>
            <w:vAlign w:val="bottom"/>
            <w:tcBorders>
              <w:right w:val="single" w:sz="8" w:color="auto"/>
            </w:tcBorders>
          </w:tcPr>
          <w:p>
            <w:pPr>
              <w:jc w:val="center"/>
              <w:spacing w:after="0"/>
              <w:rPr>
                <w:sz w:val="20"/>
                <w:szCs w:val="20"/>
                <w:color w:val="auto"/>
              </w:rPr>
            </w:pPr>
            <w:r>
              <w:rPr>
                <w:rFonts w:ascii="Arial" w:cs="Arial" w:eastAsia="Arial" w:hAnsi="Arial"/>
                <w:sz w:val="18"/>
                <w:szCs w:val="18"/>
                <w:b w:val="1"/>
                <w:bCs w:val="1"/>
                <w:color w:val="auto"/>
                <w:w w:val="88"/>
              </w:rPr>
              <w:t>Date of</w:t>
            </w:r>
          </w:p>
        </w:tc>
        <w:tc>
          <w:tcPr>
            <w:tcW w:w="3700" w:type="dxa"/>
            <w:vAlign w:val="bottom"/>
            <w:tcBorders>
              <w:right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financial statements or other</w:t>
            </w:r>
          </w:p>
        </w:tc>
      </w:tr>
      <w:tr>
        <w:trPr>
          <w:trHeight w:val="234"/>
        </w:trPr>
        <w:tc>
          <w:tcPr>
            <w:tcW w:w="4660" w:type="dxa"/>
            <w:vAlign w:val="bottom"/>
            <w:tcBorders>
              <w:left w:val="single" w:sz="8" w:color="auto"/>
              <w:bottom w:val="single" w:sz="8" w:color="auto"/>
              <w:right w:val="single" w:sz="8" w:color="auto"/>
            </w:tcBorders>
          </w:tcPr>
          <w:p>
            <w:pPr>
              <w:ind w:left="1880"/>
              <w:spacing w:after="0"/>
              <w:rPr>
                <w:sz w:val="20"/>
                <w:szCs w:val="20"/>
                <w:color w:val="auto"/>
              </w:rPr>
            </w:pPr>
            <w:r>
              <w:rPr>
                <w:rFonts w:ascii="Arial" w:cs="Arial" w:eastAsia="Arial" w:hAnsi="Arial"/>
                <w:sz w:val="18"/>
                <w:szCs w:val="18"/>
                <w:b w:val="1"/>
                <w:bCs w:val="1"/>
                <w:color w:val="auto"/>
              </w:rPr>
              <w:t>Description</w:t>
            </w:r>
          </w:p>
        </w:tc>
        <w:tc>
          <w:tcPr>
            <w:tcW w:w="15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adoption</w:t>
            </w:r>
          </w:p>
        </w:tc>
        <w:tc>
          <w:tcPr>
            <w:tcW w:w="37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significant matters</w:t>
            </w:r>
          </w:p>
        </w:tc>
      </w:tr>
      <w:tr>
        <w:trPr>
          <w:trHeight w:val="210"/>
        </w:trPr>
        <w:tc>
          <w:tcPr>
            <w:tcW w:w="466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8"/>
                <w:szCs w:val="18"/>
                <w:b w:val="1"/>
                <w:bCs w:val="1"/>
                <w:i w:val="1"/>
                <w:iCs w:val="1"/>
                <w:color w:val="auto"/>
              </w:rPr>
              <w:t>Standards adopted:</w:t>
            </w:r>
          </w:p>
        </w:tc>
        <w:tc>
          <w:tcPr>
            <w:tcW w:w="1560" w:type="dxa"/>
            <w:vAlign w:val="bottom"/>
            <w:tcBorders>
              <w:bottom w:val="single" w:sz="8" w:color="auto"/>
              <w:right w:val="single" w:sz="8" w:color="auto"/>
            </w:tcBorders>
          </w:tcPr>
          <w:p>
            <w:pPr>
              <w:spacing w:after="0"/>
              <w:rPr>
                <w:sz w:val="18"/>
                <w:szCs w:val="18"/>
                <w:color w:val="auto"/>
              </w:rPr>
            </w:pPr>
          </w:p>
        </w:tc>
        <w:tc>
          <w:tcPr>
            <w:tcW w:w="3700" w:type="dxa"/>
            <w:vAlign w:val="bottom"/>
            <w:tcBorders>
              <w:bottom w:val="single" w:sz="8" w:color="auto"/>
              <w:right w:val="single" w:sz="8" w:color="auto"/>
            </w:tcBorders>
          </w:tcPr>
          <w:p>
            <w:pPr>
              <w:spacing w:after="0"/>
              <w:rPr>
                <w:sz w:val="18"/>
                <w:szCs w:val="18"/>
                <w:color w:val="auto"/>
              </w:rPr>
            </w:pPr>
          </w:p>
        </w:tc>
      </w:tr>
      <w:tr>
        <w:trPr>
          <w:trHeight w:val="195"/>
        </w:trPr>
        <w:tc>
          <w:tcPr>
            <w:tcW w:w="4660" w:type="dxa"/>
            <w:vAlign w:val="bottom"/>
            <w:tcBorders>
              <w:left w:val="single" w:sz="8" w:color="auto"/>
              <w:right w:val="single" w:sz="8" w:color="auto"/>
            </w:tcBorders>
          </w:tcPr>
          <w:p>
            <w:pPr>
              <w:ind w:left="120"/>
              <w:spacing w:after="0" w:line="195" w:lineRule="exact"/>
              <w:rPr>
                <w:sz w:val="20"/>
                <w:szCs w:val="20"/>
                <w:color w:val="auto"/>
              </w:rPr>
            </w:pPr>
            <w:r>
              <w:rPr>
                <w:rFonts w:ascii="Arial" w:cs="Arial" w:eastAsia="Arial" w:hAnsi="Arial"/>
                <w:sz w:val="18"/>
                <w:szCs w:val="18"/>
                <w:b w:val="1"/>
                <w:bCs w:val="1"/>
                <w:color w:val="auto"/>
              </w:rPr>
              <w:t>Simplifying the accounting for income taxes</w:t>
            </w:r>
          </w:p>
        </w:tc>
        <w:tc>
          <w:tcPr>
            <w:tcW w:w="1560" w:type="dxa"/>
            <w:vAlign w:val="bottom"/>
            <w:tcBorders>
              <w:right w:val="single" w:sz="8" w:color="auto"/>
            </w:tcBorders>
          </w:tcPr>
          <w:p>
            <w:pPr>
              <w:ind w:left="100"/>
              <w:spacing w:after="0" w:line="195" w:lineRule="exact"/>
              <w:rPr>
                <w:sz w:val="20"/>
                <w:szCs w:val="20"/>
                <w:color w:val="auto"/>
              </w:rPr>
            </w:pPr>
            <w:r>
              <w:rPr>
                <w:rFonts w:ascii="Arial" w:cs="Arial" w:eastAsia="Arial" w:hAnsi="Arial"/>
                <w:sz w:val="18"/>
                <w:szCs w:val="18"/>
                <w:color w:val="auto"/>
              </w:rPr>
              <w:t>January 1, 2021</w:t>
            </w:r>
          </w:p>
        </w:tc>
        <w:tc>
          <w:tcPr>
            <w:tcW w:w="3700" w:type="dxa"/>
            <w:vAlign w:val="bottom"/>
            <w:tcBorders>
              <w:right w:val="single" w:sz="8" w:color="auto"/>
            </w:tcBorders>
          </w:tcPr>
          <w:p>
            <w:pPr>
              <w:ind w:left="140"/>
              <w:spacing w:after="0" w:line="195" w:lineRule="exact"/>
              <w:rPr>
                <w:sz w:val="20"/>
                <w:szCs w:val="20"/>
                <w:color w:val="auto"/>
              </w:rPr>
            </w:pPr>
            <w:r>
              <w:rPr>
                <w:rFonts w:ascii="Arial" w:cs="Arial" w:eastAsia="Arial" w:hAnsi="Arial"/>
                <w:sz w:val="18"/>
                <w:szCs w:val="18"/>
                <w:color w:val="auto"/>
                <w:w w:val="92"/>
              </w:rPr>
              <w:t>This guidance did not have a material impact on</w:t>
            </w:r>
          </w:p>
        </w:tc>
      </w:tr>
      <w:tr>
        <w:trPr>
          <w:trHeight w:val="216"/>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This authoritative guidance simplifies the accounting for</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ind w:left="140"/>
              <w:spacing w:after="0"/>
              <w:rPr>
                <w:sz w:val="20"/>
                <w:szCs w:val="20"/>
                <w:color w:val="auto"/>
              </w:rPr>
            </w:pPr>
            <w:r>
              <w:rPr>
                <w:rFonts w:ascii="Arial" w:cs="Arial" w:eastAsia="Arial" w:hAnsi="Arial"/>
                <w:sz w:val="18"/>
                <w:szCs w:val="18"/>
                <w:color w:val="auto"/>
              </w:rPr>
              <w:t>our consolidated financial statements.</w:t>
            </w:r>
          </w:p>
        </w:tc>
      </w:tr>
      <w:tr>
        <w:trPr>
          <w:trHeight w:val="216"/>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income taxes by removing certain exceptions, including</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spacing w:after="0"/>
              <w:rPr>
                <w:sz w:val="18"/>
                <w:szCs w:val="18"/>
                <w:color w:val="auto"/>
              </w:rPr>
            </w:pPr>
          </w:p>
        </w:tc>
      </w:tr>
      <w:tr>
        <w:trPr>
          <w:trHeight w:val="216"/>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w w:val="91"/>
              </w:rPr>
              <w:t>exceptions related to the incremental approach for intraperiod</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spacing w:after="0"/>
              <w:rPr>
                <w:sz w:val="18"/>
                <w:szCs w:val="18"/>
                <w:color w:val="auto"/>
              </w:rPr>
            </w:pPr>
          </w:p>
        </w:tc>
      </w:tr>
      <w:tr>
        <w:trPr>
          <w:trHeight w:val="216"/>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w w:val="95"/>
              </w:rPr>
              <w:t>tax allocation, calculating income taxes in an interim period</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spacing w:after="0"/>
              <w:rPr>
                <w:sz w:val="18"/>
                <w:szCs w:val="18"/>
                <w:color w:val="auto"/>
              </w:rPr>
            </w:pPr>
          </w:p>
        </w:tc>
      </w:tr>
      <w:tr>
        <w:trPr>
          <w:trHeight w:val="216"/>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w w:val="93"/>
              </w:rPr>
              <w:t>and the recognition of deferred tax liabilities for outside basis</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spacing w:after="0"/>
              <w:rPr>
                <w:sz w:val="18"/>
                <w:szCs w:val="18"/>
                <w:color w:val="auto"/>
              </w:rPr>
            </w:pPr>
          </w:p>
        </w:tc>
      </w:tr>
      <w:tr>
        <w:trPr>
          <w:trHeight w:val="216"/>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w w:val="97"/>
              </w:rPr>
              <w:t>differences. Also, the guidance clarifies the accounting for</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spacing w:after="0"/>
              <w:rPr>
                <w:sz w:val="18"/>
                <w:szCs w:val="18"/>
                <w:color w:val="auto"/>
              </w:rPr>
            </w:pPr>
          </w:p>
        </w:tc>
      </w:tr>
      <w:tr>
        <w:trPr>
          <w:trHeight w:val="216"/>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w w:val="91"/>
              </w:rPr>
              <w:t>franchise taxes, transactions that result in a step-up in the tax</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spacing w:after="0"/>
              <w:rPr>
                <w:sz w:val="18"/>
                <w:szCs w:val="18"/>
                <w:color w:val="auto"/>
              </w:rPr>
            </w:pPr>
          </w:p>
        </w:tc>
      </w:tr>
      <w:tr>
        <w:trPr>
          <w:trHeight w:val="216"/>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w w:val="92"/>
              </w:rPr>
              <w:t>basis of goodwill and enacted changes in tax laws or rates. It</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spacing w:after="0"/>
              <w:rPr>
                <w:sz w:val="18"/>
                <w:szCs w:val="18"/>
                <w:color w:val="auto"/>
              </w:rPr>
            </w:pPr>
          </w:p>
        </w:tc>
      </w:tr>
      <w:tr>
        <w:trPr>
          <w:trHeight w:val="216"/>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specifies that an entity is not required to allocate the</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spacing w:after="0"/>
              <w:rPr>
                <w:sz w:val="18"/>
                <w:szCs w:val="18"/>
                <w:color w:val="auto"/>
              </w:rPr>
            </w:pPr>
          </w:p>
        </w:tc>
      </w:tr>
      <w:tr>
        <w:trPr>
          <w:trHeight w:val="216"/>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w w:val="91"/>
              </w:rPr>
              <w:t>consolidated amount of current and deferred tax expense to a</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spacing w:after="0"/>
              <w:rPr>
                <w:sz w:val="18"/>
                <w:szCs w:val="18"/>
                <w:color w:val="auto"/>
              </w:rPr>
            </w:pPr>
          </w:p>
        </w:tc>
      </w:tr>
      <w:tr>
        <w:trPr>
          <w:trHeight w:val="216"/>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w w:val="96"/>
              </w:rPr>
              <w:t>legal entity that is not subject to tax in its separate financial</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spacing w:after="0"/>
              <w:rPr>
                <w:sz w:val="18"/>
                <w:szCs w:val="18"/>
                <w:color w:val="auto"/>
              </w:rPr>
            </w:pPr>
          </w:p>
        </w:tc>
      </w:tr>
      <w:tr>
        <w:trPr>
          <w:trHeight w:val="216"/>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statements, although an entity may elect to do so. The</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spacing w:after="0"/>
              <w:rPr>
                <w:sz w:val="18"/>
                <w:szCs w:val="18"/>
                <w:color w:val="auto"/>
              </w:rPr>
            </w:pPr>
          </w:p>
        </w:tc>
      </w:tr>
      <w:tr>
        <w:trPr>
          <w:trHeight w:val="216"/>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w w:val="92"/>
              </w:rPr>
              <w:t>guidance will be applied based on varying transition methods</w:t>
            </w:r>
          </w:p>
        </w:tc>
        <w:tc>
          <w:tcPr>
            <w:tcW w:w="156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tcPr>
          <w:p>
            <w:pPr>
              <w:spacing w:after="0"/>
              <w:rPr>
                <w:sz w:val="18"/>
                <w:szCs w:val="18"/>
                <w:color w:val="auto"/>
              </w:rPr>
            </w:pPr>
          </w:p>
        </w:tc>
      </w:tr>
      <w:tr>
        <w:trPr>
          <w:trHeight w:val="230"/>
        </w:trPr>
        <w:tc>
          <w:tcPr>
            <w:tcW w:w="46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defined by amendment.</w:t>
            </w:r>
          </w:p>
        </w:tc>
        <w:tc>
          <w:tcPr>
            <w:tcW w:w="1560" w:type="dxa"/>
            <w:vAlign w:val="bottom"/>
            <w:tcBorders>
              <w:right w:val="single" w:sz="8" w:color="auto"/>
            </w:tcBorders>
          </w:tcPr>
          <w:p>
            <w:pPr>
              <w:spacing w:after="0"/>
              <w:rPr>
                <w:sz w:val="20"/>
                <w:szCs w:val="20"/>
                <w:color w:val="auto"/>
              </w:rPr>
            </w:pPr>
          </w:p>
        </w:tc>
        <w:tc>
          <w:tcPr>
            <w:tcW w:w="3700" w:type="dxa"/>
            <w:vAlign w:val="bottom"/>
            <w:tcBorders>
              <w:right w:val="single" w:sz="8" w:color="auto"/>
            </w:tcBorders>
          </w:tcPr>
          <w:p>
            <w:pPr>
              <w:spacing w:after="0"/>
              <w:rPr>
                <w:sz w:val="20"/>
                <w:szCs w:val="20"/>
                <w:color w:val="auto"/>
              </w:rPr>
            </w:pPr>
          </w:p>
        </w:tc>
      </w:tr>
      <w:tr>
        <w:trPr>
          <w:trHeight w:val="175"/>
        </w:trPr>
        <w:tc>
          <w:tcPr>
            <w:tcW w:w="4660" w:type="dxa"/>
            <w:vAlign w:val="bottom"/>
            <w:tcBorders>
              <w:left w:val="single" w:sz="8" w:color="auto"/>
              <w:bottom w:val="single" w:sz="8" w:color="auto"/>
              <w:right w:val="single" w:sz="8" w:color="auto"/>
            </w:tcBorders>
          </w:tcPr>
          <w:p>
            <w:pPr>
              <w:spacing w:after="0"/>
              <w:rPr>
                <w:sz w:val="15"/>
                <w:szCs w:val="15"/>
                <w:color w:val="auto"/>
              </w:rPr>
            </w:pPr>
          </w:p>
        </w:tc>
        <w:tc>
          <w:tcPr>
            <w:tcW w:w="1560" w:type="dxa"/>
            <w:vAlign w:val="bottom"/>
            <w:tcBorders>
              <w:bottom w:val="single" w:sz="8" w:color="auto"/>
              <w:right w:val="single" w:sz="8" w:color="auto"/>
            </w:tcBorders>
          </w:tcPr>
          <w:p>
            <w:pPr>
              <w:spacing w:after="0"/>
              <w:rPr>
                <w:sz w:val="15"/>
                <w:szCs w:val="15"/>
                <w:color w:val="auto"/>
              </w:rPr>
            </w:pPr>
          </w:p>
        </w:tc>
        <w:tc>
          <w:tcPr>
            <w:tcW w:w="3700" w:type="dxa"/>
            <w:vAlign w:val="bottom"/>
            <w:tcBorders>
              <w:bottom w:val="single" w:sz="8" w:color="auto"/>
              <w:right w:val="single" w:sz="8" w:color="auto"/>
            </w:tcBorders>
          </w:tcPr>
          <w:p>
            <w:pPr>
              <w:spacing w:after="0"/>
              <w:rPr>
                <w:sz w:val="15"/>
                <w:szCs w:val="15"/>
                <w:color w:val="auto"/>
              </w:rPr>
            </w:pPr>
          </w:p>
        </w:tc>
      </w:tr>
    </w:tbl>
    <w:p>
      <w:pPr>
        <w:spacing w:after="0" w:line="202" w:lineRule="exact"/>
        <w:rPr>
          <w:sz w:val="20"/>
          <w:szCs w:val="20"/>
          <w:color w:val="auto"/>
        </w:rPr>
      </w:pPr>
    </w:p>
    <w:p>
      <w:pPr>
        <w:ind w:right="120" w:firstLine="648"/>
        <w:spacing w:after="0" w:line="296" w:lineRule="auto"/>
        <w:rPr>
          <w:sz w:val="20"/>
          <w:szCs w:val="20"/>
          <w:color w:val="auto"/>
        </w:rPr>
      </w:pPr>
      <w:r>
        <w:rPr>
          <w:rFonts w:ascii="Arial" w:cs="Arial" w:eastAsia="Arial" w:hAnsi="Arial"/>
          <w:sz w:val="16"/>
          <w:szCs w:val="16"/>
          <w:color w:val="auto"/>
        </w:rPr>
        <w:t>When we adopt new accounting standards, we have a process in place to perform a thorough review of the pronouncement, identify the financial statement and system impacts and create an implementation plan among our impacted business units to ensure we are compliant with the pronouncement on the date of adoption. This includes having effective processes and controls in place to support the reported amounts. Each of the standards listed above is in varying stages in our implementation process based on its issuance and adoption dates. We are on track to implement guidance by the respective effective dates.</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Investments</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Loan modifications related to COVID-19</w:t>
      </w:r>
    </w:p>
    <w:p>
      <w:pPr>
        <w:spacing w:after="0" w:line="144" w:lineRule="exact"/>
        <w:rPr>
          <w:sz w:val="20"/>
          <w:szCs w:val="20"/>
          <w:color w:val="auto"/>
        </w:rPr>
      </w:pPr>
    </w:p>
    <w:p>
      <w:pPr>
        <w:ind w:right="60" w:firstLine="648"/>
        <w:spacing w:after="0" w:line="287" w:lineRule="auto"/>
        <w:rPr>
          <w:sz w:val="20"/>
          <w:szCs w:val="20"/>
          <w:color w:val="auto"/>
        </w:rPr>
      </w:pPr>
      <w:r>
        <w:rPr>
          <w:rFonts w:ascii="Arial" w:cs="Arial" w:eastAsia="Arial" w:hAnsi="Arial"/>
          <w:sz w:val="16"/>
          <w:szCs w:val="16"/>
          <w:color w:val="auto"/>
        </w:rPr>
        <w:t>Our commercial and residential mortgage loan portfolios can include loans that have been modified. We assess loan modifications on a case-by-case basis to evaluate whether a TDR has occurred. In response to COVID-19, the Coronavirus Aid, Relief and Economic Security Act, which was subsequently amended by the Consolidated Appropriations Act, 2021, (collectively the “CARES Act”) provides a temporary suspension of TDR accounting for certain COVID-19 related loan modifications where the loan was not more than 30 days past due as of December 31, 2019. We elected the TDR relief in the CARES Act beginning in the second quarter of 2020. The CARES Act TDR relief does not apply to modifications completed subsequent to the earlier of 60 days after the national emergency related to COVID-19 ends, or on January 1, 2022. In addition, the Interagency Statement on Loan Modifications and Reporting for Financial Institutions Working with Customers Affected by the Coronavirus (As Revised on April 7, 2020) (“Interagency Statement”) provides additional guidance to determine if a short-term COVID-19 related loan modification is a TDR. We consider the CARES Act and the Interagency Statement when assessing loan modifications to determine whether a TDR has occurred. As of January 1, 2022, the TDR relief ended. See Note 3, Investments, under the caption “Mortgage Loan Modifications” for further details.</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Reinsurance</w:t>
      </w:r>
    </w:p>
    <w:p>
      <w:pPr>
        <w:spacing w:after="0" w:line="229" w:lineRule="exact"/>
        <w:rPr>
          <w:sz w:val="20"/>
          <w:szCs w:val="20"/>
          <w:color w:val="auto"/>
        </w:rPr>
      </w:pPr>
    </w:p>
    <w:p>
      <w:pPr>
        <w:ind w:right="640" w:firstLine="648"/>
        <w:spacing w:after="0" w:line="277" w:lineRule="auto"/>
        <w:rPr>
          <w:sz w:val="20"/>
          <w:szCs w:val="20"/>
          <w:color w:val="auto"/>
        </w:rPr>
      </w:pPr>
      <w:r>
        <w:rPr>
          <w:rFonts w:ascii="Arial" w:cs="Arial" w:eastAsia="Arial" w:hAnsi="Arial"/>
          <w:sz w:val="18"/>
          <w:szCs w:val="18"/>
          <w:color w:val="auto"/>
        </w:rPr>
        <w:t>We enter into reinsurance agreements with other companies in the normal course of business in order to limit losses and minimize exposure to significant risks.</w:t>
      </w: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60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13" w:name="page14"/>
    <w:bookmarkEnd w:id="13"/>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We evaluate each insurance agreement to determine whether the agreement provides indemnification against loss or liability related to insurance risk. For agreements that expose the reinsurer to reasonable possibility of significant loss from insurance risk, the reinsurance method of accounting is used for the agreement. Assets and liabilities related to reinsurance ceded are reported on a gross basis on the consolidated statements of financial position. Insurance liabilities are reported before the effects of reinsurance and we record an offsetting reinsurance recoverable, net of valuation allowance. Premiums and expenses are reported net of reinsurance ceded on the consolidated statements of operations.</w:t>
      </w:r>
    </w:p>
    <w:p>
      <w:pPr>
        <w:spacing w:after="0" w:line="192" w:lineRule="exact"/>
        <w:rPr>
          <w:sz w:val="20"/>
          <w:szCs w:val="20"/>
          <w:color w:val="auto"/>
        </w:rPr>
      </w:pPr>
    </w:p>
    <w:p>
      <w:pPr>
        <w:ind w:right="20" w:firstLine="648"/>
        <w:spacing w:after="0" w:line="257" w:lineRule="auto"/>
        <w:rPr>
          <w:sz w:val="20"/>
          <w:szCs w:val="20"/>
          <w:color w:val="auto"/>
        </w:rPr>
      </w:pPr>
      <w:r>
        <w:rPr>
          <w:rFonts w:ascii="Arial" w:cs="Arial" w:eastAsia="Arial" w:hAnsi="Arial"/>
          <w:sz w:val="18"/>
          <w:szCs w:val="18"/>
          <w:color w:val="auto"/>
        </w:rPr>
        <w:t>If an agreement does not expose the reinsurer to reasonable possibility of significant loss from insurance risk, the deposit method of accounting is used for the agreement. We record a deposit receivable, net of valuation allowance, if necessary. The deposit receivable is adjusted as amounts are paid or received on the underlying contracts. Accretion on the deposit receivable is calculated using an effective interest method and is reported in fees and other revenues and operating expense on the consolidated statements of operations.</w:t>
      </w:r>
    </w:p>
    <w:p>
      <w:pPr>
        <w:spacing w:after="0" w:line="188" w:lineRule="exact"/>
        <w:rPr>
          <w:sz w:val="20"/>
          <w:szCs w:val="20"/>
          <w:color w:val="auto"/>
        </w:rPr>
      </w:pPr>
    </w:p>
    <w:p>
      <w:pPr>
        <w:ind w:right="260" w:firstLine="648"/>
        <w:spacing w:after="0" w:line="277" w:lineRule="auto"/>
        <w:rPr>
          <w:sz w:val="20"/>
          <w:szCs w:val="20"/>
          <w:color w:val="auto"/>
        </w:rPr>
      </w:pPr>
      <w:r>
        <w:rPr>
          <w:rFonts w:ascii="Arial" w:cs="Arial" w:eastAsia="Arial" w:hAnsi="Arial"/>
          <w:sz w:val="18"/>
          <w:szCs w:val="18"/>
          <w:color w:val="auto"/>
        </w:rPr>
        <w:t>The cost of reinsurance related to long-duration contracts is amortized over the life of the underlying reinsured policies using assumptions consistent with those used to account for the underlying policies.</w:t>
      </w:r>
    </w:p>
    <w:p>
      <w:pPr>
        <w:spacing w:after="0" w:line="170" w:lineRule="exact"/>
        <w:rPr>
          <w:sz w:val="20"/>
          <w:szCs w:val="20"/>
          <w:color w:val="auto"/>
        </w:rPr>
      </w:pPr>
    </w:p>
    <w:p>
      <w:pPr>
        <w:ind w:right="20" w:firstLine="648"/>
        <w:spacing w:after="0" w:line="275" w:lineRule="auto"/>
        <w:rPr>
          <w:sz w:val="20"/>
          <w:szCs w:val="20"/>
          <w:color w:val="auto"/>
        </w:rPr>
      </w:pPr>
      <w:r>
        <w:rPr>
          <w:rFonts w:ascii="Arial" w:cs="Arial" w:eastAsia="Arial" w:hAnsi="Arial"/>
          <w:sz w:val="17"/>
          <w:szCs w:val="17"/>
          <w:color w:val="auto"/>
        </w:rPr>
        <w:t>We have entered into coinsurance with funds withheld reinsurance agreements in which we record a funds withheld liability that contains an embedded derivative for which the fair value is estimated based on the change in fair value of the assets supporting the funds withheld liability. The change in fair value of the funds withheld embedded derivative is separately reported on the consolidated statements of operations. Realized gains and losses that do not flow to the reinsurer are reported in net realized capital gains (losses) on funds withheld assets on the consolidated statements of operations.</w:t>
      </w:r>
    </w:p>
    <w:p>
      <w:pPr>
        <w:spacing w:after="0" w:line="68" w:lineRule="exact"/>
        <w:rPr>
          <w:sz w:val="20"/>
          <w:szCs w:val="20"/>
          <w:color w:val="auto"/>
        </w:rPr>
      </w:pPr>
    </w:p>
    <w:p>
      <w:pPr>
        <w:ind w:right="80" w:firstLine="648"/>
        <w:spacing w:after="0" w:line="277" w:lineRule="auto"/>
        <w:rPr>
          <w:sz w:val="20"/>
          <w:szCs w:val="20"/>
          <w:color w:val="auto"/>
        </w:rPr>
      </w:pPr>
      <w:r>
        <w:rPr>
          <w:rFonts w:ascii="Arial" w:cs="Arial" w:eastAsia="Arial" w:hAnsi="Arial"/>
          <w:sz w:val="18"/>
          <w:szCs w:val="18"/>
          <w:color w:val="auto"/>
        </w:rPr>
        <w:t>For further information about reinsurance, refer to Note 7, Reinsurance. For further information about the financing receivables valuation allowance on the reinsurance recoverable and deposit receivable, refer to Note 3, Investments.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Separate Accounts</w:t>
      </w:r>
    </w:p>
    <w:p>
      <w:pPr>
        <w:spacing w:after="0" w:line="229" w:lineRule="exact"/>
        <w:rPr>
          <w:sz w:val="20"/>
          <w:szCs w:val="20"/>
          <w:color w:val="auto"/>
        </w:rPr>
      </w:pPr>
    </w:p>
    <w:p>
      <w:pPr>
        <w:ind w:right="20" w:firstLine="648"/>
        <w:spacing w:after="0" w:line="271" w:lineRule="auto"/>
        <w:rPr>
          <w:sz w:val="20"/>
          <w:szCs w:val="20"/>
          <w:color w:val="auto"/>
        </w:rPr>
      </w:pPr>
      <w:r>
        <w:rPr>
          <w:rFonts w:ascii="Arial" w:cs="Arial" w:eastAsia="Arial" w:hAnsi="Arial"/>
          <w:sz w:val="17"/>
          <w:szCs w:val="17"/>
          <w:color w:val="auto"/>
        </w:rPr>
        <w:t>The separate accounts are legally segregated and are not subject to the claims that arise out of any of our other business. The client, rather than us, directs the investments and bears the investment risk of these funds. The separate account assets represent the fair value of funds that are separately administered by us for contracts with equity, real estate and fixed income investments and are presented as a summary total within the consolidated statements of financial position. An equivalent amount is reported as separate account liabilities, which represent the obligation to return the monies to the client. We receive fees for mortality, withdrawal and expense risks, as well as administrative, maintenance and investment advisory services that are included in the consolidated statements of operations. Net deposits, net investment income and realized and unrealized capital gains and losses of the separate accounts are not reflected in the consolidated statements of operations.</w:t>
      </w:r>
    </w:p>
    <w:p>
      <w:pPr>
        <w:spacing w:after="0" w:line="178" w:lineRule="exact"/>
        <w:rPr>
          <w:sz w:val="20"/>
          <w:szCs w:val="20"/>
          <w:color w:val="auto"/>
        </w:rPr>
      </w:pPr>
    </w:p>
    <w:p>
      <w:pPr>
        <w:ind w:right="40" w:firstLine="648"/>
        <w:spacing w:after="0" w:line="263" w:lineRule="auto"/>
        <w:rPr>
          <w:sz w:val="20"/>
          <w:szCs w:val="20"/>
          <w:color w:val="auto"/>
        </w:rPr>
      </w:pPr>
      <w:r>
        <w:rPr>
          <w:rFonts w:ascii="Arial" w:cs="Arial" w:eastAsia="Arial" w:hAnsi="Arial"/>
          <w:sz w:val="18"/>
          <w:szCs w:val="18"/>
          <w:color w:val="auto"/>
        </w:rPr>
        <w:t>Separate account assets and separate account liabilities include certain international retirement accumulation products where the segregated funds and associated obligation to the client are consolidated within our financial statements. We have determined that summary totals are the most meaningful presentation for these funds.</w:t>
      </w:r>
    </w:p>
    <w:p>
      <w:pPr>
        <w:spacing w:after="0" w:line="184" w:lineRule="exact"/>
        <w:rPr>
          <w:sz w:val="20"/>
          <w:szCs w:val="20"/>
          <w:color w:val="auto"/>
        </w:rPr>
      </w:pPr>
    </w:p>
    <w:p>
      <w:pPr>
        <w:ind w:right="40" w:firstLine="648"/>
        <w:spacing w:after="0" w:line="254" w:lineRule="auto"/>
        <w:rPr>
          <w:sz w:val="20"/>
          <w:szCs w:val="20"/>
          <w:color w:val="auto"/>
        </w:rPr>
      </w:pPr>
      <w:r>
        <w:rPr>
          <w:rFonts w:ascii="Arial" w:cs="Arial" w:eastAsia="Arial" w:hAnsi="Arial"/>
          <w:sz w:val="18"/>
          <w:szCs w:val="18"/>
          <w:color w:val="auto"/>
        </w:rPr>
        <w:t>As of June 30, 2022 and December 31, 2021, the separate accounts included a separate account valued at $84.4 million and $95.1 million, respectively, which primarily included shares of our stock that were allocated and issued to eligible participants of qualified employee benefit plans administered by us as part of the policy credits issued under our 2001 demutualization. These shares are included in both basic and diluted earnings per share calculations. In the consolidated statements of financial position, the separate account shares are recorded at fair value and are reported as separate account assets with a corresponding separate account liability. Changes in fair value of the separate account shares are reflected in both the separate account assets and separate account liabilities and do not impact our results of operations.</w:t>
      </w:r>
    </w:p>
    <w:p>
      <w:pPr>
        <w:spacing w:after="0" w:line="200" w:lineRule="exact"/>
        <w:rPr>
          <w:sz w:val="20"/>
          <w:szCs w:val="20"/>
          <w:color w:val="auto"/>
        </w:rPr>
      </w:pPr>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60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14" w:name="page15"/>
    <w:bookmarkEnd w:id="14"/>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Actuarial Balance Re-Cohorting</w:t>
      </w:r>
    </w:p>
    <w:p>
      <w:pPr>
        <w:spacing w:after="0" w:line="229" w:lineRule="exact"/>
        <w:rPr>
          <w:sz w:val="20"/>
          <w:szCs w:val="20"/>
          <w:color w:val="auto"/>
        </w:rPr>
      </w:pPr>
    </w:p>
    <w:p>
      <w:pPr>
        <w:ind w:right="80" w:firstLine="648"/>
        <w:spacing w:after="0" w:line="293" w:lineRule="auto"/>
        <w:rPr>
          <w:sz w:val="20"/>
          <w:szCs w:val="20"/>
          <w:color w:val="auto"/>
        </w:rPr>
      </w:pPr>
      <w:r>
        <w:rPr>
          <w:rFonts w:ascii="Arial" w:cs="Arial" w:eastAsia="Arial" w:hAnsi="Arial"/>
          <w:sz w:val="16"/>
          <w:szCs w:val="16"/>
          <w:color w:val="auto"/>
        </w:rPr>
        <w:t>In 2021, we completed a comprehensive review of our business mix and capital management options (the “Strategic Review”). We made the decision to exit our U.S. retail ULSG business. The ULSG business was previously managed together with our other universal life (“UL”) business within our U.S. Insurance Solutions segment. As such, calculations of actuarial balances included UL and ULSG in the same cohorts, which are the unit of account used for measurement. As a result of the Strategic Review, we made the decision in the second quarter of 2022 to manage the ULSG business separately from our other UL business effective as of January 1, 2022. This led to us re-cohorting the UL business resulting in separate cohorts for the ULSG business vs. the remaining UL business.</w:t>
      </w:r>
    </w:p>
    <w:p>
      <w:pPr>
        <w:spacing w:after="0" w:line="164" w:lineRule="exact"/>
        <w:rPr>
          <w:sz w:val="20"/>
          <w:szCs w:val="20"/>
          <w:color w:val="auto"/>
        </w:rPr>
      </w:pPr>
    </w:p>
    <w:p>
      <w:pPr>
        <w:ind w:right="80" w:firstLine="648"/>
        <w:spacing w:after="0" w:line="277" w:lineRule="auto"/>
        <w:rPr>
          <w:sz w:val="20"/>
          <w:szCs w:val="20"/>
          <w:color w:val="auto"/>
        </w:rPr>
      </w:pPr>
      <w:r>
        <w:rPr>
          <w:rFonts w:ascii="Arial" w:cs="Arial" w:eastAsia="Arial" w:hAnsi="Arial"/>
          <w:sz w:val="18"/>
          <w:szCs w:val="18"/>
          <w:color w:val="auto"/>
        </w:rPr>
        <w:t>The re-cohorting impacted the measurement of our DAC, cost of reinsurance, unearned revenue liability and additional liability for certain benefit features. The pre-tax impacts to comprehensive income were as follows:</w:t>
      </w:r>
    </w:p>
    <w:p>
      <w:pPr>
        <w:sectPr>
          <w:pgSz w:w="11900" w:h="16838" w:orient="portrait"/>
          <w:cols w:equalWidth="0" w:num="1">
            <w:col w:w="9920"/>
          </w:cols>
          <w:pgMar w:left="980" w:top="665" w:right="99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Increase to income before taxes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-119380</wp:posOffset>
            </wp:positionV>
            <wp:extent cx="6292215" cy="13716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6292215" cy="137160"/>
                    </a:xfrm>
                    <a:prstGeom prst="rect">
                      <a:avLst/>
                    </a:prstGeom>
                    <a:noFill/>
                  </pic:spPr>
                </pic:pic>
              </a:graphicData>
            </a:graphic>
          </wp:anchor>
        </w:drawing>
      </w:r>
    </w:p>
    <w:p>
      <w:pPr>
        <w:spacing w:after="0" w:line="7" w:lineRule="exact"/>
        <w:rPr>
          <w:sz w:val="20"/>
          <w:szCs w:val="20"/>
          <w:color w:val="auto"/>
        </w:rPr>
      </w:pPr>
    </w:p>
    <w:p>
      <w:pPr>
        <w:spacing w:after="0"/>
        <w:rPr>
          <w:sz w:val="20"/>
          <w:szCs w:val="20"/>
          <w:color w:val="auto"/>
        </w:rPr>
      </w:pPr>
      <w:r>
        <w:rPr>
          <w:rFonts w:ascii="Arial" w:cs="Arial" w:eastAsia="Arial" w:hAnsi="Arial"/>
          <w:sz w:val="18"/>
          <w:szCs w:val="18"/>
          <w:color w:val="auto"/>
        </w:rPr>
        <w:t>Deferred acquisition costs amortization (1)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5715</wp:posOffset>
            </wp:positionV>
            <wp:extent cx="6292215" cy="13716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6292215" cy="13716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Cost of reinsurance amortization (2)</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Unearned revenue liability amortization (3)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5715</wp:posOffset>
            </wp:positionV>
            <wp:extent cx="6292215" cy="13716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6292215" cy="13716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Change in additional liability for certain benefit features (2)</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Total increase to income before income taxes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14605</wp:posOffset>
            </wp:positionV>
            <wp:extent cx="6292215" cy="13716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6292215" cy="137160"/>
                    </a:xfrm>
                    <a:prstGeom prst="rect">
                      <a:avLst/>
                    </a:prstGeom>
                    <a:noFill/>
                  </pic:spPr>
                </pic:pic>
              </a:graphicData>
            </a:graphic>
          </wp:anchor>
        </w:drawing>
      </w:r>
    </w:p>
    <w:p>
      <w:pPr>
        <w:spacing w:after="0" w:line="20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Increase to pre-tax other comprehensive income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17145</wp:posOffset>
            </wp:positionV>
            <wp:extent cx="6292215" cy="13716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6292215" cy="137160"/>
                    </a:xfrm>
                    <a:prstGeom prst="rect">
                      <a:avLst/>
                    </a:prstGeom>
                    <a:noFill/>
                  </pic:spPr>
                </pic:pic>
              </a:graphicData>
            </a:graphic>
          </wp:anchor>
        </w:drawing>
      </w:r>
    </w:p>
    <w:p>
      <w:pPr>
        <w:spacing w:after="0" w:line="7" w:lineRule="exact"/>
        <w:rPr>
          <w:sz w:val="20"/>
          <w:szCs w:val="20"/>
          <w:color w:val="auto"/>
        </w:rPr>
      </w:pPr>
    </w:p>
    <w:p>
      <w:pPr>
        <w:spacing w:after="0"/>
        <w:rPr>
          <w:sz w:val="20"/>
          <w:szCs w:val="20"/>
          <w:color w:val="auto"/>
        </w:rPr>
      </w:pPr>
      <w:r>
        <w:rPr>
          <w:rFonts w:ascii="Arial" w:cs="Arial" w:eastAsia="Arial" w:hAnsi="Arial"/>
          <w:sz w:val="18"/>
          <w:szCs w:val="18"/>
          <w:color w:val="auto"/>
        </w:rPr>
        <w:t>Deferred acquisition cost unrealized losses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Cost of reinsurance unrealized gains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5715</wp:posOffset>
            </wp:positionV>
            <wp:extent cx="6292215" cy="13716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6292215" cy="13716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Unearned revenue liability unrealized gains</w:t>
      </w:r>
    </w:p>
    <w:p>
      <w:pPr>
        <w:spacing w:after="0" w:line="9" w:lineRule="exact"/>
        <w:rPr>
          <w:sz w:val="20"/>
          <w:szCs w:val="20"/>
          <w:color w:val="auto"/>
        </w:rPr>
      </w:pPr>
    </w:p>
    <w:p>
      <w:pPr>
        <w:ind w:right="2520"/>
        <w:spacing w:after="0" w:line="276" w:lineRule="auto"/>
        <w:rPr>
          <w:sz w:val="20"/>
          <w:szCs w:val="20"/>
          <w:color w:val="auto"/>
        </w:rPr>
      </w:pPr>
      <w:r>
        <w:rPr>
          <w:rFonts w:ascii="Arial" w:cs="Arial" w:eastAsia="Arial" w:hAnsi="Arial"/>
          <w:sz w:val="18"/>
          <w:szCs w:val="18"/>
          <w:color w:val="auto"/>
        </w:rPr>
        <w:t>Change in additional liability for certain benefit features unrealized gains Total increase to pre-tax other comprehensive income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117475</wp:posOffset>
            </wp:positionV>
            <wp:extent cx="6292215" cy="15430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6292215" cy="154305"/>
                    </a:xfrm>
                    <a:prstGeom prst="rect">
                      <a:avLst/>
                    </a:prstGeom>
                    <a:noFill/>
                  </pic:spPr>
                </pic:pic>
              </a:graphicData>
            </a:graphic>
          </wp:anchor>
        </w:drawing>
        <w:drawing>
          <wp:anchor simplePos="0" relativeHeight="251657728" behindDoc="1" locked="0" layoutInCell="0" allowOverlap="1">
            <wp:simplePos x="0" y="0"/>
            <wp:positionH relativeFrom="column">
              <wp:posOffset>5715</wp:posOffset>
            </wp:positionH>
            <wp:positionV relativeFrom="paragraph">
              <wp:posOffset>-164465</wp:posOffset>
            </wp:positionV>
            <wp:extent cx="6292215" cy="14541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6292215" cy="145415"/>
                    </a:xfrm>
                    <a:prstGeom prst="rect">
                      <a:avLst/>
                    </a:prstGeom>
                    <a:noFill/>
                  </pic:spPr>
                </pic:pic>
              </a:graphicData>
            </a:graphic>
          </wp:anchor>
        </w:drawing>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color w:val="auto"/>
        </w:rPr>
        <w:t>Total increase to pre-tax comprehensive income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100330</wp:posOffset>
            </wp:positionV>
            <wp:extent cx="1568450" cy="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1568450" cy="8255"/>
                    </a:xfrm>
                    <a:prstGeom prst="rect">
                      <a:avLst/>
                    </a:prstGeom>
                    <a:noFill/>
                  </pic:spPr>
                </pic:pic>
              </a:graphicData>
            </a:graphic>
          </wp:anchor>
        </w:drawing>
      </w:r>
    </w:p>
    <w:p>
      <w:pPr>
        <w:spacing w:after="0" w:line="232" w:lineRule="exact"/>
        <w:rPr>
          <w:sz w:val="20"/>
          <w:szCs w:val="20"/>
          <w:color w:val="auto"/>
        </w:rPr>
      </w:pPr>
    </w:p>
    <w:p>
      <w:pPr>
        <w:ind w:left="340" w:hanging="332"/>
        <w:spacing w:after="0"/>
        <w:tabs>
          <w:tab w:leader="none" w:pos="340" w:val="left"/>
        </w:tabs>
        <w:numPr>
          <w:ilvl w:val="0"/>
          <w:numId w:val="4"/>
        </w:numPr>
        <w:rPr>
          <w:rFonts w:ascii="Arial" w:cs="Arial" w:eastAsia="Arial" w:hAnsi="Arial"/>
          <w:sz w:val="18"/>
          <w:szCs w:val="18"/>
          <w:color w:val="auto"/>
        </w:rPr>
      </w:pPr>
      <w:r>
        <w:rPr>
          <w:rFonts w:ascii="Arial" w:cs="Arial" w:eastAsia="Arial" w:hAnsi="Arial"/>
          <w:sz w:val="18"/>
          <w:szCs w:val="18"/>
          <w:color w:val="auto"/>
        </w:rPr>
        <w:t>Reported in operating expenses.</w:t>
      </w:r>
    </w:p>
    <w:p>
      <w:pPr>
        <w:spacing w:after="0" w:line="23" w:lineRule="exact"/>
        <w:rPr>
          <w:rFonts w:ascii="Arial" w:cs="Arial" w:eastAsia="Arial" w:hAnsi="Arial"/>
          <w:sz w:val="18"/>
          <w:szCs w:val="18"/>
          <w:color w:val="auto"/>
        </w:rPr>
      </w:pPr>
    </w:p>
    <w:p>
      <w:pPr>
        <w:ind w:left="340" w:hanging="332"/>
        <w:spacing w:after="0"/>
        <w:tabs>
          <w:tab w:leader="none" w:pos="340" w:val="left"/>
        </w:tabs>
        <w:numPr>
          <w:ilvl w:val="0"/>
          <w:numId w:val="4"/>
        </w:numPr>
        <w:rPr>
          <w:rFonts w:ascii="Arial" w:cs="Arial" w:eastAsia="Arial" w:hAnsi="Arial"/>
          <w:sz w:val="18"/>
          <w:szCs w:val="18"/>
          <w:color w:val="auto"/>
        </w:rPr>
      </w:pPr>
      <w:r>
        <w:rPr>
          <w:rFonts w:ascii="Arial" w:cs="Arial" w:eastAsia="Arial" w:hAnsi="Arial"/>
          <w:sz w:val="18"/>
          <w:szCs w:val="18"/>
          <w:color w:val="auto"/>
        </w:rPr>
        <w:t>Reported in benefits, claims and settlement expenses.</w:t>
      </w:r>
    </w:p>
    <w:p>
      <w:pPr>
        <w:spacing w:after="0" w:line="9" w:lineRule="exact"/>
        <w:rPr>
          <w:rFonts w:ascii="Arial" w:cs="Arial" w:eastAsia="Arial" w:hAnsi="Arial"/>
          <w:sz w:val="18"/>
          <w:szCs w:val="18"/>
          <w:color w:val="auto"/>
        </w:rPr>
      </w:pPr>
    </w:p>
    <w:p>
      <w:pPr>
        <w:ind w:left="340" w:hanging="332"/>
        <w:spacing w:after="0"/>
        <w:tabs>
          <w:tab w:leader="none" w:pos="340" w:val="left"/>
        </w:tabs>
        <w:numPr>
          <w:ilvl w:val="0"/>
          <w:numId w:val="4"/>
        </w:numPr>
        <w:rPr>
          <w:rFonts w:ascii="Arial" w:cs="Arial" w:eastAsia="Arial" w:hAnsi="Arial"/>
          <w:sz w:val="18"/>
          <w:szCs w:val="18"/>
          <w:color w:val="auto"/>
        </w:rPr>
      </w:pPr>
      <w:r>
        <w:rPr>
          <w:rFonts w:ascii="Arial" w:cs="Arial" w:eastAsia="Arial" w:hAnsi="Arial"/>
          <w:sz w:val="18"/>
          <w:szCs w:val="18"/>
          <w:color w:val="auto"/>
        </w:rPr>
        <w:t>Reported in fees and other revenues.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Variable Interest Entities</w:t>
      </w:r>
    </w:p>
    <w:p>
      <w:pPr>
        <w:spacing w:after="0" w:line="20" w:lineRule="exact"/>
        <w:rPr>
          <w:sz w:val="20"/>
          <w:szCs w:val="20"/>
          <w:color w:val="auto"/>
        </w:rPr>
      </w:pPr>
      <w:r>
        <w:rPr>
          <w:sz w:val="20"/>
          <w:szCs w:val="20"/>
          <w:color w:val="auto"/>
        </w:rPr>
        <w:br w:type="column"/>
      </w:r>
    </w:p>
    <w:p>
      <w:pPr>
        <w:spacing w:after="0" w:line="155"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For the three and</w:t>
      </w:r>
    </w:p>
    <w:p>
      <w:pPr>
        <w:jc w:val="center"/>
        <w:spacing w:after="0" w:line="226" w:lineRule="auto"/>
        <w:rPr>
          <w:sz w:val="20"/>
          <w:szCs w:val="20"/>
          <w:color w:val="auto"/>
        </w:rPr>
      </w:pPr>
      <w:r>
        <w:rPr>
          <w:rFonts w:ascii="Arial" w:cs="Arial" w:eastAsia="Arial" w:hAnsi="Arial"/>
          <w:sz w:val="14"/>
          <w:szCs w:val="14"/>
          <w:b w:val="1"/>
          <w:bCs w:val="1"/>
          <w:color w:val="auto"/>
        </w:rPr>
        <w:t>six months ended</w:t>
      </w:r>
    </w:p>
    <w:p>
      <w:pPr>
        <w:jc w:val="center"/>
        <w:spacing w:after="0"/>
        <w:rPr>
          <w:sz w:val="20"/>
          <w:szCs w:val="20"/>
          <w:color w:val="auto"/>
        </w:rPr>
      </w:pPr>
      <w:r>
        <w:rPr>
          <w:rFonts w:ascii="Arial" w:cs="Arial" w:eastAsia="Arial" w:hAnsi="Arial"/>
          <w:sz w:val="14"/>
          <w:szCs w:val="14"/>
          <w:b w:val="1"/>
          <w:bCs w:val="1"/>
          <w:color w:val="auto"/>
        </w:rPr>
        <w:t>June 30,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wp:posOffset>
            </wp:positionV>
            <wp:extent cx="882650" cy="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882650" cy="8255"/>
                    </a:xfrm>
                    <a:prstGeom prst="rect">
                      <a:avLst/>
                    </a:prstGeom>
                    <a:noFill/>
                  </pic:spPr>
                </pic:pic>
              </a:graphicData>
            </a:graphic>
          </wp:anchor>
        </w:drawing>
      </w:r>
    </w:p>
    <w:p>
      <w:pPr>
        <w:ind w:left="340"/>
        <w:spacing w:after="0"/>
        <w:rPr>
          <w:sz w:val="20"/>
          <w:szCs w:val="20"/>
          <w:color w:val="auto"/>
        </w:rPr>
      </w:pPr>
      <w:r>
        <w:rPr>
          <w:rFonts w:ascii="Arial" w:cs="Arial" w:eastAsia="Arial" w:hAnsi="Arial"/>
          <w:sz w:val="14"/>
          <w:szCs w:val="14"/>
          <w:i w:val="1"/>
          <w:iCs w:val="1"/>
          <w:color w:val="auto"/>
        </w:rPr>
        <w:t>(in millions)</w:t>
      </w:r>
    </w:p>
    <w:p>
      <w:pPr>
        <w:spacing w:after="0" w:line="192" w:lineRule="exact"/>
        <w:rPr>
          <w:sz w:val="20"/>
          <w:szCs w:val="20"/>
          <w:color w:val="auto"/>
        </w:rPr>
      </w:pPr>
    </w:p>
    <w:p>
      <w:pPr>
        <w:ind w:left="880" w:hanging="872"/>
        <w:spacing w:after="0"/>
        <w:tabs>
          <w:tab w:leader="none" w:pos="880" w:val="left"/>
        </w:tabs>
        <w:numPr>
          <w:ilvl w:val="0"/>
          <w:numId w:val="5"/>
        </w:numPr>
        <w:rPr>
          <w:rFonts w:ascii="Arial" w:cs="Arial" w:eastAsia="Arial" w:hAnsi="Arial"/>
          <w:sz w:val="16"/>
          <w:szCs w:val="16"/>
          <w:b w:val="1"/>
          <w:bCs w:val="1"/>
          <w:color w:val="auto"/>
        </w:rPr>
      </w:pPr>
      <w:r>
        <w:rPr>
          <w:rFonts w:ascii="Arial" w:cs="Arial" w:eastAsia="Arial" w:hAnsi="Arial"/>
          <w:sz w:val="16"/>
          <w:szCs w:val="16"/>
          <w:b w:val="1"/>
          <w:bCs w:val="1"/>
          <w:color w:val="auto"/>
        </w:rPr>
        <w:t>(106.6)</w:t>
      </w:r>
    </w:p>
    <w:p>
      <w:pPr>
        <w:spacing w:after="0" w:line="50" w:lineRule="exact"/>
        <w:rPr>
          <w:rFonts w:ascii="Arial" w:cs="Arial" w:eastAsia="Arial" w:hAnsi="Arial"/>
          <w:sz w:val="16"/>
          <w:szCs w:val="16"/>
          <w:b w:val="1"/>
          <w:bCs w:val="1"/>
          <w:color w:val="auto"/>
        </w:rPr>
      </w:pPr>
    </w:p>
    <w:p>
      <w:pPr>
        <w:ind w:left="1120"/>
        <w:spacing w:after="0"/>
        <w:rPr>
          <w:rFonts w:ascii="Arial" w:cs="Arial" w:eastAsia="Arial" w:hAnsi="Arial"/>
          <w:sz w:val="16"/>
          <w:szCs w:val="16"/>
          <w:b w:val="1"/>
          <w:bCs w:val="1"/>
          <w:color w:val="auto"/>
        </w:rPr>
      </w:pPr>
      <w:r>
        <w:rPr>
          <w:rFonts w:ascii="Arial" w:cs="Arial" w:eastAsia="Arial" w:hAnsi="Arial"/>
          <w:sz w:val="18"/>
          <w:szCs w:val="18"/>
          <w:b w:val="1"/>
          <w:bCs w:val="1"/>
          <w:color w:val="auto"/>
        </w:rPr>
        <w:t>4.2</w:t>
      </w:r>
    </w:p>
    <w:p>
      <w:pPr>
        <w:spacing w:after="0" w:line="9" w:lineRule="exact"/>
        <w:rPr>
          <w:sz w:val="20"/>
          <w:szCs w:val="20"/>
          <w:color w:val="auto"/>
        </w:rPr>
      </w:pPr>
    </w:p>
    <w:p>
      <w:pPr>
        <w:ind w:left="1020"/>
        <w:spacing w:after="0"/>
        <w:rPr>
          <w:sz w:val="20"/>
          <w:szCs w:val="20"/>
          <w:color w:val="auto"/>
        </w:rPr>
      </w:pPr>
      <w:r>
        <w:rPr>
          <w:rFonts w:ascii="Arial" w:cs="Arial" w:eastAsia="Arial" w:hAnsi="Arial"/>
          <w:sz w:val="18"/>
          <w:szCs w:val="18"/>
          <w:b w:val="1"/>
          <w:bCs w:val="1"/>
          <w:color w:val="auto"/>
        </w:rPr>
        <w:t>32.4</w:t>
      </w:r>
    </w:p>
    <w:p>
      <w:pPr>
        <w:spacing w:after="0" w:line="9" w:lineRule="exact"/>
        <w:rPr>
          <w:sz w:val="20"/>
          <w:szCs w:val="20"/>
          <w:color w:val="auto"/>
        </w:rPr>
      </w:pPr>
    </w:p>
    <w:p>
      <w:pPr>
        <w:ind w:left="940"/>
        <w:spacing w:after="0"/>
        <w:rPr>
          <w:sz w:val="20"/>
          <w:szCs w:val="20"/>
          <w:color w:val="auto"/>
        </w:rPr>
      </w:pPr>
      <w:r>
        <w:rPr>
          <w:rFonts w:ascii="Arial" w:cs="Arial" w:eastAsia="Arial" w:hAnsi="Arial"/>
          <w:sz w:val="18"/>
          <w:szCs w:val="18"/>
          <w:b w:val="1"/>
          <w:bCs w:val="1"/>
          <w:color w:val="auto"/>
        </w:rPr>
        <w:t>139.7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882650" cy="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882650" cy="8255"/>
                    </a:xfrm>
                    <a:prstGeom prst="rect">
                      <a:avLst/>
                    </a:prstGeom>
                    <a:noFill/>
                  </pic:spPr>
                </pic:pic>
              </a:graphicData>
            </a:graphic>
          </wp:anchor>
        </w:drawing>
      </w:r>
    </w:p>
    <w:p>
      <w:pPr>
        <w:ind w:left="1020"/>
        <w:spacing w:after="0"/>
        <w:rPr>
          <w:sz w:val="20"/>
          <w:szCs w:val="20"/>
          <w:color w:val="auto"/>
        </w:rPr>
      </w:pPr>
      <w:r>
        <w:rPr>
          <w:rFonts w:ascii="Arial" w:cs="Arial" w:eastAsia="Arial" w:hAnsi="Arial"/>
          <w:sz w:val="18"/>
          <w:szCs w:val="18"/>
          <w:b w:val="1"/>
          <w:bCs w:val="1"/>
          <w:color w:val="auto"/>
        </w:rPr>
        <w:t>69.7</w:t>
      </w:r>
    </w:p>
    <w:p>
      <w:pPr>
        <w:spacing w:after="0" w:line="200" w:lineRule="exact"/>
        <w:rPr>
          <w:sz w:val="20"/>
          <w:szCs w:val="20"/>
          <w:color w:val="auto"/>
        </w:rPr>
      </w:pPr>
    </w:p>
    <w:p>
      <w:pPr>
        <w:spacing w:after="0" w:line="236"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(5.6)</w:t>
      </w:r>
    </w:p>
    <w:p>
      <w:pPr>
        <w:spacing w:after="0" w:line="27" w:lineRule="exact"/>
        <w:rPr>
          <w:sz w:val="20"/>
          <w:szCs w:val="20"/>
          <w:color w:val="auto"/>
        </w:rPr>
      </w:pPr>
    </w:p>
    <w:p>
      <w:pPr>
        <w:jc w:val="right"/>
        <w:ind w:right="60"/>
        <w:spacing w:after="0"/>
        <w:rPr>
          <w:sz w:val="20"/>
          <w:szCs w:val="20"/>
          <w:color w:val="auto"/>
        </w:rPr>
      </w:pPr>
      <w:r>
        <w:rPr>
          <w:rFonts w:ascii="Arial" w:cs="Arial" w:eastAsia="Arial" w:hAnsi="Arial"/>
          <w:sz w:val="18"/>
          <w:szCs w:val="18"/>
          <w:b w:val="1"/>
          <w:bCs w:val="1"/>
          <w:color w:val="auto"/>
        </w:rPr>
        <w:t>8.7</w:t>
      </w:r>
    </w:p>
    <w:p>
      <w:pPr>
        <w:spacing w:after="0" w:line="9" w:lineRule="exact"/>
        <w:rPr>
          <w:sz w:val="20"/>
          <w:szCs w:val="20"/>
          <w:color w:val="auto"/>
        </w:rPr>
      </w:pPr>
    </w:p>
    <w:p>
      <w:pPr>
        <w:jc w:val="right"/>
        <w:ind w:right="60"/>
        <w:spacing w:after="0"/>
        <w:rPr>
          <w:sz w:val="20"/>
          <w:szCs w:val="20"/>
          <w:color w:val="auto"/>
        </w:rPr>
      </w:pPr>
      <w:r>
        <w:rPr>
          <w:rFonts w:ascii="Arial" w:cs="Arial" w:eastAsia="Arial" w:hAnsi="Arial"/>
          <w:sz w:val="18"/>
          <w:szCs w:val="18"/>
          <w:b w:val="1"/>
          <w:bCs w:val="1"/>
          <w:color w:val="auto"/>
        </w:rPr>
        <w:t>8.5</w:t>
      </w:r>
    </w:p>
    <w:p>
      <w:pPr>
        <w:spacing w:after="0" w:line="9" w:lineRule="exact"/>
        <w:rPr>
          <w:sz w:val="20"/>
          <w:szCs w:val="20"/>
          <w:color w:val="auto"/>
        </w:rPr>
      </w:pPr>
    </w:p>
    <w:p>
      <w:pPr>
        <w:jc w:val="right"/>
        <w:ind w:right="60"/>
        <w:spacing w:after="0"/>
        <w:rPr>
          <w:sz w:val="20"/>
          <w:szCs w:val="20"/>
          <w:color w:val="auto"/>
        </w:rPr>
      </w:pPr>
      <w:r>
        <w:rPr>
          <w:rFonts w:ascii="Arial" w:cs="Arial" w:eastAsia="Arial" w:hAnsi="Arial"/>
          <w:sz w:val="18"/>
          <w:szCs w:val="18"/>
          <w:b w:val="1"/>
          <w:bCs w:val="1"/>
          <w:color w:val="auto"/>
        </w:rPr>
        <w:t>24.3</w:t>
      </w:r>
    </w:p>
    <w:p>
      <w:pPr>
        <w:spacing w:after="0" w:line="9" w:lineRule="exact"/>
        <w:rPr>
          <w:sz w:val="20"/>
          <w:szCs w:val="20"/>
          <w:color w:val="auto"/>
        </w:rPr>
      </w:pPr>
    </w:p>
    <w:p>
      <w:pPr>
        <w:ind w:left="1020"/>
        <w:spacing w:after="0"/>
        <w:rPr>
          <w:sz w:val="20"/>
          <w:szCs w:val="20"/>
          <w:color w:val="auto"/>
        </w:rPr>
      </w:pPr>
      <w:r>
        <w:rPr>
          <w:rFonts w:ascii="Arial" w:cs="Arial" w:eastAsia="Arial" w:hAnsi="Arial"/>
          <w:sz w:val="18"/>
          <w:szCs w:val="18"/>
          <w:b w:val="1"/>
          <w:bCs w:val="1"/>
          <w:color w:val="auto"/>
        </w:rPr>
        <w:t>35.9</w:t>
      </w:r>
    </w:p>
    <w:p>
      <w:pPr>
        <w:spacing w:after="0" w:line="234" w:lineRule="exact"/>
        <w:rPr>
          <w:sz w:val="20"/>
          <w:szCs w:val="20"/>
          <w:color w:val="auto"/>
        </w:rPr>
      </w:pPr>
    </w:p>
    <w:p>
      <w:pPr>
        <w:ind w:left="940" w:hanging="932"/>
        <w:spacing w:after="0"/>
        <w:tabs>
          <w:tab w:leader="none" w:pos="940" w:val="left"/>
        </w:tabs>
        <w:numPr>
          <w:ilvl w:val="0"/>
          <w:numId w:val="6"/>
        </w:numPr>
        <w:rPr>
          <w:rFonts w:ascii="Arial" w:cs="Arial" w:eastAsia="Arial" w:hAnsi="Arial"/>
          <w:sz w:val="18"/>
          <w:szCs w:val="18"/>
          <w:b w:val="1"/>
          <w:bCs w:val="1"/>
          <w:color w:val="auto"/>
        </w:rPr>
      </w:pPr>
      <w:r>
        <w:rPr>
          <w:rFonts w:ascii="Arial" w:cs="Arial" w:eastAsia="Arial" w:hAnsi="Arial"/>
          <w:sz w:val="18"/>
          <w:szCs w:val="18"/>
          <w:b w:val="1"/>
          <w:bCs w:val="1"/>
          <w:color w:val="auto"/>
        </w:rPr>
        <w:t>105.6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34290</wp:posOffset>
            </wp:positionV>
            <wp:extent cx="882650"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882650" cy="8890"/>
                    </a:xfrm>
                    <a:prstGeom prst="rect">
                      <a:avLst/>
                    </a:prstGeom>
                    <a:noFill/>
                  </pic:spPr>
                </pic:pic>
              </a:graphicData>
            </a:graphic>
          </wp:anchor>
        </w:drawing>
      </w:r>
    </w:p>
    <w:p>
      <w:pPr>
        <w:spacing w:after="0" w:line="1536" w:lineRule="exact"/>
        <w:rPr>
          <w:sz w:val="20"/>
          <w:szCs w:val="20"/>
          <w:color w:val="auto"/>
        </w:rPr>
      </w:pPr>
    </w:p>
    <w:p>
      <w:pPr>
        <w:sectPr>
          <w:pgSz w:w="11900" w:h="16838" w:orient="portrait"/>
          <w:cols w:equalWidth="0" w:num="2">
            <w:col w:w="7800" w:space="720"/>
            <w:col w:w="1400"/>
          </w:cols>
          <w:pgMar w:left="980" w:top="665" w:right="999" w:bottom="1440" w:gutter="0" w:footer="0" w:header="0"/>
          <w:type w:val="continuous"/>
        </w:sectPr>
      </w:pPr>
    </w:p>
    <w:p>
      <w:pPr>
        <w:spacing w:after="0" w:line="29" w:lineRule="exact"/>
        <w:rPr>
          <w:sz w:val="20"/>
          <w:szCs w:val="20"/>
          <w:color w:val="auto"/>
        </w:rPr>
      </w:pPr>
    </w:p>
    <w:p>
      <w:pPr>
        <w:ind w:right="120" w:firstLine="648"/>
        <w:spacing w:after="0" w:line="259" w:lineRule="auto"/>
        <w:rPr>
          <w:sz w:val="20"/>
          <w:szCs w:val="20"/>
          <w:color w:val="auto"/>
        </w:rPr>
      </w:pPr>
      <w:r>
        <w:rPr>
          <w:rFonts w:ascii="Arial" w:cs="Arial" w:eastAsia="Arial" w:hAnsi="Arial"/>
          <w:sz w:val="18"/>
          <w:szCs w:val="18"/>
          <w:color w:val="auto"/>
        </w:rPr>
        <w:t>We have relationships with various types of entities which may be VIEs. Certain VIEs are consolidated in our financial results. See Note 1, Nature of Operations and Significant Accounting Policies, under the caption “Consolidation” for further details of our consolidation accounting policies. We did not provide financial or other support to investees designated as VIEs for the periods ended June 30, 2022 and December 31, 2021.</w:t>
      </w: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60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type w:val="continuous"/>
        </w:sectPr>
      </w:pPr>
    </w:p>
    <w:bookmarkStart w:id="15" w:name="page16"/>
    <w:bookmarkEnd w:id="15"/>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Consolidated Variable Interest Entities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Mandatory Retirement Savings Funds</w:t>
      </w:r>
    </w:p>
    <w:p>
      <w:pPr>
        <w:spacing w:after="0" w:line="225" w:lineRule="exact"/>
        <w:rPr>
          <w:sz w:val="20"/>
          <w:szCs w:val="20"/>
          <w:color w:val="auto"/>
        </w:rPr>
      </w:pPr>
    </w:p>
    <w:p>
      <w:pPr>
        <w:ind w:right="60" w:firstLine="648"/>
        <w:spacing w:after="0" w:line="269" w:lineRule="auto"/>
        <w:rPr>
          <w:sz w:val="20"/>
          <w:szCs w:val="20"/>
          <w:color w:val="auto"/>
        </w:rPr>
      </w:pPr>
      <w:r>
        <w:rPr>
          <w:rFonts w:ascii="Arial" w:cs="Arial" w:eastAsia="Arial" w:hAnsi="Arial"/>
          <w:sz w:val="17"/>
          <w:szCs w:val="17"/>
          <w:color w:val="auto"/>
        </w:rPr>
        <w:t>We hold an equity interest in Chilean mandatory privatized social security funds in which we provide asset management services. We determined the mandatory privatized social security funds, which also include contributions for voluntary pension savings, voluntary non-pension savings and compensation savings accounts, are VIEs. This is because the equity holders as a group lack the power, due to voting rights or similar rights, to direct the activities of the entity that most significantly impact the entity’s economic performance and also because equity investors are protected from below-average market investment returns relative to the industry’s return, due to a regulatory guarantee that we provide. Further, we concluded we are the primary beneficiary through our power to make decisions and our significant variable interest in the funds. The purpose of the funds, which reside in legally segregated entities, is to provide long-term retirement savings. The obligation to the customer is directly related to the assets held in the funds and, as such, we present the assets as separate account assets and the obligation as separate account liabilities within our consolidated statements of financial position.</w:t>
      </w:r>
    </w:p>
    <w:p>
      <w:pPr>
        <w:spacing w:after="0" w:line="185" w:lineRule="exact"/>
        <w:rPr>
          <w:sz w:val="20"/>
          <w:szCs w:val="20"/>
          <w:color w:val="auto"/>
        </w:rPr>
      </w:pPr>
    </w:p>
    <w:p>
      <w:pPr>
        <w:ind w:firstLine="648"/>
        <w:spacing w:after="0" w:line="289" w:lineRule="auto"/>
        <w:rPr>
          <w:sz w:val="20"/>
          <w:szCs w:val="20"/>
          <w:color w:val="auto"/>
        </w:rPr>
      </w:pPr>
      <w:r>
        <w:rPr>
          <w:rFonts w:ascii="Arial" w:cs="Arial" w:eastAsia="Arial" w:hAnsi="Arial"/>
          <w:sz w:val="16"/>
          <w:szCs w:val="16"/>
          <w:color w:val="auto"/>
        </w:rPr>
        <w:t>Principal International Hong Kong offers retirement pension schemes in which we provide trustee, administration and asset management services to employers and employees under the Hong Kong Mandatory Provident Fund and Occupational Retirement Schemes Ordinance pension schemes. Each pension scheme has various guaranteed and non-guaranteed constituent funds, or investment options, in which customers can invest their money. The guaranteed funds provide either a guaranteed rate of return to the customer or a minimum guarantee on withdrawals under certain qualifying events. We determined the guaranteed funds are VIEs due to the fact the equity holders, as a group, lack the obligation to absorb expected losses due to the guarantee we provide. We concluded we are the primary beneficiary because we have the power to make decisions and to receive benefits and the obligation to absorb losses that could be potentially significant to the VIE. Therefore, we consolidate the underlying assets and liabilities of the funds and present as separate accounts or within the general account, depending on the terms of the guarantee.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Real Estate</w:t>
      </w:r>
    </w:p>
    <w:p>
      <w:pPr>
        <w:spacing w:after="0" w:line="225"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We invest in several real estate limited partnerships and limited liability companies. The entities invest in real estate properties. Certain of these entities are VIEs based on the combination of our significant economic interest and related voting rights. We determined we are the primary beneficiary as a result of our power to control the entities through our significant ownership. Due to the nature of these real estate investments, the investment balance will fluctuate as we purchase and sell interests in the entities and as capital expenditures are made to improve the underlying real estate.</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Sponsored Investment Funds</w:t>
      </w:r>
    </w:p>
    <w:p>
      <w:pPr>
        <w:spacing w:after="0" w:line="225" w:lineRule="exact"/>
        <w:rPr>
          <w:sz w:val="20"/>
          <w:szCs w:val="20"/>
          <w:color w:val="auto"/>
        </w:rPr>
      </w:pPr>
    </w:p>
    <w:p>
      <w:pPr>
        <w:ind w:right="40" w:firstLine="648"/>
        <w:spacing w:after="0" w:line="296" w:lineRule="auto"/>
        <w:rPr>
          <w:sz w:val="20"/>
          <w:szCs w:val="20"/>
          <w:color w:val="auto"/>
        </w:rPr>
      </w:pPr>
      <w:r>
        <w:rPr>
          <w:rFonts w:ascii="Arial" w:cs="Arial" w:eastAsia="Arial" w:hAnsi="Arial"/>
          <w:sz w:val="16"/>
          <w:szCs w:val="16"/>
          <w:color w:val="auto"/>
        </w:rPr>
        <w:t>We sponsor and invest in certain investment funds for which we provide asset management services. Although our asset management fee is commensurate with the services provided and consistent with fees for similar services negotiated at arms-length, we have a variable interest for funds where our other interests are more than insignificant. The funds are VIEs as the equity holders lack power through voting rights to direct the activities of the entity that most significantly impact its economic performance. We determined we are the primary beneficiary of the VIEs where our interest in the entity is more than insignificant and we are the asset manager.</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Residential Mortgage Loans</w:t>
      </w:r>
    </w:p>
    <w:p>
      <w:pPr>
        <w:spacing w:after="0" w:line="225" w:lineRule="exact"/>
        <w:rPr>
          <w:sz w:val="20"/>
          <w:szCs w:val="20"/>
          <w:color w:val="auto"/>
        </w:rPr>
      </w:pPr>
    </w:p>
    <w:p>
      <w:pPr>
        <w:ind w:right="80" w:firstLine="648"/>
        <w:spacing w:after="0" w:line="259" w:lineRule="auto"/>
        <w:rPr>
          <w:sz w:val="20"/>
          <w:szCs w:val="20"/>
          <w:color w:val="auto"/>
        </w:rPr>
      </w:pPr>
      <w:r>
        <w:rPr>
          <w:rFonts w:ascii="Arial" w:cs="Arial" w:eastAsia="Arial" w:hAnsi="Arial"/>
          <w:sz w:val="18"/>
          <w:szCs w:val="18"/>
          <w:color w:val="auto"/>
        </w:rPr>
        <w:t>We invest in asset-backed securities (“ABS”) trusts. The trusts issue various collateralized mortgage obligation certificates and purchase residential mortgage loans. The trusts are considered VIEs due to insufficient equity to sustain themselves. We concluded we are the primary beneficiary as we purchase substantially all of the certificates and have the obligation to absorb losses that could potentially be significant to the VIEs.</w:t>
      </w:r>
    </w:p>
    <w:p>
      <w:pPr>
        <w:spacing w:after="0" w:line="200" w:lineRule="exact"/>
        <w:rPr>
          <w:sz w:val="20"/>
          <w:szCs w:val="20"/>
          <w:color w:val="auto"/>
        </w:rPr>
      </w:pPr>
    </w:p>
    <w:p>
      <w:pPr>
        <w:spacing w:after="0" w:line="20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540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860"/>
          </w:cols>
          <w:pgMar w:left="980" w:top="665" w:right="1059" w:bottom="1440" w:gutter="0" w:footer="0" w:header="0"/>
        </w:sectPr>
      </w:pPr>
    </w:p>
    <w:bookmarkStart w:id="16" w:name="page17"/>
    <w:bookmarkEnd w:id="16"/>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Assets and Liabilities of Consolidated Variable Interest Entities</w:t>
      </w:r>
    </w:p>
    <w:p>
      <w:pPr>
        <w:spacing w:after="0" w:line="225" w:lineRule="exact"/>
        <w:rPr>
          <w:sz w:val="20"/>
          <w:szCs w:val="20"/>
          <w:color w:val="auto"/>
        </w:rPr>
      </w:pPr>
    </w:p>
    <w:p>
      <w:pPr>
        <w:ind w:right="300" w:firstLine="648"/>
        <w:spacing w:after="0" w:line="277" w:lineRule="auto"/>
        <w:rPr>
          <w:sz w:val="20"/>
          <w:szCs w:val="20"/>
          <w:color w:val="auto"/>
        </w:rPr>
      </w:pPr>
      <w:r>
        <w:rPr>
          <w:rFonts w:ascii="Arial" w:cs="Arial" w:eastAsia="Arial" w:hAnsi="Arial"/>
          <w:sz w:val="18"/>
          <w:szCs w:val="18"/>
          <w:color w:val="auto"/>
        </w:rPr>
        <w:t>The carrying amounts of our consolidated VIE assets, which can only be used to settle obligations of consolidated VIEs, and liabilities of consolidated VIEs for which creditors do not have recourse were as follows:</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480" w:type="dxa"/>
            <w:vAlign w:val="bottom"/>
          </w:tcPr>
          <w:p>
            <w:pPr>
              <w:spacing w:after="0"/>
              <w:rPr>
                <w:sz w:val="14"/>
                <w:szCs w:val="14"/>
                <w:color w:val="auto"/>
              </w:rPr>
            </w:pPr>
          </w:p>
        </w:tc>
        <w:tc>
          <w:tcPr>
            <w:tcW w:w="192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1880" w:type="dxa"/>
            <w:vAlign w:val="bottom"/>
            <w:tcBorders>
              <w:bottom w:val="single" w:sz="8" w:color="auto"/>
            </w:tcBorders>
            <w:gridSpan w:val="3"/>
          </w:tcPr>
          <w:p>
            <w:pPr>
              <w:jc w:val="right"/>
              <w:ind w:right="445"/>
              <w:spacing w:after="0"/>
              <w:rPr>
                <w:sz w:val="20"/>
                <w:szCs w:val="20"/>
                <w:color w:val="auto"/>
              </w:rPr>
            </w:pPr>
            <w:r>
              <w:rPr>
                <w:rFonts w:ascii="Arial" w:cs="Arial" w:eastAsia="Arial" w:hAnsi="Arial"/>
                <w:sz w:val="14"/>
                <w:szCs w:val="14"/>
                <w:b w:val="1"/>
                <w:bCs w:val="1"/>
                <w:color w:val="auto"/>
              </w:rPr>
              <w:t>June 30, 2022</w:t>
            </w:r>
          </w:p>
        </w:tc>
        <w:tc>
          <w:tcPr>
            <w:tcW w:w="1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780" w:type="dxa"/>
            <w:vAlign w:val="bottom"/>
            <w:tcBorders>
              <w:bottom w:val="single" w:sz="8" w:color="auto"/>
            </w:tcBorders>
            <w:gridSpan w:val="4"/>
          </w:tcPr>
          <w:p>
            <w:pPr>
              <w:jc w:val="right"/>
              <w:ind w:right="296"/>
              <w:spacing w:after="0"/>
              <w:rPr>
                <w:sz w:val="20"/>
                <w:szCs w:val="20"/>
                <w:color w:val="auto"/>
              </w:rPr>
            </w:pPr>
            <w:r>
              <w:rPr>
                <w:rFonts w:ascii="Arial" w:cs="Arial" w:eastAsia="Arial" w:hAnsi="Arial"/>
                <w:sz w:val="14"/>
                <w:szCs w:val="14"/>
                <w:b w:val="1"/>
                <w:bCs w:val="1"/>
                <w:color w:val="auto"/>
              </w:rPr>
              <w:t>December 31, 2021</w:t>
            </w:r>
          </w:p>
        </w:tc>
      </w:tr>
      <w:tr>
        <w:trPr>
          <w:trHeight w:val="119"/>
        </w:trPr>
        <w:tc>
          <w:tcPr>
            <w:tcW w:w="2480" w:type="dxa"/>
            <w:vAlign w:val="bottom"/>
          </w:tcPr>
          <w:p>
            <w:pPr>
              <w:spacing w:after="0"/>
              <w:rPr>
                <w:sz w:val="10"/>
                <w:szCs w:val="10"/>
                <w:color w:val="auto"/>
              </w:rPr>
            </w:pPr>
          </w:p>
        </w:tc>
        <w:tc>
          <w:tcPr>
            <w:tcW w:w="1920" w:type="dxa"/>
            <w:vAlign w:val="bottom"/>
          </w:tcPr>
          <w:p>
            <w:pPr>
              <w:spacing w:after="0"/>
              <w:rPr>
                <w:sz w:val="10"/>
                <w:szCs w:val="10"/>
                <w:color w:val="auto"/>
              </w:rPr>
            </w:pPr>
          </w:p>
        </w:tc>
        <w:tc>
          <w:tcPr>
            <w:tcW w:w="1540" w:type="dxa"/>
            <w:vAlign w:val="bottom"/>
          </w:tcPr>
          <w:p>
            <w:pPr>
              <w:spacing w:after="0"/>
              <w:rPr>
                <w:sz w:val="10"/>
                <w:szCs w:val="10"/>
                <w:color w:val="auto"/>
              </w:rPr>
            </w:pPr>
          </w:p>
        </w:tc>
        <w:tc>
          <w:tcPr>
            <w:tcW w:w="860" w:type="dxa"/>
            <w:vAlign w:val="bottom"/>
          </w:tcPr>
          <w:p>
            <w:pPr>
              <w:jc w:val="right"/>
              <w:ind w:right="185"/>
              <w:spacing w:after="0" w:line="119" w:lineRule="exact"/>
              <w:rPr>
                <w:sz w:val="20"/>
                <w:szCs w:val="20"/>
                <w:color w:val="auto"/>
              </w:rPr>
            </w:pPr>
            <w:r>
              <w:rPr>
                <w:rFonts w:ascii="Arial" w:cs="Arial" w:eastAsia="Arial" w:hAnsi="Arial"/>
                <w:sz w:val="13"/>
                <w:szCs w:val="13"/>
                <w:b w:val="1"/>
                <w:bCs w:val="1"/>
                <w:color w:val="auto"/>
              </w:rPr>
              <w:t>Total</w:t>
            </w:r>
          </w:p>
        </w:tc>
        <w:tc>
          <w:tcPr>
            <w:tcW w:w="180" w:type="dxa"/>
            <w:vAlign w:val="bottom"/>
          </w:tcPr>
          <w:p>
            <w:pPr>
              <w:spacing w:after="0"/>
              <w:rPr>
                <w:sz w:val="10"/>
                <w:szCs w:val="10"/>
                <w:color w:val="auto"/>
              </w:rPr>
            </w:pPr>
          </w:p>
        </w:tc>
        <w:tc>
          <w:tcPr>
            <w:tcW w:w="840" w:type="dxa"/>
            <w:vAlign w:val="bottom"/>
          </w:tcPr>
          <w:p>
            <w:pPr>
              <w:jc w:val="right"/>
              <w:ind w:right="185"/>
              <w:spacing w:after="0" w:line="119" w:lineRule="exact"/>
              <w:rPr>
                <w:sz w:val="20"/>
                <w:szCs w:val="20"/>
                <w:color w:val="auto"/>
              </w:rPr>
            </w:pPr>
            <w:r>
              <w:rPr>
                <w:rFonts w:ascii="Arial" w:cs="Arial" w:eastAsia="Arial" w:hAnsi="Arial"/>
                <w:sz w:val="13"/>
                <w:szCs w:val="13"/>
                <w:b w:val="1"/>
                <w:bCs w:val="1"/>
                <w:color w:val="auto"/>
              </w:rPr>
              <w:t>Total</w:t>
            </w:r>
          </w:p>
        </w:tc>
        <w:tc>
          <w:tcPr>
            <w:tcW w:w="1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00" w:type="dxa"/>
            <w:vAlign w:val="bottom"/>
            <w:gridSpan w:val="2"/>
          </w:tcPr>
          <w:p>
            <w:pPr>
              <w:ind w:left="140"/>
              <w:spacing w:after="0" w:line="119" w:lineRule="exact"/>
              <w:rPr>
                <w:sz w:val="20"/>
                <w:szCs w:val="20"/>
                <w:color w:val="auto"/>
              </w:rPr>
            </w:pPr>
            <w:r>
              <w:rPr>
                <w:rFonts w:ascii="Arial" w:cs="Arial" w:eastAsia="Arial" w:hAnsi="Arial"/>
                <w:sz w:val="13"/>
                <w:szCs w:val="13"/>
                <w:b w:val="1"/>
                <w:bCs w:val="1"/>
                <w:color w:val="auto"/>
              </w:rPr>
              <w:t>Total</w:t>
            </w:r>
          </w:p>
        </w:tc>
        <w:tc>
          <w:tcPr>
            <w:tcW w:w="120" w:type="dxa"/>
            <w:vAlign w:val="bottom"/>
          </w:tcPr>
          <w:p>
            <w:pPr>
              <w:spacing w:after="0"/>
              <w:rPr>
                <w:sz w:val="10"/>
                <w:szCs w:val="10"/>
                <w:color w:val="auto"/>
              </w:rPr>
            </w:pPr>
          </w:p>
        </w:tc>
        <w:tc>
          <w:tcPr>
            <w:tcW w:w="760" w:type="dxa"/>
            <w:vAlign w:val="bottom"/>
          </w:tcPr>
          <w:p>
            <w:pPr>
              <w:jc w:val="right"/>
              <w:ind w:right="196"/>
              <w:spacing w:after="0" w:line="119" w:lineRule="exact"/>
              <w:rPr>
                <w:sz w:val="20"/>
                <w:szCs w:val="20"/>
                <w:color w:val="auto"/>
              </w:rPr>
            </w:pPr>
            <w:r>
              <w:rPr>
                <w:rFonts w:ascii="Arial" w:cs="Arial" w:eastAsia="Arial" w:hAnsi="Arial"/>
                <w:sz w:val="13"/>
                <w:szCs w:val="13"/>
                <w:b w:val="1"/>
                <w:bCs w:val="1"/>
                <w:color w:val="auto"/>
              </w:rPr>
              <w:t>Total</w:t>
            </w:r>
          </w:p>
        </w:tc>
      </w:tr>
      <w:tr>
        <w:trPr>
          <w:trHeight w:val="171"/>
        </w:trPr>
        <w:tc>
          <w:tcPr>
            <w:tcW w:w="2480" w:type="dxa"/>
            <w:vAlign w:val="bottom"/>
          </w:tcPr>
          <w:p>
            <w:pPr>
              <w:spacing w:after="0"/>
              <w:rPr>
                <w:sz w:val="14"/>
                <w:szCs w:val="14"/>
                <w:color w:val="auto"/>
              </w:rPr>
            </w:pPr>
          </w:p>
        </w:tc>
        <w:tc>
          <w:tcPr>
            <w:tcW w:w="192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860" w:type="dxa"/>
            <w:vAlign w:val="bottom"/>
            <w:tcBorders>
              <w:bottom w:val="single" w:sz="8" w:color="auto"/>
            </w:tcBorders>
          </w:tcPr>
          <w:p>
            <w:pPr>
              <w:jc w:val="right"/>
              <w:ind w:right="165"/>
              <w:spacing w:after="0"/>
              <w:rPr>
                <w:sz w:val="20"/>
                <w:szCs w:val="20"/>
                <w:color w:val="auto"/>
              </w:rPr>
            </w:pPr>
            <w:r>
              <w:rPr>
                <w:rFonts w:ascii="Arial" w:cs="Arial" w:eastAsia="Arial" w:hAnsi="Arial"/>
                <w:sz w:val="14"/>
                <w:szCs w:val="14"/>
                <w:b w:val="1"/>
                <w:bCs w:val="1"/>
                <w:color w:val="auto"/>
              </w:rPr>
              <w:t>assets</w:t>
            </w:r>
          </w:p>
        </w:tc>
        <w:tc>
          <w:tcPr>
            <w:tcW w:w="180" w:type="dxa"/>
            <w:vAlign w:val="bottom"/>
          </w:tcPr>
          <w:p>
            <w:pPr>
              <w:spacing w:after="0"/>
              <w:rPr>
                <w:sz w:val="14"/>
                <w:szCs w:val="14"/>
                <w:color w:val="auto"/>
              </w:rPr>
            </w:pPr>
          </w:p>
        </w:tc>
        <w:tc>
          <w:tcPr>
            <w:tcW w:w="840" w:type="dxa"/>
            <w:vAlign w:val="bottom"/>
            <w:tcBorders>
              <w:bottom w:val="single" w:sz="8" w:color="auto"/>
            </w:tcBorders>
          </w:tcPr>
          <w:p>
            <w:pPr>
              <w:jc w:val="right"/>
              <w:ind w:right="65"/>
              <w:spacing w:after="0"/>
              <w:rPr>
                <w:sz w:val="20"/>
                <w:szCs w:val="20"/>
                <w:color w:val="auto"/>
              </w:rPr>
            </w:pPr>
            <w:r>
              <w:rPr>
                <w:rFonts w:ascii="Arial" w:cs="Arial" w:eastAsia="Arial" w:hAnsi="Arial"/>
                <w:sz w:val="14"/>
                <w:szCs w:val="14"/>
                <w:b w:val="1"/>
                <w:bCs w:val="1"/>
                <w:color w:val="auto"/>
              </w:rPr>
              <w:t>liabilities</w:t>
            </w:r>
          </w:p>
        </w:tc>
        <w:tc>
          <w:tcPr>
            <w:tcW w:w="1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177"/>
              <w:spacing w:after="0"/>
              <w:rPr>
                <w:sz w:val="20"/>
                <w:szCs w:val="20"/>
                <w:color w:val="auto"/>
              </w:rPr>
            </w:pPr>
            <w:r>
              <w:rPr>
                <w:rFonts w:ascii="Arial" w:cs="Arial" w:eastAsia="Arial" w:hAnsi="Arial"/>
                <w:sz w:val="14"/>
                <w:szCs w:val="14"/>
                <w:b w:val="1"/>
                <w:bCs w:val="1"/>
                <w:color w:val="auto"/>
              </w:rPr>
              <w:t>assets</w:t>
            </w:r>
          </w:p>
        </w:tc>
        <w:tc>
          <w:tcPr>
            <w:tcW w:w="1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76"/>
              <w:spacing w:after="0"/>
              <w:rPr>
                <w:sz w:val="20"/>
                <w:szCs w:val="20"/>
                <w:color w:val="auto"/>
              </w:rPr>
            </w:pPr>
            <w:r>
              <w:rPr>
                <w:rFonts w:ascii="Arial" w:cs="Arial" w:eastAsia="Arial" w:hAnsi="Arial"/>
                <w:sz w:val="14"/>
                <w:szCs w:val="14"/>
                <w:b w:val="1"/>
                <w:bCs w:val="1"/>
                <w:color w:val="auto"/>
                <w:w w:val="96"/>
              </w:rPr>
              <w:t>liabilities</w:t>
            </w:r>
          </w:p>
        </w:tc>
      </w:tr>
      <w:tr>
        <w:trPr>
          <w:trHeight w:val="128"/>
        </w:trPr>
        <w:tc>
          <w:tcPr>
            <w:tcW w:w="2480" w:type="dxa"/>
            <w:vAlign w:val="bottom"/>
          </w:tcPr>
          <w:p>
            <w:pPr>
              <w:spacing w:after="0"/>
              <w:rPr>
                <w:sz w:val="11"/>
                <w:szCs w:val="11"/>
                <w:color w:val="auto"/>
              </w:rPr>
            </w:pPr>
          </w:p>
        </w:tc>
        <w:tc>
          <w:tcPr>
            <w:tcW w:w="1920" w:type="dxa"/>
            <w:vAlign w:val="bottom"/>
          </w:tcPr>
          <w:p>
            <w:pPr>
              <w:spacing w:after="0"/>
              <w:rPr>
                <w:sz w:val="11"/>
                <w:szCs w:val="11"/>
                <w:color w:val="auto"/>
              </w:rPr>
            </w:pPr>
          </w:p>
        </w:tc>
        <w:tc>
          <w:tcPr>
            <w:tcW w:w="15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880" w:type="dxa"/>
            <w:vAlign w:val="bottom"/>
            <w:gridSpan w:val="4"/>
          </w:tcPr>
          <w:p>
            <w:pPr>
              <w:jc w:val="right"/>
              <w:ind w:right="497"/>
              <w:spacing w:after="0" w:line="129" w:lineRule="exact"/>
              <w:rPr>
                <w:sz w:val="20"/>
                <w:szCs w:val="20"/>
                <w:color w:val="auto"/>
              </w:rPr>
            </w:pPr>
            <w:r>
              <w:rPr>
                <w:rFonts w:ascii="Arial" w:cs="Arial" w:eastAsia="Arial" w:hAnsi="Arial"/>
                <w:sz w:val="14"/>
                <w:szCs w:val="14"/>
                <w:i w:val="1"/>
                <w:iCs w:val="1"/>
                <w:color w:val="auto"/>
              </w:rPr>
              <w:t>(in millions)</w:t>
            </w: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60" w:type="dxa"/>
            <w:vAlign w:val="bottom"/>
          </w:tcPr>
          <w:p>
            <w:pPr>
              <w:spacing w:after="0"/>
              <w:rPr>
                <w:sz w:val="11"/>
                <w:szCs w:val="11"/>
                <w:color w:val="auto"/>
              </w:rPr>
            </w:pPr>
          </w:p>
        </w:tc>
      </w:tr>
      <w:tr>
        <w:trPr>
          <w:trHeight w:val="216"/>
        </w:trPr>
        <w:tc>
          <w:tcPr>
            <w:tcW w:w="4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Mandatory retirement savings funds (1)</w:t>
            </w:r>
          </w:p>
        </w:tc>
        <w:tc>
          <w:tcPr>
            <w:tcW w:w="240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$ 31,182.4</w:t>
            </w:r>
          </w:p>
        </w:tc>
        <w:tc>
          <w:tcPr>
            <w:tcW w:w="10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$ 30,866.2</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34,687.0</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6"/>
              </w:rPr>
              <w:t>34,301.8</w:t>
            </w:r>
          </w:p>
        </w:tc>
      </w:tr>
      <w:tr>
        <w:trPr>
          <w:trHeight w:val="216"/>
        </w:trPr>
        <w:tc>
          <w:tcPr>
            <w:tcW w:w="4400" w:type="dxa"/>
            <w:vAlign w:val="bottom"/>
            <w:gridSpan w:val="2"/>
          </w:tcPr>
          <w:p>
            <w:pPr>
              <w:spacing w:after="0"/>
              <w:rPr>
                <w:sz w:val="20"/>
                <w:szCs w:val="20"/>
                <w:color w:val="auto"/>
              </w:rPr>
            </w:pPr>
            <w:r>
              <w:rPr>
                <w:rFonts w:ascii="Arial" w:cs="Arial" w:eastAsia="Arial" w:hAnsi="Arial"/>
                <w:sz w:val="18"/>
                <w:szCs w:val="18"/>
                <w:color w:val="auto"/>
              </w:rPr>
              <w:t>Real estate (2)</w:t>
            </w:r>
          </w:p>
        </w:tc>
        <w:tc>
          <w:tcPr>
            <w:tcW w:w="2400" w:type="dxa"/>
            <w:vAlign w:val="bottom"/>
            <w:gridSpan w:val="2"/>
          </w:tcPr>
          <w:p>
            <w:pPr>
              <w:jc w:val="right"/>
              <w:spacing w:after="0"/>
              <w:rPr>
                <w:sz w:val="20"/>
                <w:szCs w:val="20"/>
                <w:color w:val="auto"/>
              </w:rPr>
            </w:pPr>
            <w:r>
              <w:rPr>
                <w:rFonts w:ascii="Arial" w:cs="Arial" w:eastAsia="Arial" w:hAnsi="Arial"/>
                <w:sz w:val="18"/>
                <w:szCs w:val="18"/>
                <w:b w:val="1"/>
                <w:bCs w:val="1"/>
                <w:color w:val="auto"/>
              </w:rPr>
              <w:t>575.0</w:t>
            </w:r>
          </w:p>
        </w:tc>
        <w:tc>
          <w:tcPr>
            <w:tcW w:w="1020" w:type="dxa"/>
            <w:vAlign w:val="bottom"/>
            <w:gridSpan w:val="2"/>
          </w:tcPr>
          <w:p>
            <w:pPr>
              <w:jc w:val="right"/>
              <w:spacing w:after="0"/>
              <w:rPr>
                <w:sz w:val="20"/>
                <w:szCs w:val="20"/>
                <w:color w:val="auto"/>
              </w:rPr>
            </w:pPr>
            <w:r>
              <w:rPr>
                <w:rFonts w:ascii="Arial" w:cs="Arial" w:eastAsia="Arial" w:hAnsi="Arial"/>
                <w:sz w:val="18"/>
                <w:szCs w:val="18"/>
                <w:b w:val="1"/>
                <w:bCs w:val="1"/>
                <w:color w:val="auto"/>
              </w:rPr>
              <w:t>38.1</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709.6</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36.1</w:t>
            </w:r>
          </w:p>
        </w:tc>
      </w:tr>
      <w:tr>
        <w:trPr>
          <w:trHeight w:val="216"/>
        </w:trPr>
        <w:tc>
          <w:tcPr>
            <w:tcW w:w="4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Sponsored investment funds (3)</w:t>
            </w:r>
          </w:p>
        </w:tc>
        <w:tc>
          <w:tcPr>
            <w:tcW w:w="240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479.6</w:t>
            </w:r>
          </w:p>
        </w:tc>
        <w:tc>
          <w:tcPr>
            <w:tcW w:w="10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5.7</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609.4</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w:t>
            </w:r>
          </w:p>
        </w:tc>
      </w:tr>
      <w:tr>
        <w:trPr>
          <w:trHeight w:val="216"/>
        </w:trPr>
        <w:tc>
          <w:tcPr>
            <w:tcW w:w="4400" w:type="dxa"/>
            <w:vAlign w:val="bottom"/>
            <w:gridSpan w:val="2"/>
          </w:tcPr>
          <w:p>
            <w:pPr>
              <w:spacing w:after="0"/>
              <w:rPr>
                <w:sz w:val="20"/>
                <w:szCs w:val="20"/>
                <w:color w:val="auto"/>
              </w:rPr>
            </w:pPr>
            <w:r>
              <w:rPr>
                <w:rFonts w:ascii="Arial" w:cs="Arial" w:eastAsia="Arial" w:hAnsi="Arial"/>
                <w:sz w:val="18"/>
                <w:szCs w:val="18"/>
                <w:color w:val="auto"/>
              </w:rPr>
              <w:t>Residential mortgage loans (4)</w:t>
            </w:r>
          </w:p>
        </w:tc>
        <w:tc>
          <w:tcPr>
            <w:tcW w:w="2400" w:type="dxa"/>
            <w:vAlign w:val="bottom"/>
            <w:gridSpan w:val="2"/>
          </w:tcPr>
          <w:p>
            <w:pPr>
              <w:jc w:val="right"/>
              <w:spacing w:after="0"/>
              <w:rPr>
                <w:sz w:val="20"/>
                <w:szCs w:val="20"/>
                <w:color w:val="auto"/>
              </w:rPr>
            </w:pPr>
            <w:r>
              <w:rPr>
                <w:rFonts w:ascii="Arial" w:cs="Arial" w:eastAsia="Arial" w:hAnsi="Arial"/>
                <w:sz w:val="18"/>
                <w:szCs w:val="18"/>
                <w:b w:val="1"/>
                <w:bCs w:val="1"/>
                <w:color w:val="auto"/>
              </w:rPr>
              <w:t>1,529.3</w:t>
            </w:r>
          </w:p>
        </w:tc>
        <w:tc>
          <w:tcPr>
            <w:tcW w:w="1020" w:type="dxa"/>
            <w:vAlign w:val="bottom"/>
            <w:gridSpan w:val="2"/>
          </w:tcPr>
          <w:p>
            <w:pPr>
              <w:jc w:val="right"/>
              <w:spacing w:after="0"/>
              <w:rPr>
                <w:sz w:val="20"/>
                <w:szCs w:val="20"/>
                <w:color w:val="auto"/>
              </w:rPr>
            </w:pPr>
            <w:r>
              <w:rPr>
                <w:rFonts w:ascii="Arial" w:cs="Arial" w:eastAsia="Arial" w:hAnsi="Arial"/>
                <w:sz w:val="18"/>
                <w:szCs w:val="18"/>
                <w:b w:val="1"/>
                <w:bCs w:val="1"/>
                <w:color w:val="auto"/>
              </w:rPr>
              <w:t>44.9</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1,263.2</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20.3</w:t>
            </w:r>
          </w:p>
        </w:tc>
      </w:tr>
      <w:tr>
        <w:trPr>
          <w:trHeight w:val="209"/>
        </w:trPr>
        <w:tc>
          <w:tcPr>
            <w:tcW w:w="4400" w:type="dxa"/>
            <w:vAlign w:val="bottom"/>
            <w:tcBorders>
              <w:top w:val="single" w:sz="8" w:color="CCEEFF"/>
              <w:bottom w:val="single" w:sz="8" w:color="CCEEFF"/>
            </w:tcBorders>
            <w:gridSpan w:val="2"/>
            <w:shd w:val="clear" w:color="auto" w:fill="CCEEFF"/>
          </w:tcPr>
          <w:p>
            <w:pPr>
              <w:ind w:left="120"/>
              <w:spacing w:after="0"/>
              <w:rPr>
                <w:sz w:val="20"/>
                <w:szCs w:val="20"/>
                <w:color w:val="auto"/>
              </w:rPr>
            </w:pPr>
            <w:r>
              <w:rPr>
                <w:rFonts w:ascii="Arial" w:cs="Arial" w:eastAsia="Arial" w:hAnsi="Arial"/>
                <w:sz w:val="18"/>
                <w:szCs w:val="18"/>
                <w:color w:val="auto"/>
              </w:rPr>
              <w:t>Total</w:t>
            </w:r>
          </w:p>
        </w:tc>
        <w:tc>
          <w:tcPr>
            <w:tcW w:w="1540" w:type="dxa"/>
            <w:vAlign w:val="bottom"/>
            <w:tcBorders>
              <w:top w:val="single" w:sz="8" w:color="CCEEFF"/>
              <w:bottom w:val="single" w:sz="8" w:color="CCEEFF"/>
            </w:tcBorders>
            <w:shd w:val="clear" w:color="auto" w:fill="CCEEFF"/>
          </w:tcPr>
          <w:p>
            <w:pPr>
              <w:spacing w:after="0"/>
              <w:rPr>
                <w:sz w:val="18"/>
                <w:szCs w:val="18"/>
                <w:color w:val="auto"/>
              </w:rPr>
            </w:pP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1"/>
              </w:rPr>
              <w:t>$ 33,766.3</w:t>
            </w:r>
          </w:p>
        </w:tc>
        <w:tc>
          <w:tcPr>
            <w:tcW w:w="180" w:type="dxa"/>
            <w:vAlign w:val="bottom"/>
            <w:tcBorders>
              <w:top w:val="single" w:sz="8" w:color="CCEEFF"/>
              <w:bottom w:val="single" w:sz="8" w:color="CCEEFF"/>
            </w:tcBorders>
            <w:shd w:val="clear" w:color="auto" w:fill="CCEEFF"/>
          </w:tcPr>
          <w:p>
            <w:pPr>
              <w:spacing w:after="0"/>
              <w:rPr>
                <w:sz w:val="18"/>
                <w:szCs w:val="18"/>
                <w:color w:val="auto"/>
              </w:rPr>
            </w:pPr>
          </w:p>
        </w:tc>
        <w:tc>
          <w:tcPr>
            <w:tcW w:w="8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1"/>
              </w:rPr>
              <w:t>$ 30,954.9</w:t>
            </w:r>
          </w:p>
        </w:tc>
        <w:tc>
          <w:tcPr>
            <w:tcW w:w="18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4"/>
              </w:rPr>
              <w:t>37,269.2</w:t>
            </w:r>
          </w:p>
        </w:tc>
        <w:tc>
          <w:tcPr>
            <w:tcW w:w="18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6"/>
              </w:rPr>
              <w:t>34,360.7</w:t>
            </w:r>
          </w:p>
        </w:tc>
      </w:tr>
      <w:tr>
        <w:trPr>
          <w:trHeight w:val="20"/>
        </w:trPr>
        <w:tc>
          <w:tcPr>
            <w:tcW w:w="2480" w:type="dxa"/>
            <w:vAlign w:val="bottom"/>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r>
      <w:tr>
        <w:trPr>
          <w:trHeight w:val="88"/>
        </w:trPr>
        <w:tc>
          <w:tcPr>
            <w:tcW w:w="2480" w:type="dxa"/>
            <w:vAlign w:val="bottom"/>
            <w:tcBorders>
              <w:bottom w:val="single" w:sz="8" w:color="auto"/>
            </w:tcBorders>
          </w:tcPr>
          <w:p>
            <w:pPr>
              <w:spacing w:after="0"/>
              <w:rPr>
                <w:sz w:val="7"/>
                <w:szCs w:val="7"/>
                <w:color w:val="auto"/>
              </w:rPr>
            </w:pPr>
          </w:p>
        </w:tc>
        <w:tc>
          <w:tcPr>
            <w:tcW w:w="1920" w:type="dxa"/>
            <w:vAlign w:val="bottom"/>
          </w:tcPr>
          <w:p>
            <w:pPr>
              <w:spacing w:after="0"/>
              <w:rPr>
                <w:sz w:val="7"/>
                <w:szCs w:val="7"/>
                <w:color w:val="auto"/>
              </w:rPr>
            </w:pPr>
          </w:p>
        </w:tc>
        <w:tc>
          <w:tcPr>
            <w:tcW w:w="1540" w:type="dxa"/>
            <w:vAlign w:val="bottom"/>
          </w:tcPr>
          <w:p>
            <w:pPr>
              <w:spacing w:after="0"/>
              <w:rPr>
                <w:sz w:val="7"/>
                <w:szCs w:val="7"/>
                <w:color w:val="auto"/>
              </w:rPr>
            </w:pPr>
          </w:p>
        </w:tc>
        <w:tc>
          <w:tcPr>
            <w:tcW w:w="860" w:type="dxa"/>
            <w:vAlign w:val="bottom"/>
          </w:tcPr>
          <w:p>
            <w:pPr>
              <w:spacing w:after="0"/>
              <w:rPr>
                <w:sz w:val="7"/>
                <w:szCs w:val="7"/>
                <w:color w:val="auto"/>
              </w:rPr>
            </w:pPr>
          </w:p>
        </w:tc>
        <w:tc>
          <w:tcPr>
            <w:tcW w:w="180" w:type="dxa"/>
            <w:vAlign w:val="bottom"/>
          </w:tcPr>
          <w:p>
            <w:pPr>
              <w:spacing w:after="0"/>
              <w:rPr>
                <w:sz w:val="7"/>
                <w:szCs w:val="7"/>
                <w:color w:val="auto"/>
              </w:rPr>
            </w:pPr>
          </w:p>
        </w:tc>
        <w:tc>
          <w:tcPr>
            <w:tcW w:w="840" w:type="dxa"/>
            <w:vAlign w:val="bottom"/>
          </w:tcPr>
          <w:p>
            <w:pPr>
              <w:spacing w:after="0"/>
              <w:rPr>
                <w:sz w:val="7"/>
                <w:szCs w:val="7"/>
                <w:color w:val="auto"/>
              </w:rPr>
            </w:pPr>
          </w:p>
        </w:tc>
        <w:tc>
          <w:tcPr>
            <w:tcW w:w="180" w:type="dxa"/>
            <w:vAlign w:val="bottom"/>
          </w:tcPr>
          <w:p>
            <w:pPr>
              <w:spacing w:after="0"/>
              <w:rPr>
                <w:sz w:val="7"/>
                <w:szCs w:val="7"/>
                <w:color w:val="auto"/>
              </w:rPr>
            </w:pPr>
          </w:p>
        </w:tc>
        <w:tc>
          <w:tcPr>
            <w:tcW w:w="140" w:type="dxa"/>
            <w:vAlign w:val="bottom"/>
          </w:tcPr>
          <w:p>
            <w:pPr>
              <w:spacing w:after="0"/>
              <w:rPr>
                <w:sz w:val="7"/>
                <w:szCs w:val="7"/>
                <w:color w:val="auto"/>
              </w:rPr>
            </w:pPr>
          </w:p>
        </w:tc>
        <w:tc>
          <w:tcPr>
            <w:tcW w:w="720" w:type="dxa"/>
            <w:vAlign w:val="bottom"/>
          </w:tcPr>
          <w:p>
            <w:pPr>
              <w:spacing w:after="0"/>
              <w:rPr>
                <w:sz w:val="7"/>
                <w:szCs w:val="7"/>
                <w:color w:val="auto"/>
              </w:rPr>
            </w:pPr>
          </w:p>
        </w:tc>
        <w:tc>
          <w:tcPr>
            <w:tcW w:w="180" w:type="dxa"/>
            <w:vAlign w:val="bottom"/>
          </w:tcPr>
          <w:p>
            <w:pPr>
              <w:spacing w:after="0"/>
              <w:rPr>
                <w:sz w:val="7"/>
                <w:szCs w:val="7"/>
                <w:color w:val="auto"/>
              </w:rPr>
            </w:pPr>
          </w:p>
        </w:tc>
        <w:tc>
          <w:tcPr>
            <w:tcW w:w="120" w:type="dxa"/>
            <w:vAlign w:val="bottom"/>
          </w:tcPr>
          <w:p>
            <w:pPr>
              <w:spacing w:after="0"/>
              <w:rPr>
                <w:sz w:val="7"/>
                <w:szCs w:val="7"/>
                <w:color w:val="auto"/>
              </w:rPr>
            </w:pPr>
          </w:p>
        </w:tc>
        <w:tc>
          <w:tcPr>
            <w:tcW w:w="760" w:type="dxa"/>
            <w:vAlign w:val="bottom"/>
          </w:tcPr>
          <w:p>
            <w:pPr>
              <w:spacing w:after="0"/>
              <w:rPr>
                <w:sz w:val="7"/>
                <w:szCs w:val="7"/>
                <w:color w:val="auto"/>
              </w:rPr>
            </w:pPr>
          </w:p>
        </w:tc>
      </w:tr>
    </w:tbl>
    <w:p>
      <w:pPr>
        <w:spacing w:after="0" w:line="80" w:lineRule="exact"/>
        <w:rPr>
          <w:sz w:val="20"/>
          <w:szCs w:val="20"/>
          <w:color w:val="auto"/>
        </w:rPr>
      </w:pPr>
    </w:p>
    <w:p>
      <w:pPr>
        <w:ind w:left="340" w:right="160" w:hanging="332"/>
        <w:spacing w:after="0" w:line="258" w:lineRule="auto"/>
        <w:tabs>
          <w:tab w:leader="none" w:pos="34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assets of the mandatory retirement savings funds primarily include separate account assets and equity securities. The liabilities primarily include separate account liabilities and contractholder funds.</w:t>
      </w:r>
    </w:p>
    <w:p>
      <w:pPr>
        <w:spacing w:after="0" w:line="1" w:lineRule="exact"/>
        <w:rPr>
          <w:rFonts w:ascii="Arial" w:cs="Arial" w:eastAsia="Arial" w:hAnsi="Arial"/>
          <w:sz w:val="18"/>
          <w:szCs w:val="18"/>
          <w:color w:val="auto"/>
        </w:rPr>
      </w:pPr>
    </w:p>
    <w:p>
      <w:pPr>
        <w:ind w:left="340" w:hanging="332"/>
        <w:spacing w:after="0"/>
        <w:tabs>
          <w:tab w:leader="none" w:pos="34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assets of the real estate VIEs primarily include real estate and cash. Liabilities primarily include other liabilities.</w:t>
      </w:r>
    </w:p>
    <w:p>
      <w:pPr>
        <w:spacing w:after="0" w:line="9" w:lineRule="exact"/>
        <w:rPr>
          <w:rFonts w:ascii="Arial" w:cs="Arial" w:eastAsia="Arial" w:hAnsi="Arial"/>
          <w:sz w:val="18"/>
          <w:szCs w:val="18"/>
          <w:color w:val="auto"/>
        </w:rPr>
      </w:pPr>
    </w:p>
    <w:p>
      <w:pPr>
        <w:ind w:left="340" w:right="380" w:hanging="332"/>
        <w:spacing w:after="0" w:line="281" w:lineRule="auto"/>
        <w:tabs>
          <w:tab w:leader="none" w:pos="340" w:val="left"/>
        </w:tabs>
        <w:numPr>
          <w:ilvl w:val="0"/>
          <w:numId w:val="7"/>
        </w:numPr>
        <w:rPr>
          <w:rFonts w:ascii="Arial" w:cs="Arial" w:eastAsia="Arial" w:hAnsi="Arial"/>
          <w:sz w:val="16"/>
          <w:szCs w:val="16"/>
          <w:color w:val="auto"/>
        </w:rPr>
      </w:pPr>
      <w:r>
        <w:rPr>
          <w:rFonts w:ascii="Arial" w:cs="Arial" w:eastAsia="Arial" w:hAnsi="Arial"/>
          <w:sz w:val="16"/>
          <w:szCs w:val="16"/>
          <w:color w:val="auto"/>
        </w:rPr>
        <w:t>The assets of sponsored investment funds are primarily fixed maturities and equity securities, certain of which are reported with other investments, and cash. The consolidated statements of financial position included a $240.8 million and $304.0 million redeemable noncontrolling interest for sponsored investment funds as of June 30, 2022 and December 31, 2021, respectively.</w:t>
      </w:r>
    </w:p>
    <w:p>
      <w:pPr>
        <w:spacing w:after="0" w:line="1" w:lineRule="exact"/>
        <w:rPr>
          <w:rFonts w:ascii="Arial" w:cs="Arial" w:eastAsia="Arial" w:hAnsi="Arial"/>
          <w:sz w:val="16"/>
          <w:szCs w:val="16"/>
          <w:color w:val="auto"/>
        </w:rPr>
      </w:pPr>
    </w:p>
    <w:p>
      <w:pPr>
        <w:ind w:left="340" w:hanging="332"/>
        <w:spacing w:after="0" w:line="260" w:lineRule="auto"/>
        <w:tabs>
          <w:tab w:leader="none" w:pos="34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assets of the residential mortgage loans VIEs primarily include residential mortgage loans. The liabilities primarily include other liabilities.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Unconsolidated Variable Interest Entities</w:t>
      </w:r>
    </w:p>
    <w:p>
      <w:pPr>
        <w:spacing w:after="0" w:line="229" w:lineRule="exact"/>
        <w:rPr>
          <w:sz w:val="20"/>
          <w:szCs w:val="20"/>
          <w:color w:val="auto"/>
        </w:rPr>
      </w:pPr>
    </w:p>
    <w:p>
      <w:pPr>
        <w:ind w:right="280" w:firstLine="648"/>
        <w:spacing w:after="0" w:line="263" w:lineRule="auto"/>
        <w:rPr>
          <w:sz w:val="20"/>
          <w:szCs w:val="20"/>
          <w:color w:val="auto"/>
        </w:rPr>
      </w:pPr>
      <w:r>
        <w:rPr>
          <w:rFonts w:ascii="Arial" w:cs="Arial" w:eastAsia="Arial" w:hAnsi="Arial"/>
          <w:sz w:val="18"/>
          <w:szCs w:val="18"/>
          <w:color w:val="auto"/>
        </w:rPr>
        <w:t>We hold a variable interest in a number of VIEs where we are not the primary beneficiary. Our investments in these VIEs are reported in fixed maturities, available-for-sale; fixed maturities, trading; equity securities and other investments in the consolidated statements of financial position and are described below.</w:t>
      </w:r>
    </w:p>
    <w:p>
      <w:pPr>
        <w:spacing w:after="0" w:line="184" w:lineRule="exact"/>
        <w:rPr>
          <w:sz w:val="20"/>
          <w:szCs w:val="20"/>
          <w:color w:val="auto"/>
        </w:rPr>
      </w:pPr>
    </w:p>
    <w:p>
      <w:pPr>
        <w:ind w:right="40" w:firstLine="648"/>
        <w:spacing w:after="0" w:line="257" w:lineRule="auto"/>
        <w:rPr>
          <w:sz w:val="20"/>
          <w:szCs w:val="20"/>
          <w:color w:val="auto"/>
        </w:rPr>
      </w:pPr>
      <w:r>
        <w:rPr>
          <w:rFonts w:ascii="Arial" w:cs="Arial" w:eastAsia="Arial" w:hAnsi="Arial"/>
          <w:sz w:val="18"/>
          <w:szCs w:val="18"/>
          <w:color w:val="auto"/>
        </w:rPr>
        <w:t>Unconsolidated VIEs include certain commercial mortgage-backed securities (“CMBS”), residential mortgage-backed pass-through securities (“RMBS”) and other ABS. All of these entities were deemed VIEs because the equity within these entities is insufficient to sustain them. We determined we are not the primary beneficiary in the entities within these categories of investments. This determination was based primarily on the fact we do not own the class of security that controls the unilateral right to replace the special servicer or equivalent function.</w:t>
      </w:r>
    </w:p>
    <w:p>
      <w:pPr>
        <w:spacing w:after="0" w:line="188" w:lineRule="exact"/>
        <w:rPr>
          <w:sz w:val="20"/>
          <w:szCs w:val="20"/>
          <w:color w:val="auto"/>
        </w:rPr>
      </w:pPr>
    </w:p>
    <w:p>
      <w:pPr>
        <w:ind w:right="20" w:firstLine="648"/>
        <w:spacing w:after="0" w:line="257" w:lineRule="auto"/>
        <w:rPr>
          <w:sz w:val="20"/>
          <w:szCs w:val="20"/>
          <w:color w:val="auto"/>
        </w:rPr>
      </w:pPr>
      <w:r>
        <w:rPr>
          <w:rFonts w:ascii="Arial" w:cs="Arial" w:eastAsia="Arial" w:hAnsi="Arial"/>
          <w:sz w:val="18"/>
          <w:szCs w:val="18"/>
          <w:color w:val="auto"/>
        </w:rPr>
        <w:t>We invest in cash collateralized debt obligations, collateralized bond obligations, collateralized loan obligations and other collateralized structures, which are VIEs due to insufficient equity to sustain the entities. We have determined we are not the primary beneficiary of these entities primarily because we do not control the economic performance of the entities and were not involved with the design of the entities or because we do not have a potentially significant variable interest in the entities for which we are the asset manager.</w:t>
      </w:r>
    </w:p>
    <w:p>
      <w:pPr>
        <w:spacing w:after="0" w:line="188" w:lineRule="exact"/>
        <w:rPr>
          <w:sz w:val="20"/>
          <w:szCs w:val="20"/>
          <w:color w:val="auto"/>
        </w:rPr>
      </w:pPr>
    </w:p>
    <w:p>
      <w:pPr>
        <w:ind w:right="100" w:firstLine="648"/>
        <w:spacing w:after="0" w:line="279" w:lineRule="auto"/>
        <w:rPr>
          <w:sz w:val="20"/>
          <w:szCs w:val="20"/>
          <w:color w:val="auto"/>
        </w:rPr>
      </w:pPr>
      <w:r>
        <w:rPr>
          <w:rFonts w:ascii="Arial" w:cs="Arial" w:eastAsia="Arial" w:hAnsi="Arial"/>
          <w:sz w:val="17"/>
          <w:szCs w:val="17"/>
          <w:color w:val="auto"/>
        </w:rPr>
        <w:t>We have invested in various VIE trusts and similar entities as a debt holder. Most of these entities are classified as VIEs due to insufficient equity to sustain them. In addition, we have an entity classified as a VIE based on the combination of our significant economic interest and lack of voting rights. We have determined we are not the primary beneficiary primarily because we do not control the economic performance of the entities and were not involved with the design of the entities.</w:t>
      </w:r>
    </w:p>
    <w:p>
      <w:pPr>
        <w:spacing w:after="0" w:line="171" w:lineRule="exact"/>
        <w:rPr>
          <w:sz w:val="20"/>
          <w:szCs w:val="20"/>
          <w:color w:val="auto"/>
        </w:rPr>
      </w:pPr>
    </w:p>
    <w:p>
      <w:pPr>
        <w:ind w:right="100" w:firstLine="648"/>
        <w:spacing w:after="0" w:line="279" w:lineRule="auto"/>
        <w:rPr>
          <w:sz w:val="20"/>
          <w:szCs w:val="20"/>
          <w:color w:val="auto"/>
        </w:rPr>
      </w:pPr>
      <w:r>
        <w:rPr>
          <w:rFonts w:ascii="Arial" w:cs="Arial" w:eastAsia="Arial" w:hAnsi="Arial"/>
          <w:sz w:val="17"/>
          <w:szCs w:val="17"/>
          <w:color w:val="auto"/>
        </w:rPr>
        <w:t>We have invested in partnerships and other funds, which are classified as VIEs. The entities are VIEs as equity holders lack the power to control the most significant activities of the entities because the equity holders do not have either the ability by a simple majority to exercise substantive kick-out rights or substantive participating rights. We have determined we are not the primary beneficiary because we do not have the power to direct the most significant activities of the entities.</w:t>
      </w:r>
    </w:p>
    <w:p>
      <w:pPr>
        <w:sectPr>
          <w:pgSz w:w="11900" w:h="16838" w:orient="portrait"/>
          <w:cols w:equalWidth="0" w:num="1">
            <w:col w:w="9920"/>
          </w:cols>
          <w:pgMar w:left="980" w:top="665" w:right="999" w:bottom="1440" w:gutter="0" w:footer="0" w:header="0"/>
        </w:sectPr>
      </w:pPr>
    </w:p>
    <w:p>
      <w:pPr>
        <w:spacing w:after="0" w:line="387"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372110</wp:posOffset>
            </wp:positionV>
            <wp:extent cx="6292215" cy="2540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type w:val="continuous"/>
        </w:sectPr>
      </w:pPr>
    </w:p>
    <w:bookmarkStart w:id="17" w:name="page18"/>
    <w:bookmarkEnd w:id="17"/>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right="480" w:firstLine="648"/>
        <w:spacing w:after="0" w:line="263" w:lineRule="auto"/>
        <w:rPr>
          <w:sz w:val="20"/>
          <w:szCs w:val="20"/>
          <w:color w:val="auto"/>
        </w:rPr>
      </w:pPr>
      <w:r>
        <w:rPr>
          <w:rFonts w:ascii="Arial" w:cs="Arial" w:eastAsia="Arial" w:hAnsi="Arial"/>
          <w:sz w:val="18"/>
          <w:szCs w:val="18"/>
          <w:color w:val="auto"/>
        </w:rPr>
        <w:t>As previously discussed, we sponsor and invest in certain investment funds that are VIEs. We determined we are not the primary beneficiary of the VIEs for which we are the asset manager but do not have a potentially significant variable interest in the funds.</w:t>
      </w:r>
    </w:p>
    <w:p>
      <w:pPr>
        <w:spacing w:after="0" w:line="184" w:lineRule="exact"/>
        <w:rPr>
          <w:sz w:val="20"/>
          <w:szCs w:val="20"/>
          <w:color w:val="auto"/>
        </w:rPr>
      </w:pPr>
    </w:p>
    <w:p>
      <w:pPr>
        <w:ind w:right="40" w:firstLine="648"/>
        <w:spacing w:after="0" w:line="257" w:lineRule="auto"/>
        <w:rPr>
          <w:sz w:val="20"/>
          <w:szCs w:val="20"/>
          <w:color w:val="auto"/>
        </w:rPr>
      </w:pPr>
      <w:r>
        <w:rPr>
          <w:rFonts w:ascii="Arial" w:cs="Arial" w:eastAsia="Arial" w:hAnsi="Arial"/>
          <w:sz w:val="18"/>
          <w:szCs w:val="18"/>
          <w:color w:val="auto"/>
        </w:rPr>
        <w:t>We hold an equity interest in Mexican mandatory privatized social security funds in which we provide asset management services. Our equity interest in the funds is considered a variable interest. We concluded the funds are VIEs because the equity holders as a group lack decision-making ability through their voting rights. We are not the primary beneficiary of the VIEs because although we, as the asset manager, have the power to direct the activities of the VIEs, we do not have a potentially significant variable interest in the funds.</w:t>
      </w:r>
    </w:p>
    <w:p>
      <w:pPr>
        <w:spacing w:after="0" w:line="18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carrying value and maximum loss exposure for our unconsolidated VIEs were as follows:</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380" w:type="dxa"/>
            <w:vAlign w:val="bottom"/>
          </w:tcPr>
          <w:p>
            <w:pPr>
              <w:spacing w:after="0"/>
              <w:rPr>
                <w:sz w:val="14"/>
                <w:szCs w:val="14"/>
                <w:color w:val="auto"/>
              </w:rPr>
            </w:pPr>
          </w:p>
        </w:tc>
        <w:tc>
          <w:tcPr>
            <w:tcW w:w="2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20" w:type="dxa"/>
            <w:vAlign w:val="bottom"/>
            <w:vMerge w:val="restart"/>
          </w:tcPr>
          <w:p>
            <w:pPr>
              <w:jc w:val="right"/>
              <w:ind w:right="52"/>
              <w:spacing w:after="0"/>
              <w:rPr>
                <w:sz w:val="20"/>
                <w:szCs w:val="20"/>
                <w:color w:val="auto"/>
              </w:rPr>
            </w:pPr>
            <w:r>
              <w:rPr>
                <w:rFonts w:ascii="Arial" w:cs="Arial" w:eastAsia="Arial" w:hAnsi="Arial"/>
                <w:sz w:val="14"/>
                <w:szCs w:val="14"/>
                <w:b w:val="1"/>
                <w:bCs w:val="1"/>
                <w:color w:val="auto"/>
                <w:w w:val="91"/>
              </w:rPr>
              <w:t>Asset carrying value</w:t>
            </w:r>
          </w:p>
        </w:tc>
        <w:tc>
          <w:tcPr>
            <w:tcW w:w="200" w:type="dxa"/>
            <w:vAlign w:val="bottom"/>
            <w:vMerge w:val="restart"/>
          </w:tcPr>
          <w:p>
            <w:pPr>
              <w:spacing w:after="0"/>
              <w:rPr>
                <w:sz w:val="14"/>
                <w:szCs w:val="14"/>
                <w:color w:val="auto"/>
              </w:rPr>
            </w:pPr>
          </w:p>
        </w:tc>
        <w:tc>
          <w:tcPr>
            <w:tcW w:w="1560" w:type="dxa"/>
            <w:vAlign w:val="bottom"/>
            <w:gridSpan w:val="2"/>
          </w:tcPr>
          <w:p>
            <w:pPr>
              <w:jc w:val="right"/>
              <w:spacing w:after="0"/>
              <w:rPr>
                <w:sz w:val="20"/>
                <w:szCs w:val="20"/>
                <w:color w:val="auto"/>
              </w:rPr>
            </w:pPr>
            <w:r>
              <w:rPr>
                <w:rFonts w:ascii="Arial" w:cs="Arial" w:eastAsia="Arial" w:hAnsi="Arial"/>
                <w:sz w:val="14"/>
                <w:szCs w:val="14"/>
                <w:b w:val="1"/>
                <w:bCs w:val="1"/>
                <w:color w:val="auto"/>
                <w:w w:val="98"/>
              </w:rPr>
              <w:t>Maximum exposure to</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4380" w:type="dxa"/>
            <w:vAlign w:val="bottom"/>
          </w:tcPr>
          <w:p>
            <w:pPr>
              <w:spacing w:after="0"/>
              <w:rPr>
                <w:sz w:val="14"/>
                <w:szCs w:val="14"/>
                <w:color w:val="auto"/>
              </w:rPr>
            </w:pPr>
          </w:p>
        </w:tc>
        <w:tc>
          <w:tcPr>
            <w:tcW w:w="22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420" w:type="dxa"/>
            <w:vAlign w:val="bottom"/>
            <w:tcBorders>
              <w:bottom w:val="single" w:sz="8" w:color="auto"/>
            </w:tcBorders>
            <w:vMerge w:val="continue"/>
          </w:tcPr>
          <w:p>
            <w:pPr>
              <w:spacing w:after="0"/>
              <w:rPr>
                <w:sz w:val="14"/>
                <w:szCs w:val="14"/>
                <w:color w:val="auto"/>
              </w:rPr>
            </w:pPr>
          </w:p>
        </w:tc>
        <w:tc>
          <w:tcPr>
            <w:tcW w:w="200" w:type="dxa"/>
            <w:vAlign w:val="bottom"/>
            <w:vMerge w:val="continue"/>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tcPr>
          <w:p>
            <w:pPr>
              <w:jc w:val="right"/>
              <w:ind w:right="471"/>
              <w:spacing w:after="0"/>
              <w:rPr>
                <w:sz w:val="20"/>
                <w:szCs w:val="20"/>
                <w:color w:val="auto"/>
              </w:rPr>
            </w:pPr>
            <w:r>
              <w:rPr>
                <w:rFonts w:ascii="Arial" w:cs="Arial" w:eastAsia="Arial" w:hAnsi="Arial"/>
                <w:sz w:val="14"/>
                <w:szCs w:val="14"/>
                <w:b w:val="1"/>
                <w:bCs w:val="1"/>
                <w:color w:val="auto"/>
              </w:rPr>
              <w:t>loss (1)</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4380" w:type="dxa"/>
            <w:vAlign w:val="bottom"/>
          </w:tcPr>
          <w:p>
            <w:pPr>
              <w:spacing w:after="0"/>
              <w:rPr>
                <w:sz w:val="11"/>
                <w:szCs w:val="11"/>
                <w:color w:val="auto"/>
              </w:rPr>
            </w:pPr>
          </w:p>
        </w:tc>
        <w:tc>
          <w:tcPr>
            <w:tcW w:w="2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40" w:type="dxa"/>
            <w:vAlign w:val="bottom"/>
            <w:gridSpan w:val="3"/>
          </w:tcPr>
          <w:p>
            <w:pPr>
              <w:jc w:val="right"/>
              <w:ind w:right="76"/>
              <w:spacing w:after="0" w:line="129" w:lineRule="exact"/>
              <w:rPr>
                <w:sz w:val="20"/>
                <w:szCs w:val="20"/>
                <w:color w:val="auto"/>
              </w:rPr>
            </w:pPr>
            <w:r>
              <w:rPr>
                <w:rFonts w:ascii="Arial" w:cs="Arial" w:eastAsia="Arial" w:hAnsi="Arial"/>
                <w:sz w:val="14"/>
                <w:szCs w:val="14"/>
                <w:i w:val="1"/>
                <w:iCs w:val="1"/>
                <w:color w:val="auto"/>
              </w:rPr>
              <w:t>(in millions)</w:t>
            </w:r>
          </w:p>
        </w:tc>
        <w:tc>
          <w:tcPr>
            <w:tcW w:w="1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June 30, 2022</w:t>
            </w:r>
          </w:p>
        </w:tc>
        <w:tc>
          <w:tcPr>
            <w:tcW w:w="2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80" w:type="dxa"/>
            <w:vAlign w:val="bottom"/>
          </w:tcPr>
          <w:p>
            <w:pPr>
              <w:spacing w:after="0"/>
              <w:rPr>
                <w:sz w:val="20"/>
                <w:szCs w:val="20"/>
                <w:color w:val="auto"/>
              </w:rPr>
            </w:pPr>
            <w:r>
              <w:rPr>
                <w:rFonts w:ascii="Arial" w:cs="Arial" w:eastAsia="Arial" w:hAnsi="Arial"/>
                <w:sz w:val="18"/>
                <w:szCs w:val="18"/>
                <w:color w:val="auto"/>
              </w:rPr>
              <w:t>Fixed maturities, available-for-sale:</w:t>
            </w:r>
          </w:p>
        </w:tc>
        <w:tc>
          <w:tcPr>
            <w:tcW w:w="2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80" w:type="dxa"/>
            <w:vAlign w:val="bottom"/>
            <w:shd w:val="clear" w:color="auto" w:fill="CCEEFF"/>
          </w:tcPr>
          <w:p>
            <w:pPr>
              <w:ind w:left="100"/>
              <w:spacing w:after="0"/>
              <w:rPr>
                <w:sz w:val="20"/>
                <w:szCs w:val="20"/>
                <w:color w:val="auto"/>
              </w:rPr>
            </w:pPr>
            <w:r>
              <w:rPr>
                <w:rFonts w:ascii="Arial" w:cs="Arial" w:eastAsia="Arial" w:hAnsi="Arial"/>
                <w:sz w:val="18"/>
                <w:szCs w:val="18"/>
                <w:color w:val="auto"/>
              </w:rPr>
              <w:t>Corporate</w:t>
            </w:r>
          </w:p>
        </w:tc>
        <w:tc>
          <w:tcPr>
            <w:tcW w:w="23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w:t>
            </w:r>
          </w:p>
        </w:tc>
        <w:tc>
          <w:tcPr>
            <w:tcW w:w="1420" w:type="dxa"/>
            <w:vAlign w:val="bottom"/>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119.1</w:t>
            </w:r>
          </w:p>
        </w:tc>
        <w:tc>
          <w:tcPr>
            <w:tcW w:w="200" w:type="dxa"/>
            <w:vAlign w:val="bottom"/>
            <w:shd w:val="clear" w:color="auto" w:fill="CCEEFF"/>
          </w:tcPr>
          <w:p>
            <w:pPr>
              <w:spacing w:after="0"/>
              <w:rPr>
                <w:sz w:val="18"/>
                <w:szCs w:val="18"/>
                <w:color w:val="auto"/>
              </w:rPr>
            </w:pPr>
          </w:p>
        </w:tc>
        <w:tc>
          <w:tcPr>
            <w:tcW w:w="420" w:type="dxa"/>
            <w:vAlign w:val="bottom"/>
            <w:shd w:val="clear" w:color="auto" w:fill="CCEEFF"/>
          </w:tcPr>
          <w:p>
            <w:pPr>
              <w:jc w:val="right"/>
              <w:ind w:right="236"/>
              <w:spacing w:after="0"/>
              <w:rPr>
                <w:sz w:val="20"/>
                <w:szCs w:val="20"/>
                <w:color w:val="auto"/>
              </w:rPr>
            </w:pPr>
            <w:r>
              <w:rPr>
                <w:rFonts w:ascii="Arial" w:cs="Arial" w:eastAsia="Arial" w:hAnsi="Arial"/>
                <w:sz w:val="18"/>
                <w:szCs w:val="18"/>
                <w:b w:val="1"/>
                <w:bCs w:val="1"/>
                <w:color w:val="auto"/>
                <w:w w:val="79"/>
              </w:rPr>
              <w:t>$</w:t>
            </w:r>
          </w:p>
        </w:tc>
        <w:tc>
          <w:tcPr>
            <w:tcW w:w="1140" w:type="dxa"/>
            <w:vAlign w:val="bottom"/>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133.7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80" w:type="dxa"/>
            <w:vAlign w:val="bottom"/>
          </w:tcPr>
          <w:p>
            <w:pPr>
              <w:ind w:left="100"/>
              <w:spacing w:after="0"/>
              <w:rPr>
                <w:sz w:val="20"/>
                <w:szCs w:val="20"/>
                <w:color w:val="auto"/>
              </w:rPr>
            </w:pPr>
            <w:r>
              <w:rPr>
                <w:rFonts w:ascii="Arial" w:cs="Arial" w:eastAsia="Arial" w:hAnsi="Arial"/>
                <w:sz w:val="18"/>
                <w:szCs w:val="18"/>
                <w:color w:val="auto"/>
              </w:rPr>
              <w:t>Residential mortgage-backed pass-through securities</w:t>
            </w:r>
          </w:p>
        </w:tc>
        <w:tc>
          <w:tcPr>
            <w:tcW w:w="2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20" w:type="dxa"/>
            <w:vAlign w:val="bottom"/>
          </w:tcPr>
          <w:p>
            <w:pPr>
              <w:jc w:val="right"/>
              <w:ind w:right="12"/>
              <w:spacing w:after="0"/>
              <w:rPr>
                <w:sz w:val="20"/>
                <w:szCs w:val="20"/>
                <w:color w:val="auto"/>
              </w:rPr>
            </w:pPr>
            <w:r>
              <w:rPr>
                <w:rFonts w:ascii="Arial" w:cs="Arial" w:eastAsia="Arial" w:hAnsi="Arial"/>
                <w:sz w:val="18"/>
                <w:szCs w:val="18"/>
                <w:b w:val="1"/>
                <w:bCs w:val="1"/>
                <w:color w:val="auto"/>
              </w:rPr>
              <w:t>1,899.3</w:t>
            </w:r>
          </w:p>
        </w:tc>
        <w:tc>
          <w:tcPr>
            <w:tcW w:w="2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b w:val="1"/>
                <w:bCs w:val="1"/>
                <w:color w:val="auto"/>
              </w:rPr>
              <w:t>2,039.3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80" w:type="dxa"/>
            <w:vAlign w:val="bottom"/>
            <w:shd w:val="clear" w:color="auto" w:fill="CCEEFF"/>
          </w:tcPr>
          <w:p>
            <w:pPr>
              <w:ind w:left="100"/>
              <w:spacing w:after="0"/>
              <w:rPr>
                <w:sz w:val="20"/>
                <w:szCs w:val="20"/>
                <w:color w:val="auto"/>
              </w:rPr>
            </w:pPr>
            <w:r>
              <w:rPr>
                <w:rFonts w:ascii="Arial" w:cs="Arial" w:eastAsia="Arial" w:hAnsi="Arial"/>
                <w:sz w:val="18"/>
                <w:szCs w:val="18"/>
                <w:color w:val="auto"/>
              </w:rPr>
              <w:t>Commercial mortgage-backed securities</w:t>
            </w:r>
          </w:p>
        </w:tc>
        <w:tc>
          <w:tcPr>
            <w:tcW w:w="2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20" w:type="dxa"/>
            <w:vAlign w:val="bottom"/>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5,291.6</w:t>
            </w:r>
          </w:p>
        </w:tc>
        <w:tc>
          <w:tcPr>
            <w:tcW w:w="2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5,742.2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80" w:type="dxa"/>
            <w:vAlign w:val="bottom"/>
          </w:tcPr>
          <w:p>
            <w:pPr>
              <w:ind w:left="100"/>
              <w:spacing w:after="0"/>
              <w:rPr>
                <w:sz w:val="20"/>
                <w:szCs w:val="20"/>
                <w:color w:val="auto"/>
              </w:rPr>
            </w:pPr>
            <w:r>
              <w:rPr>
                <w:rFonts w:ascii="Arial" w:cs="Arial" w:eastAsia="Arial" w:hAnsi="Arial"/>
                <w:sz w:val="18"/>
                <w:szCs w:val="18"/>
                <w:color w:val="auto"/>
              </w:rPr>
              <w:t>Collateralized debt obligations (2)</w:t>
            </w:r>
          </w:p>
        </w:tc>
        <w:tc>
          <w:tcPr>
            <w:tcW w:w="2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20" w:type="dxa"/>
            <w:vAlign w:val="bottom"/>
          </w:tcPr>
          <w:p>
            <w:pPr>
              <w:jc w:val="right"/>
              <w:ind w:right="12"/>
              <w:spacing w:after="0"/>
              <w:rPr>
                <w:sz w:val="20"/>
                <w:szCs w:val="20"/>
                <w:color w:val="auto"/>
              </w:rPr>
            </w:pPr>
            <w:r>
              <w:rPr>
                <w:rFonts w:ascii="Arial" w:cs="Arial" w:eastAsia="Arial" w:hAnsi="Arial"/>
                <w:sz w:val="18"/>
                <w:szCs w:val="18"/>
                <w:b w:val="1"/>
                <w:bCs w:val="1"/>
                <w:color w:val="auto"/>
              </w:rPr>
              <w:t>3,641.4</w:t>
            </w:r>
          </w:p>
        </w:tc>
        <w:tc>
          <w:tcPr>
            <w:tcW w:w="2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b w:val="1"/>
                <w:bCs w:val="1"/>
                <w:color w:val="auto"/>
              </w:rPr>
              <w:t>3,751.4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80" w:type="dxa"/>
            <w:vAlign w:val="bottom"/>
            <w:shd w:val="clear" w:color="auto" w:fill="CCEEFF"/>
          </w:tcPr>
          <w:p>
            <w:pPr>
              <w:ind w:left="100"/>
              <w:spacing w:after="0"/>
              <w:rPr>
                <w:sz w:val="20"/>
                <w:szCs w:val="20"/>
                <w:color w:val="auto"/>
              </w:rPr>
            </w:pPr>
            <w:r>
              <w:rPr>
                <w:rFonts w:ascii="Arial" w:cs="Arial" w:eastAsia="Arial" w:hAnsi="Arial"/>
                <w:sz w:val="18"/>
                <w:szCs w:val="18"/>
                <w:color w:val="auto"/>
              </w:rPr>
              <w:t>Other debt obligations</w:t>
            </w:r>
          </w:p>
        </w:tc>
        <w:tc>
          <w:tcPr>
            <w:tcW w:w="2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20" w:type="dxa"/>
            <w:vAlign w:val="bottom"/>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6,461.1</w:t>
            </w:r>
          </w:p>
        </w:tc>
        <w:tc>
          <w:tcPr>
            <w:tcW w:w="2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6,952.2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80" w:type="dxa"/>
            <w:vAlign w:val="bottom"/>
          </w:tcPr>
          <w:p>
            <w:pPr>
              <w:spacing w:after="0"/>
              <w:rPr>
                <w:sz w:val="20"/>
                <w:szCs w:val="20"/>
                <w:color w:val="auto"/>
              </w:rPr>
            </w:pPr>
            <w:r>
              <w:rPr>
                <w:rFonts w:ascii="Arial" w:cs="Arial" w:eastAsia="Arial" w:hAnsi="Arial"/>
                <w:sz w:val="18"/>
                <w:szCs w:val="18"/>
                <w:color w:val="auto"/>
              </w:rPr>
              <w:t>Fixed maturities, trading:</w:t>
            </w:r>
          </w:p>
        </w:tc>
        <w:tc>
          <w:tcPr>
            <w:tcW w:w="2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80" w:type="dxa"/>
            <w:vAlign w:val="bottom"/>
            <w:shd w:val="clear" w:color="auto" w:fill="CCEEFF"/>
          </w:tcPr>
          <w:p>
            <w:pPr>
              <w:ind w:left="100"/>
              <w:spacing w:after="0"/>
              <w:rPr>
                <w:sz w:val="20"/>
                <w:szCs w:val="20"/>
                <w:color w:val="auto"/>
              </w:rPr>
            </w:pPr>
            <w:r>
              <w:rPr>
                <w:rFonts w:ascii="Arial" w:cs="Arial" w:eastAsia="Arial" w:hAnsi="Arial"/>
                <w:sz w:val="18"/>
                <w:szCs w:val="18"/>
                <w:color w:val="auto"/>
              </w:rPr>
              <w:t>Residential mortgage-backed pass-through securities</w:t>
            </w:r>
          </w:p>
        </w:tc>
        <w:tc>
          <w:tcPr>
            <w:tcW w:w="2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20" w:type="dxa"/>
            <w:vAlign w:val="bottom"/>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63.2</w:t>
            </w:r>
          </w:p>
        </w:tc>
        <w:tc>
          <w:tcPr>
            <w:tcW w:w="2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63.2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80" w:type="dxa"/>
            <w:vAlign w:val="bottom"/>
          </w:tcPr>
          <w:p>
            <w:pPr>
              <w:ind w:left="100"/>
              <w:spacing w:after="0"/>
              <w:rPr>
                <w:sz w:val="20"/>
                <w:szCs w:val="20"/>
                <w:color w:val="auto"/>
              </w:rPr>
            </w:pPr>
            <w:r>
              <w:rPr>
                <w:rFonts w:ascii="Arial" w:cs="Arial" w:eastAsia="Arial" w:hAnsi="Arial"/>
                <w:sz w:val="18"/>
                <w:szCs w:val="18"/>
                <w:color w:val="auto"/>
              </w:rPr>
              <w:t>Commercial mortgage-backed securities</w:t>
            </w:r>
          </w:p>
        </w:tc>
        <w:tc>
          <w:tcPr>
            <w:tcW w:w="2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20" w:type="dxa"/>
            <w:vAlign w:val="bottom"/>
          </w:tcPr>
          <w:p>
            <w:pPr>
              <w:jc w:val="right"/>
              <w:ind w:right="12"/>
              <w:spacing w:after="0"/>
              <w:rPr>
                <w:sz w:val="20"/>
                <w:szCs w:val="20"/>
                <w:color w:val="auto"/>
              </w:rPr>
            </w:pPr>
            <w:r>
              <w:rPr>
                <w:rFonts w:ascii="Arial" w:cs="Arial" w:eastAsia="Arial" w:hAnsi="Arial"/>
                <w:sz w:val="18"/>
                <w:szCs w:val="18"/>
                <w:b w:val="1"/>
                <w:bCs w:val="1"/>
                <w:color w:val="auto"/>
              </w:rPr>
              <w:t>21.2</w:t>
            </w:r>
          </w:p>
        </w:tc>
        <w:tc>
          <w:tcPr>
            <w:tcW w:w="2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b w:val="1"/>
                <w:bCs w:val="1"/>
                <w:color w:val="auto"/>
              </w:rPr>
              <w:t>21.2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80" w:type="dxa"/>
            <w:vAlign w:val="bottom"/>
            <w:shd w:val="clear" w:color="auto" w:fill="CCEEFF"/>
          </w:tcPr>
          <w:p>
            <w:pPr>
              <w:ind w:left="100"/>
              <w:spacing w:after="0"/>
              <w:rPr>
                <w:sz w:val="20"/>
                <w:szCs w:val="20"/>
                <w:color w:val="auto"/>
              </w:rPr>
            </w:pPr>
            <w:r>
              <w:rPr>
                <w:rFonts w:ascii="Arial" w:cs="Arial" w:eastAsia="Arial" w:hAnsi="Arial"/>
                <w:sz w:val="18"/>
                <w:szCs w:val="18"/>
                <w:color w:val="auto"/>
              </w:rPr>
              <w:t>Collateralized debt obligations (2)</w:t>
            </w:r>
          </w:p>
        </w:tc>
        <w:tc>
          <w:tcPr>
            <w:tcW w:w="2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20" w:type="dxa"/>
            <w:vAlign w:val="bottom"/>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6.8</w:t>
            </w:r>
          </w:p>
        </w:tc>
        <w:tc>
          <w:tcPr>
            <w:tcW w:w="2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6.8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80" w:type="dxa"/>
            <w:vAlign w:val="bottom"/>
          </w:tcPr>
          <w:p>
            <w:pPr>
              <w:ind w:left="100"/>
              <w:spacing w:after="0"/>
              <w:rPr>
                <w:sz w:val="20"/>
                <w:szCs w:val="20"/>
                <w:color w:val="auto"/>
              </w:rPr>
            </w:pPr>
            <w:r>
              <w:rPr>
                <w:rFonts w:ascii="Arial" w:cs="Arial" w:eastAsia="Arial" w:hAnsi="Arial"/>
                <w:sz w:val="18"/>
                <w:szCs w:val="18"/>
                <w:color w:val="auto"/>
              </w:rPr>
              <w:t>Other debt obligations</w:t>
            </w:r>
          </w:p>
        </w:tc>
        <w:tc>
          <w:tcPr>
            <w:tcW w:w="2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20" w:type="dxa"/>
            <w:vAlign w:val="bottom"/>
          </w:tcPr>
          <w:p>
            <w:pPr>
              <w:jc w:val="right"/>
              <w:ind w:right="12"/>
              <w:spacing w:after="0"/>
              <w:rPr>
                <w:sz w:val="20"/>
                <w:szCs w:val="20"/>
                <w:color w:val="auto"/>
              </w:rPr>
            </w:pPr>
            <w:r>
              <w:rPr>
                <w:rFonts w:ascii="Arial" w:cs="Arial" w:eastAsia="Arial" w:hAnsi="Arial"/>
                <w:sz w:val="18"/>
                <w:szCs w:val="18"/>
                <w:b w:val="1"/>
                <w:bCs w:val="1"/>
                <w:color w:val="auto"/>
              </w:rPr>
              <w:t>4.9</w:t>
            </w:r>
          </w:p>
        </w:tc>
        <w:tc>
          <w:tcPr>
            <w:tcW w:w="2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b w:val="1"/>
                <w:bCs w:val="1"/>
                <w:color w:val="auto"/>
              </w:rPr>
              <w:t>4.9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80" w:type="dxa"/>
            <w:vAlign w:val="bottom"/>
            <w:shd w:val="clear" w:color="auto" w:fill="CCEEFF"/>
          </w:tcPr>
          <w:p>
            <w:pPr>
              <w:spacing w:after="0"/>
              <w:rPr>
                <w:sz w:val="20"/>
                <w:szCs w:val="20"/>
                <w:color w:val="auto"/>
              </w:rPr>
            </w:pPr>
            <w:r>
              <w:rPr>
                <w:rFonts w:ascii="Arial" w:cs="Arial" w:eastAsia="Arial" w:hAnsi="Arial"/>
                <w:sz w:val="18"/>
                <w:szCs w:val="18"/>
                <w:color w:val="auto"/>
              </w:rPr>
              <w:t>Equity securities</w:t>
            </w:r>
          </w:p>
        </w:tc>
        <w:tc>
          <w:tcPr>
            <w:tcW w:w="2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20" w:type="dxa"/>
            <w:vAlign w:val="bottom"/>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108.7</w:t>
            </w:r>
          </w:p>
        </w:tc>
        <w:tc>
          <w:tcPr>
            <w:tcW w:w="2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108.7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80" w:type="dxa"/>
            <w:vAlign w:val="bottom"/>
          </w:tcPr>
          <w:p>
            <w:pPr>
              <w:spacing w:after="0"/>
              <w:rPr>
                <w:sz w:val="20"/>
                <w:szCs w:val="20"/>
                <w:color w:val="auto"/>
              </w:rPr>
            </w:pPr>
            <w:r>
              <w:rPr>
                <w:rFonts w:ascii="Arial" w:cs="Arial" w:eastAsia="Arial" w:hAnsi="Arial"/>
                <w:sz w:val="18"/>
                <w:szCs w:val="18"/>
                <w:color w:val="auto"/>
              </w:rPr>
              <w:t>Other investments:</w:t>
            </w:r>
          </w:p>
        </w:tc>
        <w:tc>
          <w:tcPr>
            <w:tcW w:w="2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80" w:type="dxa"/>
            <w:vAlign w:val="bottom"/>
            <w:shd w:val="clear" w:color="auto" w:fill="CCEEFF"/>
          </w:tcPr>
          <w:p>
            <w:pPr>
              <w:ind w:left="100"/>
              <w:spacing w:after="0"/>
              <w:rPr>
                <w:sz w:val="20"/>
                <w:szCs w:val="20"/>
                <w:color w:val="auto"/>
              </w:rPr>
            </w:pPr>
            <w:r>
              <w:rPr>
                <w:rFonts w:ascii="Arial" w:cs="Arial" w:eastAsia="Arial" w:hAnsi="Arial"/>
                <w:sz w:val="18"/>
                <w:szCs w:val="18"/>
                <w:color w:val="auto"/>
              </w:rPr>
              <w:t>Other limited partnership and fund interests (3)</w:t>
            </w:r>
          </w:p>
        </w:tc>
        <w:tc>
          <w:tcPr>
            <w:tcW w:w="2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20" w:type="dxa"/>
            <w:vAlign w:val="bottom"/>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1,312.8</w:t>
            </w:r>
          </w:p>
        </w:tc>
        <w:tc>
          <w:tcPr>
            <w:tcW w:w="2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2,395.0</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380" w:type="dxa"/>
            <w:vAlign w:val="bottom"/>
          </w:tcPr>
          <w:p>
            <w:pPr>
              <w:spacing w:after="0"/>
              <w:rPr>
                <w:sz w:val="18"/>
                <w:szCs w:val="18"/>
                <w:color w:val="auto"/>
              </w:rPr>
            </w:pPr>
          </w:p>
        </w:tc>
        <w:tc>
          <w:tcPr>
            <w:tcW w:w="2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3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December 31, 2021</w:t>
            </w:r>
          </w:p>
        </w:tc>
        <w:tc>
          <w:tcPr>
            <w:tcW w:w="2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80" w:type="dxa"/>
            <w:vAlign w:val="bottom"/>
          </w:tcPr>
          <w:p>
            <w:pPr>
              <w:spacing w:after="0"/>
              <w:rPr>
                <w:sz w:val="20"/>
                <w:szCs w:val="20"/>
                <w:color w:val="auto"/>
              </w:rPr>
            </w:pPr>
            <w:r>
              <w:rPr>
                <w:rFonts w:ascii="Arial" w:cs="Arial" w:eastAsia="Arial" w:hAnsi="Arial"/>
                <w:sz w:val="18"/>
                <w:szCs w:val="18"/>
                <w:color w:val="auto"/>
              </w:rPr>
              <w:t>Fixed maturities, available-for-sale:</w:t>
            </w:r>
          </w:p>
        </w:tc>
        <w:tc>
          <w:tcPr>
            <w:tcW w:w="2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80" w:type="dxa"/>
            <w:vAlign w:val="bottom"/>
            <w:shd w:val="clear" w:color="auto" w:fill="CCEEFF"/>
          </w:tcPr>
          <w:p>
            <w:pPr>
              <w:ind w:left="100"/>
              <w:spacing w:after="0"/>
              <w:rPr>
                <w:sz w:val="20"/>
                <w:szCs w:val="20"/>
                <w:color w:val="auto"/>
              </w:rPr>
            </w:pPr>
            <w:r>
              <w:rPr>
                <w:rFonts w:ascii="Arial" w:cs="Arial" w:eastAsia="Arial" w:hAnsi="Arial"/>
                <w:sz w:val="18"/>
                <w:szCs w:val="18"/>
                <w:color w:val="auto"/>
              </w:rPr>
              <w:t>Corporate</w:t>
            </w:r>
          </w:p>
        </w:tc>
        <w:tc>
          <w:tcPr>
            <w:tcW w:w="23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142.1</w:t>
            </w:r>
          </w:p>
        </w:tc>
        <w:tc>
          <w:tcPr>
            <w:tcW w:w="200" w:type="dxa"/>
            <w:vAlign w:val="bottom"/>
            <w:shd w:val="clear" w:color="auto" w:fill="CCEEFF"/>
          </w:tcPr>
          <w:p>
            <w:pPr>
              <w:spacing w:after="0"/>
              <w:rPr>
                <w:sz w:val="18"/>
                <w:szCs w:val="18"/>
                <w:color w:val="auto"/>
              </w:rPr>
            </w:pPr>
          </w:p>
        </w:tc>
        <w:tc>
          <w:tcPr>
            <w:tcW w:w="420" w:type="dxa"/>
            <w:vAlign w:val="bottom"/>
            <w:shd w:val="clear" w:color="auto" w:fill="CCEEFF"/>
          </w:tcPr>
          <w:p>
            <w:pPr>
              <w:jc w:val="right"/>
              <w:ind w:right="236"/>
              <w:spacing w:after="0"/>
              <w:rPr>
                <w:sz w:val="20"/>
                <w:szCs w:val="20"/>
                <w:color w:val="auto"/>
              </w:rPr>
            </w:pPr>
            <w:r>
              <w:rPr>
                <w:rFonts w:ascii="Arial" w:cs="Arial" w:eastAsia="Arial" w:hAnsi="Arial"/>
                <w:sz w:val="18"/>
                <w:szCs w:val="18"/>
                <w:color w:val="auto"/>
                <w:w w:val="79"/>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136.9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80" w:type="dxa"/>
            <w:vAlign w:val="bottom"/>
          </w:tcPr>
          <w:p>
            <w:pPr>
              <w:ind w:left="100"/>
              <w:spacing w:after="0"/>
              <w:rPr>
                <w:sz w:val="20"/>
                <w:szCs w:val="20"/>
                <w:color w:val="auto"/>
              </w:rPr>
            </w:pPr>
            <w:r>
              <w:rPr>
                <w:rFonts w:ascii="Arial" w:cs="Arial" w:eastAsia="Arial" w:hAnsi="Arial"/>
                <w:sz w:val="18"/>
                <w:szCs w:val="18"/>
                <w:color w:val="auto"/>
              </w:rPr>
              <w:t>Residential mortgage-backed pass-through securities</w:t>
            </w:r>
          </w:p>
        </w:tc>
        <w:tc>
          <w:tcPr>
            <w:tcW w:w="2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3,152.9</w:t>
            </w:r>
          </w:p>
        </w:tc>
        <w:tc>
          <w:tcPr>
            <w:tcW w:w="2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3,122.3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80" w:type="dxa"/>
            <w:vAlign w:val="bottom"/>
            <w:shd w:val="clear" w:color="auto" w:fill="CCEEFF"/>
          </w:tcPr>
          <w:p>
            <w:pPr>
              <w:ind w:left="100"/>
              <w:spacing w:after="0"/>
              <w:rPr>
                <w:sz w:val="20"/>
                <w:szCs w:val="20"/>
                <w:color w:val="auto"/>
              </w:rPr>
            </w:pPr>
            <w:r>
              <w:rPr>
                <w:rFonts w:ascii="Arial" w:cs="Arial" w:eastAsia="Arial" w:hAnsi="Arial"/>
                <w:sz w:val="18"/>
                <w:szCs w:val="18"/>
                <w:color w:val="auto"/>
              </w:rPr>
              <w:t>Commercial mortgage-backed securities</w:t>
            </w:r>
          </w:p>
        </w:tc>
        <w:tc>
          <w:tcPr>
            <w:tcW w:w="2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5,562.2</w:t>
            </w:r>
          </w:p>
        </w:tc>
        <w:tc>
          <w:tcPr>
            <w:tcW w:w="2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5,436.2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80" w:type="dxa"/>
            <w:vAlign w:val="bottom"/>
          </w:tcPr>
          <w:p>
            <w:pPr>
              <w:ind w:left="100"/>
              <w:spacing w:after="0"/>
              <w:rPr>
                <w:sz w:val="20"/>
                <w:szCs w:val="20"/>
                <w:color w:val="auto"/>
              </w:rPr>
            </w:pPr>
            <w:r>
              <w:rPr>
                <w:rFonts w:ascii="Arial" w:cs="Arial" w:eastAsia="Arial" w:hAnsi="Arial"/>
                <w:sz w:val="18"/>
                <w:szCs w:val="18"/>
                <w:color w:val="auto"/>
              </w:rPr>
              <w:t>Collateralized debt obligations (2)</w:t>
            </w:r>
          </w:p>
        </w:tc>
        <w:tc>
          <w:tcPr>
            <w:tcW w:w="2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3,559.6</w:t>
            </w:r>
          </w:p>
        </w:tc>
        <w:tc>
          <w:tcPr>
            <w:tcW w:w="2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3,564.7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80" w:type="dxa"/>
            <w:vAlign w:val="bottom"/>
            <w:shd w:val="clear" w:color="auto" w:fill="CCEEFF"/>
          </w:tcPr>
          <w:p>
            <w:pPr>
              <w:ind w:left="100"/>
              <w:spacing w:after="0"/>
              <w:rPr>
                <w:sz w:val="20"/>
                <w:szCs w:val="20"/>
                <w:color w:val="auto"/>
              </w:rPr>
            </w:pPr>
            <w:r>
              <w:rPr>
                <w:rFonts w:ascii="Arial" w:cs="Arial" w:eastAsia="Arial" w:hAnsi="Arial"/>
                <w:sz w:val="18"/>
                <w:szCs w:val="18"/>
                <w:color w:val="auto"/>
              </w:rPr>
              <w:t>Other debt obligations</w:t>
            </w:r>
          </w:p>
        </w:tc>
        <w:tc>
          <w:tcPr>
            <w:tcW w:w="2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7,560.4</w:t>
            </w:r>
          </w:p>
        </w:tc>
        <w:tc>
          <w:tcPr>
            <w:tcW w:w="2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7,487.8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80" w:type="dxa"/>
            <w:vAlign w:val="bottom"/>
          </w:tcPr>
          <w:p>
            <w:pPr>
              <w:spacing w:after="0"/>
              <w:rPr>
                <w:sz w:val="20"/>
                <w:szCs w:val="20"/>
                <w:color w:val="auto"/>
              </w:rPr>
            </w:pPr>
            <w:r>
              <w:rPr>
                <w:rFonts w:ascii="Arial" w:cs="Arial" w:eastAsia="Arial" w:hAnsi="Arial"/>
                <w:sz w:val="18"/>
                <w:szCs w:val="18"/>
                <w:color w:val="auto"/>
              </w:rPr>
              <w:t>Fixed maturities, trading:</w:t>
            </w:r>
          </w:p>
        </w:tc>
        <w:tc>
          <w:tcPr>
            <w:tcW w:w="2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80" w:type="dxa"/>
            <w:vAlign w:val="bottom"/>
            <w:shd w:val="clear" w:color="auto" w:fill="CCEEFF"/>
          </w:tcPr>
          <w:p>
            <w:pPr>
              <w:ind w:left="100"/>
              <w:spacing w:after="0"/>
              <w:rPr>
                <w:sz w:val="20"/>
                <w:szCs w:val="20"/>
                <w:color w:val="auto"/>
              </w:rPr>
            </w:pPr>
            <w:r>
              <w:rPr>
                <w:rFonts w:ascii="Arial" w:cs="Arial" w:eastAsia="Arial" w:hAnsi="Arial"/>
                <w:sz w:val="18"/>
                <w:szCs w:val="18"/>
                <w:color w:val="auto"/>
              </w:rPr>
              <w:t>Residential mortgage-backed pass-through securities</w:t>
            </w:r>
          </w:p>
        </w:tc>
        <w:tc>
          <w:tcPr>
            <w:tcW w:w="2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117.4</w:t>
            </w:r>
          </w:p>
        </w:tc>
        <w:tc>
          <w:tcPr>
            <w:tcW w:w="2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117.4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80" w:type="dxa"/>
            <w:vAlign w:val="bottom"/>
          </w:tcPr>
          <w:p>
            <w:pPr>
              <w:ind w:left="100"/>
              <w:spacing w:after="0"/>
              <w:rPr>
                <w:sz w:val="20"/>
                <w:szCs w:val="20"/>
                <w:color w:val="auto"/>
              </w:rPr>
            </w:pPr>
            <w:r>
              <w:rPr>
                <w:rFonts w:ascii="Arial" w:cs="Arial" w:eastAsia="Arial" w:hAnsi="Arial"/>
                <w:sz w:val="18"/>
                <w:szCs w:val="18"/>
                <w:color w:val="auto"/>
              </w:rPr>
              <w:t>Commercial mortgage-backed securities</w:t>
            </w:r>
          </w:p>
        </w:tc>
        <w:tc>
          <w:tcPr>
            <w:tcW w:w="2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25.6</w:t>
            </w:r>
          </w:p>
        </w:tc>
        <w:tc>
          <w:tcPr>
            <w:tcW w:w="2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25.6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80" w:type="dxa"/>
            <w:vAlign w:val="bottom"/>
            <w:shd w:val="clear" w:color="auto" w:fill="CCEEFF"/>
          </w:tcPr>
          <w:p>
            <w:pPr>
              <w:ind w:left="100"/>
              <w:spacing w:after="0"/>
              <w:rPr>
                <w:sz w:val="20"/>
                <w:szCs w:val="20"/>
                <w:color w:val="auto"/>
              </w:rPr>
            </w:pPr>
            <w:r>
              <w:rPr>
                <w:rFonts w:ascii="Arial" w:cs="Arial" w:eastAsia="Arial" w:hAnsi="Arial"/>
                <w:sz w:val="18"/>
                <w:szCs w:val="18"/>
                <w:color w:val="auto"/>
              </w:rPr>
              <w:t>Collateralized debt obligations (2)</w:t>
            </w:r>
          </w:p>
        </w:tc>
        <w:tc>
          <w:tcPr>
            <w:tcW w:w="2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w:t>
            </w:r>
          </w:p>
        </w:tc>
        <w:tc>
          <w:tcPr>
            <w:tcW w:w="2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80" w:type="dxa"/>
            <w:vAlign w:val="bottom"/>
          </w:tcPr>
          <w:p>
            <w:pPr>
              <w:ind w:left="100"/>
              <w:spacing w:after="0"/>
              <w:rPr>
                <w:sz w:val="20"/>
                <w:szCs w:val="20"/>
                <w:color w:val="auto"/>
              </w:rPr>
            </w:pPr>
            <w:r>
              <w:rPr>
                <w:rFonts w:ascii="Arial" w:cs="Arial" w:eastAsia="Arial" w:hAnsi="Arial"/>
                <w:sz w:val="18"/>
                <w:szCs w:val="18"/>
                <w:color w:val="auto"/>
              </w:rPr>
              <w:t>Other debt obligations</w:t>
            </w:r>
          </w:p>
        </w:tc>
        <w:tc>
          <w:tcPr>
            <w:tcW w:w="2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8.2</w:t>
            </w:r>
          </w:p>
        </w:tc>
        <w:tc>
          <w:tcPr>
            <w:tcW w:w="2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8.2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80" w:type="dxa"/>
            <w:vAlign w:val="bottom"/>
            <w:shd w:val="clear" w:color="auto" w:fill="CCEEFF"/>
          </w:tcPr>
          <w:p>
            <w:pPr>
              <w:spacing w:after="0"/>
              <w:rPr>
                <w:sz w:val="20"/>
                <w:szCs w:val="20"/>
                <w:color w:val="auto"/>
              </w:rPr>
            </w:pPr>
            <w:r>
              <w:rPr>
                <w:rFonts w:ascii="Arial" w:cs="Arial" w:eastAsia="Arial" w:hAnsi="Arial"/>
                <w:sz w:val="18"/>
                <w:szCs w:val="18"/>
                <w:color w:val="auto"/>
              </w:rPr>
              <w:t>Equity securities</w:t>
            </w:r>
          </w:p>
        </w:tc>
        <w:tc>
          <w:tcPr>
            <w:tcW w:w="2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115.4</w:t>
            </w:r>
          </w:p>
        </w:tc>
        <w:tc>
          <w:tcPr>
            <w:tcW w:w="2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115.4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80" w:type="dxa"/>
            <w:vAlign w:val="bottom"/>
          </w:tcPr>
          <w:p>
            <w:pPr>
              <w:spacing w:after="0"/>
              <w:rPr>
                <w:sz w:val="20"/>
                <w:szCs w:val="20"/>
                <w:color w:val="auto"/>
              </w:rPr>
            </w:pPr>
            <w:r>
              <w:rPr>
                <w:rFonts w:ascii="Arial" w:cs="Arial" w:eastAsia="Arial" w:hAnsi="Arial"/>
                <w:sz w:val="18"/>
                <w:szCs w:val="18"/>
                <w:color w:val="auto"/>
              </w:rPr>
              <w:t>Other investments:</w:t>
            </w:r>
          </w:p>
        </w:tc>
        <w:tc>
          <w:tcPr>
            <w:tcW w:w="2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80" w:type="dxa"/>
            <w:vAlign w:val="bottom"/>
            <w:shd w:val="clear" w:color="auto" w:fill="CCEEFF"/>
          </w:tcPr>
          <w:p>
            <w:pPr>
              <w:ind w:left="100"/>
              <w:spacing w:after="0"/>
              <w:rPr>
                <w:sz w:val="20"/>
                <w:szCs w:val="20"/>
                <w:color w:val="auto"/>
              </w:rPr>
            </w:pPr>
            <w:r>
              <w:rPr>
                <w:rFonts w:ascii="Arial" w:cs="Arial" w:eastAsia="Arial" w:hAnsi="Arial"/>
                <w:sz w:val="18"/>
                <w:szCs w:val="18"/>
                <w:color w:val="auto"/>
              </w:rPr>
              <w:t>Other limited partnership and fund interests (3)</w:t>
            </w:r>
          </w:p>
        </w:tc>
        <w:tc>
          <w:tcPr>
            <w:tcW w:w="2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1,209.6</w:t>
            </w:r>
          </w:p>
        </w:tc>
        <w:tc>
          <w:tcPr>
            <w:tcW w:w="2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2,053.8</w:t>
            </w:r>
          </w:p>
        </w:tc>
        <w:tc>
          <w:tcPr>
            <w:tcW w:w="0" w:type="dxa"/>
            <w:vAlign w:val="bottom"/>
          </w:tcPr>
          <w:p>
            <w:pPr>
              <w:spacing w:after="0"/>
              <w:rPr>
                <w:sz w:val="1"/>
                <w:szCs w:val="1"/>
                <w:color w:val="auto"/>
              </w:rPr>
            </w:pPr>
          </w:p>
        </w:tc>
      </w:tr>
      <w:tr>
        <w:trPr>
          <w:trHeight w:val="661"/>
        </w:trPr>
        <w:tc>
          <w:tcPr>
            <w:tcW w:w="20" w:type="dxa"/>
            <w:vAlign w:val="bottom"/>
          </w:tcPr>
          <w:p>
            <w:pPr>
              <w:spacing w:after="0"/>
              <w:rPr>
                <w:sz w:val="24"/>
                <w:szCs w:val="24"/>
                <w:color w:val="auto"/>
              </w:rPr>
            </w:pPr>
          </w:p>
        </w:tc>
        <w:tc>
          <w:tcPr>
            <w:tcW w:w="4380" w:type="dxa"/>
            <w:vAlign w:val="bottom"/>
          </w:tcPr>
          <w:p>
            <w:pPr>
              <w:spacing w:after="0"/>
              <w:rPr>
                <w:sz w:val="24"/>
                <w:szCs w:val="24"/>
                <w:color w:val="auto"/>
              </w:rPr>
            </w:pPr>
          </w:p>
        </w:tc>
        <w:tc>
          <w:tcPr>
            <w:tcW w:w="2220" w:type="dxa"/>
            <w:vAlign w:val="bottom"/>
          </w:tcPr>
          <w:p>
            <w:pPr>
              <w:jc w:val="right"/>
              <w:ind w:right="1470"/>
              <w:spacing w:after="0"/>
              <w:rPr>
                <w:sz w:val="20"/>
                <w:szCs w:val="20"/>
                <w:color w:val="auto"/>
              </w:rPr>
            </w:pPr>
            <w:r>
              <w:rPr>
                <w:rFonts w:ascii="Arial" w:cs="Arial" w:eastAsia="Arial" w:hAnsi="Arial"/>
                <w:sz w:val="18"/>
                <w:szCs w:val="18"/>
                <w:color w:val="auto"/>
              </w:rPr>
              <w:t>18</w:t>
            </w:r>
          </w:p>
        </w:tc>
        <w:tc>
          <w:tcPr>
            <w:tcW w:w="12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60"/>
        </w:trPr>
        <w:tc>
          <w:tcPr>
            <w:tcW w:w="20" w:type="dxa"/>
            <w:vAlign w:val="bottom"/>
          </w:tcPr>
          <w:p>
            <w:pPr>
              <w:spacing w:after="0"/>
              <w:rPr>
                <w:sz w:val="24"/>
                <w:szCs w:val="24"/>
                <w:color w:val="auto"/>
              </w:rPr>
            </w:pPr>
          </w:p>
        </w:tc>
        <w:tc>
          <w:tcPr>
            <w:tcW w:w="4380" w:type="dxa"/>
            <w:vAlign w:val="bottom"/>
            <w:tcBorders>
              <w:bottom w:val="single" w:sz="8" w:color="auto"/>
            </w:tcBorders>
          </w:tcPr>
          <w:p>
            <w:pPr>
              <w:spacing w:after="0"/>
              <w:rPr>
                <w:sz w:val="24"/>
                <w:szCs w:val="24"/>
                <w:color w:val="auto"/>
              </w:rPr>
            </w:pPr>
          </w:p>
        </w:tc>
        <w:tc>
          <w:tcPr>
            <w:tcW w:w="2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920"/>
          </w:cols>
          <w:pgMar w:left="980" w:top="665" w:right="999" w:bottom="1440" w:gutter="0" w:footer="0" w:header="0"/>
        </w:sectPr>
      </w:pPr>
    </w:p>
    <w:bookmarkStart w:id="18" w:name="page19"/>
    <w:bookmarkEnd w:id="18"/>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(Unaudited)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211455</wp:posOffset>
            </wp:positionV>
            <wp:extent cx="1568450"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1568450" cy="8890"/>
                    </a:xfrm>
                    <a:prstGeom prst="rect">
                      <a:avLst/>
                    </a:prstGeom>
                    <a:noFill/>
                  </pic:spPr>
                </pic:pic>
              </a:graphicData>
            </a:graphic>
          </wp:anchor>
        </w:drawing>
      </w:r>
    </w:p>
    <w:p>
      <w:pPr>
        <w:spacing w:after="0" w:line="200" w:lineRule="exact"/>
        <w:rPr>
          <w:sz w:val="20"/>
          <w:szCs w:val="20"/>
          <w:color w:val="auto"/>
        </w:rPr>
      </w:pPr>
    </w:p>
    <w:p>
      <w:pPr>
        <w:spacing w:after="0" w:line="207" w:lineRule="exact"/>
        <w:rPr>
          <w:sz w:val="20"/>
          <w:szCs w:val="20"/>
          <w:color w:val="auto"/>
        </w:rPr>
      </w:pPr>
    </w:p>
    <w:p>
      <w:pPr>
        <w:ind w:left="340" w:right="60" w:hanging="332"/>
        <w:spacing w:after="0" w:line="284" w:lineRule="auto"/>
        <w:tabs>
          <w:tab w:leader="none" w:pos="340" w:val="left"/>
        </w:tabs>
        <w:numPr>
          <w:ilvl w:val="0"/>
          <w:numId w:val="8"/>
        </w:numPr>
        <w:rPr>
          <w:rFonts w:ascii="Arial" w:cs="Arial" w:eastAsia="Arial" w:hAnsi="Arial"/>
          <w:sz w:val="16"/>
          <w:szCs w:val="16"/>
          <w:color w:val="auto"/>
        </w:rPr>
      </w:pPr>
      <w:r>
        <w:rPr>
          <w:rFonts w:ascii="Arial" w:cs="Arial" w:eastAsia="Arial" w:hAnsi="Arial"/>
          <w:sz w:val="16"/>
          <w:szCs w:val="16"/>
          <w:color w:val="auto"/>
        </w:rPr>
        <w:t>Our risk of loss is limited to our initial investment measured at amortized cost for fixed maturities, available-for-sale. Our risk of loss is limited to our investment measured at fair value for our fixed maturities, trading and equity securities. Our risk of loss is limited to our carrying value plus any unfunded commitments and/or guarantees and similar provisions for our other investments. A carrying value of zero is used if distributions have been received in excess of our investment, resulting in a negative carrying value for the investment. Unfunded commitments are not liabilities on our consolidated statements of financial position because we are only required to fund additional equity when called upon to do so by the general partner or investment manager.</w:t>
      </w:r>
    </w:p>
    <w:p>
      <w:pPr>
        <w:spacing w:after="0" w:line="4" w:lineRule="exact"/>
        <w:rPr>
          <w:rFonts w:ascii="Arial" w:cs="Arial" w:eastAsia="Arial" w:hAnsi="Arial"/>
          <w:sz w:val="16"/>
          <w:szCs w:val="16"/>
          <w:color w:val="auto"/>
        </w:rPr>
      </w:pPr>
    </w:p>
    <w:p>
      <w:pPr>
        <w:ind w:left="340" w:hanging="332"/>
        <w:spacing w:after="0"/>
        <w:tabs>
          <w:tab w:leader="none" w:pos="340" w:val="left"/>
        </w:tabs>
        <w:numPr>
          <w:ilvl w:val="0"/>
          <w:numId w:val="8"/>
        </w:numPr>
        <w:rPr>
          <w:rFonts w:ascii="Arial" w:cs="Arial" w:eastAsia="Arial" w:hAnsi="Arial"/>
          <w:sz w:val="18"/>
          <w:szCs w:val="18"/>
          <w:color w:val="auto"/>
        </w:rPr>
      </w:pPr>
      <w:r>
        <w:rPr>
          <w:rFonts w:ascii="Arial" w:cs="Arial" w:eastAsia="Arial" w:hAnsi="Arial"/>
          <w:sz w:val="18"/>
          <w:szCs w:val="18"/>
          <w:color w:val="auto"/>
        </w:rPr>
        <w:t>Primarily consists of collateralized loan obligations backed by secured corporate loans.</w:t>
      </w:r>
    </w:p>
    <w:p>
      <w:pPr>
        <w:spacing w:after="0" w:line="9" w:lineRule="exact"/>
        <w:rPr>
          <w:rFonts w:ascii="Arial" w:cs="Arial" w:eastAsia="Arial" w:hAnsi="Arial"/>
          <w:sz w:val="18"/>
          <w:szCs w:val="18"/>
          <w:color w:val="auto"/>
        </w:rPr>
      </w:pPr>
    </w:p>
    <w:p>
      <w:pPr>
        <w:ind w:left="340" w:right="20" w:hanging="332"/>
        <w:spacing w:after="0" w:line="302" w:lineRule="auto"/>
        <w:tabs>
          <w:tab w:leader="none" w:pos="340" w:val="left"/>
        </w:tabs>
        <w:numPr>
          <w:ilvl w:val="0"/>
          <w:numId w:val="8"/>
        </w:numPr>
        <w:rPr>
          <w:rFonts w:ascii="Arial" w:cs="Arial" w:eastAsia="Arial" w:hAnsi="Arial"/>
          <w:sz w:val="16"/>
          <w:szCs w:val="16"/>
          <w:color w:val="auto"/>
        </w:rPr>
      </w:pPr>
      <w:r>
        <w:rPr>
          <w:rFonts w:ascii="Arial" w:cs="Arial" w:eastAsia="Arial" w:hAnsi="Arial"/>
          <w:sz w:val="16"/>
          <w:szCs w:val="16"/>
          <w:color w:val="auto"/>
        </w:rPr>
        <w:t>As of June 30, 2022 and December 31, 2021, the maximum exposure to loss for other limited partnership and fund interests includes $270.1 million and $130.5 million, respectively, of debt within certain of our managed international real estate funds that is fully secured by assets whose value exceeds the amount of the debt, but also includes recourse to the investment manager.</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Money Market Funds</w:t>
      </w:r>
    </w:p>
    <w:p>
      <w:pPr>
        <w:spacing w:after="0" w:line="225" w:lineRule="exact"/>
        <w:rPr>
          <w:sz w:val="20"/>
          <w:szCs w:val="20"/>
          <w:color w:val="auto"/>
        </w:rPr>
      </w:pPr>
    </w:p>
    <w:p>
      <w:pPr>
        <w:ind w:firstLine="648"/>
        <w:spacing w:after="0" w:line="296" w:lineRule="auto"/>
        <w:rPr>
          <w:sz w:val="20"/>
          <w:szCs w:val="20"/>
          <w:color w:val="auto"/>
        </w:rPr>
      </w:pPr>
      <w:r>
        <w:rPr>
          <w:rFonts w:ascii="Arial" w:cs="Arial" w:eastAsia="Arial" w:hAnsi="Arial"/>
          <w:sz w:val="16"/>
          <w:szCs w:val="16"/>
          <w:color w:val="auto"/>
        </w:rPr>
        <w:t>We are the investment manager for certain money market mutual funds. These types of funds are exempt from assessment under any consolidation model due to a scope exception for money market funds registered under Rule 2a-7 of the Investment Company Act of 1940 or similar funds. As of June 30, 2022 and December 31, 2021, money market mutual funds we manage held $4.9 billion and $4.8 billion in total assets, respectively. We have no contractual obligation to contribute to these funds; however, we provide support through the waiver of fees and through expense reimbursements. The amount of fees waived and expenses reimbursed was insignificant.</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Investments</w:t>
      </w:r>
    </w:p>
    <w:p>
      <w:pPr>
        <w:spacing w:after="0" w:line="229" w:lineRule="exact"/>
        <w:rPr>
          <w:sz w:val="20"/>
          <w:szCs w:val="20"/>
          <w:color w:val="auto"/>
        </w:rPr>
      </w:pPr>
    </w:p>
    <w:p>
      <w:pPr>
        <w:ind w:right="120" w:firstLine="648"/>
        <w:spacing w:after="0" w:line="286" w:lineRule="auto"/>
        <w:rPr>
          <w:sz w:val="20"/>
          <w:szCs w:val="20"/>
          <w:color w:val="auto"/>
        </w:rPr>
      </w:pPr>
      <w:r>
        <w:rPr>
          <w:rFonts w:ascii="Arial" w:cs="Arial" w:eastAsia="Arial" w:hAnsi="Arial"/>
          <w:sz w:val="17"/>
          <w:szCs w:val="17"/>
          <w:color w:val="auto"/>
        </w:rPr>
        <w:t>Our investments include assets backing reserves as part of a coinsurance with funds withheld agreement. The funds withheld invested assets are reported within their respective line items, primarily consisting of fixed maturities available-for-sale, mortgage loans and other investments. See Note 7, Reinsurance, for more information on the funds withheld invested assets.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Fixed Maturities and Equity Securities</w:t>
      </w:r>
    </w:p>
    <w:p>
      <w:pPr>
        <w:spacing w:after="0" w:line="229" w:lineRule="exact"/>
        <w:rPr>
          <w:sz w:val="20"/>
          <w:szCs w:val="20"/>
          <w:color w:val="auto"/>
        </w:rPr>
      </w:pPr>
    </w:p>
    <w:p>
      <w:pPr>
        <w:ind w:right="80" w:firstLine="648"/>
        <w:spacing w:after="0" w:line="269" w:lineRule="auto"/>
        <w:rPr>
          <w:sz w:val="20"/>
          <w:szCs w:val="20"/>
          <w:color w:val="auto"/>
        </w:rPr>
      </w:pPr>
      <w:r>
        <w:rPr>
          <w:rFonts w:ascii="Arial" w:cs="Arial" w:eastAsia="Arial" w:hAnsi="Arial"/>
          <w:sz w:val="17"/>
          <w:szCs w:val="17"/>
          <w:color w:val="auto"/>
        </w:rPr>
        <w:t>Fixed maturities include bonds, ABS, redeemable preferred stock and certain non-redeemable preferred securities. Equity securities include mutual funds, common stock, non-redeemable preferred stock and required regulatory investments. We classify fixed maturities as either available-for-sale or trading at the time of the purchase and, accordingly, carry them at fair value. Equity securities are also carried at fair value. See Note 12, Fair Value Measurements, for methodologies related to the determination of fair value. Unrealized gains and losses related to fixed maturities, available-for-sale, excluding those in fair value hedging relationships, are reflected in stockholders’ equity, net of adjustments associated with DAC and related actuarial balances, derivatives in cash flow hedge relationships and applicable income taxes. Mark-to-market adjustments on certain equity securities and mark-to-market adjustments on certain fixed maturities, trading are reflected in net realized capital gains (losses). Unrealized gains and losses related to hedged portions of fixed maturities, available-for-sale in fair value hedging relationships are reflected in net investment income. Mark-to-market adjustments related to certain securities carried at fair value with an investment objective to realize economic value through mark-to-market changes are reflected in net investment income.</w:t>
      </w:r>
    </w:p>
    <w:p>
      <w:pPr>
        <w:spacing w:after="0" w:line="182" w:lineRule="exact"/>
        <w:rPr>
          <w:sz w:val="20"/>
          <w:szCs w:val="20"/>
          <w:color w:val="auto"/>
        </w:rPr>
      </w:pPr>
    </w:p>
    <w:p>
      <w:pPr>
        <w:ind w:right="100" w:firstLine="648"/>
        <w:spacing w:after="0" w:line="291" w:lineRule="auto"/>
        <w:rPr>
          <w:sz w:val="20"/>
          <w:szCs w:val="20"/>
          <w:color w:val="auto"/>
        </w:rPr>
      </w:pPr>
      <w:r>
        <w:rPr>
          <w:rFonts w:ascii="Arial" w:cs="Arial" w:eastAsia="Arial" w:hAnsi="Arial"/>
          <w:sz w:val="16"/>
          <w:szCs w:val="16"/>
          <w:color w:val="auto"/>
        </w:rPr>
        <w:t>The amortized cost of fixed maturities includes cost adjusted for amortization of premiums and discounts, computed using the interest method. The amortized cost of fixed maturities, available-for-sale is adjusted for changes in fair value of the hedged portions of securities in fair value hedging relationships and excludes accrued interest receivable. Accrued interest receivable is reported in accrued investment income on the consolidated statements of financial position. Fixed maturities, available-for-sale are subject to an allowance for credit loss and changes in the allowance are reported in net income as a component of net realized capital gains (losses). Interest income, as well as prepayment fees and the amortization of the related premium or discount, is reported in net investment income. For loan-backed and structured securities, we recognize income using a constant effective yield based on currently anticipated cash flows.</w:t>
      </w:r>
    </w:p>
    <w:p>
      <w:pPr>
        <w:spacing w:after="0" w:line="200" w:lineRule="exact"/>
        <w:rPr>
          <w:sz w:val="20"/>
          <w:szCs w:val="20"/>
          <w:color w:val="auto"/>
        </w:rPr>
      </w:pPr>
    </w:p>
    <w:p>
      <w:pPr>
        <w:spacing w:after="0" w:line="39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540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00"/>
          </w:cols>
          <w:pgMar w:left="980" w:top="665" w:right="1019" w:bottom="1440" w:gutter="0" w:footer="0" w:header="0"/>
        </w:sectPr>
      </w:pPr>
    </w:p>
    <w:bookmarkStart w:id="19" w:name="page20"/>
    <w:bookmarkEnd w:id="19"/>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right="80" w:firstLine="648"/>
        <w:spacing w:after="0" w:line="277" w:lineRule="auto"/>
        <w:rPr>
          <w:sz w:val="20"/>
          <w:szCs w:val="20"/>
          <w:color w:val="auto"/>
        </w:rPr>
      </w:pPr>
      <w:r>
        <w:rPr>
          <w:rFonts w:ascii="Arial" w:cs="Arial" w:eastAsia="Arial" w:hAnsi="Arial"/>
          <w:sz w:val="18"/>
          <w:szCs w:val="18"/>
          <w:color w:val="auto"/>
        </w:rPr>
        <w:t>The amortized cost, gross unrealized gains and losses, allowance for credit loss and fair value of fixed maturities, available-for-sale were as follows:</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4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20" w:type="dxa"/>
            <w:vAlign w:val="bottom"/>
            <w:vMerge w:val="restart"/>
          </w:tcPr>
          <w:p>
            <w:pPr>
              <w:jc w:val="center"/>
              <w:ind w:right="53"/>
              <w:spacing w:after="0"/>
              <w:rPr>
                <w:sz w:val="20"/>
                <w:szCs w:val="20"/>
                <w:color w:val="auto"/>
              </w:rPr>
            </w:pPr>
            <w:r>
              <w:rPr>
                <w:rFonts w:ascii="Arial" w:cs="Arial" w:eastAsia="Arial" w:hAnsi="Arial"/>
                <w:sz w:val="14"/>
                <w:szCs w:val="14"/>
                <w:b w:val="1"/>
                <w:bCs w:val="1"/>
                <w:color w:val="auto"/>
                <w:w w:val="96"/>
              </w:rPr>
              <w:t>Amortized</w:t>
            </w:r>
          </w:p>
        </w:tc>
        <w:tc>
          <w:tcPr>
            <w:tcW w:w="2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4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83"/>
              </w:rPr>
              <w:t>Gross</w:t>
            </w:r>
          </w:p>
        </w:tc>
        <w:tc>
          <w:tcPr>
            <w:tcW w:w="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4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88"/>
              </w:rPr>
              <w:t>Gross</w:t>
            </w:r>
          </w:p>
        </w:tc>
        <w:tc>
          <w:tcPr>
            <w:tcW w:w="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4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2"/>
              </w:rPr>
              <w:t>Allowance</w:t>
            </w:r>
          </w:p>
        </w:tc>
        <w:tc>
          <w:tcPr>
            <w:tcW w:w="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248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20" w:type="dxa"/>
            <w:vAlign w:val="bottom"/>
            <w:vMerge w:val="continue"/>
          </w:tcPr>
          <w:p>
            <w:pPr>
              <w:spacing w:after="0"/>
              <w:rPr>
                <w:sz w:val="12"/>
                <w:szCs w:val="12"/>
                <w:color w:val="auto"/>
              </w:rPr>
            </w:pPr>
          </w:p>
        </w:tc>
        <w:tc>
          <w:tcPr>
            <w:tcW w:w="2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4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5"/>
              </w:rPr>
              <w:t>unrealized</w:t>
            </w:r>
          </w:p>
        </w:tc>
        <w:tc>
          <w:tcPr>
            <w:tcW w:w="1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4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2"/>
              </w:rPr>
              <w:t>unrealized</w:t>
            </w:r>
          </w:p>
        </w:tc>
        <w:tc>
          <w:tcPr>
            <w:tcW w:w="1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4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5"/>
              </w:rPr>
              <w:t>for credit</w:t>
            </w:r>
          </w:p>
        </w:tc>
        <w:tc>
          <w:tcPr>
            <w:tcW w:w="1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20" w:type="dxa"/>
            <w:vAlign w:val="bottom"/>
            <w:vMerge w:val="restart"/>
          </w:tcPr>
          <w:p>
            <w:pPr>
              <w:jc w:val="right"/>
              <w:ind w:right="132"/>
              <w:spacing w:after="0"/>
              <w:rPr>
                <w:sz w:val="20"/>
                <w:szCs w:val="20"/>
                <w:color w:val="auto"/>
              </w:rPr>
            </w:pPr>
            <w:r>
              <w:rPr>
                <w:rFonts w:ascii="Arial" w:cs="Arial" w:eastAsia="Arial" w:hAnsi="Arial"/>
                <w:sz w:val="14"/>
                <w:szCs w:val="14"/>
                <w:b w:val="1"/>
                <w:bCs w:val="1"/>
                <w:color w:val="auto"/>
              </w:rPr>
              <w:t>Fair value</w:t>
            </w:r>
          </w:p>
        </w:tc>
        <w:tc>
          <w:tcPr>
            <w:tcW w:w="0" w:type="dxa"/>
            <w:vAlign w:val="bottom"/>
          </w:tcPr>
          <w:p>
            <w:pPr>
              <w:spacing w:after="0"/>
              <w:rPr>
                <w:sz w:val="1"/>
                <w:szCs w:val="1"/>
                <w:color w:val="auto"/>
              </w:rPr>
            </w:pPr>
          </w:p>
        </w:tc>
      </w:tr>
      <w:tr>
        <w:trPr>
          <w:trHeight w:val="171"/>
        </w:trPr>
        <w:tc>
          <w:tcPr>
            <w:tcW w:w="24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center"/>
              <w:ind w:right="53"/>
              <w:spacing w:after="0"/>
              <w:rPr>
                <w:sz w:val="20"/>
                <w:szCs w:val="20"/>
                <w:color w:val="auto"/>
              </w:rPr>
            </w:pPr>
            <w:r>
              <w:rPr>
                <w:rFonts w:ascii="Arial" w:cs="Arial" w:eastAsia="Arial" w:hAnsi="Arial"/>
                <w:sz w:val="14"/>
                <w:szCs w:val="14"/>
                <w:b w:val="1"/>
                <w:bCs w:val="1"/>
                <w:color w:val="auto"/>
                <w:w w:val="92"/>
              </w:rPr>
              <w:t>cost (1)</w:t>
            </w:r>
          </w:p>
        </w:tc>
        <w:tc>
          <w:tcPr>
            <w:tcW w:w="2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gridSpan w:val="2"/>
          </w:tcPr>
          <w:p>
            <w:pPr>
              <w:jc w:val="center"/>
              <w:ind w:right="140"/>
              <w:spacing w:after="0"/>
              <w:rPr>
                <w:sz w:val="20"/>
                <w:szCs w:val="20"/>
                <w:color w:val="auto"/>
              </w:rPr>
            </w:pPr>
            <w:r>
              <w:rPr>
                <w:rFonts w:ascii="Arial" w:cs="Arial" w:eastAsia="Arial" w:hAnsi="Arial"/>
                <w:sz w:val="14"/>
                <w:szCs w:val="14"/>
                <w:b w:val="1"/>
                <w:bCs w:val="1"/>
                <w:color w:val="auto"/>
                <w:w w:val="87"/>
              </w:rPr>
              <w:t>gains</w:t>
            </w:r>
          </w:p>
        </w:tc>
        <w:tc>
          <w:tcPr>
            <w:tcW w:w="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gridSpan w:val="2"/>
          </w:tcPr>
          <w:p>
            <w:pPr>
              <w:jc w:val="center"/>
              <w:ind w:right="160"/>
              <w:spacing w:after="0"/>
              <w:rPr>
                <w:sz w:val="20"/>
                <w:szCs w:val="20"/>
                <w:color w:val="auto"/>
              </w:rPr>
            </w:pPr>
            <w:r>
              <w:rPr>
                <w:rFonts w:ascii="Arial" w:cs="Arial" w:eastAsia="Arial" w:hAnsi="Arial"/>
                <w:sz w:val="14"/>
                <w:szCs w:val="14"/>
                <w:b w:val="1"/>
                <w:bCs w:val="1"/>
                <w:color w:val="auto"/>
                <w:w w:val="77"/>
              </w:rPr>
              <w:t>losses</w:t>
            </w:r>
          </w:p>
        </w:tc>
        <w:tc>
          <w:tcPr>
            <w:tcW w:w="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gridSpan w:val="2"/>
          </w:tcPr>
          <w:p>
            <w:pPr>
              <w:jc w:val="center"/>
              <w:ind w:right="160"/>
              <w:spacing w:after="0"/>
              <w:rPr>
                <w:sz w:val="20"/>
                <w:szCs w:val="20"/>
                <w:color w:val="auto"/>
              </w:rPr>
            </w:pPr>
            <w:r>
              <w:rPr>
                <w:rFonts w:ascii="Arial" w:cs="Arial" w:eastAsia="Arial" w:hAnsi="Arial"/>
                <w:sz w:val="14"/>
                <w:szCs w:val="14"/>
                <w:b w:val="1"/>
                <w:bCs w:val="1"/>
                <w:color w:val="auto"/>
                <w:w w:val="78"/>
              </w:rPr>
              <w:t>loss</w:t>
            </w:r>
          </w:p>
        </w:tc>
        <w:tc>
          <w:tcPr>
            <w:tcW w:w="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28"/>
        </w:trPr>
        <w:tc>
          <w:tcPr>
            <w:tcW w:w="248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40" w:type="dxa"/>
            <w:vAlign w:val="bottom"/>
            <w:gridSpan w:val="2"/>
          </w:tcPr>
          <w:p>
            <w:pPr>
              <w:jc w:val="center"/>
              <w:ind w:right="160"/>
              <w:spacing w:after="0" w:line="129" w:lineRule="exact"/>
              <w:rPr>
                <w:sz w:val="20"/>
                <w:szCs w:val="20"/>
                <w:color w:val="auto"/>
              </w:rPr>
            </w:pPr>
            <w:r>
              <w:rPr>
                <w:rFonts w:ascii="Arial" w:cs="Arial" w:eastAsia="Arial" w:hAnsi="Arial"/>
                <w:sz w:val="14"/>
                <w:szCs w:val="14"/>
                <w:i w:val="1"/>
                <w:iCs w:val="1"/>
                <w:color w:val="auto"/>
                <w:w w:val="98"/>
              </w:rPr>
              <w:t>(in millions)</w:t>
            </w: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34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June 30, 2022</w:t>
            </w:r>
          </w:p>
        </w:tc>
        <w:tc>
          <w:tcPr>
            <w:tcW w:w="2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460" w:type="dxa"/>
            <w:vAlign w:val="bottom"/>
            <w:gridSpan w:val="2"/>
          </w:tcPr>
          <w:p>
            <w:pPr>
              <w:spacing w:after="0"/>
              <w:rPr>
                <w:sz w:val="20"/>
                <w:szCs w:val="20"/>
                <w:color w:val="auto"/>
              </w:rPr>
            </w:pPr>
            <w:r>
              <w:rPr>
                <w:rFonts w:ascii="Arial" w:cs="Arial" w:eastAsia="Arial" w:hAnsi="Arial"/>
                <w:sz w:val="18"/>
                <w:szCs w:val="18"/>
                <w:color w:val="auto"/>
              </w:rPr>
              <w:t>Fixed maturities, available-for-sale:</w:t>
            </w: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4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U.S. government and agencies</w:t>
            </w: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2,432.3</w:t>
            </w:r>
          </w:p>
        </w:tc>
        <w:tc>
          <w:tcPr>
            <w:tcW w:w="360" w:type="dxa"/>
            <w:vAlign w:val="bottom"/>
            <w:gridSpan w:val="3"/>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1.3</w:t>
            </w:r>
          </w:p>
        </w:tc>
        <w:tc>
          <w:tcPr>
            <w:tcW w:w="20" w:type="dxa"/>
            <w:vAlign w:val="bottom"/>
            <w:shd w:val="clear" w:color="auto" w:fill="CCEEFF"/>
          </w:tcPr>
          <w:p>
            <w:pPr>
              <w:spacing w:after="0"/>
              <w:rPr>
                <w:sz w:val="18"/>
                <w:szCs w:val="18"/>
                <w:color w:val="auto"/>
              </w:rPr>
            </w:pPr>
          </w:p>
        </w:tc>
        <w:tc>
          <w:tcPr>
            <w:tcW w:w="340" w:type="dxa"/>
            <w:vAlign w:val="bottom"/>
            <w:gridSpan w:val="3"/>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165.0</w:t>
            </w:r>
          </w:p>
        </w:tc>
        <w:tc>
          <w:tcPr>
            <w:tcW w:w="20" w:type="dxa"/>
            <w:vAlign w:val="bottom"/>
            <w:shd w:val="clear" w:color="auto" w:fill="CCEEFF"/>
          </w:tcPr>
          <w:p>
            <w:pPr>
              <w:spacing w:after="0"/>
              <w:rPr>
                <w:sz w:val="18"/>
                <w:szCs w:val="18"/>
                <w:color w:val="auto"/>
              </w:rPr>
            </w:pPr>
          </w:p>
        </w:tc>
        <w:tc>
          <w:tcPr>
            <w:tcW w:w="340" w:type="dxa"/>
            <w:vAlign w:val="bottom"/>
            <w:gridSpan w:val="3"/>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9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w:t>
            </w:r>
          </w:p>
        </w:tc>
        <w:tc>
          <w:tcPr>
            <w:tcW w:w="360" w:type="dxa"/>
            <w:vAlign w:val="bottom"/>
            <w:gridSpan w:val="3"/>
            <w:shd w:val="clear" w:color="auto" w:fill="CCEEFF"/>
          </w:tcPr>
          <w:p>
            <w:pPr>
              <w:jc w:val="right"/>
              <w:ind w:right="7"/>
              <w:spacing w:after="0"/>
              <w:rPr>
                <w:sz w:val="20"/>
                <w:szCs w:val="20"/>
                <w:color w:val="auto"/>
              </w:rPr>
            </w:pPr>
            <w:r>
              <w:rPr>
                <w:rFonts w:ascii="Arial" w:cs="Arial" w:eastAsia="Arial" w:hAnsi="Arial"/>
                <w:sz w:val="18"/>
                <w:szCs w:val="18"/>
                <w:b w:val="1"/>
                <w:bCs w:val="1"/>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2,268.6</w:t>
            </w:r>
          </w:p>
        </w:tc>
        <w:tc>
          <w:tcPr>
            <w:tcW w:w="0" w:type="dxa"/>
            <w:vAlign w:val="bottom"/>
          </w:tcPr>
          <w:p>
            <w:pPr>
              <w:spacing w:after="0"/>
              <w:rPr>
                <w:sz w:val="1"/>
                <w:szCs w:val="1"/>
                <w:color w:val="auto"/>
              </w:rPr>
            </w:pPr>
          </w:p>
        </w:tc>
      </w:tr>
      <w:tr>
        <w:trPr>
          <w:trHeight w:val="216"/>
        </w:trPr>
        <w:tc>
          <w:tcPr>
            <w:tcW w:w="3460" w:type="dxa"/>
            <w:vAlign w:val="bottom"/>
            <w:gridSpan w:val="2"/>
          </w:tcPr>
          <w:p>
            <w:pPr>
              <w:ind w:left="120"/>
              <w:spacing w:after="0"/>
              <w:rPr>
                <w:sz w:val="20"/>
                <w:szCs w:val="20"/>
                <w:color w:val="auto"/>
              </w:rPr>
            </w:pPr>
            <w:r>
              <w:rPr>
                <w:rFonts w:ascii="Arial" w:cs="Arial" w:eastAsia="Arial" w:hAnsi="Arial"/>
                <w:sz w:val="18"/>
                <w:szCs w:val="18"/>
                <w:color w:val="auto"/>
              </w:rPr>
              <w:t>Non-U.S. governments</w:t>
            </w: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689.0</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42.3</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51.5</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w:t>
            </w: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679.8</w:t>
            </w:r>
          </w:p>
        </w:tc>
        <w:tc>
          <w:tcPr>
            <w:tcW w:w="0" w:type="dxa"/>
            <w:vAlign w:val="bottom"/>
          </w:tcPr>
          <w:p>
            <w:pPr>
              <w:spacing w:after="0"/>
              <w:rPr>
                <w:sz w:val="1"/>
                <w:szCs w:val="1"/>
                <w:color w:val="auto"/>
              </w:rPr>
            </w:pPr>
          </w:p>
        </w:tc>
      </w:tr>
      <w:tr>
        <w:trPr>
          <w:trHeight w:val="216"/>
        </w:trPr>
        <w:tc>
          <w:tcPr>
            <w:tcW w:w="34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States and political subdivisions</w:t>
            </w:r>
          </w:p>
        </w:tc>
        <w:tc>
          <w:tcPr>
            <w:tcW w:w="2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7,830.1</w:t>
            </w: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55.7</w:t>
            </w: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715.2</w:t>
            </w: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7,170.6</w:t>
            </w:r>
          </w:p>
        </w:tc>
        <w:tc>
          <w:tcPr>
            <w:tcW w:w="0" w:type="dxa"/>
            <w:vAlign w:val="bottom"/>
          </w:tcPr>
          <w:p>
            <w:pPr>
              <w:spacing w:after="0"/>
              <w:rPr>
                <w:sz w:val="1"/>
                <w:szCs w:val="1"/>
                <w:color w:val="auto"/>
              </w:rPr>
            </w:pPr>
          </w:p>
        </w:tc>
      </w:tr>
      <w:tr>
        <w:trPr>
          <w:trHeight w:val="216"/>
        </w:trPr>
        <w:tc>
          <w:tcPr>
            <w:tcW w:w="3460" w:type="dxa"/>
            <w:vAlign w:val="bottom"/>
            <w:gridSpan w:val="2"/>
          </w:tcPr>
          <w:p>
            <w:pPr>
              <w:ind w:left="120"/>
              <w:spacing w:after="0"/>
              <w:rPr>
                <w:sz w:val="20"/>
                <w:szCs w:val="20"/>
                <w:color w:val="auto"/>
              </w:rPr>
            </w:pPr>
            <w:r>
              <w:rPr>
                <w:rFonts w:ascii="Arial" w:cs="Arial" w:eastAsia="Arial" w:hAnsi="Arial"/>
                <w:sz w:val="18"/>
                <w:szCs w:val="18"/>
                <w:color w:val="auto"/>
              </w:rPr>
              <w:t>Corporate</w:t>
            </w: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42,770.5</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654.4</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3,619.2</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12.5</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39,793.2</w:t>
            </w:r>
          </w:p>
        </w:tc>
        <w:tc>
          <w:tcPr>
            <w:tcW w:w="0" w:type="dxa"/>
            <w:vAlign w:val="bottom"/>
          </w:tcPr>
          <w:p>
            <w:pPr>
              <w:spacing w:after="0"/>
              <w:rPr>
                <w:sz w:val="1"/>
                <w:szCs w:val="1"/>
                <w:color w:val="auto"/>
              </w:rPr>
            </w:pPr>
          </w:p>
        </w:tc>
      </w:tr>
      <w:tr>
        <w:trPr>
          <w:trHeight w:val="202"/>
        </w:trPr>
        <w:tc>
          <w:tcPr>
            <w:tcW w:w="3460" w:type="dxa"/>
            <w:vAlign w:val="bottom"/>
            <w:gridSpan w:val="2"/>
            <w:shd w:val="clear" w:color="auto" w:fill="CCEEFF"/>
          </w:tcPr>
          <w:p>
            <w:pPr>
              <w:ind w:left="120"/>
              <w:spacing w:after="0" w:line="201" w:lineRule="exact"/>
              <w:rPr>
                <w:sz w:val="20"/>
                <w:szCs w:val="20"/>
                <w:color w:val="auto"/>
              </w:rPr>
            </w:pPr>
            <w:r>
              <w:rPr>
                <w:rFonts w:ascii="Arial" w:cs="Arial" w:eastAsia="Arial" w:hAnsi="Arial"/>
                <w:sz w:val="18"/>
                <w:szCs w:val="18"/>
                <w:color w:val="auto"/>
                <w:w w:val="96"/>
              </w:rPr>
              <w:t>Residential mortgage-backed pass-through</w:t>
            </w:r>
          </w:p>
        </w:tc>
        <w:tc>
          <w:tcPr>
            <w:tcW w:w="2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2,039.3</w:t>
            </w:r>
          </w:p>
        </w:tc>
        <w:tc>
          <w:tcPr>
            <w:tcW w:w="2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3.8</w:t>
            </w:r>
          </w:p>
        </w:tc>
        <w:tc>
          <w:tcPr>
            <w:tcW w:w="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143.8</w:t>
            </w:r>
          </w:p>
        </w:tc>
        <w:tc>
          <w:tcPr>
            <w:tcW w:w="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40" w:type="dxa"/>
            <w:vAlign w:val="bottom"/>
            <w:gridSpan w:val="2"/>
            <w:vMerge w:val="restart"/>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w:t>
            </w:r>
          </w:p>
        </w:tc>
        <w:tc>
          <w:tcPr>
            <w:tcW w:w="1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1,899.3</w:t>
            </w:r>
          </w:p>
        </w:tc>
        <w:tc>
          <w:tcPr>
            <w:tcW w:w="0" w:type="dxa"/>
            <w:vAlign w:val="bottom"/>
          </w:tcPr>
          <w:p>
            <w:pPr>
              <w:spacing w:after="0"/>
              <w:rPr>
                <w:sz w:val="1"/>
                <w:szCs w:val="1"/>
                <w:color w:val="auto"/>
              </w:rPr>
            </w:pPr>
          </w:p>
        </w:tc>
      </w:tr>
      <w:tr>
        <w:trPr>
          <w:trHeight w:val="230"/>
        </w:trPr>
        <w:tc>
          <w:tcPr>
            <w:tcW w:w="346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securities</w:t>
            </w:r>
          </w:p>
        </w:tc>
        <w:tc>
          <w:tcPr>
            <w:tcW w:w="24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920" w:type="dxa"/>
            <w:vAlign w:val="bottom"/>
            <w:vMerge w:val="continue"/>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920" w:type="dxa"/>
            <w:vAlign w:val="bottom"/>
            <w:vMerge w:val="continue"/>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920" w:type="dxa"/>
            <w:vAlign w:val="bottom"/>
            <w:vMerge w:val="continue"/>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940" w:type="dxa"/>
            <w:vAlign w:val="bottom"/>
            <w:gridSpan w:val="2"/>
            <w:vMerge w:val="continue"/>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920" w:type="dxa"/>
            <w:vAlign w:val="bottom"/>
            <w:vMerge w:val="continue"/>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3460" w:type="dxa"/>
            <w:vAlign w:val="bottom"/>
            <w:gridSpan w:val="2"/>
          </w:tcPr>
          <w:p>
            <w:pPr>
              <w:ind w:left="120"/>
              <w:spacing w:after="0"/>
              <w:rPr>
                <w:sz w:val="20"/>
                <w:szCs w:val="20"/>
                <w:color w:val="auto"/>
              </w:rPr>
            </w:pPr>
            <w:r>
              <w:rPr>
                <w:rFonts w:ascii="Arial" w:cs="Arial" w:eastAsia="Arial" w:hAnsi="Arial"/>
                <w:sz w:val="18"/>
                <w:szCs w:val="18"/>
                <w:color w:val="auto"/>
              </w:rPr>
              <w:t>Commercial mortgage-backed securities</w:t>
            </w: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5,742.2</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2.7</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453.3</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w:t>
            </w: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5,291.6</w:t>
            </w:r>
          </w:p>
        </w:tc>
        <w:tc>
          <w:tcPr>
            <w:tcW w:w="0" w:type="dxa"/>
            <w:vAlign w:val="bottom"/>
          </w:tcPr>
          <w:p>
            <w:pPr>
              <w:spacing w:after="0"/>
              <w:rPr>
                <w:sz w:val="1"/>
                <w:szCs w:val="1"/>
                <w:color w:val="auto"/>
              </w:rPr>
            </w:pPr>
          </w:p>
        </w:tc>
      </w:tr>
      <w:tr>
        <w:trPr>
          <w:trHeight w:val="216"/>
        </w:trPr>
        <w:tc>
          <w:tcPr>
            <w:tcW w:w="34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Collateralized debt obligations (2)</w:t>
            </w:r>
          </w:p>
        </w:tc>
        <w:tc>
          <w:tcPr>
            <w:tcW w:w="2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3,751.4</w:t>
            </w: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1.5</w:t>
            </w: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111.5</w:t>
            </w: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3,641.4</w:t>
            </w:r>
          </w:p>
        </w:tc>
        <w:tc>
          <w:tcPr>
            <w:tcW w:w="0" w:type="dxa"/>
            <w:vAlign w:val="bottom"/>
          </w:tcPr>
          <w:p>
            <w:pPr>
              <w:spacing w:after="0"/>
              <w:rPr>
                <w:sz w:val="1"/>
                <w:szCs w:val="1"/>
                <w:color w:val="auto"/>
              </w:rPr>
            </w:pPr>
          </w:p>
        </w:tc>
      </w:tr>
      <w:tr>
        <w:trPr>
          <w:trHeight w:val="216"/>
        </w:trPr>
        <w:tc>
          <w:tcPr>
            <w:tcW w:w="3460" w:type="dxa"/>
            <w:vAlign w:val="bottom"/>
            <w:tcBorders>
              <w:bottom w:val="single" w:sz="8" w:color="CCEEFF"/>
            </w:tcBorders>
            <w:gridSpan w:val="2"/>
          </w:tcPr>
          <w:p>
            <w:pPr>
              <w:ind w:left="120"/>
              <w:spacing w:after="0"/>
              <w:rPr>
                <w:sz w:val="20"/>
                <w:szCs w:val="20"/>
                <w:color w:val="auto"/>
              </w:rPr>
            </w:pPr>
            <w:r>
              <w:rPr>
                <w:rFonts w:ascii="Arial" w:cs="Arial" w:eastAsia="Arial" w:hAnsi="Arial"/>
                <w:sz w:val="18"/>
                <w:szCs w:val="18"/>
                <w:color w:val="auto"/>
              </w:rPr>
              <w:t>Other debt obligations</w:t>
            </w:r>
          </w:p>
        </w:tc>
        <w:tc>
          <w:tcPr>
            <w:tcW w:w="24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6,952.2</w:t>
            </w:r>
          </w:p>
        </w:tc>
        <w:tc>
          <w:tcPr>
            <w:tcW w:w="200" w:type="dxa"/>
            <w:vAlign w:val="bottom"/>
            <w:tcBorders>
              <w:bottom w:val="single" w:sz="8" w:color="CCEEFF"/>
            </w:tcBorders>
          </w:tcPr>
          <w:p>
            <w:pPr>
              <w:spacing w:after="0"/>
              <w:rPr>
                <w:sz w:val="18"/>
                <w:szCs w:val="18"/>
                <w:color w:val="auto"/>
              </w:rPr>
            </w:pPr>
          </w:p>
        </w:tc>
        <w:tc>
          <w:tcPr>
            <w:tcW w:w="2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7.1</w:t>
            </w:r>
          </w:p>
        </w:tc>
        <w:tc>
          <w:tcPr>
            <w:tcW w:w="20" w:type="dxa"/>
            <w:vAlign w:val="bottom"/>
            <w:tcBorders>
              <w:bottom w:val="single" w:sz="8" w:color="auto"/>
            </w:tcBorders>
          </w:tcPr>
          <w:p>
            <w:pPr>
              <w:spacing w:after="0"/>
              <w:rPr>
                <w:sz w:val="18"/>
                <w:szCs w:val="18"/>
                <w:color w:val="auto"/>
              </w:rPr>
            </w:pPr>
          </w:p>
        </w:tc>
        <w:tc>
          <w:tcPr>
            <w:tcW w:w="180" w:type="dxa"/>
            <w:vAlign w:val="bottom"/>
            <w:tcBorders>
              <w:bottom w:val="single" w:sz="8" w:color="CCEEFF"/>
            </w:tcBorders>
          </w:tcPr>
          <w:p>
            <w:pPr>
              <w:spacing w:after="0"/>
              <w:rPr>
                <w:sz w:val="18"/>
                <w:szCs w:val="18"/>
                <w:color w:val="auto"/>
              </w:rPr>
            </w:pPr>
          </w:p>
        </w:tc>
        <w:tc>
          <w:tcPr>
            <w:tcW w:w="2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498.2</w:t>
            </w:r>
          </w:p>
        </w:tc>
        <w:tc>
          <w:tcPr>
            <w:tcW w:w="20" w:type="dxa"/>
            <w:vAlign w:val="bottom"/>
            <w:tcBorders>
              <w:bottom w:val="single" w:sz="8" w:color="auto"/>
            </w:tcBorders>
          </w:tcPr>
          <w:p>
            <w:pPr>
              <w:spacing w:after="0"/>
              <w:rPr>
                <w:sz w:val="18"/>
                <w:szCs w:val="18"/>
                <w:color w:val="auto"/>
              </w:rPr>
            </w:pPr>
          </w:p>
        </w:tc>
        <w:tc>
          <w:tcPr>
            <w:tcW w:w="180" w:type="dxa"/>
            <w:vAlign w:val="bottom"/>
            <w:tcBorders>
              <w:bottom w:val="single" w:sz="8" w:color="CCEEFF"/>
            </w:tcBorders>
          </w:tcPr>
          <w:p>
            <w:pPr>
              <w:spacing w:after="0"/>
              <w:rPr>
                <w:sz w:val="18"/>
                <w:szCs w:val="18"/>
                <w:color w:val="auto"/>
              </w:rPr>
            </w:pPr>
          </w:p>
        </w:tc>
        <w:tc>
          <w:tcPr>
            <w:tcW w:w="2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gridSpan w:val="2"/>
          </w:tcPr>
          <w:p>
            <w:pPr>
              <w:jc w:val="right"/>
              <w:ind w:right="60"/>
              <w:spacing w:after="0"/>
              <w:rPr>
                <w:sz w:val="20"/>
                <w:szCs w:val="20"/>
                <w:color w:val="auto"/>
              </w:rPr>
            </w:pPr>
            <w:r>
              <w:rPr>
                <w:rFonts w:ascii="Arial" w:cs="Arial" w:eastAsia="Arial" w:hAnsi="Arial"/>
                <w:sz w:val="18"/>
                <w:szCs w:val="18"/>
                <w:b w:val="1"/>
                <w:bCs w:val="1"/>
                <w:color w:val="auto"/>
              </w:rPr>
              <w:t>—</w:t>
            </w:r>
          </w:p>
        </w:tc>
        <w:tc>
          <w:tcPr>
            <w:tcW w:w="180" w:type="dxa"/>
            <w:vAlign w:val="bottom"/>
            <w:tcBorders>
              <w:bottom w:val="single" w:sz="8" w:color="CCEEFF"/>
            </w:tcBorders>
          </w:tcPr>
          <w:p>
            <w:pPr>
              <w:spacing w:after="0"/>
              <w:rPr>
                <w:sz w:val="18"/>
                <w:szCs w:val="18"/>
                <w:color w:val="auto"/>
              </w:rPr>
            </w:pPr>
          </w:p>
        </w:tc>
        <w:tc>
          <w:tcPr>
            <w:tcW w:w="2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6,461.1</w:t>
            </w:r>
          </w:p>
        </w:tc>
        <w:tc>
          <w:tcPr>
            <w:tcW w:w="0" w:type="dxa"/>
            <w:vAlign w:val="bottom"/>
          </w:tcPr>
          <w:p>
            <w:pPr>
              <w:spacing w:after="0"/>
              <w:rPr>
                <w:sz w:val="1"/>
                <w:szCs w:val="1"/>
                <w:color w:val="auto"/>
              </w:rPr>
            </w:pPr>
          </w:p>
        </w:tc>
      </w:tr>
      <w:tr>
        <w:trPr>
          <w:trHeight w:val="210"/>
        </w:trPr>
        <w:tc>
          <w:tcPr>
            <w:tcW w:w="346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Total fixed maturities, available-for-sale</w:t>
            </w:r>
          </w:p>
        </w:tc>
        <w:tc>
          <w:tcPr>
            <w:tcW w:w="24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72,207.0</w:t>
            </w:r>
          </w:p>
        </w:tc>
        <w:tc>
          <w:tcPr>
            <w:tcW w:w="200" w:type="dxa"/>
            <w:vAlign w:val="bottom"/>
            <w:tcBorders>
              <w:bottom w:val="single" w:sz="8" w:color="CCEEFF"/>
            </w:tcBorders>
            <w:shd w:val="clear" w:color="auto" w:fill="CCEEFF"/>
          </w:tcPr>
          <w:p>
            <w:pPr>
              <w:spacing w:after="0"/>
              <w:rPr>
                <w:sz w:val="18"/>
                <w:szCs w:val="18"/>
                <w:color w:val="auto"/>
              </w:rPr>
            </w:pPr>
          </w:p>
        </w:tc>
        <w:tc>
          <w:tcPr>
            <w:tcW w:w="2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768.8</w:t>
            </w:r>
          </w:p>
        </w:tc>
        <w:tc>
          <w:tcPr>
            <w:tcW w:w="20" w:type="dxa"/>
            <w:vAlign w:val="bottom"/>
            <w:tcBorders>
              <w:bottom w:val="single" w:sz="8" w:color="auto"/>
            </w:tcBorders>
            <w:shd w:val="clear" w:color="auto" w:fill="CCEEFF"/>
          </w:tcPr>
          <w:p>
            <w:pPr>
              <w:spacing w:after="0"/>
              <w:rPr>
                <w:sz w:val="18"/>
                <w:szCs w:val="18"/>
                <w:color w:val="auto"/>
              </w:rPr>
            </w:pPr>
          </w:p>
        </w:tc>
        <w:tc>
          <w:tcPr>
            <w:tcW w:w="180" w:type="dxa"/>
            <w:vAlign w:val="bottom"/>
            <w:tcBorders>
              <w:bottom w:val="single" w:sz="8" w:color="CCEEFF"/>
            </w:tcBorders>
            <w:shd w:val="clear" w:color="auto" w:fill="CCEEFF"/>
          </w:tcPr>
          <w:p>
            <w:pPr>
              <w:spacing w:after="0"/>
              <w:rPr>
                <w:sz w:val="18"/>
                <w:szCs w:val="18"/>
                <w:color w:val="auto"/>
              </w:rPr>
            </w:pPr>
          </w:p>
        </w:tc>
        <w:tc>
          <w:tcPr>
            <w:tcW w:w="2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5,757.7</w:t>
            </w:r>
          </w:p>
        </w:tc>
        <w:tc>
          <w:tcPr>
            <w:tcW w:w="20" w:type="dxa"/>
            <w:vAlign w:val="bottom"/>
            <w:tcBorders>
              <w:bottom w:val="single" w:sz="8" w:color="auto"/>
            </w:tcBorders>
            <w:shd w:val="clear" w:color="auto" w:fill="CCEEFF"/>
          </w:tcPr>
          <w:p>
            <w:pPr>
              <w:spacing w:after="0"/>
              <w:rPr>
                <w:sz w:val="18"/>
                <w:szCs w:val="18"/>
                <w:color w:val="auto"/>
              </w:rPr>
            </w:pPr>
          </w:p>
        </w:tc>
        <w:tc>
          <w:tcPr>
            <w:tcW w:w="180" w:type="dxa"/>
            <w:vAlign w:val="bottom"/>
            <w:tcBorders>
              <w:bottom w:val="single" w:sz="8" w:color="CCEEFF"/>
            </w:tcBorders>
            <w:shd w:val="clear" w:color="auto" w:fill="CCEEFF"/>
          </w:tcPr>
          <w:p>
            <w:pPr>
              <w:spacing w:after="0"/>
              <w:rPr>
                <w:sz w:val="18"/>
                <w:szCs w:val="18"/>
                <w:color w:val="auto"/>
              </w:rPr>
            </w:pPr>
          </w:p>
        </w:tc>
        <w:tc>
          <w:tcPr>
            <w:tcW w:w="2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12.5</w:t>
            </w:r>
          </w:p>
        </w:tc>
        <w:tc>
          <w:tcPr>
            <w:tcW w:w="20" w:type="dxa"/>
            <w:vAlign w:val="bottom"/>
            <w:tcBorders>
              <w:bottom w:val="single" w:sz="8" w:color="auto"/>
            </w:tcBorders>
            <w:shd w:val="clear" w:color="auto" w:fill="CCEEFF"/>
          </w:tcPr>
          <w:p>
            <w:pPr>
              <w:spacing w:after="0"/>
              <w:rPr>
                <w:sz w:val="18"/>
                <w:szCs w:val="18"/>
                <w:color w:val="auto"/>
              </w:rPr>
            </w:pPr>
          </w:p>
        </w:tc>
        <w:tc>
          <w:tcPr>
            <w:tcW w:w="180" w:type="dxa"/>
            <w:vAlign w:val="bottom"/>
            <w:tcBorders>
              <w:bottom w:val="single" w:sz="8" w:color="CCEEFF"/>
            </w:tcBorders>
            <w:shd w:val="clear" w:color="auto" w:fill="CCEEFF"/>
          </w:tcPr>
          <w:p>
            <w:pPr>
              <w:spacing w:after="0"/>
              <w:rPr>
                <w:sz w:val="18"/>
                <w:szCs w:val="18"/>
                <w:color w:val="auto"/>
              </w:rPr>
            </w:pPr>
          </w:p>
        </w:tc>
        <w:tc>
          <w:tcPr>
            <w:tcW w:w="2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jc w:val="right"/>
              <w:ind w:right="7"/>
              <w:spacing w:after="0"/>
              <w:rPr>
                <w:sz w:val="20"/>
                <w:szCs w:val="20"/>
                <w:color w:val="auto"/>
              </w:rPr>
            </w:pPr>
            <w:r>
              <w:rPr>
                <w:rFonts w:ascii="Arial" w:cs="Arial" w:eastAsia="Arial" w:hAnsi="Arial"/>
                <w:sz w:val="15"/>
                <w:szCs w:val="15"/>
                <w:b w:val="1"/>
                <w:bCs w:val="1"/>
                <w:color w:val="auto"/>
                <w:w w:val="71"/>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67,205.</w:t>
            </w:r>
            <w:r>
              <w:rPr>
                <w:rFonts w:ascii="Arial" w:cs="Arial" w:eastAsia="Arial" w:hAnsi="Arial"/>
                <w:sz w:val="18"/>
                <w:szCs w:val="18"/>
                <w:b w:val="1"/>
                <w:bCs w:val="1"/>
                <w:u w:val="single" w:color="auto"/>
                <w:color w:val="auto"/>
              </w:rPr>
              <w:t>6</w:t>
            </w:r>
          </w:p>
        </w:tc>
        <w:tc>
          <w:tcPr>
            <w:tcW w:w="0" w:type="dxa"/>
            <w:vAlign w:val="bottom"/>
          </w:tcPr>
          <w:p>
            <w:pPr>
              <w:spacing w:after="0"/>
              <w:rPr>
                <w:sz w:val="1"/>
                <w:szCs w:val="1"/>
                <w:color w:val="auto"/>
              </w:rPr>
            </w:pPr>
          </w:p>
        </w:tc>
      </w:tr>
      <w:tr>
        <w:trPr>
          <w:trHeight w:val="20"/>
        </w:trPr>
        <w:tc>
          <w:tcPr>
            <w:tcW w:w="248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6"/>
        </w:trPr>
        <w:tc>
          <w:tcPr>
            <w:tcW w:w="24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20" w:type="dxa"/>
            <w:vAlign w:val="bottom"/>
            <w:vMerge w:val="restart"/>
          </w:tcPr>
          <w:p>
            <w:pPr>
              <w:jc w:val="center"/>
              <w:ind w:right="73"/>
              <w:spacing w:after="0"/>
              <w:rPr>
                <w:sz w:val="20"/>
                <w:szCs w:val="20"/>
                <w:color w:val="auto"/>
              </w:rPr>
            </w:pPr>
            <w:r>
              <w:rPr>
                <w:rFonts w:ascii="Arial" w:cs="Arial" w:eastAsia="Arial" w:hAnsi="Arial"/>
                <w:sz w:val="14"/>
                <w:szCs w:val="14"/>
                <w:b w:val="1"/>
                <w:bCs w:val="1"/>
                <w:color w:val="auto"/>
                <w:w w:val="93"/>
              </w:rPr>
              <w:t>Amortized</w:t>
            </w: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4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8"/>
              </w:rPr>
              <w:t>Gross</w:t>
            </w: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4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8"/>
              </w:rPr>
              <w:t>Gross</w:t>
            </w: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4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92"/>
              </w:rPr>
              <w:t>Allowance</w:t>
            </w: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8"/>
        </w:trPr>
        <w:tc>
          <w:tcPr>
            <w:tcW w:w="248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20" w:type="dxa"/>
            <w:vAlign w:val="bottom"/>
            <w:vMerge w:val="continue"/>
          </w:tcPr>
          <w:p>
            <w:pPr>
              <w:spacing w:after="0"/>
              <w:rPr>
                <w:sz w:val="12"/>
                <w:szCs w:val="12"/>
                <w:color w:val="auto"/>
              </w:rPr>
            </w:pPr>
          </w:p>
        </w:tc>
        <w:tc>
          <w:tcPr>
            <w:tcW w:w="2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2"/>
              </w:rPr>
              <w:t>unrealized</w:t>
            </w:r>
          </w:p>
        </w:tc>
        <w:tc>
          <w:tcPr>
            <w:tcW w:w="1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2"/>
              </w:rPr>
              <w:t>unrealized</w:t>
            </w:r>
          </w:p>
        </w:tc>
        <w:tc>
          <w:tcPr>
            <w:tcW w:w="1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4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5"/>
              </w:rPr>
              <w:t>for credit</w:t>
            </w:r>
          </w:p>
        </w:tc>
        <w:tc>
          <w:tcPr>
            <w:tcW w:w="1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20" w:type="dxa"/>
            <w:vAlign w:val="bottom"/>
            <w:vMerge w:val="restart"/>
          </w:tcPr>
          <w:p>
            <w:pPr>
              <w:jc w:val="right"/>
              <w:ind w:right="152"/>
              <w:spacing w:after="0"/>
              <w:rPr>
                <w:sz w:val="20"/>
                <w:szCs w:val="20"/>
                <w:color w:val="auto"/>
              </w:rPr>
            </w:pPr>
            <w:r>
              <w:rPr>
                <w:rFonts w:ascii="Arial" w:cs="Arial" w:eastAsia="Arial" w:hAnsi="Arial"/>
                <w:sz w:val="14"/>
                <w:szCs w:val="14"/>
                <w:b w:val="1"/>
                <w:bCs w:val="1"/>
                <w:color w:val="auto"/>
              </w:rPr>
              <w:t>Fair value</w:t>
            </w:r>
          </w:p>
        </w:tc>
        <w:tc>
          <w:tcPr>
            <w:tcW w:w="0" w:type="dxa"/>
            <w:vAlign w:val="bottom"/>
          </w:tcPr>
          <w:p>
            <w:pPr>
              <w:spacing w:after="0"/>
              <w:rPr>
                <w:sz w:val="1"/>
                <w:szCs w:val="1"/>
                <w:color w:val="auto"/>
              </w:rPr>
            </w:pPr>
          </w:p>
        </w:tc>
      </w:tr>
      <w:tr>
        <w:trPr>
          <w:trHeight w:val="171"/>
        </w:trPr>
        <w:tc>
          <w:tcPr>
            <w:tcW w:w="24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20" w:type="dxa"/>
            <w:vAlign w:val="bottom"/>
          </w:tcPr>
          <w:p>
            <w:pPr>
              <w:jc w:val="center"/>
              <w:ind w:right="73"/>
              <w:spacing w:after="0"/>
              <w:rPr>
                <w:sz w:val="20"/>
                <w:szCs w:val="20"/>
                <w:color w:val="auto"/>
              </w:rPr>
            </w:pPr>
            <w:r>
              <w:rPr>
                <w:rFonts w:ascii="Arial" w:cs="Arial" w:eastAsia="Arial" w:hAnsi="Arial"/>
                <w:sz w:val="14"/>
                <w:szCs w:val="14"/>
                <w:b w:val="1"/>
                <w:bCs w:val="1"/>
                <w:color w:val="auto"/>
                <w:w w:val="88"/>
              </w:rPr>
              <w:t>cost (1)</w:t>
            </w:r>
          </w:p>
        </w:tc>
        <w:tc>
          <w:tcPr>
            <w:tcW w:w="2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4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7"/>
              </w:rPr>
              <w:t>gains</w:t>
            </w:r>
          </w:p>
        </w:tc>
        <w:tc>
          <w:tcPr>
            <w:tcW w:w="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4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2"/>
              </w:rPr>
              <w:t>losses</w:t>
            </w:r>
          </w:p>
        </w:tc>
        <w:tc>
          <w:tcPr>
            <w:tcW w:w="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4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78"/>
              </w:rPr>
              <w:t>loss</w:t>
            </w:r>
          </w:p>
        </w:tc>
        <w:tc>
          <w:tcPr>
            <w:tcW w:w="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28"/>
        </w:trPr>
        <w:tc>
          <w:tcPr>
            <w:tcW w:w="248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920" w:type="dxa"/>
            <w:vAlign w:val="bottom"/>
            <w:tcBorders>
              <w:top w:val="single" w:sz="8" w:color="auto"/>
            </w:tcBorders>
          </w:tcPr>
          <w:p>
            <w:pPr>
              <w:spacing w:after="0"/>
              <w:rPr>
                <w:sz w:val="11"/>
                <w:szCs w:val="11"/>
                <w:color w:val="auto"/>
              </w:rPr>
            </w:pPr>
          </w:p>
        </w:tc>
        <w:tc>
          <w:tcPr>
            <w:tcW w:w="200" w:type="dxa"/>
            <w:vAlign w:val="bottom"/>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92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920" w:type="dxa"/>
            <w:vAlign w:val="bottom"/>
            <w:tcBorders>
              <w:top w:val="single" w:sz="8" w:color="auto"/>
            </w:tcBorders>
          </w:tcPr>
          <w:p>
            <w:pPr>
              <w:jc w:val="right"/>
              <w:ind w:right="16"/>
              <w:spacing w:after="0" w:line="129" w:lineRule="exact"/>
              <w:rPr>
                <w:sz w:val="20"/>
                <w:szCs w:val="20"/>
                <w:color w:val="auto"/>
              </w:rPr>
            </w:pPr>
            <w:r>
              <w:rPr>
                <w:rFonts w:ascii="Arial" w:cs="Arial" w:eastAsia="Arial" w:hAnsi="Arial"/>
                <w:sz w:val="14"/>
                <w:szCs w:val="14"/>
                <w:i w:val="1"/>
                <w:iCs w:val="1"/>
                <w:color w:val="auto"/>
              </w:rPr>
              <w:t>(in millions)</w:t>
            </w:r>
          </w:p>
        </w:tc>
        <w:tc>
          <w:tcPr>
            <w:tcW w:w="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92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920" w:type="dxa"/>
            <w:vAlign w:val="bottom"/>
            <w:tcBorders>
              <w:top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34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December 31, 2021</w:t>
            </w:r>
          </w:p>
        </w:tc>
        <w:tc>
          <w:tcPr>
            <w:tcW w:w="2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460" w:type="dxa"/>
            <w:vAlign w:val="bottom"/>
            <w:gridSpan w:val="2"/>
          </w:tcPr>
          <w:p>
            <w:pPr>
              <w:spacing w:after="0"/>
              <w:rPr>
                <w:sz w:val="20"/>
                <w:szCs w:val="20"/>
                <w:color w:val="auto"/>
              </w:rPr>
            </w:pPr>
            <w:r>
              <w:rPr>
                <w:rFonts w:ascii="Arial" w:cs="Arial" w:eastAsia="Arial" w:hAnsi="Arial"/>
                <w:sz w:val="18"/>
                <w:szCs w:val="18"/>
                <w:color w:val="auto"/>
              </w:rPr>
              <w:t>Fixed maturities, available-for-sale:</w:t>
            </w: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4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U.S. government and agencies</w:t>
            </w: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1,978.0</w:t>
            </w:r>
          </w:p>
        </w:tc>
        <w:tc>
          <w:tcPr>
            <w:tcW w:w="360" w:type="dxa"/>
            <w:vAlign w:val="bottom"/>
            <w:gridSpan w:val="3"/>
            <w:shd w:val="clear" w:color="auto" w:fill="CCEEFF"/>
          </w:tcPr>
          <w:p>
            <w:pPr>
              <w:jc w:val="right"/>
              <w:ind w:right="7"/>
              <w:spacing w:after="0"/>
              <w:rPr>
                <w:sz w:val="20"/>
                <w:szCs w:val="20"/>
                <w:color w:val="auto"/>
              </w:rPr>
            </w:pPr>
            <w:r>
              <w:rPr>
                <w:rFonts w:ascii="Arial" w:cs="Arial" w:eastAsia="Arial" w:hAnsi="Arial"/>
                <w:sz w:val="18"/>
                <w:szCs w:val="18"/>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148.0</w:t>
            </w:r>
          </w:p>
        </w:tc>
        <w:tc>
          <w:tcPr>
            <w:tcW w:w="20" w:type="dxa"/>
            <w:vAlign w:val="bottom"/>
            <w:shd w:val="clear" w:color="auto" w:fill="CCEEFF"/>
          </w:tcPr>
          <w:p>
            <w:pPr>
              <w:spacing w:after="0"/>
              <w:rPr>
                <w:sz w:val="18"/>
                <w:szCs w:val="18"/>
                <w:color w:val="auto"/>
              </w:rPr>
            </w:pPr>
          </w:p>
        </w:tc>
        <w:tc>
          <w:tcPr>
            <w:tcW w:w="34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37.4</w:t>
            </w:r>
          </w:p>
        </w:tc>
        <w:tc>
          <w:tcPr>
            <w:tcW w:w="20" w:type="dxa"/>
            <w:vAlign w:val="bottom"/>
            <w:shd w:val="clear" w:color="auto" w:fill="CCEEFF"/>
          </w:tcPr>
          <w:p>
            <w:pPr>
              <w:spacing w:after="0"/>
              <w:rPr>
                <w:sz w:val="18"/>
                <w:szCs w:val="18"/>
                <w:color w:val="auto"/>
              </w:rPr>
            </w:pPr>
          </w:p>
        </w:tc>
        <w:tc>
          <w:tcPr>
            <w:tcW w:w="34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360" w:type="dxa"/>
            <w:vAlign w:val="bottom"/>
            <w:gridSpan w:val="3"/>
            <w:shd w:val="clear" w:color="auto" w:fill="CCEEFF"/>
          </w:tcPr>
          <w:p>
            <w:pPr>
              <w:jc w:val="right"/>
              <w:ind w:right="7"/>
              <w:spacing w:after="0"/>
              <w:rPr>
                <w:sz w:val="20"/>
                <w:szCs w:val="20"/>
                <w:color w:val="auto"/>
              </w:rPr>
            </w:pPr>
            <w:r>
              <w:rPr>
                <w:rFonts w:ascii="Arial" w:cs="Arial" w:eastAsia="Arial" w:hAnsi="Arial"/>
                <w:sz w:val="18"/>
                <w:szCs w:val="18"/>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2,088.6</w:t>
            </w:r>
          </w:p>
        </w:tc>
        <w:tc>
          <w:tcPr>
            <w:tcW w:w="0" w:type="dxa"/>
            <w:vAlign w:val="bottom"/>
          </w:tcPr>
          <w:p>
            <w:pPr>
              <w:spacing w:after="0"/>
              <w:rPr>
                <w:sz w:val="1"/>
                <w:szCs w:val="1"/>
                <w:color w:val="auto"/>
              </w:rPr>
            </w:pPr>
          </w:p>
        </w:tc>
      </w:tr>
      <w:tr>
        <w:trPr>
          <w:trHeight w:val="216"/>
        </w:trPr>
        <w:tc>
          <w:tcPr>
            <w:tcW w:w="3460" w:type="dxa"/>
            <w:vAlign w:val="bottom"/>
            <w:gridSpan w:val="2"/>
          </w:tcPr>
          <w:p>
            <w:pPr>
              <w:ind w:left="120"/>
              <w:spacing w:after="0"/>
              <w:rPr>
                <w:sz w:val="20"/>
                <w:szCs w:val="20"/>
                <w:color w:val="auto"/>
              </w:rPr>
            </w:pPr>
            <w:r>
              <w:rPr>
                <w:rFonts w:ascii="Arial" w:cs="Arial" w:eastAsia="Arial" w:hAnsi="Arial"/>
                <w:sz w:val="18"/>
                <w:szCs w:val="18"/>
                <w:color w:val="auto"/>
              </w:rPr>
              <w:t>Non-U.S. governments</w:t>
            </w: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851.0</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133.1</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2.1</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982.0</w:t>
            </w:r>
          </w:p>
        </w:tc>
        <w:tc>
          <w:tcPr>
            <w:tcW w:w="0" w:type="dxa"/>
            <w:vAlign w:val="bottom"/>
          </w:tcPr>
          <w:p>
            <w:pPr>
              <w:spacing w:after="0"/>
              <w:rPr>
                <w:sz w:val="1"/>
                <w:szCs w:val="1"/>
                <w:color w:val="auto"/>
              </w:rPr>
            </w:pPr>
          </w:p>
        </w:tc>
      </w:tr>
      <w:tr>
        <w:trPr>
          <w:trHeight w:val="216"/>
        </w:trPr>
        <w:tc>
          <w:tcPr>
            <w:tcW w:w="34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States and political subdivisions</w:t>
            </w:r>
          </w:p>
        </w:tc>
        <w:tc>
          <w:tcPr>
            <w:tcW w:w="2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8,290.7</w:t>
            </w: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1,030.3</w:t>
            </w: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16.6</w:t>
            </w: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9,304.4</w:t>
            </w:r>
          </w:p>
        </w:tc>
        <w:tc>
          <w:tcPr>
            <w:tcW w:w="0" w:type="dxa"/>
            <w:vAlign w:val="bottom"/>
          </w:tcPr>
          <w:p>
            <w:pPr>
              <w:spacing w:after="0"/>
              <w:rPr>
                <w:sz w:val="1"/>
                <w:szCs w:val="1"/>
                <w:color w:val="auto"/>
              </w:rPr>
            </w:pPr>
          </w:p>
        </w:tc>
      </w:tr>
      <w:tr>
        <w:trPr>
          <w:trHeight w:val="216"/>
        </w:trPr>
        <w:tc>
          <w:tcPr>
            <w:tcW w:w="3460" w:type="dxa"/>
            <w:vAlign w:val="bottom"/>
            <w:gridSpan w:val="2"/>
          </w:tcPr>
          <w:p>
            <w:pPr>
              <w:ind w:left="120"/>
              <w:spacing w:after="0"/>
              <w:rPr>
                <w:sz w:val="20"/>
                <w:szCs w:val="20"/>
                <w:color w:val="auto"/>
              </w:rPr>
            </w:pPr>
            <w:r>
              <w:rPr>
                <w:rFonts w:ascii="Arial" w:cs="Arial" w:eastAsia="Arial" w:hAnsi="Arial"/>
                <w:sz w:val="18"/>
                <w:szCs w:val="18"/>
                <w:color w:val="auto"/>
              </w:rPr>
              <w:t>Corporate</w:t>
            </w: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42,139.2</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4,044.8</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224.5</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15.1</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45,944.4</w:t>
            </w:r>
          </w:p>
        </w:tc>
        <w:tc>
          <w:tcPr>
            <w:tcW w:w="0" w:type="dxa"/>
            <w:vAlign w:val="bottom"/>
          </w:tcPr>
          <w:p>
            <w:pPr>
              <w:spacing w:after="0"/>
              <w:rPr>
                <w:sz w:val="1"/>
                <w:szCs w:val="1"/>
                <w:color w:val="auto"/>
              </w:rPr>
            </w:pPr>
          </w:p>
        </w:tc>
      </w:tr>
      <w:tr>
        <w:trPr>
          <w:trHeight w:val="202"/>
        </w:trPr>
        <w:tc>
          <w:tcPr>
            <w:tcW w:w="3460" w:type="dxa"/>
            <w:vAlign w:val="bottom"/>
            <w:gridSpan w:val="2"/>
            <w:shd w:val="clear" w:color="auto" w:fill="CCEEFF"/>
          </w:tcPr>
          <w:p>
            <w:pPr>
              <w:ind w:left="120"/>
              <w:spacing w:after="0" w:line="201" w:lineRule="exact"/>
              <w:rPr>
                <w:sz w:val="20"/>
                <w:szCs w:val="20"/>
                <w:color w:val="auto"/>
              </w:rPr>
            </w:pPr>
            <w:r>
              <w:rPr>
                <w:rFonts w:ascii="Arial" w:cs="Arial" w:eastAsia="Arial" w:hAnsi="Arial"/>
                <w:sz w:val="18"/>
                <w:szCs w:val="18"/>
                <w:color w:val="auto"/>
                <w:w w:val="96"/>
              </w:rPr>
              <w:t>Residential mortgage-backed pass-through</w:t>
            </w:r>
          </w:p>
        </w:tc>
        <w:tc>
          <w:tcPr>
            <w:tcW w:w="2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46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securities</w:t>
            </w:r>
          </w:p>
        </w:tc>
        <w:tc>
          <w:tcPr>
            <w:tcW w:w="24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3,122.3</w:t>
            </w:r>
          </w:p>
        </w:tc>
        <w:tc>
          <w:tcPr>
            <w:tcW w:w="20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59.0</w:t>
            </w:r>
          </w:p>
        </w:tc>
        <w:tc>
          <w:tcPr>
            <w:tcW w:w="2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28.4</w:t>
            </w:r>
          </w:p>
        </w:tc>
        <w:tc>
          <w:tcPr>
            <w:tcW w:w="2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9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3,152.9</w:t>
            </w:r>
          </w:p>
        </w:tc>
        <w:tc>
          <w:tcPr>
            <w:tcW w:w="0" w:type="dxa"/>
            <w:vAlign w:val="bottom"/>
          </w:tcPr>
          <w:p>
            <w:pPr>
              <w:spacing w:after="0"/>
              <w:rPr>
                <w:sz w:val="1"/>
                <w:szCs w:val="1"/>
                <w:color w:val="auto"/>
              </w:rPr>
            </w:pPr>
          </w:p>
        </w:tc>
      </w:tr>
      <w:tr>
        <w:trPr>
          <w:trHeight w:val="216"/>
        </w:trPr>
        <w:tc>
          <w:tcPr>
            <w:tcW w:w="3460" w:type="dxa"/>
            <w:vAlign w:val="bottom"/>
            <w:gridSpan w:val="2"/>
          </w:tcPr>
          <w:p>
            <w:pPr>
              <w:ind w:left="120"/>
              <w:spacing w:after="0"/>
              <w:rPr>
                <w:sz w:val="20"/>
                <w:szCs w:val="20"/>
                <w:color w:val="auto"/>
              </w:rPr>
            </w:pPr>
            <w:r>
              <w:rPr>
                <w:rFonts w:ascii="Arial" w:cs="Arial" w:eastAsia="Arial" w:hAnsi="Arial"/>
                <w:sz w:val="18"/>
                <w:szCs w:val="18"/>
                <w:color w:val="auto"/>
              </w:rPr>
              <w:t>Commercial mortgage-backed securities</w:t>
            </w: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5,436.2</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157.8</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31.5</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0.3</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5,562.2</w:t>
            </w:r>
          </w:p>
        </w:tc>
        <w:tc>
          <w:tcPr>
            <w:tcW w:w="0" w:type="dxa"/>
            <w:vAlign w:val="bottom"/>
          </w:tcPr>
          <w:p>
            <w:pPr>
              <w:spacing w:after="0"/>
              <w:rPr>
                <w:sz w:val="1"/>
                <w:szCs w:val="1"/>
                <w:color w:val="auto"/>
              </w:rPr>
            </w:pPr>
          </w:p>
        </w:tc>
      </w:tr>
      <w:tr>
        <w:trPr>
          <w:trHeight w:val="216"/>
        </w:trPr>
        <w:tc>
          <w:tcPr>
            <w:tcW w:w="34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Collateralized debt obligations (2)</w:t>
            </w:r>
          </w:p>
        </w:tc>
        <w:tc>
          <w:tcPr>
            <w:tcW w:w="2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3,564.7</w:t>
            </w: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w:t>
            </w: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9.6</w:t>
            </w: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3,559.6</w:t>
            </w:r>
          </w:p>
        </w:tc>
        <w:tc>
          <w:tcPr>
            <w:tcW w:w="0" w:type="dxa"/>
            <w:vAlign w:val="bottom"/>
          </w:tcPr>
          <w:p>
            <w:pPr>
              <w:spacing w:after="0"/>
              <w:rPr>
                <w:sz w:val="1"/>
                <w:szCs w:val="1"/>
                <w:color w:val="auto"/>
              </w:rPr>
            </w:pPr>
          </w:p>
        </w:tc>
      </w:tr>
      <w:tr>
        <w:trPr>
          <w:trHeight w:val="216"/>
        </w:trPr>
        <w:tc>
          <w:tcPr>
            <w:tcW w:w="3460" w:type="dxa"/>
            <w:vAlign w:val="bottom"/>
            <w:tcBorders>
              <w:bottom w:val="single" w:sz="8" w:color="CCEEFF"/>
            </w:tcBorders>
            <w:gridSpan w:val="2"/>
          </w:tcPr>
          <w:p>
            <w:pPr>
              <w:ind w:left="120"/>
              <w:spacing w:after="0"/>
              <w:rPr>
                <w:sz w:val="20"/>
                <w:szCs w:val="20"/>
                <w:color w:val="auto"/>
              </w:rPr>
            </w:pPr>
            <w:r>
              <w:rPr>
                <w:rFonts w:ascii="Arial" w:cs="Arial" w:eastAsia="Arial" w:hAnsi="Arial"/>
                <w:sz w:val="18"/>
                <w:szCs w:val="18"/>
                <w:color w:val="auto"/>
              </w:rPr>
              <w:t>Other debt obligations</w:t>
            </w:r>
          </w:p>
        </w:tc>
        <w:tc>
          <w:tcPr>
            <w:tcW w:w="24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7,487.8</w:t>
            </w:r>
          </w:p>
        </w:tc>
        <w:tc>
          <w:tcPr>
            <w:tcW w:w="200" w:type="dxa"/>
            <w:vAlign w:val="bottom"/>
            <w:tcBorders>
              <w:bottom w:val="single" w:sz="8" w:color="CCEEFF"/>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131.1</w:t>
            </w:r>
          </w:p>
        </w:tc>
        <w:tc>
          <w:tcPr>
            <w:tcW w:w="20" w:type="dxa"/>
            <w:vAlign w:val="bottom"/>
            <w:tcBorders>
              <w:bottom w:val="single" w:sz="8" w:color="CCEEFF"/>
            </w:tcBorders>
          </w:tcPr>
          <w:p>
            <w:pPr>
              <w:spacing w:after="0"/>
              <w:rPr>
                <w:sz w:val="18"/>
                <w:szCs w:val="18"/>
                <w:color w:val="auto"/>
              </w:rPr>
            </w:pPr>
          </w:p>
        </w:tc>
        <w:tc>
          <w:tcPr>
            <w:tcW w:w="180" w:type="dxa"/>
            <w:vAlign w:val="bottom"/>
            <w:tcBorders>
              <w:bottom w:val="single" w:sz="8" w:color="CCEEFF"/>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58.4</w:t>
            </w:r>
          </w:p>
        </w:tc>
        <w:tc>
          <w:tcPr>
            <w:tcW w:w="20" w:type="dxa"/>
            <w:vAlign w:val="bottom"/>
            <w:tcBorders>
              <w:bottom w:val="single" w:sz="8" w:color="CCEEFF"/>
            </w:tcBorders>
          </w:tcPr>
          <w:p>
            <w:pPr>
              <w:spacing w:after="0"/>
              <w:rPr>
                <w:sz w:val="18"/>
                <w:szCs w:val="18"/>
                <w:color w:val="auto"/>
              </w:rPr>
            </w:pPr>
          </w:p>
        </w:tc>
        <w:tc>
          <w:tcPr>
            <w:tcW w:w="180" w:type="dxa"/>
            <w:vAlign w:val="bottom"/>
            <w:tcBorders>
              <w:bottom w:val="single" w:sz="8" w:color="CCEEFF"/>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0.1</w:t>
            </w:r>
          </w:p>
        </w:tc>
        <w:tc>
          <w:tcPr>
            <w:tcW w:w="20" w:type="dxa"/>
            <w:vAlign w:val="bottom"/>
            <w:tcBorders>
              <w:bottom w:val="single" w:sz="8" w:color="CCEEFF"/>
            </w:tcBorders>
          </w:tcPr>
          <w:p>
            <w:pPr>
              <w:spacing w:after="0"/>
              <w:rPr>
                <w:sz w:val="18"/>
                <w:szCs w:val="18"/>
                <w:color w:val="auto"/>
              </w:rPr>
            </w:pPr>
          </w:p>
        </w:tc>
        <w:tc>
          <w:tcPr>
            <w:tcW w:w="180" w:type="dxa"/>
            <w:vAlign w:val="bottom"/>
            <w:tcBorders>
              <w:bottom w:val="single" w:sz="8" w:color="CCEEFF"/>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7,560.4</w:t>
            </w:r>
          </w:p>
        </w:tc>
        <w:tc>
          <w:tcPr>
            <w:tcW w:w="0" w:type="dxa"/>
            <w:vAlign w:val="bottom"/>
          </w:tcPr>
          <w:p>
            <w:pPr>
              <w:spacing w:after="0"/>
              <w:rPr>
                <w:sz w:val="1"/>
                <w:szCs w:val="1"/>
                <w:color w:val="auto"/>
              </w:rPr>
            </w:pPr>
          </w:p>
        </w:tc>
      </w:tr>
      <w:tr>
        <w:trPr>
          <w:trHeight w:val="210"/>
        </w:trPr>
        <w:tc>
          <w:tcPr>
            <w:tcW w:w="346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Total fixed maturities, available-for-sale</w:t>
            </w:r>
          </w:p>
        </w:tc>
        <w:tc>
          <w:tcPr>
            <w:tcW w:w="24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72,869.</w:t>
            </w:r>
            <w:r>
              <w:rPr>
                <w:rFonts w:ascii="Arial" w:cs="Arial" w:eastAsia="Arial" w:hAnsi="Arial"/>
                <w:sz w:val="18"/>
                <w:szCs w:val="18"/>
                <w:u w:val="single" w:color="auto"/>
                <w:color w:val="auto"/>
              </w:rPr>
              <w:t>9</w:t>
            </w:r>
          </w:p>
        </w:tc>
        <w:tc>
          <w:tcPr>
            <w:tcW w:w="20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gridSpan w:val="2"/>
            <w:shd w:val="clear" w:color="auto" w:fill="CCEEFF"/>
          </w:tcPr>
          <w:p>
            <w:pPr>
              <w:jc w:val="right"/>
              <w:ind w:right="7"/>
              <w:spacing w:after="0"/>
              <w:rPr>
                <w:sz w:val="20"/>
                <w:szCs w:val="20"/>
                <w:color w:val="auto"/>
              </w:rPr>
            </w:pPr>
            <w:r>
              <w:rPr>
                <w:rFonts w:ascii="Arial" w:cs="Arial" w:eastAsia="Arial" w:hAnsi="Arial"/>
                <w:sz w:val="15"/>
                <w:szCs w:val="15"/>
                <w:color w:val="auto"/>
                <w:w w:val="71"/>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5,708.6</w:t>
            </w:r>
          </w:p>
        </w:tc>
        <w:tc>
          <w:tcPr>
            <w:tcW w:w="2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408.5</w:t>
            </w:r>
          </w:p>
        </w:tc>
        <w:tc>
          <w:tcPr>
            <w:tcW w:w="2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15.5</w:t>
            </w:r>
          </w:p>
        </w:tc>
        <w:tc>
          <w:tcPr>
            <w:tcW w:w="2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gridSpan w:val="2"/>
            <w:shd w:val="clear" w:color="auto" w:fill="CCEEFF"/>
          </w:tcPr>
          <w:p>
            <w:pPr>
              <w:jc w:val="right"/>
              <w:ind w:right="7"/>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78,154.</w:t>
            </w:r>
            <w:r>
              <w:rPr>
                <w:rFonts w:ascii="Arial" w:cs="Arial" w:eastAsia="Arial" w:hAnsi="Arial"/>
                <w:sz w:val="18"/>
                <w:szCs w:val="18"/>
                <w:u w:val="single" w:color="auto"/>
                <w:color w:val="auto"/>
              </w:rPr>
              <w:t>5</w:t>
            </w:r>
          </w:p>
        </w:tc>
        <w:tc>
          <w:tcPr>
            <w:tcW w:w="0" w:type="dxa"/>
            <w:vAlign w:val="bottom"/>
          </w:tcPr>
          <w:p>
            <w:pPr>
              <w:spacing w:after="0"/>
              <w:rPr>
                <w:sz w:val="1"/>
                <w:szCs w:val="1"/>
                <w:color w:val="auto"/>
              </w:rPr>
            </w:pPr>
          </w:p>
        </w:tc>
      </w:tr>
      <w:tr>
        <w:trPr>
          <w:trHeight w:val="20"/>
        </w:trPr>
        <w:tc>
          <w:tcPr>
            <w:tcW w:w="248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8"/>
        </w:trPr>
        <w:tc>
          <w:tcPr>
            <w:tcW w:w="2480" w:type="dxa"/>
            <w:vAlign w:val="bottom"/>
            <w:tcBorders>
              <w:bottom w:val="single" w:sz="8" w:color="auto"/>
            </w:tcBorders>
          </w:tcPr>
          <w:p>
            <w:pPr>
              <w:spacing w:after="0"/>
              <w:rPr>
                <w:sz w:val="7"/>
                <w:szCs w:val="7"/>
                <w:color w:val="auto"/>
              </w:rPr>
            </w:pPr>
          </w:p>
        </w:tc>
        <w:tc>
          <w:tcPr>
            <w:tcW w:w="980" w:type="dxa"/>
            <w:vAlign w:val="bottom"/>
          </w:tcPr>
          <w:p>
            <w:pPr>
              <w:spacing w:after="0"/>
              <w:rPr>
                <w:sz w:val="7"/>
                <w:szCs w:val="7"/>
                <w:color w:val="auto"/>
              </w:rPr>
            </w:pPr>
          </w:p>
        </w:tc>
        <w:tc>
          <w:tcPr>
            <w:tcW w:w="240" w:type="dxa"/>
            <w:vAlign w:val="bottom"/>
          </w:tcPr>
          <w:p>
            <w:pPr>
              <w:spacing w:after="0"/>
              <w:rPr>
                <w:sz w:val="7"/>
                <w:szCs w:val="7"/>
                <w:color w:val="auto"/>
              </w:rPr>
            </w:pPr>
          </w:p>
        </w:tc>
        <w:tc>
          <w:tcPr>
            <w:tcW w:w="160" w:type="dxa"/>
            <w:vAlign w:val="bottom"/>
          </w:tcPr>
          <w:p>
            <w:pPr>
              <w:spacing w:after="0"/>
              <w:rPr>
                <w:sz w:val="7"/>
                <w:szCs w:val="7"/>
                <w:color w:val="auto"/>
              </w:rPr>
            </w:pPr>
          </w:p>
        </w:tc>
        <w:tc>
          <w:tcPr>
            <w:tcW w:w="920" w:type="dxa"/>
            <w:vAlign w:val="bottom"/>
          </w:tcPr>
          <w:p>
            <w:pPr>
              <w:spacing w:after="0"/>
              <w:rPr>
                <w:sz w:val="7"/>
                <w:szCs w:val="7"/>
                <w:color w:val="auto"/>
              </w:rPr>
            </w:pPr>
          </w:p>
        </w:tc>
        <w:tc>
          <w:tcPr>
            <w:tcW w:w="200" w:type="dxa"/>
            <w:vAlign w:val="bottom"/>
          </w:tcPr>
          <w:p>
            <w:pPr>
              <w:spacing w:after="0"/>
              <w:rPr>
                <w:sz w:val="7"/>
                <w:szCs w:val="7"/>
                <w:color w:val="auto"/>
              </w:rPr>
            </w:pPr>
          </w:p>
        </w:tc>
        <w:tc>
          <w:tcPr>
            <w:tcW w:w="20" w:type="dxa"/>
            <w:vAlign w:val="bottom"/>
          </w:tcPr>
          <w:p>
            <w:pPr>
              <w:spacing w:after="0"/>
              <w:rPr>
                <w:sz w:val="7"/>
                <w:szCs w:val="7"/>
                <w:color w:val="auto"/>
              </w:rPr>
            </w:pPr>
          </w:p>
        </w:tc>
        <w:tc>
          <w:tcPr>
            <w:tcW w:w="140" w:type="dxa"/>
            <w:vAlign w:val="bottom"/>
          </w:tcPr>
          <w:p>
            <w:pPr>
              <w:spacing w:after="0"/>
              <w:rPr>
                <w:sz w:val="7"/>
                <w:szCs w:val="7"/>
                <w:color w:val="auto"/>
              </w:rPr>
            </w:pPr>
          </w:p>
        </w:tc>
        <w:tc>
          <w:tcPr>
            <w:tcW w:w="920" w:type="dxa"/>
            <w:vAlign w:val="bottom"/>
          </w:tcPr>
          <w:p>
            <w:pPr>
              <w:spacing w:after="0"/>
              <w:rPr>
                <w:sz w:val="7"/>
                <w:szCs w:val="7"/>
                <w:color w:val="auto"/>
              </w:rPr>
            </w:pPr>
          </w:p>
        </w:tc>
        <w:tc>
          <w:tcPr>
            <w:tcW w:w="20" w:type="dxa"/>
            <w:vAlign w:val="bottom"/>
          </w:tcPr>
          <w:p>
            <w:pPr>
              <w:spacing w:after="0"/>
              <w:rPr>
                <w:sz w:val="7"/>
                <w:szCs w:val="7"/>
                <w:color w:val="auto"/>
              </w:rPr>
            </w:pPr>
          </w:p>
        </w:tc>
        <w:tc>
          <w:tcPr>
            <w:tcW w:w="180" w:type="dxa"/>
            <w:vAlign w:val="bottom"/>
          </w:tcPr>
          <w:p>
            <w:pPr>
              <w:spacing w:after="0"/>
              <w:rPr>
                <w:sz w:val="7"/>
                <w:szCs w:val="7"/>
                <w:color w:val="auto"/>
              </w:rPr>
            </w:pPr>
          </w:p>
        </w:tc>
        <w:tc>
          <w:tcPr>
            <w:tcW w:w="20" w:type="dxa"/>
            <w:vAlign w:val="bottom"/>
          </w:tcPr>
          <w:p>
            <w:pPr>
              <w:spacing w:after="0"/>
              <w:rPr>
                <w:sz w:val="7"/>
                <w:szCs w:val="7"/>
                <w:color w:val="auto"/>
              </w:rPr>
            </w:pPr>
          </w:p>
        </w:tc>
        <w:tc>
          <w:tcPr>
            <w:tcW w:w="140" w:type="dxa"/>
            <w:vAlign w:val="bottom"/>
          </w:tcPr>
          <w:p>
            <w:pPr>
              <w:spacing w:after="0"/>
              <w:rPr>
                <w:sz w:val="7"/>
                <w:szCs w:val="7"/>
                <w:color w:val="auto"/>
              </w:rPr>
            </w:pPr>
          </w:p>
        </w:tc>
        <w:tc>
          <w:tcPr>
            <w:tcW w:w="920" w:type="dxa"/>
            <w:vAlign w:val="bottom"/>
          </w:tcPr>
          <w:p>
            <w:pPr>
              <w:spacing w:after="0"/>
              <w:rPr>
                <w:sz w:val="7"/>
                <w:szCs w:val="7"/>
                <w:color w:val="auto"/>
              </w:rPr>
            </w:pPr>
          </w:p>
        </w:tc>
        <w:tc>
          <w:tcPr>
            <w:tcW w:w="20" w:type="dxa"/>
            <w:vAlign w:val="bottom"/>
          </w:tcPr>
          <w:p>
            <w:pPr>
              <w:spacing w:after="0"/>
              <w:rPr>
                <w:sz w:val="7"/>
                <w:szCs w:val="7"/>
                <w:color w:val="auto"/>
              </w:rPr>
            </w:pPr>
          </w:p>
        </w:tc>
        <w:tc>
          <w:tcPr>
            <w:tcW w:w="180" w:type="dxa"/>
            <w:vAlign w:val="bottom"/>
          </w:tcPr>
          <w:p>
            <w:pPr>
              <w:spacing w:after="0"/>
              <w:rPr>
                <w:sz w:val="7"/>
                <w:szCs w:val="7"/>
                <w:color w:val="auto"/>
              </w:rPr>
            </w:pPr>
          </w:p>
        </w:tc>
        <w:tc>
          <w:tcPr>
            <w:tcW w:w="20" w:type="dxa"/>
            <w:vAlign w:val="bottom"/>
          </w:tcPr>
          <w:p>
            <w:pPr>
              <w:spacing w:after="0"/>
              <w:rPr>
                <w:sz w:val="7"/>
                <w:szCs w:val="7"/>
                <w:color w:val="auto"/>
              </w:rPr>
            </w:pPr>
          </w:p>
        </w:tc>
        <w:tc>
          <w:tcPr>
            <w:tcW w:w="140" w:type="dxa"/>
            <w:vAlign w:val="bottom"/>
          </w:tcPr>
          <w:p>
            <w:pPr>
              <w:spacing w:after="0"/>
              <w:rPr>
                <w:sz w:val="7"/>
                <w:szCs w:val="7"/>
                <w:color w:val="auto"/>
              </w:rPr>
            </w:pPr>
          </w:p>
        </w:tc>
        <w:tc>
          <w:tcPr>
            <w:tcW w:w="920" w:type="dxa"/>
            <w:vAlign w:val="bottom"/>
          </w:tcPr>
          <w:p>
            <w:pPr>
              <w:spacing w:after="0"/>
              <w:rPr>
                <w:sz w:val="7"/>
                <w:szCs w:val="7"/>
                <w:color w:val="auto"/>
              </w:rPr>
            </w:pPr>
          </w:p>
        </w:tc>
        <w:tc>
          <w:tcPr>
            <w:tcW w:w="20" w:type="dxa"/>
            <w:vAlign w:val="bottom"/>
          </w:tcPr>
          <w:p>
            <w:pPr>
              <w:spacing w:after="0"/>
              <w:rPr>
                <w:sz w:val="7"/>
                <w:szCs w:val="7"/>
                <w:color w:val="auto"/>
              </w:rPr>
            </w:pPr>
          </w:p>
        </w:tc>
        <w:tc>
          <w:tcPr>
            <w:tcW w:w="180" w:type="dxa"/>
            <w:vAlign w:val="bottom"/>
          </w:tcPr>
          <w:p>
            <w:pPr>
              <w:spacing w:after="0"/>
              <w:rPr>
                <w:sz w:val="7"/>
                <w:szCs w:val="7"/>
                <w:color w:val="auto"/>
              </w:rPr>
            </w:pPr>
          </w:p>
        </w:tc>
        <w:tc>
          <w:tcPr>
            <w:tcW w:w="20" w:type="dxa"/>
            <w:vAlign w:val="bottom"/>
          </w:tcPr>
          <w:p>
            <w:pPr>
              <w:spacing w:after="0"/>
              <w:rPr>
                <w:sz w:val="7"/>
                <w:szCs w:val="7"/>
                <w:color w:val="auto"/>
              </w:rPr>
            </w:pPr>
          </w:p>
        </w:tc>
        <w:tc>
          <w:tcPr>
            <w:tcW w:w="160" w:type="dxa"/>
            <w:vAlign w:val="bottom"/>
          </w:tcPr>
          <w:p>
            <w:pPr>
              <w:spacing w:after="0"/>
              <w:rPr>
                <w:sz w:val="7"/>
                <w:szCs w:val="7"/>
                <w:color w:val="auto"/>
              </w:rPr>
            </w:pPr>
          </w:p>
        </w:tc>
        <w:tc>
          <w:tcPr>
            <w:tcW w:w="92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80" w:lineRule="exact"/>
        <w:rPr>
          <w:sz w:val="20"/>
          <w:szCs w:val="20"/>
          <w:color w:val="auto"/>
        </w:rPr>
      </w:pPr>
    </w:p>
    <w:p>
      <w:pPr>
        <w:ind w:left="340" w:right="340" w:hanging="332"/>
        <w:spacing w:after="0" w:line="258" w:lineRule="auto"/>
        <w:tabs>
          <w:tab w:leader="none" w:pos="340" w:val="left"/>
        </w:tabs>
        <w:numPr>
          <w:ilvl w:val="0"/>
          <w:numId w:val="9"/>
        </w:numPr>
        <w:rPr>
          <w:rFonts w:ascii="Arial" w:cs="Arial" w:eastAsia="Arial" w:hAnsi="Arial"/>
          <w:sz w:val="18"/>
          <w:szCs w:val="18"/>
          <w:color w:val="auto"/>
        </w:rPr>
      </w:pPr>
      <w:r>
        <w:rPr>
          <w:rFonts w:ascii="Arial" w:cs="Arial" w:eastAsia="Arial" w:hAnsi="Arial"/>
          <w:sz w:val="18"/>
          <w:szCs w:val="18"/>
          <w:color w:val="auto"/>
        </w:rPr>
        <w:t>Amortized cost excludes accrued interest receivable of $553.8 million and $542.6 million as of June 30, 2022 and December 31, 2021, respectively.</w:t>
      </w:r>
    </w:p>
    <w:p>
      <w:pPr>
        <w:spacing w:after="0" w:line="1" w:lineRule="exact"/>
        <w:rPr>
          <w:rFonts w:ascii="Arial" w:cs="Arial" w:eastAsia="Arial" w:hAnsi="Arial"/>
          <w:sz w:val="18"/>
          <w:szCs w:val="18"/>
          <w:color w:val="auto"/>
        </w:rPr>
      </w:pPr>
    </w:p>
    <w:p>
      <w:pPr>
        <w:ind w:left="340" w:hanging="332"/>
        <w:spacing w:after="0"/>
        <w:tabs>
          <w:tab w:leader="none" w:pos="340" w:val="left"/>
        </w:tabs>
        <w:numPr>
          <w:ilvl w:val="0"/>
          <w:numId w:val="9"/>
        </w:numPr>
        <w:rPr>
          <w:rFonts w:ascii="Arial" w:cs="Arial" w:eastAsia="Arial" w:hAnsi="Arial"/>
          <w:sz w:val="18"/>
          <w:szCs w:val="18"/>
          <w:color w:val="auto"/>
        </w:rPr>
      </w:pPr>
      <w:r>
        <w:rPr>
          <w:rFonts w:ascii="Arial" w:cs="Arial" w:eastAsia="Arial" w:hAnsi="Arial"/>
          <w:sz w:val="18"/>
          <w:szCs w:val="18"/>
          <w:color w:val="auto"/>
        </w:rPr>
        <w:t>Primarily consists of collateralized loan obligations backed by secured corporate loans.</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540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20" w:name="page21"/>
    <w:bookmarkEnd w:id="20"/>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17"/>
          <w:szCs w:val="17"/>
          <w:color w:val="auto"/>
        </w:rPr>
        <w:t>The amortized cost and fair value of fixed maturities, available-for-sale as of June 30, 2022, by expected maturity, were as</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follows:</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580" w:type="dxa"/>
            <w:vAlign w:val="bottom"/>
          </w:tcPr>
          <w:p>
            <w:pPr>
              <w:spacing w:after="0"/>
              <w:rPr>
                <w:sz w:val="14"/>
                <w:szCs w:val="14"/>
                <w:color w:val="auto"/>
              </w:rPr>
            </w:pPr>
          </w:p>
        </w:tc>
        <w:tc>
          <w:tcPr>
            <w:tcW w:w="1900" w:type="dxa"/>
            <w:vAlign w:val="bottom"/>
          </w:tcPr>
          <w:p>
            <w:pPr>
              <w:spacing w:after="0"/>
              <w:rPr>
                <w:sz w:val="14"/>
                <w:szCs w:val="14"/>
                <w:color w:val="auto"/>
              </w:rPr>
            </w:pPr>
          </w:p>
        </w:tc>
        <w:tc>
          <w:tcPr>
            <w:tcW w:w="110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8"/>
              </w:rPr>
              <w:t>Amortized cost</w:t>
            </w:r>
          </w:p>
        </w:tc>
        <w:tc>
          <w:tcPr>
            <w:tcW w:w="24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tcPr>
          <w:p>
            <w:pPr>
              <w:jc w:val="right"/>
              <w:ind w:right="152"/>
              <w:spacing w:after="0"/>
              <w:rPr>
                <w:sz w:val="20"/>
                <w:szCs w:val="20"/>
                <w:color w:val="auto"/>
              </w:rPr>
            </w:pPr>
            <w:r>
              <w:rPr>
                <w:rFonts w:ascii="Arial" w:cs="Arial" w:eastAsia="Arial" w:hAnsi="Arial"/>
                <w:sz w:val="14"/>
                <w:szCs w:val="14"/>
                <w:b w:val="1"/>
                <w:bCs w:val="1"/>
                <w:color w:val="auto"/>
              </w:rPr>
              <w:t>Fair value</w:t>
            </w:r>
          </w:p>
        </w:tc>
      </w:tr>
      <w:tr>
        <w:trPr>
          <w:trHeight w:val="128"/>
        </w:trPr>
        <w:tc>
          <w:tcPr>
            <w:tcW w:w="5580" w:type="dxa"/>
            <w:vAlign w:val="bottom"/>
          </w:tcPr>
          <w:p>
            <w:pPr>
              <w:spacing w:after="0"/>
              <w:rPr>
                <w:sz w:val="11"/>
                <w:szCs w:val="11"/>
                <w:color w:val="auto"/>
              </w:rPr>
            </w:pPr>
          </w:p>
        </w:tc>
        <w:tc>
          <w:tcPr>
            <w:tcW w:w="19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180" w:type="dxa"/>
            <w:vAlign w:val="bottom"/>
            <w:gridSpan w:val="4"/>
          </w:tcPr>
          <w:p>
            <w:pPr>
              <w:jc w:val="right"/>
              <w:ind w:right="772"/>
              <w:spacing w:after="0" w:line="129" w:lineRule="exact"/>
              <w:rPr>
                <w:sz w:val="20"/>
                <w:szCs w:val="20"/>
                <w:color w:val="auto"/>
              </w:rPr>
            </w:pPr>
            <w:r>
              <w:rPr>
                <w:rFonts w:ascii="Arial" w:cs="Arial" w:eastAsia="Arial" w:hAnsi="Arial"/>
                <w:sz w:val="14"/>
                <w:szCs w:val="14"/>
                <w:i w:val="1"/>
                <w:iCs w:val="1"/>
                <w:color w:val="auto"/>
              </w:rPr>
              <w:t>(in millions)</w:t>
            </w:r>
          </w:p>
        </w:tc>
      </w:tr>
      <w:tr>
        <w:trPr>
          <w:trHeight w:val="216"/>
        </w:trPr>
        <w:tc>
          <w:tcPr>
            <w:tcW w:w="5580" w:type="dxa"/>
            <w:vAlign w:val="bottom"/>
            <w:shd w:val="clear" w:color="auto" w:fill="CCEEFF"/>
          </w:tcPr>
          <w:p>
            <w:pPr>
              <w:spacing w:after="0"/>
              <w:rPr>
                <w:sz w:val="20"/>
                <w:szCs w:val="20"/>
                <w:color w:val="auto"/>
              </w:rPr>
            </w:pPr>
            <w:r>
              <w:rPr>
                <w:rFonts w:ascii="Arial" w:cs="Arial" w:eastAsia="Arial" w:hAnsi="Arial"/>
                <w:sz w:val="18"/>
                <w:szCs w:val="18"/>
                <w:color w:val="auto"/>
              </w:rPr>
              <w:t>Due in one year or less</w:t>
            </w:r>
          </w:p>
        </w:tc>
        <w:tc>
          <w:tcPr>
            <w:tcW w:w="2160" w:type="dxa"/>
            <w:vAlign w:val="bottom"/>
            <w:gridSpan w:val="2"/>
            <w:shd w:val="clear" w:color="auto" w:fill="CCEEFF"/>
          </w:tcPr>
          <w:p>
            <w:pPr>
              <w:jc w:val="right"/>
              <w:ind w:right="79"/>
              <w:spacing w:after="0"/>
              <w:rPr>
                <w:sz w:val="20"/>
                <w:szCs w:val="20"/>
                <w:color w:val="auto"/>
              </w:rPr>
            </w:pPr>
            <w:r>
              <w:rPr>
                <w:rFonts w:ascii="Arial" w:cs="Arial" w:eastAsia="Arial" w:hAnsi="Arial"/>
                <w:sz w:val="18"/>
                <w:szCs w:val="18"/>
                <w:b w:val="1"/>
                <w:bCs w:val="1"/>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2,320.9</w:t>
            </w:r>
          </w:p>
        </w:tc>
        <w:tc>
          <w:tcPr>
            <w:tcW w:w="400" w:type="dxa"/>
            <w:vAlign w:val="bottom"/>
            <w:gridSpan w:val="2"/>
            <w:shd w:val="clear" w:color="auto" w:fill="CCEEFF"/>
          </w:tcPr>
          <w:p>
            <w:pPr>
              <w:jc w:val="right"/>
              <w:ind w:right="7"/>
              <w:spacing w:after="0"/>
              <w:rPr>
                <w:sz w:val="20"/>
                <w:szCs w:val="20"/>
                <w:color w:val="auto"/>
              </w:rPr>
            </w:pPr>
            <w:r>
              <w:rPr>
                <w:rFonts w:ascii="Arial" w:cs="Arial" w:eastAsia="Arial" w:hAnsi="Arial"/>
                <w:sz w:val="18"/>
                <w:szCs w:val="18"/>
                <w:b w:val="1"/>
                <w:bCs w:val="1"/>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2,315.0</w:t>
            </w:r>
          </w:p>
        </w:tc>
      </w:tr>
      <w:tr>
        <w:trPr>
          <w:trHeight w:val="216"/>
        </w:trPr>
        <w:tc>
          <w:tcPr>
            <w:tcW w:w="5580" w:type="dxa"/>
            <w:vAlign w:val="bottom"/>
          </w:tcPr>
          <w:p>
            <w:pPr>
              <w:spacing w:after="0"/>
              <w:rPr>
                <w:sz w:val="20"/>
                <w:szCs w:val="20"/>
                <w:color w:val="auto"/>
              </w:rPr>
            </w:pPr>
            <w:r>
              <w:rPr>
                <w:rFonts w:ascii="Arial" w:cs="Arial" w:eastAsia="Arial" w:hAnsi="Arial"/>
                <w:sz w:val="18"/>
                <w:szCs w:val="18"/>
                <w:color w:val="auto"/>
              </w:rPr>
              <w:t>Due after one year through five years</w:t>
            </w:r>
          </w:p>
        </w:tc>
        <w:tc>
          <w:tcPr>
            <w:tcW w:w="19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b w:val="1"/>
                <w:bCs w:val="1"/>
                <w:color w:val="auto"/>
              </w:rPr>
              <w:t>9,617.6</w:t>
            </w: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9,370.1</w:t>
            </w:r>
          </w:p>
        </w:tc>
      </w:tr>
      <w:tr>
        <w:trPr>
          <w:trHeight w:val="216"/>
        </w:trPr>
        <w:tc>
          <w:tcPr>
            <w:tcW w:w="5580" w:type="dxa"/>
            <w:vAlign w:val="bottom"/>
            <w:shd w:val="clear" w:color="auto" w:fill="CCEEFF"/>
          </w:tcPr>
          <w:p>
            <w:pPr>
              <w:spacing w:after="0"/>
              <w:rPr>
                <w:sz w:val="20"/>
                <w:szCs w:val="20"/>
                <w:color w:val="auto"/>
              </w:rPr>
            </w:pPr>
            <w:r>
              <w:rPr>
                <w:rFonts w:ascii="Arial" w:cs="Arial" w:eastAsia="Arial" w:hAnsi="Arial"/>
                <w:sz w:val="18"/>
                <w:szCs w:val="18"/>
                <w:color w:val="auto"/>
              </w:rPr>
              <w:t>Due after five years through ten years</w:t>
            </w:r>
          </w:p>
        </w:tc>
        <w:tc>
          <w:tcPr>
            <w:tcW w:w="19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13,666.9</w:t>
            </w:r>
          </w:p>
        </w:tc>
        <w:tc>
          <w:tcPr>
            <w:tcW w:w="2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12,834.0</w:t>
            </w:r>
          </w:p>
        </w:tc>
      </w:tr>
      <w:tr>
        <w:trPr>
          <w:trHeight w:val="216"/>
        </w:trPr>
        <w:tc>
          <w:tcPr>
            <w:tcW w:w="558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Due after ten years</w:t>
            </w:r>
          </w:p>
        </w:tc>
        <w:tc>
          <w:tcPr>
            <w:tcW w:w="1900" w:type="dxa"/>
            <w:vAlign w:val="bottom"/>
            <w:tcBorders>
              <w:bottom w:val="single" w:sz="8" w:color="CCEEFF"/>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28,116.5</w:t>
            </w:r>
          </w:p>
        </w:tc>
        <w:tc>
          <w:tcPr>
            <w:tcW w:w="24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25,393.1</w:t>
            </w:r>
          </w:p>
        </w:tc>
      </w:tr>
      <w:tr>
        <w:trPr>
          <w:trHeight w:val="209"/>
        </w:trPr>
        <w:tc>
          <w:tcPr>
            <w:tcW w:w="5580" w:type="dxa"/>
            <w:vAlign w:val="bottom"/>
            <w:shd w:val="clear" w:color="auto" w:fill="CCEEFF"/>
          </w:tcPr>
          <w:p>
            <w:pPr>
              <w:spacing w:after="0"/>
              <w:rPr>
                <w:sz w:val="20"/>
                <w:szCs w:val="20"/>
                <w:color w:val="auto"/>
              </w:rPr>
            </w:pPr>
            <w:r>
              <w:rPr>
                <w:rFonts w:ascii="Arial" w:cs="Arial" w:eastAsia="Arial" w:hAnsi="Arial"/>
                <w:sz w:val="18"/>
                <w:szCs w:val="18"/>
                <w:color w:val="auto"/>
              </w:rPr>
              <w:t>Subtotal</w:t>
            </w:r>
          </w:p>
        </w:tc>
        <w:tc>
          <w:tcPr>
            <w:tcW w:w="19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53,721.9</w:t>
            </w:r>
          </w:p>
        </w:tc>
        <w:tc>
          <w:tcPr>
            <w:tcW w:w="2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49,912.2</w:t>
            </w:r>
          </w:p>
        </w:tc>
      </w:tr>
      <w:tr>
        <w:trPr>
          <w:trHeight w:val="216"/>
        </w:trPr>
        <w:tc>
          <w:tcPr>
            <w:tcW w:w="558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Mortgage-backed and other asset-backed securities</w:t>
            </w:r>
          </w:p>
        </w:tc>
        <w:tc>
          <w:tcPr>
            <w:tcW w:w="1900" w:type="dxa"/>
            <w:vAlign w:val="bottom"/>
            <w:tcBorders>
              <w:bottom w:val="single" w:sz="8" w:color="CCEEFF"/>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18,485.1</w:t>
            </w:r>
          </w:p>
        </w:tc>
        <w:tc>
          <w:tcPr>
            <w:tcW w:w="24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17,293.4</w:t>
            </w:r>
          </w:p>
        </w:tc>
      </w:tr>
      <w:tr>
        <w:trPr>
          <w:trHeight w:val="210"/>
        </w:trPr>
        <w:tc>
          <w:tcPr>
            <w:tcW w:w="55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w:t>
            </w:r>
          </w:p>
        </w:tc>
        <w:tc>
          <w:tcPr>
            <w:tcW w:w="1900" w:type="dxa"/>
            <w:vAlign w:val="bottom"/>
            <w:tcBorders>
              <w:bottom w:val="single" w:sz="8" w:color="CCEEFF"/>
            </w:tcBorders>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jc w:val="right"/>
              <w:ind w:right="79"/>
              <w:spacing w:after="0"/>
              <w:rPr>
                <w:sz w:val="20"/>
                <w:szCs w:val="20"/>
                <w:color w:val="auto"/>
              </w:rPr>
            </w:pPr>
            <w:r>
              <w:rPr>
                <w:rFonts w:ascii="Arial" w:cs="Arial" w:eastAsia="Arial" w:hAnsi="Arial"/>
                <w:sz w:val="18"/>
                <w:szCs w:val="18"/>
                <w:b w:val="1"/>
                <w:bCs w:val="1"/>
                <w:color w:val="auto"/>
                <w:w w:val="79"/>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72,207.0</w:t>
            </w:r>
          </w:p>
        </w:tc>
        <w:tc>
          <w:tcPr>
            <w:tcW w:w="24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jc w:val="right"/>
              <w:ind w:right="7"/>
              <w:spacing w:after="0"/>
              <w:rPr>
                <w:sz w:val="20"/>
                <w:szCs w:val="20"/>
                <w:color w:val="auto"/>
              </w:rPr>
            </w:pPr>
            <w:r>
              <w:rPr>
                <w:rFonts w:ascii="Arial" w:cs="Arial" w:eastAsia="Arial" w:hAnsi="Arial"/>
                <w:sz w:val="15"/>
                <w:szCs w:val="15"/>
                <w:b w:val="1"/>
                <w:bCs w:val="1"/>
                <w:color w:val="auto"/>
                <w:w w:val="71"/>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67,205.6</w:t>
            </w:r>
          </w:p>
        </w:tc>
      </w:tr>
      <w:tr>
        <w:trPr>
          <w:trHeight w:val="20"/>
        </w:trPr>
        <w:tc>
          <w:tcPr>
            <w:tcW w:w="5580" w:type="dxa"/>
            <w:vAlign w:val="bottom"/>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140" w:firstLine="648"/>
        <w:spacing w:after="0" w:line="277" w:lineRule="auto"/>
        <w:rPr>
          <w:sz w:val="20"/>
          <w:szCs w:val="20"/>
          <w:color w:val="auto"/>
        </w:rPr>
      </w:pPr>
      <w:r>
        <w:rPr>
          <w:rFonts w:ascii="Arial" w:cs="Arial" w:eastAsia="Arial" w:hAnsi="Arial"/>
          <w:sz w:val="18"/>
          <w:szCs w:val="18"/>
          <w:color w:val="auto"/>
        </w:rPr>
        <w:t>Actual maturities may differ because borrowers may have the right to call or prepay obligations. Our portfolio is diversified by industry, issuer and asset class. Credit concentrations are managed to established limits.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Net Realized Capital Gains and Losses</w:t>
      </w:r>
    </w:p>
    <w:p>
      <w:pPr>
        <w:spacing w:after="0" w:line="229" w:lineRule="exact"/>
        <w:rPr>
          <w:sz w:val="20"/>
          <w:szCs w:val="20"/>
          <w:color w:val="auto"/>
        </w:rPr>
      </w:pPr>
    </w:p>
    <w:p>
      <w:pPr>
        <w:ind w:right="40" w:firstLine="648"/>
        <w:spacing w:after="0" w:line="288" w:lineRule="auto"/>
        <w:rPr>
          <w:sz w:val="20"/>
          <w:szCs w:val="20"/>
          <w:color w:val="auto"/>
        </w:rPr>
      </w:pPr>
      <w:r>
        <w:rPr>
          <w:rFonts w:ascii="Arial" w:cs="Arial" w:eastAsia="Arial" w:hAnsi="Arial"/>
          <w:sz w:val="16"/>
          <w:szCs w:val="16"/>
          <w:color w:val="auto"/>
        </w:rPr>
        <w:t>Net realized capital gains and losses on sales of investments are determined on the basis of specific identification. In general, in addition to realized capital gains and losses on investment sales and periodic settlements on derivatives not designated as hedges, we report gains and losses related to the following in net realized capital gains (losses) on the consolidated statements of operations: mark-to-market adjustments on certain equity securities, mark-to-market adjustments on certain fixed maturities, trading, mark-to-market adjustments on sponsored investment funds, mark-to-market adjustments on derivatives not designated as hedges, cash flow hedge gains (losses) when the hedged item impacts realized capital gains (losses), changes in the valuation allowance for fixed maturities available-for-sale and certain financing receivables, impairments of real estate held for investment and impairments on equity method investments. Investment gains and losses on sales of certain real estate held for sale due to investment strategy and mark-to-market adjustments on certain securities carried at fair value with an investment objective to realize economic value through mark-to-market changes are reported as net investment income and are excluded from net realized capital gains (losses).</w:t>
      </w:r>
    </w:p>
    <w:p>
      <w:pPr>
        <w:spacing w:after="0" w:line="168" w:lineRule="exact"/>
        <w:rPr>
          <w:sz w:val="20"/>
          <w:szCs w:val="20"/>
          <w:color w:val="auto"/>
        </w:rPr>
      </w:pPr>
    </w:p>
    <w:p>
      <w:pPr>
        <w:ind w:right="40" w:firstLine="648"/>
        <w:spacing w:after="0" w:line="291" w:lineRule="auto"/>
        <w:rPr>
          <w:sz w:val="20"/>
          <w:szCs w:val="20"/>
          <w:color w:val="auto"/>
        </w:rPr>
      </w:pPr>
      <w:r>
        <w:rPr>
          <w:rFonts w:ascii="Arial" w:cs="Arial" w:eastAsia="Arial" w:hAnsi="Arial"/>
          <w:sz w:val="16"/>
          <w:szCs w:val="16"/>
          <w:color w:val="auto"/>
        </w:rPr>
        <w:t>The major components of net realized capital gains (losses) on investments are shown below and are net of amounts on funds withheld invested assets that are passed directly to the reinsurer. As a result of the Reinsurance Transaction that closed during the second quarter of 2022 with an economic effective date of January 1, 2022, net realized gains (losses) on funds withheld invested assets for the first quarter of 2022 were passed to the reinsurer during the second quarter of 2022. As a result, the amounts for the three months ended June 30, 2022, shown below reflect this true-up and result in a negative amount for gross gains and a positive amount for gross losses on fixed maturities, available-for-sale. The amounts below do not include net realized capital gains (losses) on funds withheld assets that are not passed to the reinsurer, which are separately reported on the consolidated statements of operations.</w:t>
      </w:r>
    </w:p>
    <w:p>
      <w:pPr>
        <w:spacing w:after="0" w:line="15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280" w:type="dxa"/>
            <w:vAlign w:val="bottom"/>
          </w:tcPr>
          <w:p>
            <w:pPr>
              <w:spacing w:after="0"/>
              <w:rPr>
                <w:sz w:val="14"/>
                <w:szCs w:val="14"/>
                <w:color w:val="auto"/>
              </w:rPr>
            </w:pPr>
          </w:p>
        </w:tc>
        <w:tc>
          <w:tcPr>
            <w:tcW w:w="1700" w:type="dxa"/>
            <w:vAlign w:val="bottom"/>
          </w:tcPr>
          <w:p>
            <w:pPr>
              <w:spacing w:after="0"/>
              <w:rPr>
                <w:sz w:val="14"/>
                <w:szCs w:val="14"/>
                <w:color w:val="auto"/>
              </w:rPr>
            </w:pPr>
          </w:p>
        </w:tc>
        <w:tc>
          <w:tcPr>
            <w:tcW w:w="1960" w:type="dxa"/>
            <w:vAlign w:val="bottom"/>
            <w:gridSpan w:val="7"/>
          </w:tcPr>
          <w:p>
            <w:pPr>
              <w:ind w:left="80"/>
              <w:spacing w:after="0"/>
              <w:rPr>
                <w:sz w:val="20"/>
                <w:szCs w:val="20"/>
                <w:color w:val="auto"/>
              </w:rPr>
            </w:pPr>
            <w:r>
              <w:rPr>
                <w:rFonts w:ascii="Arial" w:cs="Arial" w:eastAsia="Arial" w:hAnsi="Arial"/>
                <w:sz w:val="14"/>
                <w:szCs w:val="14"/>
                <w:b w:val="1"/>
                <w:bCs w:val="1"/>
                <w:color w:val="auto"/>
              </w:rPr>
              <w:t>For the three months ended</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760" w:type="dxa"/>
            <w:vAlign w:val="bottom"/>
            <w:gridSpan w:val="4"/>
          </w:tcPr>
          <w:p>
            <w:pPr>
              <w:jc w:val="right"/>
              <w:ind w:right="92"/>
              <w:spacing w:after="0"/>
              <w:rPr>
                <w:sz w:val="20"/>
                <w:szCs w:val="20"/>
                <w:color w:val="auto"/>
              </w:rPr>
            </w:pPr>
            <w:r>
              <w:rPr>
                <w:rFonts w:ascii="Arial" w:cs="Arial" w:eastAsia="Arial" w:hAnsi="Arial"/>
                <w:sz w:val="14"/>
                <w:szCs w:val="14"/>
                <w:b w:val="1"/>
                <w:bCs w:val="1"/>
                <w:color w:val="auto"/>
                <w:w w:val="91"/>
              </w:rPr>
              <w:t>For the six months ended</w:t>
            </w:r>
          </w:p>
        </w:tc>
      </w:tr>
      <w:tr>
        <w:trPr>
          <w:trHeight w:val="171"/>
        </w:trPr>
        <w:tc>
          <w:tcPr>
            <w:tcW w:w="4280" w:type="dxa"/>
            <w:vAlign w:val="bottom"/>
          </w:tcPr>
          <w:p>
            <w:pPr>
              <w:spacing w:after="0"/>
              <w:rPr>
                <w:sz w:val="14"/>
                <w:szCs w:val="14"/>
                <w:color w:val="auto"/>
              </w:rPr>
            </w:pPr>
          </w:p>
        </w:tc>
        <w:tc>
          <w:tcPr>
            <w:tcW w:w="170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June 30,</w:t>
            </w:r>
          </w:p>
        </w:tc>
        <w:tc>
          <w:tcPr>
            <w:tcW w:w="6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June 30,</w:t>
            </w:r>
          </w:p>
        </w:tc>
        <w:tc>
          <w:tcPr>
            <w:tcW w:w="640" w:type="dxa"/>
            <w:vAlign w:val="bottom"/>
            <w:tcBorders>
              <w:bottom w:val="single" w:sz="8" w:color="auto"/>
            </w:tcBorders>
          </w:tcPr>
          <w:p>
            <w:pPr>
              <w:spacing w:after="0"/>
              <w:rPr>
                <w:sz w:val="14"/>
                <w:szCs w:val="14"/>
                <w:color w:val="auto"/>
              </w:rPr>
            </w:pPr>
          </w:p>
        </w:tc>
      </w:tr>
      <w:tr>
        <w:trPr>
          <w:trHeight w:val="142"/>
        </w:trPr>
        <w:tc>
          <w:tcPr>
            <w:tcW w:w="4280" w:type="dxa"/>
            <w:vAlign w:val="bottom"/>
          </w:tcPr>
          <w:p>
            <w:pPr>
              <w:spacing w:after="0"/>
              <w:rPr>
                <w:sz w:val="12"/>
                <w:szCs w:val="12"/>
                <w:color w:val="auto"/>
              </w:rPr>
            </w:pPr>
          </w:p>
        </w:tc>
        <w:tc>
          <w:tcPr>
            <w:tcW w:w="1700" w:type="dxa"/>
            <w:vAlign w:val="bottom"/>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jc w:val="right"/>
              <w:ind w:right="193"/>
              <w:spacing w:after="0" w:line="142" w:lineRule="exact"/>
              <w:rPr>
                <w:sz w:val="20"/>
                <w:szCs w:val="20"/>
                <w:color w:val="auto"/>
              </w:rPr>
            </w:pPr>
            <w:r>
              <w:rPr>
                <w:rFonts w:ascii="Arial" w:cs="Arial" w:eastAsia="Arial" w:hAnsi="Arial"/>
                <w:sz w:val="14"/>
                <w:szCs w:val="14"/>
                <w:b w:val="1"/>
                <w:bCs w:val="1"/>
                <w:color w:val="auto"/>
              </w:rPr>
              <w:t>2022</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jc w:val="right"/>
              <w:ind w:right="193"/>
              <w:spacing w:after="0" w:line="142" w:lineRule="exact"/>
              <w:rPr>
                <w:sz w:val="20"/>
                <w:szCs w:val="20"/>
                <w:color w:val="auto"/>
              </w:rPr>
            </w:pPr>
            <w:r>
              <w:rPr>
                <w:rFonts w:ascii="Arial" w:cs="Arial" w:eastAsia="Arial" w:hAnsi="Arial"/>
                <w:sz w:val="14"/>
                <w:szCs w:val="14"/>
                <w:b w:val="1"/>
                <w:bCs w:val="1"/>
                <w:color w:val="auto"/>
              </w:rPr>
              <w:t>2021</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tcPr>
          <w:p>
            <w:pPr>
              <w:jc w:val="right"/>
              <w:ind w:right="194"/>
              <w:spacing w:after="0" w:line="142" w:lineRule="exact"/>
              <w:rPr>
                <w:sz w:val="20"/>
                <w:szCs w:val="20"/>
                <w:color w:val="auto"/>
              </w:rPr>
            </w:pPr>
            <w:r>
              <w:rPr>
                <w:rFonts w:ascii="Arial" w:cs="Arial" w:eastAsia="Arial" w:hAnsi="Arial"/>
                <w:sz w:val="14"/>
                <w:szCs w:val="14"/>
                <w:b w:val="1"/>
                <w:bCs w:val="1"/>
                <w:color w:val="auto"/>
              </w:rPr>
              <w:t>2022</w:t>
            </w:r>
          </w:p>
        </w:tc>
        <w:tc>
          <w:tcPr>
            <w:tcW w:w="180" w:type="dxa"/>
            <w:vAlign w:val="bottom"/>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ind w:right="192"/>
              <w:spacing w:after="0" w:line="142" w:lineRule="exact"/>
              <w:rPr>
                <w:sz w:val="20"/>
                <w:szCs w:val="20"/>
                <w:color w:val="auto"/>
              </w:rPr>
            </w:pPr>
            <w:r>
              <w:rPr>
                <w:rFonts w:ascii="Arial" w:cs="Arial" w:eastAsia="Arial" w:hAnsi="Arial"/>
                <w:sz w:val="14"/>
                <w:szCs w:val="14"/>
                <w:b w:val="1"/>
                <w:bCs w:val="1"/>
                <w:color w:val="auto"/>
              </w:rPr>
              <w:t>2021</w:t>
            </w:r>
          </w:p>
        </w:tc>
      </w:tr>
      <w:tr>
        <w:trPr>
          <w:trHeight w:val="129"/>
        </w:trPr>
        <w:tc>
          <w:tcPr>
            <w:tcW w:w="4280" w:type="dxa"/>
            <w:vAlign w:val="bottom"/>
          </w:tcPr>
          <w:p>
            <w:pPr>
              <w:spacing w:after="0"/>
              <w:rPr>
                <w:sz w:val="11"/>
                <w:szCs w:val="11"/>
                <w:color w:val="auto"/>
              </w:rPr>
            </w:pPr>
          </w:p>
        </w:tc>
        <w:tc>
          <w:tcPr>
            <w:tcW w:w="17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60" w:type="dxa"/>
            <w:vAlign w:val="bottom"/>
            <w:gridSpan w:val="5"/>
          </w:tcPr>
          <w:p>
            <w:pPr>
              <w:jc w:val="right"/>
              <w:ind w:right="494"/>
              <w:spacing w:after="0" w:line="129" w:lineRule="exact"/>
              <w:rPr>
                <w:sz w:val="20"/>
                <w:szCs w:val="20"/>
                <w:color w:val="auto"/>
              </w:rPr>
            </w:pPr>
            <w:r>
              <w:rPr>
                <w:rFonts w:ascii="Arial" w:cs="Arial" w:eastAsia="Arial" w:hAnsi="Arial"/>
                <w:sz w:val="14"/>
                <w:szCs w:val="14"/>
                <w:i w:val="1"/>
                <w:iCs w:val="1"/>
                <w:color w:val="auto"/>
              </w:rPr>
              <w:t>(in millions)</w:t>
            </w:r>
          </w:p>
        </w:tc>
        <w:tc>
          <w:tcPr>
            <w:tcW w:w="1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40" w:type="dxa"/>
            <w:vAlign w:val="bottom"/>
          </w:tcPr>
          <w:p>
            <w:pPr>
              <w:spacing w:after="0"/>
              <w:rPr>
                <w:sz w:val="11"/>
                <w:szCs w:val="11"/>
                <w:color w:val="auto"/>
              </w:rPr>
            </w:pPr>
          </w:p>
        </w:tc>
      </w:tr>
      <w:tr>
        <w:trPr>
          <w:trHeight w:val="216"/>
        </w:trPr>
        <w:tc>
          <w:tcPr>
            <w:tcW w:w="4280" w:type="dxa"/>
            <w:vAlign w:val="bottom"/>
            <w:shd w:val="clear" w:color="auto" w:fill="CCEEFF"/>
          </w:tcPr>
          <w:p>
            <w:pPr>
              <w:spacing w:after="0"/>
              <w:rPr>
                <w:sz w:val="20"/>
                <w:szCs w:val="20"/>
                <w:color w:val="auto"/>
              </w:rPr>
            </w:pPr>
            <w:r>
              <w:rPr>
                <w:rFonts w:ascii="Arial" w:cs="Arial" w:eastAsia="Arial" w:hAnsi="Arial"/>
                <w:sz w:val="18"/>
                <w:szCs w:val="18"/>
                <w:color w:val="auto"/>
              </w:rPr>
              <w:t>Fixed maturities, available-for-sale:</w:t>
            </w:r>
          </w:p>
        </w:tc>
        <w:tc>
          <w:tcPr>
            <w:tcW w:w="17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r>
      <w:tr>
        <w:trPr>
          <w:trHeight w:val="216"/>
        </w:trPr>
        <w:tc>
          <w:tcPr>
            <w:tcW w:w="4280" w:type="dxa"/>
            <w:vAlign w:val="bottom"/>
          </w:tcPr>
          <w:p>
            <w:pPr>
              <w:ind w:left="120"/>
              <w:spacing w:after="0"/>
              <w:rPr>
                <w:sz w:val="20"/>
                <w:szCs w:val="20"/>
                <w:color w:val="auto"/>
              </w:rPr>
            </w:pPr>
            <w:r>
              <w:rPr>
                <w:rFonts w:ascii="Arial" w:cs="Arial" w:eastAsia="Arial" w:hAnsi="Arial"/>
                <w:sz w:val="18"/>
                <w:szCs w:val="18"/>
                <w:color w:val="auto"/>
              </w:rPr>
              <w:t>Gross gains</w:t>
            </w:r>
          </w:p>
        </w:tc>
        <w:tc>
          <w:tcPr>
            <w:tcW w:w="1880" w:type="dxa"/>
            <w:vAlign w:val="bottom"/>
            <w:gridSpan w:val="2"/>
          </w:tcPr>
          <w:p>
            <w:pPr>
              <w:jc w:val="right"/>
              <w:ind w:right="27"/>
              <w:spacing w:after="0"/>
              <w:rPr>
                <w:sz w:val="20"/>
                <w:szCs w:val="20"/>
                <w:color w:val="auto"/>
              </w:rPr>
            </w:pPr>
            <w:r>
              <w:rPr>
                <w:rFonts w:ascii="Arial" w:cs="Arial" w:eastAsia="Arial" w:hAnsi="Arial"/>
                <w:sz w:val="18"/>
                <w:szCs w:val="18"/>
                <w:b w:val="1"/>
                <w:bCs w:val="1"/>
                <w:color w:val="auto"/>
              </w:rPr>
              <w:t>$</w:t>
            </w:r>
          </w:p>
        </w:tc>
        <w:tc>
          <w:tcPr>
            <w:tcW w:w="74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(159.8)</w:t>
            </w:r>
          </w:p>
        </w:tc>
        <w:tc>
          <w:tcPr>
            <w:tcW w:w="320" w:type="dxa"/>
            <w:vAlign w:val="bottom"/>
            <w:gridSpan w:val="2"/>
          </w:tcPr>
          <w:p>
            <w:pPr>
              <w:jc w:val="right"/>
              <w:ind w:right="30"/>
              <w:spacing w:after="0"/>
              <w:rPr>
                <w:sz w:val="20"/>
                <w:szCs w:val="20"/>
                <w:color w:val="auto"/>
              </w:rPr>
            </w:pPr>
            <w:r>
              <w:rPr>
                <w:rFonts w:ascii="Arial" w:cs="Arial" w:eastAsia="Arial" w:hAnsi="Arial"/>
                <w:sz w:val="18"/>
                <w:szCs w:val="18"/>
                <w:color w:val="auto"/>
              </w:rPr>
              <w:t>$</w:t>
            </w:r>
          </w:p>
        </w:tc>
        <w:tc>
          <w:tcPr>
            <w:tcW w:w="620" w:type="dxa"/>
            <w:vAlign w:val="bottom"/>
          </w:tcPr>
          <w:p>
            <w:pPr>
              <w:jc w:val="right"/>
              <w:spacing w:after="0"/>
              <w:rPr>
                <w:sz w:val="20"/>
                <w:szCs w:val="20"/>
                <w:color w:val="auto"/>
              </w:rPr>
            </w:pPr>
            <w:r>
              <w:rPr>
                <w:rFonts w:ascii="Arial" w:cs="Arial" w:eastAsia="Arial" w:hAnsi="Arial"/>
                <w:sz w:val="18"/>
                <w:szCs w:val="18"/>
                <w:color w:val="auto"/>
              </w:rPr>
              <w:t>11.2</w:t>
            </w:r>
          </w:p>
        </w:tc>
        <w:tc>
          <w:tcPr>
            <w:tcW w:w="100" w:type="dxa"/>
            <w:vAlign w:val="bottom"/>
          </w:tcPr>
          <w:p>
            <w:pPr>
              <w:spacing w:after="0"/>
              <w:rPr>
                <w:sz w:val="18"/>
                <w:szCs w:val="18"/>
                <w:color w:val="auto"/>
              </w:rPr>
            </w:pPr>
          </w:p>
        </w:tc>
        <w:tc>
          <w:tcPr>
            <w:tcW w:w="22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rPr>
              <w:t>6.0</w:t>
            </w:r>
          </w:p>
        </w:tc>
        <w:tc>
          <w:tcPr>
            <w:tcW w:w="180" w:type="dxa"/>
            <w:vAlign w:val="bottom"/>
          </w:tcPr>
          <w:p>
            <w:pPr>
              <w:spacing w:after="0"/>
              <w:rPr>
                <w:sz w:val="18"/>
                <w:szCs w:val="18"/>
                <w:color w:val="auto"/>
              </w:rPr>
            </w:pP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48.2</w:t>
            </w:r>
          </w:p>
        </w:tc>
      </w:tr>
      <w:tr>
        <w:trPr>
          <w:trHeight w:val="216"/>
        </w:trPr>
        <w:tc>
          <w:tcPr>
            <w:tcW w:w="42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Gross losses</w:t>
            </w:r>
          </w:p>
        </w:tc>
        <w:tc>
          <w:tcPr>
            <w:tcW w:w="17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8.1</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(23.0)</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(112.6)</w:t>
            </w:r>
          </w:p>
        </w:tc>
        <w:tc>
          <w:tcPr>
            <w:tcW w:w="22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(28.1)</w:t>
            </w:r>
          </w:p>
        </w:tc>
      </w:tr>
      <w:tr>
        <w:trPr>
          <w:trHeight w:val="216"/>
        </w:trPr>
        <w:tc>
          <w:tcPr>
            <w:tcW w:w="4280" w:type="dxa"/>
            <w:vAlign w:val="bottom"/>
          </w:tcPr>
          <w:p>
            <w:pPr>
              <w:ind w:left="120"/>
              <w:spacing w:after="0"/>
              <w:rPr>
                <w:sz w:val="20"/>
                <w:szCs w:val="20"/>
                <w:color w:val="auto"/>
              </w:rPr>
            </w:pPr>
            <w:r>
              <w:rPr>
                <w:rFonts w:ascii="Arial" w:cs="Arial" w:eastAsia="Arial" w:hAnsi="Arial"/>
                <w:sz w:val="18"/>
                <w:szCs w:val="18"/>
                <w:color w:val="auto"/>
              </w:rPr>
              <w:t>Net credit losses</w:t>
            </w:r>
          </w:p>
        </w:tc>
        <w:tc>
          <w:tcPr>
            <w:tcW w:w="17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(4.0)</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8"/>
                <w:szCs w:val="18"/>
                <w:color w:val="auto"/>
              </w:rPr>
              <w:t>(13.4)</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(10.1)</w:t>
            </w:r>
          </w:p>
        </w:tc>
        <w:tc>
          <w:tcPr>
            <w:tcW w:w="22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(17.8)</w:t>
            </w:r>
          </w:p>
        </w:tc>
      </w:tr>
      <w:tr>
        <w:trPr>
          <w:trHeight w:val="216"/>
        </w:trPr>
        <w:tc>
          <w:tcPr>
            <w:tcW w:w="42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Hedging, net (1)</w:t>
            </w:r>
          </w:p>
        </w:tc>
        <w:tc>
          <w:tcPr>
            <w:tcW w:w="17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(0.7)</w:t>
            </w:r>
          </w:p>
        </w:tc>
        <w:tc>
          <w:tcPr>
            <w:tcW w:w="22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w:t>
            </w:r>
          </w:p>
        </w:tc>
      </w:tr>
      <w:tr>
        <w:trPr>
          <w:trHeight w:val="216"/>
        </w:trPr>
        <w:tc>
          <w:tcPr>
            <w:tcW w:w="4280" w:type="dxa"/>
            <w:vAlign w:val="bottom"/>
          </w:tcPr>
          <w:p>
            <w:pPr>
              <w:spacing w:after="0"/>
              <w:rPr>
                <w:sz w:val="20"/>
                <w:szCs w:val="20"/>
                <w:color w:val="auto"/>
              </w:rPr>
            </w:pPr>
            <w:r>
              <w:rPr>
                <w:rFonts w:ascii="Arial" w:cs="Arial" w:eastAsia="Arial" w:hAnsi="Arial"/>
                <w:sz w:val="18"/>
                <w:szCs w:val="18"/>
                <w:color w:val="auto"/>
              </w:rPr>
              <w:t>Fixed maturities, trading (2)</w:t>
            </w:r>
          </w:p>
        </w:tc>
        <w:tc>
          <w:tcPr>
            <w:tcW w:w="17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(8.3)</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8"/>
                <w:szCs w:val="18"/>
                <w:color w:val="auto"/>
              </w:rPr>
              <w:t>(10.6)</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(22.5)</w:t>
            </w:r>
          </w:p>
        </w:tc>
        <w:tc>
          <w:tcPr>
            <w:tcW w:w="22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(24.7)</w:t>
            </w:r>
          </w:p>
        </w:tc>
      </w:tr>
      <w:tr>
        <w:trPr>
          <w:trHeight w:val="216"/>
        </w:trPr>
        <w:tc>
          <w:tcPr>
            <w:tcW w:w="4280" w:type="dxa"/>
            <w:vAlign w:val="bottom"/>
            <w:shd w:val="clear" w:color="auto" w:fill="CCEEFF"/>
          </w:tcPr>
          <w:p>
            <w:pPr>
              <w:spacing w:after="0"/>
              <w:rPr>
                <w:sz w:val="20"/>
                <w:szCs w:val="20"/>
                <w:color w:val="auto"/>
              </w:rPr>
            </w:pPr>
            <w:r>
              <w:rPr>
                <w:rFonts w:ascii="Arial" w:cs="Arial" w:eastAsia="Arial" w:hAnsi="Arial"/>
                <w:sz w:val="18"/>
                <w:szCs w:val="18"/>
                <w:color w:val="auto"/>
              </w:rPr>
              <w:t>Equity securities (3)</w:t>
            </w:r>
          </w:p>
        </w:tc>
        <w:tc>
          <w:tcPr>
            <w:tcW w:w="17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(45.2)</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38.1</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(150.4)</w:t>
            </w:r>
          </w:p>
        </w:tc>
        <w:tc>
          <w:tcPr>
            <w:tcW w:w="22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54.3</w:t>
            </w:r>
          </w:p>
        </w:tc>
      </w:tr>
      <w:tr>
        <w:trPr>
          <w:trHeight w:val="216"/>
        </w:trPr>
        <w:tc>
          <w:tcPr>
            <w:tcW w:w="4280" w:type="dxa"/>
            <w:vAlign w:val="bottom"/>
          </w:tcPr>
          <w:p>
            <w:pPr>
              <w:spacing w:after="0"/>
              <w:rPr>
                <w:sz w:val="20"/>
                <w:szCs w:val="20"/>
                <w:color w:val="auto"/>
              </w:rPr>
            </w:pPr>
            <w:r>
              <w:rPr>
                <w:rFonts w:ascii="Arial" w:cs="Arial" w:eastAsia="Arial" w:hAnsi="Arial"/>
                <w:sz w:val="18"/>
                <w:szCs w:val="18"/>
                <w:color w:val="auto"/>
              </w:rPr>
              <w:t>Mortgage loans</w:t>
            </w:r>
          </w:p>
        </w:tc>
        <w:tc>
          <w:tcPr>
            <w:tcW w:w="17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b w:val="1"/>
                <w:bCs w:val="1"/>
                <w:color w:val="auto"/>
              </w:rPr>
              <w:t>2.8</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6.9</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(16.8)</w:t>
            </w:r>
          </w:p>
        </w:tc>
        <w:tc>
          <w:tcPr>
            <w:tcW w:w="22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11.6</w:t>
            </w:r>
          </w:p>
        </w:tc>
      </w:tr>
      <w:tr>
        <w:trPr>
          <w:trHeight w:val="216"/>
        </w:trPr>
        <w:tc>
          <w:tcPr>
            <w:tcW w:w="4280" w:type="dxa"/>
            <w:vAlign w:val="bottom"/>
            <w:shd w:val="clear" w:color="auto" w:fill="CCEEFF"/>
          </w:tcPr>
          <w:p>
            <w:pPr>
              <w:spacing w:after="0"/>
              <w:rPr>
                <w:sz w:val="20"/>
                <w:szCs w:val="20"/>
                <w:color w:val="auto"/>
              </w:rPr>
            </w:pPr>
            <w:r>
              <w:rPr>
                <w:rFonts w:ascii="Arial" w:cs="Arial" w:eastAsia="Arial" w:hAnsi="Arial"/>
                <w:sz w:val="18"/>
                <w:szCs w:val="18"/>
                <w:color w:val="auto"/>
              </w:rPr>
              <w:t>Derivatives (1)</w:t>
            </w:r>
          </w:p>
        </w:tc>
        <w:tc>
          <w:tcPr>
            <w:tcW w:w="17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62.7</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(93.8)</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105.1</w:t>
            </w: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19.8</w:t>
            </w:r>
          </w:p>
        </w:tc>
      </w:tr>
      <w:tr>
        <w:trPr>
          <w:trHeight w:val="216"/>
        </w:trPr>
        <w:tc>
          <w:tcPr>
            <w:tcW w:w="4280" w:type="dxa"/>
            <w:vAlign w:val="bottom"/>
          </w:tcPr>
          <w:p>
            <w:pPr>
              <w:spacing w:after="0"/>
              <w:rPr>
                <w:sz w:val="20"/>
                <w:szCs w:val="20"/>
                <w:color w:val="auto"/>
              </w:rPr>
            </w:pPr>
            <w:r>
              <w:rPr>
                <w:rFonts w:ascii="Arial" w:cs="Arial" w:eastAsia="Arial" w:hAnsi="Arial"/>
                <w:sz w:val="18"/>
                <w:szCs w:val="18"/>
                <w:color w:val="auto"/>
              </w:rPr>
              <w:t>Other</w:t>
            </w:r>
          </w:p>
        </w:tc>
        <w:tc>
          <w:tcPr>
            <w:tcW w:w="17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(84.2)</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44.5</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(136.4)</w:t>
            </w:r>
          </w:p>
        </w:tc>
        <w:tc>
          <w:tcPr>
            <w:tcW w:w="22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48.0</w:t>
            </w:r>
          </w:p>
        </w:tc>
      </w:tr>
      <w:tr>
        <w:trPr>
          <w:trHeight w:val="209"/>
        </w:trPr>
        <w:tc>
          <w:tcPr>
            <w:tcW w:w="428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realized capital gains (losses)</w:t>
            </w:r>
          </w:p>
        </w:tc>
        <w:tc>
          <w:tcPr>
            <w:tcW w:w="170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jc w:val="right"/>
              <w:ind w:right="27"/>
              <w:spacing w:after="0"/>
              <w:rPr>
                <w:sz w:val="20"/>
                <w:szCs w:val="20"/>
                <w:color w:val="auto"/>
              </w:rPr>
            </w:pPr>
            <w:r>
              <w:rPr>
                <w:rFonts w:ascii="Arial" w:cs="Arial" w:eastAsia="Arial" w:hAnsi="Arial"/>
                <w:sz w:val="15"/>
                <w:szCs w:val="15"/>
                <w:b w:val="1"/>
                <w:bCs w:val="1"/>
                <w:color w:val="auto"/>
                <w:w w:val="71"/>
              </w:rPr>
              <w:t>$</w:t>
            </w: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(227.9)</w:t>
            </w: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220" w:type="dxa"/>
            <w:vAlign w:val="bottom"/>
            <w:tcBorders>
              <w:top w:val="single" w:sz="8" w:color="auto"/>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(41.</w:t>
            </w:r>
            <w:r>
              <w:rPr>
                <w:rFonts w:ascii="Arial" w:cs="Arial" w:eastAsia="Arial" w:hAnsi="Arial"/>
                <w:sz w:val="18"/>
                <w:szCs w:val="18"/>
                <w:u w:val="single" w:color="auto"/>
                <w:color w:val="auto"/>
              </w:rPr>
              <w:t>1)</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(338.</w:t>
            </w:r>
            <w:r>
              <w:rPr>
                <w:rFonts w:ascii="Arial" w:cs="Arial" w:eastAsia="Arial" w:hAnsi="Arial"/>
                <w:sz w:val="18"/>
                <w:szCs w:val="18"/>
                <w:b w:val="1"/>
                <w:bCs w:val="1"/>
                <w:u w:val="single" w:color="auto"/>
                <w:color w:val="auto"/>
              </w:rPr>
              <w:t>4)</w:t>
            </w:r>
          </w:p>
        </w:tc>
        <w:tc>
          <w:tcPr>
            <w:tcW w:w="180" w:type="dxa"/>
            <w:vAlign w:val="bottom"/>
            <w:tcBorders>
              <w:top w:val="single" w:sz="8" w:color="CCEEFF"/>
              <w:bottom w:val="single" w:sz="8" w:color="CCEEFF"/>
            </w:tcBorders>
            <w:shd w:val="clear" w:color="auto" w:fill="CCEEFF"/>
          </w:tcPr>
          <w:p>
            <w:pPr>
              <w:spacing w:after="0"/>
              <w:rPr>
                <w:sz w:val="18"/>
                <w:szCs w:val="18"/>
                <w:color w:val="auto"/>
              </w:rPr>
            </w:pPr>
          </w:p>
        </w:tc>
        <w:tc>
          <w:tcPr>
            <w:tcW w:w="220" w:type="dxa"/>
            <w:vAlign w:val="bottom"/>
            <w:tcBorders>
              <w:top w:val="single" w:sz="8" w:color="auto"/>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110.</w:t>
            </w:r>
            <w:r>
              <w:rPr>
                <w:rFonts w:ascii="Arial" w:cs="Arial" w:eastAsia="Arial" w:hAnsi="Arial"/>
                <w:sz w:val="18"/>
                <w:szCs w:val="18"/>
                <w:u w:val="single" w:color="auto"/>
                <w:color w:val="auto"/>
              </w:rPr>
              <w:t>3</w:t>
            </w:r>
          </w:p>
        </w:tc>
      </w:tr>
      <w:tr>
        <w:trPr>
          <w:trHeight w:val="20"/>
        </w:trPr>
        <w:tc>
          <w:tcPr>
            <w:tcW w:w="428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9920"/>
          </w:cols>
          <w:pgMar w:left="980" w:top="665" w:right="999" w:bottom="1440" w:gutter="0" w:footer="0" w:header="0"/>
        </w:sectPr>
      </w:pPr>
    </w:p>
    <w:p>
      <w:pPr>
        <w:spacing w:after="0" w:line="218"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372110</wp:posOffset>
            </wp:positionV>
            <wp:extent cx="6292215" cy="260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type w:val="continuous"/>
        </w:sectPr>
      </w:pPr>
    </w:p>
    <w:bookmarkStart w:id="21" w:name="page22"/>
    <w:bookmarkEnd w:id="21"/>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211455</wp:posOffset>
            </wp:positionV>
            <wp:extent cx="1568450" cy="82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1568450" cy="8255"/>
                    </a:xfrm>
                    <a:prstGeom prst="rect">
                      <a:avLst/>
                    </a:prstGeom>
                    <a:noFill/>
                  </pic:spPr>
                </pic:pic>
              </a:graphicData>
            </a:graphic>
          </wp:anchor>
        </w:drawing>
      </w:r>
    </w:p>
    <w:p>
      <w:pPr>
        <w:spacing w:after="0" w:line="200" w:lineRule="exact"/>
        <w:rPr>
          <w:sz w:val="20"/>
          <w:szCs w:val="20"/>
          <w:color w:val="auto"/>
        </w:rPr>
      </w:pPr>
    </w:p>
    <w:p>
      <w:pPr>
        <w:spacing w:after="0" w:line="207" w:lineRule="exact"/>
        <w:rPr>
          <w:sz w:val="20"/>
          <w:szCs w:val="20"/>
          <w:color w:val="auto"/>
        </w:rPr>
      </w:pPr>
    </w:p>
    <w:p>
      <w:pPr>
        <w:ind w:left="340" w:right="120" w:hanging="332"/>
        <w:spacing w:after="0" w:line="254" w:lineRule="auto"/>
        <w:tabs>
          <w:tab w:leader="none" w:pos="3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change in fair value of fixed maturities, available-for-sale and the change in fair value of derivative hedging instruments in fair value hedging relationships are reported in net investment income with the earnings effect of fixed maturities, available-for-sale. Gains (losses) for fixed maturities, available-for-sale related to terminated cash flow hedges continue to be reflected in net realized capital gains (losses).</w:t>
      </w:r>
    </w:p>
    <w:p>
      <w:pPr>
        <w:spacing w:after="0" w:line="2" w:lineRule="exact"/>
        <w:rPr>
          <w:rFonts w:ascii="Arial" w:cs="Arial" w:eastAsia="Arial" w:hAnsi="Arial"/>
          <w:sz w:val="18"/>
          <w:szCs w:val="18"/>
          <w:color w:val="auto"/>
        </w:rPr>
      </w:pPr>
    </w:p>
    <w:p>
      <w:pPr>
        <w:ind w:left="340" w:right="60" w:hanging="332"/>
        <w:spacing w:after="0" w:line="250" w:lineRule="auto"/>
        <w:tabs>
          <w:tab w:leader="none" w:pos="3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Unrealized gains (losses) on fixed maturities, trading still held at the reporting date were $(7.6) million and $(9.5) million for the three months ended June 30, 2022 and 2021, respectively, and $(19.3) million and $(23.5) million for the six months ended June 30, 2022 and 2021, respectively.</w:t>
      </w:r>
    </w:p>
    <w:p>
      <w:pPr>
        <w:spacing w:after="0" w:line="1" w:lineRule="exact"/>
        <w:rPr>
          <w:rFonts w:ascii="Arial" w:cs="Arial" w:eastAsia="Arial" w:hAnsi="Arial"/>
          <w:sz w:val="18"/>
          <w:szCs w:val="18"/>
          <w:color w:val="auto"/>
        </w:rPr>
      </w:pPr>
    </w:p>
    <w:p>
      <w:pPr>
        <w:ind w:left="340" w:hanging="332"/>
        <w:spacing w:after="0" w:line="271" w:lineRule="auto"/>
        <w:tabs>
          <w:tab w:leader="none" w:pos="340" w:val="left"/>
        </w:tabs>
        <w:numPr>
          <w:ilvl w:val="0"/>
          <w:numId w:val="10"/>
        </w:numPr>
        <w:rPr>
          <w:rFonts w:ascii="Arial" w:cs="Arial" w:eastAsia="Arial" w:hAnsi="Arial"/>
          <w:sz w:val="17"/>
          <w:szCs w:val="17"/>
          <w:color w:val="auto"/>
        </w:rPr>
      </w:pPr>
      <w:r>
        <w:rPr>
          <w:rFonts w:ascii="Arial" w:cs="Arial" w:eastAsia="Arial" w:hAnsi="Arial"/>
          <w:sz w:val="17"/>
          <w:szCs w:val="17"/>
          <w:color w:val="auto"/>
        </w:rPr>
        <w:t>Unrealized gains (losses) on equity securities still held at the reporting date were $(50.9) million and $31.0 million for the three months ended June 30, 2022 and 2021, respectively, and $(150.5) million and $35.1 million for the six months ended June 30, 2022 and 2021, respectively. This excludes $8.8 million and $0.7 million for the three months ended June 30, 2022 and 2021, respectively, and $(10.5) million and $5.9 million for the six months ended June 30, 2022 and 2021, respectively, of unrealized gains (losses) on equity securities still held at the reporting date that were reported in net investment income.</w:t>
      </w:r>
    </w:p>
    <w:p>
      <w:pPr>
        <w:spacing w:after="0" w:line="178" w:lineRule="exact"/>
        <w:rPr>
          <w:sz w:val="20"/>
          <w:szCs w:val="20"/>
          <w:color w:val="auto"/>
        </w:rPr>
      </w:pPr>
    </w:p>
    <w:p>
      <w:pPr>
        <w:jc w:val="both"/>
        <w:ind w:right="100" w:firstLine="648"/>
        <w:spacing w:after="0" w:line="263" w:lineRule="auto"/>
        <w:rPr>
          <w:sz w:val="20"/>
          <w:szCs w:val="20"/>
          <w:color w:val="auto"/>
        </w:rPr>
      </w:pPr>
      <w:r>
        <w:rPr>
          <w:rFonts w:ascii="Arial" w:cs="Arial" w:eastAsia="Arial" w:hAnsi="Arial"/>
          <w:sz w:val="18"/>
          <w:szCs w:val="18"/>
          <w:color w:val="auto"/>
        </w:rPr>
        <w:t>Proceeds from sales of investments (excluding call and maturity proceeds) in fixed maturities, available-for-sale were $2,681.6 million and $1,042.9 million for the three months ended June 30, 2022 and 2021, and $7,541.3 million and $1,597.1 million for the six months ended June 30, 2022 and 2021, respectively.</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Allowance for Credit Loss</w:t>
      </w:r>
    </w:p>
    <w:p>
      <w:pPr>
        <w:spacing w:after="0" w:line="229" w:lineRule="exact"/>
        <w:rPr>
          <w:sz w:val="20"/>
          <w:szCs w:val="20"/>
          <w:color w:val="auto"/>
        </w:rPr>
      </w:pPr>
    </w:p>
    <w:p>
      <w:pPr>
        <w:ind w:right="160" w:firstLine="648"/>
        <w:spacing w:after="0" w:line="301" w:lineRule="auto"/>
        <w:rPr>
          <w:sz w:val="20"/>
          <w:szCs w:val="20"/>
          <w:color w:val="auto"/>
        </w:rPr>
      </w:pPr>
      <w:r>
        <w:rPr>
          <w:rFonts w:ascii="Arial" w:cs="Arial" w:eastAsia="Arial" w:hAnsi="Arial"/>
          <w:sz w:val="16"/>
          <w:szCs w:val="16"/>
          <w:color w:val="auto"/>
        </w:rPr>
        <w:t>We have a process in place to identify fixed maturity securities that could potentially require an allowance for credit loss. This process involves monitoring market events that could impact issuers’ credit ratings, business climate, management changes, litigation and government actions and other similar factors. This process also involves monitoring late payments, pricing levels, downgrades by rating agencies, key financial ratios, financial statements, revenue forecasts and cash flow projections as indicators of credit issues.</w:t>
      </w:r>
    </w:p>
    <w:p>
      <w:pPr>
        <w:spacing w:after="0" w:line="157" w:lineRule="exact"/>
        <w:rPr>
          <w:sz w:val="20"/>
          <w:szCs w:val="20"/>
          <w:color w:val="auto"/>
        </w:rPr>
      </w:pPr>
    </w:p>
    <w:p>
      <w:pPr>
        <w:ind w:right="40" w:firstLine="648"/>
        <w:spacing w:after="0" w:line="275" w:lineRule="auto"/>
        <w:rPr>
          <w:sz w:val="20"/>
          <w:szCs w:val="20"/>
          <w:color w:val="auto"/>
        </w:rPr>
      </w:pPr>
      <w:r>
        <w:rPr>
          <w:rFonts w:ascii="Arial" w:cs="Arial" w:eastAsia="Arial" w:hAnsi="Arial"/>
          <w:sz w:val="17"/>
          <w:szCs w:val="17"/>
          <w:color w:val="auto"/>
        </w:rPr>
        <w:t>Each reporting period, all securities in an unrealized loss position are reviewed to determine whether a decline in value is due to credit. Relevant facts and circumstances considered include: (1) the extent the fair value is below cost; (2) the reasons for the decline in value; (3) the financial position and access to capital of the issuer, including the current and future impact of any specific events and (4) for structured securities, the adequacy of the expected cash flows. To the extent we determine an unrealized loss is due to credit, an allowance for credit loss is recognized through a reduction to net income.</w:t>
      </w:r>
    </w:p>
    <w:p>
      <w:pPr>
        <w:spacing w:after="0" w:line="176" w:lineRule="exact"/>
        <w:rPr>
          <w:sz w:val="20"/>
          <w:szCs w:val="20"/>
          <w:color w:val="auto"/>
        </w:rPr>
      </w:pPr>
    </w:p>
    <w:p>
      <w:pPr>
        <w:ind w:firstLine="648"/>
        <w:spacing w:after="0" w:line="269" w:lineRule="auto"/>
        <w:rPr>
          <w:sz w:val="20"/>
          <w:szCs w:val="20"/>
          <w:color w:val="auto"/>
        </w:rPr>
      </w:pPr>
      <w:r>
        <w:rPr>
          <w:rFonts w:ascii="Arial" w:cs="Arial" w:eastAsia="Arial" w:hAnsi="Arial"/>
          <w:sz w:val="17"/>
          <w:szCs w:val="17"/>
          <w:color w:val="auto"/>
        </w:rPr>
        <w:t>We estimate the amount of the allowance for credit loss as the difference between amortized cost and the present value of the expected cash flows of the security. The present value is determined using the best estimate cash flows discounted at the effective interest rate implicit to the security at the date of purchase or the current yield to accrete an asset-backed or floating rate security. The methodology and assumptions for establishing the best estimate cash flows vary depending on the type of security. The ABS cash flow estimates are based on security specific facts and circumstances that may include collateral characteristics, expectations of delinquency and default rates, loss severity and prepayment speeds and structural support, including subordination and guarantees. The corporate security cash flow estimates are derived from scenario-based outcomes of expected corporate restructurings or liquidations using bond specific facts and circumstances including timing, security interests and loss severity. We do not measure a credit loss allowance on accrued interest receivable because we write off the accrued interest receivable balance to net investment income in a timely manner when we have concern regarding collectability.</w:t>
      </w:r>
    </w:p>
    <w:p>
      <w:pPr>
        <w:spacing w:after="0" w:line="185" w:lineRule="exact"/>
        <w:rPr>
          <w:sz w:val="20"/>
          <w:szCs w:val="20"/>
          <w:color w:val="auto"/>
        </w:rPr>
      </w:pPr>
    </w:p>
    <w:p>
      <w:pPr>
        <w:jc w:val="both"/>
        <w:ind w:right="120" w:firstLine="648"/>
        <w:spacing w:after="0" w:line="263" w:lineRule="auto"/>
        <w:rPr>
          <w:sz w:val="20"/>
          <w:szCs w:val="20"/>
          <w:color w:val="auto"/>
        </w:rPr>
      </w:pPr>
      <w:r>
        <w:rPr>
          <w:rFonts w:ascii="Arial" w:cs="Arial" w:eastAsia="Arial" w:hAnsi="Arial"/>
          <w:sz w:val="18"/>
          <w:szCs w:val="18"/>
          <w:color w:val="auto"/>
        </w:rPr>
        <w:t>Amounts on fixed maturities, available-for-sale deemed to be uncollectible are written off and removed from the allowance for credit loss. A write-off may also occur if we intend to sell a security or whether it is more likely than not we will be required to sell the security before the recovery of its amortized cost which, in some cases, may extend to maturity.</w:t>
      </w:r>
    </w:p>
    <w:p>
      <w:pPr>
        <w:spacing w:after="0" w:line="40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60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900"/>
          </w:cols>
          <w:pgMar w:left="980" w:top="665" w:right="1019" w:bottom="1440" w:gutter="0" w:footer="0" w:header="0"/>
        </w:sectPr>
      </w:pPr>
    </w:p>
    <w:bookmarkStart w:id="22" w:name="page23"/>
    <w:bookmarkEnd w:id="22"/>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 rollforward of the allowance for credit loss by major security type was as follows.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22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360" w:type="dxa"/>
            <w:vAlign w:val="bottom"/>
            <w:tcBorders>
              <w:bottom w:val="single" w:sz="8" w:color="auto"/>
            </w:tcBorders>
            <w:gridSpan w:val="12"/>
          </w:tcPr>
          <w:p>
            <w:pPr>
              <w:jc w:val="center"/>
              <w:ind w:left="268"/>
              <w:spacing w:after="0"/>
              <w:rPr>
                <w:sz w:val="20"/>
                <w:szCs w:val="20"/>
                <w:color w:val="auto"/>
              </w:rPr>
            </w:pPr>
            <w:r>
              <w:rPr>
                <w:rFonts w:ascii="Arial" w:cs="Arial" w:eastAsia="Arial" w:hAnsi="Arial"/>
                <w:sz w:val="14"/>
                <w:szCs w:val="14"/>
                <w:b w:val="1"/>
                <w:bCs w:val="1"/>
                <w:color w:val="auto"/>
                <w:w w:val="92"/>
              </w:rPr>
              <w:t>For the three months ended June 30, 2022</w:t>
            </w:r>
          </w:p>
        </w:tc>
        <w:tc>
          <w:tcPr>
            <w:tcW w:w="10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22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80" w:type="dxa"/>
            <w:vAlign w:val="bottom"/>
            <w:gridSpan w:val="2"/>
          </w:tcPr>
          <w:p>
            <w:pPr>
              <w:spacing w:after="0" w:line="119" w:lineRule="exact"/>
              <w:rPr>
                <w:sz w:val="20"/>
                <w:szCs w:val="20"/>
                <w:color w:val="auto"/>
              </w:rPr>
            </w:pPr>
            <w:r>
              <w:rPr>
                <w:rFonts w:ascii="Arial" w:cs="Arial" w:eastAsia="Arial" w:hAnsi="Arial"/>
                <w:sz w:val="13"/>
                <w:szCs w:val="13"/>
                <w:b w:val="1"/>
                <w:bCs w:val="1"/>
                <w:color w:val="auto"/>
                <w:w w:val="95"/>
              </w:rPr>
              <w:t>Residential</w:t>
            </w: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3"/>
              </w:rPr>
              <w:t>mortgage-</w:t>
            </w:r>
          </w:p>
        </w:tc>
        <w:tc>
          <w:tcPr>
            <w:tcW w:w="160" w:type="dxa"/>
            <w:vAlign w:val="bottom"/>
          </w:tcPr>
          <w:p>
            <w:pPr>
              <w:spacing w:after="0"/>
              <w:rPr>
                <w:sz w:val="12"/>
                <w:szCs w:val="12"/>
                <w:color w:val="auto"/>
              </w:rPr>
            </w:pPr>
          </w:p>
        </w:tc>
        <w:tc>
          <w:tcPr>
            <w:tcW w:w="920" w:type="dxa"/>
            <w:vAlign w:val="bottom"/>
            <w:gridSpan w:val="3"/>
            <w:vMerge w:val="restart"/>
          </w:tcPr>
          <w:p>
            <w:pPr>
              <w:ind w:left="20"/>
              <w:spacing w:after="0"/>
              <w:rPr>
                <w:sz w:val="20"/>
                <w:szCs w:val="20"/>
                <w:color w:val="auto"/>
              </w:rPr>
            </w:pPr>
            <w:r>
              <w:rPr>
                <w:rFonts w:ascii="Arial" w:cs="Arial" w:eastAsia="Arial" w:hAnsi="Arial"/>
                <w:sz w:val="14"/>
                <w:szCs w:val="14"/>
                <w:b w:val="1"/>
                <w:bCs w:val="1"/>
                <w:color w:val="auto"/>
              </w:rPr>
              <w:t>Commercial</w:t>
            </w:r>
          </w:p>
        </w:tc>
        <w:tc>
          <w:tcPr>
            <w:tcW w:w="1040" w:type="dxa"/>
            <w:vAlign w:val="bottom"/>
            <w:gridSpan w:val="3"/>
            <w:vMerge w:val="restart"/>
          </w:tcPr>
          <w:p>
            <w:pPr>
              <w:ind w:left="20"/>
              <w:spacing w:after="0"/>
              <w:rPr>
                <w:sz w:val="20"/>
                <w:szCs w:val="20"/>
                <w:color w:val="auto"/>
              </w:rPr>
            </w:pPr>
            <w:r>
              <w:rPr>
                <w:rFonts w:ascii="Arial" w:cs="Arial" w:eastAsia="Arial" w:hAnsi="Arial"/>
                <w:sz w:val="14"/>
                <w:szCs w:val="14"/>
                <w:b w:val="1"/>
                <w:bCs w:val="1"/>
                <w:color w:val="auto"/>
              </w:rPr>
              <w:t>Collateralized</w:t>
            </w:r>
          </w:p>
        </w:tc>
        <w:tc>
          <w:tcPr>
            <w:tcW w:w="1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vMerge w:val="restart"/>
          </w:tcPr>
          <w:p>
            <w:pPr>
              <w:jc w:val="center"/>
              <w:ind w:right="108"/>
              <w:spacing w:after="0"/>
              <w:rPr>
                <w:sz w:val="20"/>
                <w:szCs w:val="20"/>
                <w:color w:val="auto"/>
              </w:rPr>
            </w:pPr>
            <w:r>
              <w:rPr>
                <w:rFonts w:ascii="Arial" w:cs="Arial" w:eastAsia="Arial" w:hAnsi="Arial"/>
                <w:sz w:val="14"/>
                <w:szCs w:val="14"/>
                <w:b w:val="1"/>
                <w:bCs w:val="1"/>
                <w:color w:val="auto"/>
                <w:w w:val="95"/>
              </w:rPr>
              <w:t>U.S.</w:t>
            </w: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gridSpan w:val="3"/>
            <w:vMerge w:val="restart"/>
          </w:tcPr>
          <w:p>
            <w:pPr>
              <w:jc w:val="center"/>
              <w:ind w:right="180"/>
              <w:spacing w:after="0"/>
              <w:rPr>
                <w:sz w:val="20"/>
                <w:szCs w:val="20"/>
                <w:color w:val="auto"/>
              </w:rPr>
            </w:pPr>
            <w:r>
              <w:rPr>
                <w:rFonts w:ascii="Arial" w:cs="Arial" w:eastAsia="Arial" w:hAnsi="Arial"/>
                <w:sz w:val="14"/>
                <w:szCs w:val="14"/>
                <w:b w:val="1"/>
                <w:bCs w:val="1"/>
                <w:color w:val="auto"/>
                <w:w w:val="90"/>
              </w:rPr>
              <w:t>States and</w:t>
            </w:r>
          </w:p>
        </w:tc>
        <w:tc>
          <w:tcPr>
            <w:tcW w:w="2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jc w:val="center"/>
              <w:ind w:right="8"/>
              <w:spacing w:after="0" w:line="149" w:lineRule="exact"/>
              <w:rPr>
                <w:sz w:val="20"/>
                <w:szCs w:val="20"/>
                <w:color w:val="auto"/>
              </w:rPr>
            </w:pPr>
            <w:r>
              <w:rPr>
                <w:rFonts w:ascii="Arial" w:cs="Arial" w:eastAsia="Arial" w:hAnsi="Arial"/>
                <w:sz w:val="14"/>
                <w:szCs w:val="14"/>
                <w:b w:val="1"/>
                <w:bCs w:val="1"/>
                <w:color w:val="auto"/>
                <w:w w:val="91"/>
              </w:rPr>
              <w:t>backed</w:t>
            </w:r>
          </w:p>
        </w:tc>
        <w:tc>
          <w:tcPr>
            <w:tcW w:w="160" w:type="dxa"/>
            <w:vAlign w:val="bottom"/>
          </w:tcPr>
          <w:p>
            <w:pPr>
              <w:spacing w:after="0"/>
              <w:rPr>
                <w:sz w:val="12"/>
                <w:szCs w:val="12"/>
                <w:color w:val="auto"/>
              </w:rPr>
            </w:pPr>
          </w:p>
        </w:tc>
        <w:tc>
          <w:tcPr>
            <w:tcW w:w="920" w:type="dxa"/>
            <w:vAlign w:val="bottom"/>
            <w:gridSpan w:val="3"/>
            <w:vMerge w:val="continue"/>
          </w:tcPr>
          <w:p>
            <w:pPr>
              <w:spacing w:after="0"/>
              <w:rPr>
                <w:sz w:val="12"/>
                <w:szCs w:val="12"/>
                <w:color w:val="auto"/>
              </w:rPr>
            </w:pPr>
          </w:p>
        </w:tc>
        <w:tc>
          <w:tcPr>
            <w:tcW w:w="1040" w:type="dxa"/>
            <w:vAlign w:val="bottom"/>
            <w:gridSpan w:val="3"/>
            <w:vMerge w:val="continue"/>
          </w:tcPr>
          <w:p>
            <w:pPr>
              <w:spacing w:after="0"/>
              <w:rPr>
                <w:sz w:val="12"/>
                <w:szCs w:val="12"/>
                <w:color w:val="auto"/>
              </w:rPr>
            </w:pPr>
          </w:p>
        </w:tc>
        <w:tc>
          <w:tcPr>
            <w:tcW w:w="120" w:type="dxa"/>
            <w:vAlign w:val="bottom"/>
          </w:tcPr>
          <w:p>
            <w:pPr>
              <w:spacing w:after="0"/>
              <w:rPr>
                <w:sz w:val="12"/>
                <w:szCs w:val="12"/>
                <w:color w:val="auto"/>
              </w:rPr>
            </w:pPr>
          </w:p>
        </w:tc>
        <w:tc>
          <w:tcPr>
            <w:tcW w:w="72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rPr>
              <w:t>Other</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vMerge w:val="continue"/>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Non-U.S.</w:t>
            </w:r>
          </w:p>
        </w:tc>
        <w:tc>
          <w:tcPr>
            <w:tcW w:w="160" w:type="dxa"/>
            <w:vAlign w:val="bottom"/>
          </w:tcPr>
          <w:p>
            <w:pPr>
              <w:spacing w:after="0"/>
              <w:rPr>
                <w:sz w:val="12"/>
                <w:szCs w:val="12"/>
                <w:color w:val="auto"/>
              </w:rPr>
            </w:pPr>
          </w:p>
        </w:tc>
        <w:tc>
          <w:tcPr>
            <w:tcW w:w="900" w:type="dxa"/>
            <w:vAlign w:val="bottom"/>
            <w:gridSpan w:val="3"/>
            <w:vMerge w:val="continue"/>
          </w:tcPr>
          <w:p>
            <w:pPr>
              <w:spacing w:after="0"/>
              <w:rPr>
                <w:sz w:val="12"/>
                <w:szCs w:val="12"/>
                <w:color w:val="auto"/>
              </w:rPr>
            </w:pPr>
          </w:p>
        </w:tc>
        <w:tc>
          <w:tcPr>
            <w:tcW w:w="2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jc w:val="center"/>
              <w:ind w:right="8"/>
              <w:spacing w:after="0" w:line="149" w:lineRule="exact"/>
              <w:rPr>
                <w:sz w:val="20"/>
                <w:szCs w:val="20"/>
                <w:color w:val="auto"/>
              </w:rPr>
            </w:pPr>
            <w:r>
              <w:rPr>
                <w:rFonts w:ascii="Arial" w:cs="Arial" w:eastAsia="Arial" w:hAnsi="Arial"/>
                <w:sz w:val="14"/>
                <w:szCs w:val="14"/>
                <w:b w:val="1"/>
                <w:bCs w:val="1"/>
                <w:color w:val="auto"/>
                <w:w w:val="87"/>
              </w:rPr>
              <w:t>pass-</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0"/>
              </w:rPr>
              <w:t>mortgage-</w:t>
            </w:r>
          </w:p>
        </w:tc>
        <w:tc>
          <w:tcPr>
            <w:tcW w:w="100" w:type="dxa"/>
            <w:vAlign w:val="bottom"/>
          </w:tcPr>
          <w:p>
            <w:pPr>
              <w:spacing w:after="0"/>
              <w:rPr>
                <w:sz w:val="12"/>
                <w:szCs w:val="12"/>
                <w:color w:val="auto"/>
              </w:rPr>
            </w:pPr>
          </w:p>
        </w:tc>
        <w:tc>
          <w:tcPr>
            <w:tcW w:w="9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7"/>
              </w:rPr>
              <w:t>debt</w:t>
            </w:r>
          </w:p>
        </w:tc>
        <w:tc>
          <w:tcPr>
            <w:tcW w:w="120" w:type="dxa"/>
            <w:vAlign w:val="bottom"/>
          </w:tcPr>
          <w:p>
            <w:pPr>
              <w:spacing w:after="0"/>
              <w:rPr>
                <w:sz w:val="12"/>
                <w:szCs w:val="12"/>
                <w:color w:val="auto"/>
              </w:rPr>
            </w:pPr>
          </w:p>
        </w:tc>
        <w:tc>
          <w:tcPr>
            <w:tcW w:w="720" w:type="dxa"/>
            <w:vAlign w:val="bottom"/>
            <w:gridSpan w:val="2"/>
            <w:vMerge w:val="continue"/>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260" w:type="dxa"/>
            <w:vAlign w:val="bottom"/>
          </w:tcPr>
          <w:p>
            <w:pPr>
              <w:spacing w:after="0"/>
              <w:rPr>
                <w:sz w:val="12"/>
                <w:szCs w:val="12"/>
                <w:color w:val="auto"/>
              </w:rPr>
            </w:pPr>
          </w:p>
        </w:tc>
        <w:tc>
          <w:tcPr>
            <w:tcW w:w="76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2"/>
              </w:rPr>
              <w:t>government</w:t>
            </w: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vMerge w:val="continue"/>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0"/>
              </w:rPr>
              <w:t>political</w:t>
            </w:r>
          </w:p>
        </w:tc>
        <w:tc>
          <w:tcPr>
            <w:tcW w:w="660" w:type="dxa"/>
            <w:vAlign w:val="bottom"/>
            <w:gridSpan w:val="3"/>
            <w:vMerge w:val="restart"/>
          </w:tcPr>
          <w:p>
            <w:pPr>
              <w:spacing w:after="0"/>
              <w:rPr>
                <w:sz w:val="20"/>
                <w:szCs w:val="20"/>
                <w:color w:val="auto"/>
              </w:rPr>
            </w:pPr>
            <w:r>
              <w:rPr>
                <w:rFonts w:ascii="Arial" w:cs="Arial" w:eastAsia="Arial" w:hAnsi="Arial"/>
                <w:sz w:val="14"/>
                <w:szCs w:val="14"/>
                <w:b w:val="1"/>
                <w:bCs w:val="1"/>
                <w:color w:val="auto"/>
                <w:w w:val="95"/>
              </w:rPr>
              <w:t>Corporate</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jc w:val="center"/>
              <w:ind w:right="8"/>
              <w:spacing w:after="0" w:line="149" w:lineRule="exact"/>
              <w:rPr>
                <w:sz w:val="20"/>
                <w:szCs w:val="20"/>
                <w:color w:val="auto"/>
              </w:rPr>
            </w:pPr>
            <w:r>
              <w:rPr>
                <w:rFonts w:ascii="Arial" w:cs="Arial" w:eastAsia="Arial" w:hAnsi="Arial"/>
                <w:sz w:val="14"/>
                <w:szCs w:val="14"/>
                <w:b w:val="1"/>
                <w:bCs w:val="1"/>
                <w:color w:val="auto"/>
                <w:w w:val="90"/>
              </w:rPr>
              <w:t>through</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6"/>
              </w:rPr>
              <w:t>backed</w:t>
            </w:r>
          </w:p>
        </w:tc>
        <w:tc>
          <w:tcPr>
            <w:tcW w:w="100" w:type="dxa"/>
            <w:vAlign w:val="bottom"/>
          </w:tcPr>
          <w:p>
            <w:pPr>
              <w:spacing w:after="0"/>
              <w:rPr>
                <w:sz w:val="12"/>
                <w:szCs w:val="12"/>
                <w:color w:val="auto"/>
              </w:rPr>
            </w:pPr>
          </w:p>
        </w:tc>
        <w:tc>
          <w:tcPr>
            <w:tcW w:w="9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8"/>
              </w:rPr>
              <w:t>obligations</w:t>
            </w:r>
          </w:p>
        </w:tc>
        <w:tc>
          <w:tcPr>
            <w:tcW w:w="120" w:type="dxa"/>
            <w:vAlign w:val="bottom"/>
          </w:tcPr>
          <w:p>
            <w:pPr>
              <w:spacing w:after="0"/>
              <w:rPr>
                <w:sz w:val="12"/>
                <w:szCs w:val="12"/>
                <w:color w:val="auto"/>
              </w:rPr>
            </w:pPr>
          </w:p>
        </w:tc>
        <w:tc>
          <w:tcPr>
            <w:tcW w:w="7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7"/>
              </w:rPr>
              <w:t>debt</w:t>
            </w:r>
          </w:p>
        </w:tc>
        <w:tc>
          <w:tcPr>
            <w:tcW w:w="20" w:type="dxa"/>
            <w:vAlign w:val="bottom"/>
          </w:tcPr>
          <w:p>
            <w:pPr>
              <w:spacing w:after="0"/>
              <w:rPr>
                <w:sz w:val="12"/>
                <w:szCs w:val="12"/>
                <w:color w:val="auto"/>
              </w:rPr>
            </w:pPr>
          </w:p>
        </w:tc>
        <w:tc>
          <w:tcPr>
            <w:tcW w:w="42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260" w:type="dxa"/>
            <w:vAlign w:val="bottom"/>
          </w:tcPr>
          <w:p>
            <w:pPr>
              <w:spacing w:after="0"/>
              <w:rPr>
                <w:sz w:val="14"/>
                <w:szCs w:val="14"/>
                <w:color w:val="auto"/>
              </w:rPr>
            </w:pPr>
          </w:p>
        </w:tc>
        <w:tc>
          <w:tcPr>
            <w:tcW w:w="760" w:type="dxa"/>
            <w:vAlign w:val="bottom"/>
            <w:gridSpan w:val="2"/>
          </w:tcPr>
          <w:p>
            <w:pPr>
              <w:spacing w:after="0"/>
              <w:rPr>
                <w:sz w:val="20"/>
                <w:szCs w:val="20"/>
                <w:color w:val="auto"/>
              </w:rPr>
            </w:pPr>
            <w:r>
              <w:rPr>
                <w:rFonts w:ascii="Arial" w:cs="Arial" w:eastAsia="Arial" w:hAnsi="Arial"/>
                <w:sz w:val="14"/>
                <w:szCs w:val="14"/>
                <w:b w:val="1"/>
                <w:bCs w:val="1"/>
                <w:color w:val="auto"/>
                <w:w w:val="81"/>
              </w:rPr>
              <w:t>and agencies</w:t>
            </w:r>
          </w:p>
        </w:tc>
        <w:tc>
          <w:tcPr>
            <w:tcW w:w="180" w:type="dxa"/>
            <w:vAlign w:val="bottom"/>
          </w:tcPr>
          <w:p>
            <w:pPr>
              <w:spacing w:after="0"/>
              <w:rPr>
                <w:sz w:val="14"/>
                <w:szCs w:val="14"/>
                <w:color w:val="auto"/>
              </w:rPr>
            </w:pPr>
          </w:p>
        </w:tc>
        <w:tc>
          <w:tcPr>
            <w:tcW w:w="780" w:type="dxa"/>
            <w:vAlign w:val="bottom"/>
            <w:gridSpan w:val="2"/>
          </w:tcPr>
          <w:p>
            <w:pPr>
              <w:spacing w:after="0"/>
              <w:rPr>
                <w:sz w:val="20"/>
                <w:szCs w:val="20"/>
                <w:color w:val="auto"/>
              </w:rPr>
            </w:pPr>
            <w:r>
              <w:rPr>
                <w:rFonts w:ascii="Arial" w:cs="Arial" w:eastAsia="Arial" w:hAnsi="Arial"/>
                <w:sz w:val="14"/>
                <w:szCs w:val="14"/>
                <w:b w:val="1"/>
                <w:bCs w:val="1"/>
                <w:color w:val="auto"/>
                <w:w w:val="84"/>
              </w:rPr>
              <w:t>governments</w:t>
            </w:r>
          </w:p>
        </w:tc>
        <w:tc>
          <w:tcPr>
            <w:tcW w:w="160" w:type="dxa"/>
            <w:vAlign w:val="bottom"/>
          </w:tcPr>
          <w:p>
            <w:pPr>
              <w:spacing w:after="0"/>
              <w:rPr>
                <w:sz w:val="14"/>
                <w:szCs w:val="14"/>
                <w:color w:val="auto"/>
              </w:rPr>
            </w:pPr>
          </w:p>
        </w:tc>
        <w:tc>
          <w:tcPr>
            <w:tcW w:w="900" w:type="dxa"/>
            <w:vAlign w:val="bottom"/>
            <w:gridSpan w:val="3"/>
          </w:tcPr>
          <w:p>
            <w:pPr>
              <w:spacing w:after="0"/>
              <w:rPr>
                <w:sz w:val="20"/>
                <w:szCs w:val="20"/>
                <w:color w:val="auto"/>
              </w:rPr>
            </w:pPr>
            <w:r>
              <w:rPr>
                <w:rFonts w:ascii="Arial" w:cs="Arial" w:eastAsia="Arial" w:hAnsi="Arial"/>
                <w:sz w:val="14"/>
                <w:szCs w:val="14"/>
                <w:b w:val="1"/>
                <w:bCs w:val="1"/>
                <w:color w:val="auto"/>
              </w:rPr>
              <w:t>subdivisions</w:t>
            </w:r>
          </w:p>
        </w:tc>
        <w:tc>
          <w:tcPr>
            <w:tcW w:w="660" w:type="dxa"/>
            <w:vAlign w:val="bottom"/>
            <w:gridSpan w:val="3"/>
            <w:vMerge w:val="continue"/>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gridSpan w:val="2"/>
          </w:tcPr>
          <w:p>
            <w:pPr>
              <w:jc w:val="center"/>
              <w:spacing w:after="0"/>
              <w:rPr>
                <w:sz w:val="20"/>
                <w:szCs w:val="20"/>
                <w:color w:val="auto"/>
              </w:rPr>
            </w:pPr>
            <w:r>
              <w:rPr>
                <w:rFonts w:ascii="Arial" w:cs="Arial" w:eastAsia="Arial" w:hAnsi="Arial"/>
                <w:sz w:val="14"/>
                <w:szCs w:val="14"/>
                <w:b w:val="1"/>
                <w:bCs w:val="1"/>
                <w:color w:val="auto"/>
                <w:w w:val="85"/>
              </w:rPr>
              <w:t>securities</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8"/>
              </w:rPr>
              <w:t>securities</w:t>
            </w:r>
          </w:p>
        </w:tc>
        <w:tc>
          <w:tcPr>
            <w:tcW w:w="100" w:type="dxa"/>
            <w:vAlign w:val="bottom"/>
          </w:tcPr>
          <w:p>
            <w:pPr>
              <w:spacing w:after="0"/>
              <w:rPr>
                <w:sz w:val="14"/>
                <w:szCs w:val="14"/>
                <w:color w:val="auto"/>
              </w:rPr>
            </w:pPr>
          </w:p>
        </w:tc>
        <w:tc>
          <w:tcPr>
            <w:tcW w:w="780" w:type="dxa"/>
            <w:vAlign w:val="bottom"/>
          </w:tcPr>
          <w:p>
            <w:pPr>
              <w:jc w:val="center"/>
              <w:ind w:right="8"/>
              <w:spacing w:after="0"/>
              <w:rPr>
                <w:sz w:val="20"/>
                <w:szCs w:val="20"/>
                <w:color w:val="auto"/>
              </w:rPr>
            </w:pPr>
            <w:r>
              <w:rPr>
                <w:rFonts w:ascii="Arial" w:cs="Arial" w:eastAsia="Arial" w:hAnsi="Arial"/>
                <w:sz w:val="14"/>
                <w:szCs w:val="14"/>
                <w:b w:val="1"/>
                <w:bCs w:val="1"/>
                <w:color w:val="auto"/>
              </w:rPr>
              <w:t>(1)</w:t>
            </w:r>
          </w:p>
        </w:tc>
        <w:tc>
          <w:tcPr>
            <w:tcW w:w="160" w:type="dxa"/>
            <w:vAlign w:val="bottom"/>
          </w:tcPr>
          <w:p>
            <w:pPr>
              <w:spacing w:after="0"/>
              <w:rPr>
                <w:sz w:val="14"/>
                <w:szCs w:val="14"/>
                <w:color w:val="auto"/>
              </w:rPr>
            </w:pPr>
          </w:p>
        </w:tc>
        <w:tc>
          <w:tcPr>
            <w:tcW w:w="840" w:type="dxa"/>
            <w:vAlign w:val="bottom"/>
            <w:gridSpan w:val="3"/>
          </w:tcPr>
          <w:p>
            <w:pPr>
              <w:ind w:left="20"/>
              <w:spacing w:after="0"/>
              <w:rPr>
                <w:sz w:val="20"/>
                <w:szCs w:val="20"/>
                <w:color w:val="auto"/>
              </w:rPr>
            </w:pPr>
            <w:r>
              <w:rPr>
                <w:rFonts w:ascii="Arial" w:cs="Arial" w:eastAsia="Arial" w:hAnsi="Arial"/>
                <w:sz w:val="14"/>
                <w:szCs w:val="14"/>
                <w:b w:val="1"/>
                <w:bCs w:val="1"/>
                <w:color w:val="auto"/>
              </w:rPr>
              <w:t>obligations</w:t>
            </w:r>
          </w:p>
        </w:tc>
        <w:tc>
          <w:tcPr>
            <w:tcW w:w="20" w:type="dxa"/>
            <w:vAlign w:val="bottom"/>
          </w:tcPr>
          <w:p>
            <w:pPr>
              <w:spacing w:after="0"/>
              <w:rPr>
                <w:sz w:val="14"/>
                <w:szCs w:val="14"/>
                <w:color w:val="auto"/>
              </w:rPr>
            </w:pPr>
          </w:p>
        </w:tc>
        <w:tc>
          <w:tcPr>
            <w:tcW w:w="42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260" w:type="dxa"/>
            <w:vAlign w:val="bottom"/>
            <w:tcBorders>
              <w:right w:val="single" w:sz="8" w:color="auto"/>
            </w:tcBorders>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60" w:type="dxa"/>
            <w:vAlign w:val="bottom"/>
            <w:tcBorders>
              <w:right w:val="single" w:sz="8" w:color="auto"/>
            </w:tcBorders>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60" w:type="dxa"/>
            <w:vAlign w:val="bottom"/>
            <w:tcBorders>
              <w:right w:val="single" w:sz="8" w:color="auto"/>
            </w:tcBorders>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680" w:type="dxa"/>
            <w:vAlign w:val="bottom"/>
            <w:gridSpan w:val="2"/>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8"/>
        </w:trPr>
        <w:tc>
          <w:tcPr>
            <w:tcW w:w="20" w:type="dxa"/>
            <w:vAlign w:val="bottom"/>
          </w:tcPr>
          <w:p>
            <w:pPr>
              <w:spacing w:after="0"/>
              <w:rPr>
                <w:sz w:val="11"/>
                <w:szCs w:val="11"/>
                <w:color w:val="auto"/>
              </w:rPr>
            </w:pPr>
          </w:p>
        </w:tc>
        <w:tc>
          <w:tcPr>
            <w:tcW w:w="22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gridSpan w:val="3"/>
          </w:tcPr>
          <w:p>
            <w:pPr>
              <w:jc w:val="center"/>
              <w:spacing w:after="0" w:line="129" w:lineRule="exact"/>
              <w:rPr>
                <w:sz w:val="20"/>
                <w:szCs w:val="20"/>
                <w:color w:val="auto"/>
              </w:rPr>
            </w:pPr>
            <w:r>
              <w:rPr>
                <w:rFonts w:ascii="Arial" w:cs="Arial" w:eastAsia="Arial" w:hAnsi="Arial"/>
                <w:sz w:val="14"/>
                <w:szCs w:val="14"/>
                <w:i w:val="1"/>
                <w:iCs w:val="1"/>
                <w:color w:val="auto"/>
                <w:w w:val="98"/>
              </w:rPr>
              <w:t>(in millions)</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260" w:type="dxa"/>
            <w:vAlign w:val="bottom"/>
            <w:tcBorders>
              <w:right w:val="single" w:sz="8" w:color="CCEEFF"/>
            </w:tcBorders>
            <w:shd w:val="clear" w:color="auto" w:fill="CCEEFF"/>
          </w:tcPr>
          <w:p>
            <w:pPr>
              <w:spacing w:after="0" w:line="149" w:lineRule="exact"/>
              <w:rPr>
                <w:sz w:val="20"/>
                <w:szCs w:val="20"/>
                <w:color w:val="auto"/>
              </w:rPr>
            </w:pPr>
            <w:r>
              <w:rPr>
                <w:rFonts w:ascii="Arial" w:cs="Arial" w:eastAsia="Arial" w:hAnsi="Arial"/>
                <w:sz w:val="14"/>
                <w:szCs w:val="14"/>
                <w:color w:val="auto"/>
              </w:rPr>
              <w:t>Beginning balance</w:t>
            </w:r>
          </w:p>
        </w:tc>
        <w:tc>
          <w:tcPr>
            <w:tcW w:w="16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w:t>
            </w:r>
          </w:p>
        </w:tc>
        <w:tc>
          <w:tcPr>
            <w:tcW w:w="600" w:type="dxa"/>
            <w:vAlign w:val="bottom"/>
            <w:shd w:val="clear" w:color="auto" w:fill="CCEEFF"/>
          </w:tcPr>
          <w:p>
            <w:pPr>
              <w:ind w:left="400"/>
              <w:spacing w:after="0" w:line="149" w:lineRule="exact"/>
              <w:rPr>
                <w:sz w:val="20"/>
                <w:szCs w:val="20"/>
                <w:color w:val="auto"/>
              </w:rPr>
            </w:pPr>
            <w:r>
              <w:rPr>
                <w:rFonts w:ascii="Arial" w:cs="Arial" w:eastAsia="Arial" w:hAnsi="Arial"/>
                <w:sz w:val="14"/>
                <w:szCs w:val="14"/>
                <w:b w:val="1"/>
                <w:bCs w:val="1"/>
                <w:color w:val="auto"/>
              </w:rPr>
              <w:t>—</w:t>
            </w:r>
          </w:p>
        </w:tc>
        <w:tc>
          <w:tcPr>
            <w:tcW w:w="260" w:type="dxa"/>
            <w:vAlign w:val="bottom"/>
            <w:tcBorders>
              <w:left w:val="single" w:sz="8" w:color="CCEEFF"/>
            </w:tcBorders>
            <w:gridSpan w:val="2"/>
            <w:shd w:val="clear" w:color="auto" w:fill="CCEEFF"/>
          </w:tcPr>
          <w:p>
            <w:pPr>
              <w:ind w:left="160"/>
              <w:spacing w:after="0" w:line="149" w:lineRule="exact"/>
              <w:rPr>
                <w:sz w:val="20"/>
                <w:szCs w:val="20"/>
                <w:color w:val="auto"/>
              </w:rPr>
            </w:pPr>
            <w:r>
              <w:rPr>
                <w:rFonts w:ascii="Arial" w:cs="Arial" w:eastAsia="Arial" w:hAnsi="Arial"/>
                <w:sz w:val="14"/>
                <w:szCs w:val="14"/>
                <w:b w:val="1"/>
                <w:bCs w:val="1"/>
                <w:color w:val="auto"/>
              </w:rPr>
              <w:t>$</w:t>
            </w:r>
          </w:p>
        </w:tc>
        <w:tc>
          <w:tcPr>
            <w:tcW w:w="700" w:type="dxa"/>
            <w:vAlign w:val="bottom"/>
            <w:shd w:val="clear" w:color="auto" w:fill="CCEEFF"/>
          </w:tcPr>
          <w:p>
            <w:pPr>
              <w:ind w:left="500"/>
              <w:spacing w:after="0" w:line="149" w:lineRule="exact"/>
              <w:rPr>
                <w:sz w:val="20"/>
                <w:szCs w:val="20"/>
                <w:color w:val="auto"/>
              </w:rPr>
            </w:pPr>
            <w:r>
              <w:rPr>
                <w:rFonts w:ascii="Arial" w:cs="Arial" w:eastAsia="Arial" w:hAnsi="Arial"/>
                <w:sz w:val="14"/>
                <w:szCs w:val="14"/>
                <w:b w:val="1"/>
                <w:bCs w:val="1"/>
                <w:color w:val="auto"/>
              </w:rPr>
              <w:t>—</w:t>
            </w:r>
          </w:p>
        </w:tc>
        <w:tc>
          <w:tcPr>
            <w:tcW w:w="240" w:type="dxa"/>
            <w:vAlign w:val="bottom"/>
            <w:tcBorders>
              <w:left w:val="single" w:sz="8" w:color="CCEEFF"/>
            </w:tcBorders>
            <w:gridSpan w:val="2"/>
            <w:shd w:val="clear" w:color="auto" w:fill="CCEEFF"/>
          </w:tcPr>
          <w:p>
            <w:pPr>
              <w:ind w:left="140"/>
              <w:spacing w:after="0" w:line="149" w:lineRule="exact"/>
              <w:rPr>
                <w:sz w:val="20"/>
                <w:szCs w:val="20"/>
                <w:color w:val="auto"/>
              </w:rPr>
            </w:pPr>
            <w:r>
              <w:rPr>
                <w:rFonts w:ascii="Arial" w:cs="Arial" w:eastAsia="Arial" w:hAnsi="Arial"/>
                <w:sz w:val="14"/>
                <w:szCs w:val="14"/>
                <w:b w:val="1"/>
                <w:bCs w:val="1"/>
                <w:color w:val="auto"/>
              </w:rPr>
              <w:t>$</w:t>
            </w:r>
          </w:p>
        </w:tc>
        <w:tc>
          <w:tcPr>
            <w:tcW w:w="820" w:type="dxa"/>
            <w:vAlign w:val="bottom"/>
            <w:tcBorders>
              <w:right w:val="single" w:sz="8" w:color="CCEEFF"/>
            </w:tcBorders>
            <w:gridSpan w:val="2"/>
            <w:shd w:val="clear" w:color="auto" w:fill="CCEEFF"/>
          </w:tcPr>
          <w:p>
            <w:pPr>
              <w:ind w:left="460"/>
              <w:spacing w:after="0" w:line="149" w:lineRule="exact"/>
              <w:rPr>
                <w:sz w:val="20"/>
                <w:szCs w:val="20"/>
                <w:color w:val="auto"/>
              </w:rPr>
            </w:pPr>
            <w:r>
              <w:rPr>
                <w:rFonts w:ascii="Arial" w:cs="Arial" w:eastAsia="Arial" w:hAnsi="Arial"/>
                <w:sz w:val="14"/>
                <w:szCs w:val="14"/>
                <w:b w:val="1"/>
                <w:bCs w:val="1"/>
                <w:color w:val="auto"/>
              </w:rPr>
              <w:t>—</w:t>
            </w:r>
          </w:p>
        </w:tc>
        <w:tc>
          <w:tcPr>
            <w:tcW w:w="20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w:t>
            </w: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20.0</w:t>
            </w:r>
          </w:p>
        </w:tc>
        <w:tc>
          <w:tcPr>
            <w:tcW w:w="40" w:type="dxa"/>
            <w:vAlign w:val="bottom"/>
            <w:tcBorders>
              <w:left w:val="single" w:sz="8" w:color="CCEEFF"/>
            </w:tcBorders>
            <w:shd w:val="clear" w:color="auto" w:fill="CCEEFF"/>
          </w:tcPr>
          <w:p>
            <w:pPr>
              <w:spacing w:after="0"/>
              <w:rPr>
                <w:sz w:val="12"/>
                <w:szCs w:val="12"/>
                <w:color w:val="auto"/>
              </w:rPr>
            </w:pPr>
          </w:p>
        </w:tc>
        <w:tc>
          <w:tcPr>
            <w:tcW w:w="200" w:type="dxa"/>
            <w:vAlign w:val="bottom"/>
            <w:gridSpan w:val="2"/>
            <w:shd w:val="clear" w:color="auto" w:fill="CCEEFF"/>
          </w:tcPr>
          <w:p>
            <w:pPr>
              <w:ind w:left="100"/>
              <w:spacing w:after="0" w:line="149" w:lineRule="exact"/>
              <w:rPr>
                <w:sz w:val="20"/>
                <w:szCs w:val="20"/>
                <w:color w:val="auto"/>
              </w:rPr>
            </w:pPr>
            <w:r>
              <w:rPr>
                <w:rFonts w:ascii="Arial" w:cs="Arial" w:eastAsia="Arial" w:hAnsi="Arial"/>
                <w:sz w:val="14"/>
                <w:szCs w:val="14"/>
                <w:b w:val="1"/>
                <w:bCs w:val="1"/>
                <w:color w:val="auto"/>
              </w:rPr>
              <w:t>$</w:t>
            </w: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240" w:type="dxa"/>
            <w:vAlign w:val="bottom"/>
            <w:gridSpan w:val="2"/>
            <w:shd w:val="clear" w:color="auto" w:fill="CCEEFF"/>
          </w:tcPr>
          <w:p>
            <w:pPr>
              <w:ind w:left="160"/>
              <w:spacing w:after="0" w:line="149" w:lineRule="exact"/>
              <w:rPr>
                <w:sz w:val="20"/>
                <w:szCs w:val="20"/>
                <w:color w:val="auto"/>
              </w:rPr>
            </w:pPr>
            <w:r>
              <w:rPr>
                <w:rFonts w:ascii="Arial" w:cs="Arial" w:eastAsia="Arial" w:hAnsi="Arial"/>
                <w:sz w:val="14"/>
                <w:szCs w:val="14"/>
                <w:b w:val="1"/>
                <w:bCs w:val="1"/>
                <w:color w:val="auto"/>
                <w:w w:val="76"/>
              </w:rPr>
              <w:t>$</w:t>
            </w: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0.3</w:t>
            </w: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ind w:left="20"/>
              <w:spacing w:after="0" w:line="149" w:lineRule="exact"/>
              <w:rPr>
                <w:sz w:val="20"/>
                <w:szCs w:val="20"/>
                <w:color w:val="auto"/>
              </w:rPr>
            </w:pPr>
            <w:r>
              <w:rPr>
                <w:rFonts w:ascii="Arial" w:cs="Arial" w:eastAsia="Arial" w:hAnsi="Arial"/>
                <w:sz w:val="14"/>
                <w:szCs w:val="14"/>
                <w:b w:val="1"/>
                <w:bCs w:val="1"/>
                <w:color w:val="auto"/>
                <w:w w:val="76"/>
              </w:rPr>
              <w:t>$</w:t>
            </w:r>
          </w:p>
        </w:tc>
        <w:tc>
          <w:tcPr>
            <w:tcW w:w="94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w:t>
            </w: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0.1</w:t>
            </w:r>
          </w:p>
        </w:tc>
        <w:tc>
          <w:tcPr>
            <w:tcW w:w="140" w:type="dxa"/>
            <w:vAlign w:val="bottom"/>
            <w:shd w:val="clear" w:color="auto" w:fill="CCEEFF"/>
          </w:tcPr>
          <w:p>
            <w:pPr>
              <w:spacing w:after="0"/>
              <w:rPr>
                <w:sz w:val="12"/>
                <w:szCs w:val="12"/>
                <w:color w:val="auto"/>
              </w:rPr>
            </w:pPr>
          </w:p>
        </w:tc>
        <w:tc>
          <w:tcPr>
            <w:tcW w:w="1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w w:val="76"/>
              </w:rPr>
              <w:t>$</w:t>
            </w:r>
          </w:p>
        </w:tc>
        <w:tc>
          <w:tcPr>
            <w:tcW w:w="3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w w:val="95"/>
              </w:rPr>
              <w:t>20.4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2260" w:type="dxa"/>
            <w:vAlign w:val="bottom"/>
          </w:tcPr>
          <w:p>
            <w:pPr>
              <w:spacing w:after="0" w:line="130" w:lineRule="exact"/>
              <w:rPr>
                <w:sz w:val="20"/>
                <w:szCs w:val="20"/>
                <w:color w:val="auto"/>
              </w:rPr>
            </w:pPr>
            <w:r>
              <w:rPr>
                <w:rFonts w:ascii="Arial" w:cs="Arial" w:eastAsia="Arial" w:hAnsi="Arial"/>
                <w:sz w:val="14"/>
                <w:szCs w:val="14"/>
                <w:color w:val="auto"/>
              </w:rPr>
              <w:t>Additions for credit losses not</w:t>
            </w:r>
          </w:p>
        </w:tc>
        <w:tc>
          <w:tcPr>
            <w:tcW w:w="160" w:type="dxa"/>
            <w:vAlign w:val="bottom"/>
          </w:tcPr>
          <w:p>
            <w:pPr>
              <w:spacing w:after="0"/>
              <w:rPr>
                <w:sz w:val="11"/>
                <w:szCs w:val="11"/>
                <w:color w:val="auto"/>
              </w:rPr>
            </w:pPr>
          </w:p>
        </w:tc>
        <w:tc>
          <w:tcPr>
            <w:tcW w:w="600" w:type="dxa"/>
            <w:vAlign w:val="bottom"/>
            <w:vMerge w:val="restart"/>
          </w:tcPr>
          <w:p>
            <w:pPr>
              <w:ind w:left="400"/>
              <w:spacing w:after="0"/>
              <w:rPr>
                <w:sz w:val="20"/>
                <w:szCs w:val="20"/>
                <w:color w:val="auto"/>
              </w:rPr>
            </w:pPr>
            <w:r>
              <w:rPr>
                <w:rFonts w:ascii="Arial" w:cs="Arial" w:eastAsia="Arial" w:hAnsi="Arial"/>
                <w:sz w:val="14"/>
                <w:szCs w:val="14"/>
                <w:b w:val="1"/>
                <w:bCs w:val="1"/>
                <w:color w:val="auto"/>
              </w:rPr>
              <w:t>—</w:t>
            </w: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vMerge w:val="restart"/>
          </w:tcPr>
          <w:p>
            <w:pPr>
              <w:ind w:left="500"/>
              <w:spacing w:after="0"/>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20" w:type="dxa"/>
            <w:vAlign w:val="bottom"/>
            <w:gridSpan w:val="2"/>
            <w:vMerge w:val="restart"/>
          </w:tcPr>
          <w:p>
            <w:pPr>
              <w:ind w:left="460"/>
              <w:spacing w:after="0"/>
              <w:rPr>
                <w:sz w:val="20"/>
                <w:szCs w:val="20"/>
                <w:color w:val="auto"/>
              </w:rPr>
            </w:pPr>
            <w:r>
              <w:rPr>
                <w:rFonts w:ascii="Arial" w:cs="Arial" w:eastAsia="Arial" w:hAnsi="Arial"/>
                <w:sz w:val="14"/>
                <w:szCs w:val="14"/>
                <w:b w:val="1"/>
                <w:bCs w:val="1"/>
                <w:color w:val="auto"/>
              </w:rPr>
              <w:t>—</w:t>
            </w:r>
          </w:p>
        </w:tc>
        <w:tc>
          <w:tcPr>
            <w:tcW w:w="200" w:type="dxa"/>
            <w:vAlign w:val="bottom"/>
          </w:tcPr>
          <w:p>
            <w:pPr>
              <w:spacing w:after="0"/>
              <w:rPr>
                <w:sz w:val="11"/>
                <w:szCs w:val="11"/>
                <w:color w:val="auto"/>
              </w:rPr>
            </w:pPr>
          </w:p>
        </w:tc>
        <w:tc>
          <w:tcPr>
            <w:tcW w:w="42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2.2</w:t>
            </w: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gridSpan w:val="2"/>
            <w:vMerge w:val="restart"/>
          </w:tcPr>
          <w:p>
            <w:pPr>
              <w:jc w:val="right"/>
              <w:ind w:right="200"/>
              <w:spacing w:after="0"/>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1"/>
                <w:szCs w:val="11"/>
                <w:color w:val="auto"/>
              </w:rPr>
            </w:pPr>
          </w:p>
        </w:tc>
        <w:tc>
          <w:tcPr>
            <w:tcW w:w="940" w:type="dxa"/>
            <w:vAlign w:val="bottom"/>
            <w:gridSpan w:val="2"/>
            <w:vMerge w:val="restart"/>
          </w:tcPr>
          <w:p>
            <w:pPr>
              <w:jc w:val="right"/>
              <w:ind w:right="200"/>
              <w:spacing w:after="0"/>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1"/>
                <w:szCs w:val="11"/>
                <w:color w:val="auto"/>
              </w:rPr>
            </w:pPr>
          </w:p>
        </w:tc>
        <w:tc>
          <w:tcPr>
            <w:tcW w:w="720" w:type="dxa"/>
            <w:vAlign w:val="bottom"/>
            <w:gridSpan w:val="2"/>
            <w:vMerge w:val="restart"/>
          </w:tcPr>
          <w:p>
            <w:pPr>
              <w:jc w:val="right"/>
              <w:ind w:right="200"/>
              <w:spacing w:after="0"/>
              <w:rPr>
                <w:sz w:val="20"/>
                <w:szCs w:val="20"/>
                <w:color w:val="auto"/>
              </w:rPr>
            </w:pPr>
            <w:r>
              <w:rPr>
                <w:rFonts w:ascii="Arial" w:cs="Arial" w:eastAsia="Arial" w:hAnsi="Arial"/>
                <w:sz w:val="14"/>
                <w:szCs w:val="14"/>
                <w:b w:val="1"/>
                <w:bCs w:val="1"/>
                <w:color w:val="auto"/>
              </w:rPr>
              <w:t>—</w:t>
            </w: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2.2</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260" w:type="dxa"/>
            <w:vAlign w:val="bottom"/>
          </w:tcPr>
          <w:p>
            <w:pPr>
              <w:ind w:left="120"/>
              <w:spacing w:after="0"/>
              <w:rPr>
                <w:sz w:val="20"/>
                <w:szCs w:val="20"/>
                <w:color w:val="auto"/>
              </w:rPr>
            </w:pPr>
            <w:r>
              <w:rPr>
                <w:rFonts w:ascii="Arial" w:cs="Arial" w:eastAsia="Arial" w:hAnsi="Arial"/>
                <w:sz w:val="14"/>
                <w:szCs w:val="14"/>
                <w:color w:val="auto"/>
              </w:rPr>
              <w:t>previously recorded</w:t>
            </w:r>
          </w:p>
        </w:tc>
        <w:tc>
          <w:tcPr>
            <w:tcW w:w="160" w:type="dxa"/>
            <w:vAlign w:val="bottom"/>
          </w:tcPr>
          <w:p>
            <w:pPr>
              <w:spacing w:after="0"/>
              <w:rPr>
                <w:sz w:val="14"/>
                <w:szCs w:val="14"/>
                <w:color w:val="auto"/>
              </w:rPr>
            </w:pPr>
          </w:p>
        </w:tc>
        <w:tc>
          <w:tcPr>
            <w:tcW w:w="600" w:type="dxa"/>
            <w:vAlign w:val="bottom"/>
            <w:vMerge w:val="continue"/>
          </w:tcPr>
          <w:p>
            <w:pPr>
              <w:spacing w:after="0"/>
              <w:rPr>
                <w:sz w:val="14"/>
                <w:szCs w:val="14"/>
                <w:color w:val="auto"/>
              </w:rPr>
            </w:pP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00" w:type="dxa"/>
            <w:vAlign w:val="bottom"/>
            <w:vMerge w:val="continue"/>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42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vMerge w:val="continue"/>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4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94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720" w:type="dxa"/>
            <w:vAlign w:val="bottom"/>
            <w:gridSpan w:val="2"/>
            <w:vMerge w:val="continue"/>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2260" w:type="dxa"/>
            <w:vAlign w:val="bottom"/>
            <w:tcBorders>
              <w:right w:val="single" w:sz="8" w:color="CCEEFF"/>
            </w:tcBorders>
            <w:shd w:val="clear" w:color="auto" w:fill="CCEEFF"/>
          </w:tcPr>
          <w:p>
            <w:pPr>
              <w:spacing w:after="0" w:line="130" w:lineRule="exact"/>
              <w:rPr>
                <w:sz w:val="20"/>
                <w:szCs w:val="20"/>
                <w:color w:val="auto"/>
              </w:rPr>
            </w:pPr>
            <w:r>
              <w:rPr>
                <w:rFonts w:ascii="Arial" w:cs="Arial" w:eastAsia="Arial" w:hAnsi="Arial"/>
                <w:sz w:val="14"/>
                <w:szCs w:val="14"/>
                <w:color w:val="auto"/>
              </w:rPr>
              <w:t>Reductions for securities sold</w:t>
            </w:r>
          </w:p>
        </w:tc>
        <w:tc>
          <w:tcPr>
            <w:tcW w:w="160" w:type="dxa"/>
            <w:vAlign w:val="bottom"/>
            <w:shd w:val="clear" w:color="auto" w:fill="CCEEFF"/>
          </w:tcPr>
          <w:p>
            <w:pPr>
              <w:spacing w:after="0"/>
              <w:rPr>
                <w:sz w:val="11"/>
                <w:szCs w:val="11"/>
                <w:color w:val="auto"/>
              </w:rPr>
            </w:pPr>
          </w:p>
        </w:tc>
        <w:tc>
          <w:tcPr>
            <w:tcW w:w="600" w:type="dxa"/>
            <w:vAlign w:val="bottom"/>
            <w:vMerge w:val="restart"/>
            <w:shd w:val="clear" w:color="auto" w:fill="CCEEFF"/>
          </w:tcPr>
          <w:p>
            <w:pPr>
              <w:ind w:left="400"/>
              <w:spacing w:after="0"/>
              <w:rPr>
                <w:sz w:val="20"/>
                <w:szCs w:val="20"/>
                <w:color w:val="auto"/>
              </w:rPr>
            </w:pPr>
            <w:r>
              <w:rPr>
                <w:rFonts w:ascii="Arial" w:cs="Arial" w:eastAsia="Arial" w:hAnsi="Arial"/>
                <w:sz w:val="14"/>
                <w:szCs w:val="14"/>
                <w:b w:val="1"/>
                <w:bCs w:val="1"/>
                <w:color w:val="auto"/>
              </w:rPr>
              <w:t>—</w:t>
            </w:r>
          </w:p>
        </w:tc>
        <w:tc>
          <w:tcPr>
            <w:tcW w:w="180" w:type="dxa"/>
            <w:vAlign w:val="bottom"/>
            <w:tcBorders>
              <w:left w:val="single" w:sz="8" w:color="CCEEFF"/>
              <w:right w:val="single" w:sz="8" w:color="CCEEFF"/>
            </w:tcBorders>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00" w:type="dxa"/>
            <w:vAlign w:val="bottom"/>
            <w:vMerge w:val="restart"/>
            <w:shd w:val="clear" w:color="auto" w:fill="CCEEFF"/>
          </w:tcPr>
          <w:p>
            <w:pPr>
              <w:ind w:left="500"/>
              <w:spacing w:after="0"/>
              <w:rPr>
                <w:sz w:val="20"/>
                <w:szCs w:val="20"/>
                <w:color w:val="auto"/>
              </w:rPr>
            </w:pPr>
            <w:r>
              <w:rPr>
                <w:rFonts w:ascii="Arial" w:cs="Arial" w:eastAsia="Arial" w:hAnsi="Arial"/>
                <w:sz w:val="14"/>
                <w:szCs w:val="14"/>
                <w:b w:val="1"/>
                <w:bCs w:val="1"/>
                <w:color w:val="auto"/>
              </w:rPr>
              <w:t>—</w:t>
            </w:r>
          </w:p>
        </w:tc>
        <w:tc>
          <w:tcPr>
            <w:tcW w:w="160" w:type="dxa"/>
            <w:vAlign w:val="bottom"/>
            <w:tcBorders>
              <w:left w:val="single" w:sz="8" w:color="CCEEFF"/>
              <w:right w:val="single" w:sz="8" w:color="CCEEFF"/>
            </w:tcBorders>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20" w:type="dxa"/>
            <w:vAlign w:val="bottom"/>
            <w:tcBorders>
              <w:right w:val="single" w:sz="8" w:color="CCEEFF"/>
            </w:tcBorders>
            <w:gridSpan w:val="2"/>
            <w:vMerge w:val="restart"/>
            <w:shd w:val="clear" w:color="auto" w:fill="CCEEFF"/>
          </w:tcPr>
          <w:p>
            <w:pPr>
              <w:ind w:left="460"/>
              <w:spacing w:after="0"/>
              <w:rPr>
                <w:sz w:val="20"/>
                <w:szCs w:val="20"/>
                <w:color w:val="auto"/>
              </w:rPr>
            </w:pPr>
            <w:r>
              <w:rPr>
                <w:rFonts w:ascii="Arial" w:cs="Arial" w:eastAsia="Arial" w:hAnsi="Arial"/>
                <w:sz w:val="14"/>
                <w:szCs w:val="14"/>
                <w:b w:val="1"/>
                <w:bCs w:val="1"/>
                <w:color w:val="auto"/>
              </w:rPr>
              <w:t>—</w:t>
            </w:r>
          </w:p>
        </w:tc>
        <w:tc>
          <w:tcPr>
            <w:tcW w:w="200" w:type="dxa"/>
            <w:vAlign w:val="bottom"/>
            <w:shd w:val="clear" w:color="auto" w:fill="CCEEFF"/>
          </w:tcPr>
          <w:p>
            <w:pPr>
              <w:spacing w:after="0"/>
              <w:rPr>
                <w:sz w:val="11"/>
                <w:szCs w:val="11"/>
                <w:color w:val="auto"/>
              </w:rPr>
            </w:pPr>
          </w:p>
        </w:tc>
        <w:tc>
          <w:tcPr>
            <w:tcW w:w="42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(7.5)</w:t>
            </w:r>
          </w:p>
        </w:tc>
        <w:tc>
          <w:tcPr>
            <w:tcW w:w="40" w:type="dxa"/>
            <w:vAlign w:val="bottom"/>
            <w:tcBorders>
              <w:left w:val="single" w:sz="8" w:color="CCEEFF"/>
            </w:tcBorders>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gridSpan w:val="2"/>
            <w:vMerge w:val="restart"/>
            <w:shd w:val="clear" w:color="auto" w:fill="CCEEFF"/>
          </w:tcPr>
          <w:p>
            <w:pPr>
              <w:jc w:val="right"/>
              <w:ind w:right="200"/>
              <w:spacing w:after="0"/>
              <w:rPr>
                <w:sz w:val="20"/>
                <w:szCs w:val="20"/>
                <w:color w:val="auto"/>
              </w:rPr>
            </w:pPr>
            <w:r>
              <w:rPr>
                <w:rFonts w:ascii="Arial" w:cs="Arial" w:eastAsia="Arial" w:hAnsi="Arial"/>
                <w:sz w:val="14"/>
                <w:szCs w:val="14"/>
                <w:b w:val="1"/>
                <w:bCs w:val="1"/>
                <w:color w:val="auto"/>
              </w:rPr>
              <w:t>—</w:t>
            </w:r>
          </w:p>
        </w:tc>
        <w:tc>
          <w:tcPr>
            <w:tcW w:w="100" w:type="dxa"/>
            <w:vAlign w:val="bottom"/>
            <w:shd w:val="clear" w:color="auto" w:fill="CCEEFF"/>
          </w:tcPr>
          <w:p>
            <w:pPr>
              <w:spacing w:after="0"/>
              <w:rPr>
                <w:sz w:val="11"/>
                <w:szCs w:val="11"/>
                <w:color w:val="auto"/>
              </w:rPr>
            </w:pPr>
          </w:p>
        </w:tc>
        <w:tc>
          <w:tcPr>
            <w:tcW w:w="940" w:type="dxa"/>
            <w:vAlign w:val="bottom"/>
            <w:gridSpan w:val="2"/>
            <w:vMerge w:val="restart"/>
            <w:shd w:val="clear" w:color="auto" w:fill="CCEEFF"/>
          </w:tcPr>
          <w:p>
            <w:pPr>
              <w:jc w:val="right"/>
              <w:ind w:right="200"/>
              <w:spacing w:after="0"/>
              <w:rPr>
                <w:sz w:val="20"/>
                <w:szCs w:val="20"/>
                <w:color w:val="auto"/>
              </w:rPr>
            </w:pPr>
            <w:r>
              <w:rPr>
                <w:rFonts w:ascii="Arial" w:cs="Arial" w:eastAsia="Arial" w:hAnsi="Arial"/>
                <w:sz w:val="14"/>
                <w:szCs w:val="14"/>
                <w:b w:val="1"/>
                <w:bCs w:val="1"/>
                <w:color w:val="auto"/>
              </w:rPr>
              <w:t>—</w:t>
            </w:r>
          </w:p>
        </w:tc>
        <w:tc>
          <w:tcPr>
            <w:tcW w:w="120" w:type="dxa"/>
            <w:vAlign w:val="bottom"/>
            <w:shd w:val="clear" w:color="auto" w:fill="CCEEFF"/>
          </w:tcPr>
          <w:p>
            <w:pPr>
              <w:spacing w:after="0"/>
              <w:rPr>
                <w:sz w:val="11"/>
                <w:szCs w:val="11"/>
                <w:color w:val="auto"/>
              </w:rPr>
            </w:pPr>
          </w:p>
        </w:tc>
        <w:tc>
          <w:tcPr>
            <w:tcW w:w="720" w:type="dxa"/>
            <w:vAlign w:val="bottom"/>
            <w:gridSpan w:val="2"/>
            <w:vMerge w:val="restart"/>
            <w:shd w:val="clear" w:color="auto" w:fill="CCEEFF"/>
          </w:tcPr>
          <w:p>
            <w:pPr>
              <w:jc w:val="right"/>
              <w:ind w:right="200"/>
              <w:spacing w:after="0"/>
              <w:rPr>
                <w:sz w:val="20"/>
                <w:szCs w:val="20"/>
                <w:color w:val="auto"/>
              </w:rPr>
            </w:pPr>
            <w:r>
              <w:rPr>
                <w:rFonts w:ascii="Arial" w:cs="Arial" w:eastAsia="Arial" w:hAnsi="Arial"/>
                <w:sz w:val="14"/>
                <w:szCs w:val="14"/>
                <w:b w:val="1"/>
                <w:bCs w:val="1"/>
                <w:color w:val="auto"/>
              </w:rPr>
              <w:t>—</w:t>
            </w: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4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(7.5)</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260" w:type="dxa"/>
            <w:vAlign w:val="bottom"/>
            <w:tcBorders>
              <w:right w:val="single" w:sz="8" w:color="CCEEFF"/>
            </w:tcBorders>
            <w:shd w:val="clear" w:color="auto" w:fill="CCEEFF"/>
          </w:tcPr>
          <w:p>
            <w:pPr>
              <w:ind w:left="120"/>
              <w:spacing w:after="0"/>
              <w:rPr>
                <w:sz w:val="20"/>
                <w:szCs w:val="20"/>
                <w:color w:val="auto"/>
              </w:rPr>
            </w:pPr>
            <w:r>
              <w:rPr>
                <w:rFonts w:ascii="Arial" w:cs="Arial" w:eastAsia="Arial" w:hAnsi="Arial"/>
                <w:sz w:val="14"/>
                <w:szCs w:val="14"/>
                <w:color w:val="auto"/>
              </w:rPr>
              <w:t>during the period</w:t>
            </w:r>
          </w:p>
        </w:tc>
        <w:tc>
          <w:tcPr>
            <w:tcW w:w="160" w:type="dxa"/>
            <w:vAlign w:val="bottom"/>
            <w:shd w:val="clear" w:color="auto" w:fill="CCEEFF"/>
          </w:tcPr>
          <w:p>
            <w:pPr>
              <w:spacing w:after="0"/>
              <w:rPr>
                <w:sz w:val="14"/>
                <w:szCs w:val="14"/>
                <w:color w:val="auto"/>
              </w:rPr>
            </w:pPr>
          </w:p>
        </w:tc>
        <w:tc>
          <w:tcPr>
            <w:tcW w:w="600" w:type="dxa"/>
            <w:vAlign w:val="bottom"/>
            <w:vMerge w:val="continue"/>
            <w:shd w:val="clear" w:color="auto" w:fill="CCEEFF"/>
          </w:tcPr>
          <w:p>
            <w:pPr>
              <w:spacing w:after="0"/>
              <w:rPr>
                <w:sz w:val="14"/>
                <w:szCs w:val="14"/>
                <w:color w:val="auto"/>
              </w:rPr>
            </w:pPr>
          </w:p>
        </w:tc>
        <w:tc>
          <w:tcPr>
            <w:tcW w:w="180" w:type="dxa"/>
            <w:vAlign w:val="bottom"/>
            <w:tcBorders>
              <w:left w:val="single" w:sz="8" w:color="CCEEFF"/>
              <w:right w:val="single" w:sz="8" w:color="CCEEFF"/>
            </w:tcBorders>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700" w:type="dxa"/>
            <w:vAlign w:val="bottom"/>
            <w:vMerge w:val="continue"/>
            <w:shd w:val="clear" w:color="auto" w:fill="CCEEFF"/>
          </w:tcPr>
          <w:p>
            <w:pPr>
              <w:spacing w:after="0"/>
              <w:rPr>
                <w:sz w:val="14"/>
                <w:szCs w:val="14"/>
                <w:color w:val="auto"/>
              </w:rPr>
            </w:pPr>
          </w:p>
        </w:tc>
        <w:tc>
          <w:tcPr>
            <w:tcW w:w="160" w:type="dxa"/>
            <w:vAlign w:val="bottom"/>
            <w:tcBorders>
              <w:left w:val="single" w:sz="8" w:color="CCEEFF"/>
              <w:right w:val="single" w:sz="8" w:color="CCEEFF"/>
            </w:tcBorders>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20" w:type="dxa"/>
            <w:vAlign w:val="bottom"/>
            <w:tcBorders>
              <w:right w:val="single" w:sz="8" w:color="CCEEFF"/>
            </w:tcBorders>
            <w:gridSpan w:val="2"/>
            <w:vMerge w:val="continue"/>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420" w:type="dxa"/>
            <w:vAlign w:val="bottom"/>
            <w:vMerge w:val="continue"/>
            <w:shd w:val="clear" w:color="auto" w:fill="CCEEFF"/>
          </w:tcPr>
          <w:p>
            <w:pPr>
              <w:spacing w:after="0"/>
              <w:rPr>
                <w:sz w:val="14"/>
                <w:szCs w:val="14"/>
                <w:color w:val="auto"/>
              </w:rPr>
            </w:pPr>
          </w:p>
        </w:tc>
        <w:tc>
          <w:tcPr>
            <w:tcW w:w="40" w:type="dxa"/>
            <w:vAlign w:val="bottom"/>
            <w:tcBorders>
              <w:left w:val="single" w:sz="8" w:color="CCEEFF"/>
            </w:tcBorders>
            <w:shd w:val="clear" w:color="auto" w:fill="CCEEFF"/>
          </w:tcPr>
          <w:p>
            <w:pPr>
              <w:spacing w:after="0"/>
              <w:rPr>
                <w:sz w:val="14"/>
                <w:szCs w:val="14"/>
                <w:color w:val="auto"/>
              </w:rPr>
            </w:pPr>
          </w:p>
        </w:tc>
        <w:tc>
          <w:tcPr>
            <w:tcW w:w="120" w:type="dxa"/>
            <w:vAlign w:val="bottom"/>
            <w:tcBorders>
              <w:right w:val="single" w:sz="8" w:color="CCEEFF"/>
            </w:tcBorders>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00" w:type="dxa"/>
            <w:vAlign w:val="bottom"/>
            <w:vMerge w:val="continue"/>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40" w:type="dxa"/>
            <w:vAlign w:val="bottom"/>
            <w:gridSpan w:val="2"/>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40" w:type="dxa"/>
            <w:vAlign w:val="bottom"/>
            <w:gridSpan w:val="2"/>
            <w:vMerge w:val="continue"/>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20" w:type="dxa"/>
            <w:vAlign w:val="bottom"/>
            <w:gridSpan w:val="2"/>
            <w:vMerge w:val="continue"/>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340" w:type="dxa"/>
            <w:vAlign w:val="bottom"/>
            <w:vMerge w:val="continue"/>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2260" w:type="dxa"/>
            <w:vAlign w:val="bottom"/>
          </w:tcPr>
          <w:p>
            <w:pPr>
              <w:spacing w:after="0" w:line="130" w:lineRule="exact"/>
              <w:rPr>
                <w:sz w:val="20"/>
                <w:szCs w:val="20"/>
                <w:color w:val="auto"/>
              </w:rPr>
            </w:pPr>
            <w:r>
              <w:rPr>
                <w:rFonts w:ascii="Arial" w:cs="Arial" w:eastAsia="Arial" w:hAnsi="Arial"/>
                <w:sz w:val="14"/>
                <w:szCs w:val="14"/>
                <w:color w:val="auto"/>
                <w:w w:val="99"/>
              </w:rPr>
              <w:t>Additional increases (decreases) for</w:t>
            </w: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260" w:type="dxa"/>
            <w:vAlign w:val="bottom"/>
          </w:tcPr>
          <w:p>
            <w:pPr>
              <w:ind w:left="120"/>
              <w:spacing w:after="0" w:line="149" w:lineRule="exact"/>
              <w:rPr>
                <w:sz w:val="20"/>
                <w:szCs w:val="20"/>
                <w:color w:val="auto"/>
              </w:rPr>
            </w:pPr>
            <w:r>
              <w:rPr>
                <w:rFonts w:ascii="Arial" w:cs="Arial" w:eastAsia="Arial" w:hAnsi="Arial"/>
                <w:sz w:val="14"/>
                <w:szCs w:val="14"/>
                <w:color w:val="auto"/>
              </w:rPr>
              <w:t>credit losses on securities with an</w:t>
            </w:r>
          </w:p>
        </w:tc>
        <w:tc>
          <w:tcPr>
            <w:tcW w:w="1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260" w:type="dxa"/>
            <w:vAlign w:val="bottom"/>
          </w:tcPr>
          <w:p>
            <w:pPr>
              <w:ind w:left="120"/>
              <w:spacing w:after="0" w:line="149" w:lineRule="exact"/>
              <w:rPr>
                <w:sz w:val="20"/>
                <w:szCs w:val="20"/>
                <w:color w:val="auto"/>
              </w:rPr>
            </w:pPr>
            <w:r>
              <w:rPr>
                <w:rFonts w:ascii="Arial" w:cs="Arial" w:eastAsia="Arial" w:hAnsi="Arial"/>
                <w:sz w:val="14"/>
                <w:szCs w:val="14"/>
                <w:color w:val="auto"/>
              </w:rPr>
              <w:t>allowance recorded in the</w:t>
            </w:r>
          </w:p>
        </w:tc>
        <w:tc>
          <w:tcPr>
            <w:tcW w:w="160" w:type="dxa"/>
            <w:vAlign w:val="bottom"/>
          </w:tcPr>
          <w:p>
            <w:pPr>
              <w:spacing w:after="0"/>
              <w:rPr>
                <w:sz w:val="12"/>
                <w:szCs w:val="12"/>
                <w:color w:val="auto"/>
              </w:rPr>
            </w:pPr>
          </w:p>
        </w:tc>
        <w:tc>
          <w:tcPr>
            <w:tcW w:w="600" w:type="dxa"/>
            <w:vAlign w:val="bottom"/>
            <w:vMerge w:val="restart"/>
          </w:tcPr>
          <w:p>
            <w:pPr>
              <w:ind w:left="400"/>
              <w:spacing w:after="0"/>
              <w:rPr>
                <w:sz w:val="20"/>
                <w:szCs w:val="20"/>
                <w:color w:val="auto"/>
              </w:rPr>
            </w:pPr>
            <w:r>
              <w:rPr>
                <w:rFonts w:ascii="Arial" w:cs="Arial" w:eastAsia="Arial" w:hAnsi="Arial"/>
                <w:sz w:val="14"/>
                <w:szCs w:val="14"/>
                <w:b w:val="1"/>
                <w:bCs w:val="1"/>
                <w:color w:val="auto"/>
              </w:rPr>
              <w:t>—</w:t>
            </w: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vMerge w:val="restart"/>
          </w:tcPr>
          <w:p>
            <w:pPr>
              <w:ind w:left="500"/>
              <w:spacing w:after="0"/>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gridSpan w:val="2"/>
            <w:vMerge w:val="restart"/>
          </w:tcPr>
          <w:p>
            <w:pPr>
              <w:ind w:left="460"/>
              <w:spacing w:after="0"/>
              <w:rPr>
                <w:sz w:val="20"/>
                <w:szCs w:val="20"/>
                <w:color w:val="auto"/>
              </w:rPr>
            </w:pPr>
            <w:r>
              <w:rPr>
                <w:rFonts w:ascii="Arial" w:cs="Arial" w:eastAsia="Arial" w:hAnsi="Arial"/>
                <w:sz w:val="14"/>
                <w:szCs w:val="14"/>
                <w:b w:val="1"/>
                <w:bCs w:val="1"/>
                <w:color w:val="auto"/>
              </w:rPr>
              <w:t>—</w:t>
            </w:r>
          </w:p>
        </w:tc>
        <w:tc>
          <w:tcPr>
            <w:tcW w:w="200" w:type="dxa"/>
            <w:vAlign w:val="bottom"/>
          </w:tcPr>
          <w:p>
            <w:pPr>
              <w:spacing w:after="0"/>
              <w:rPr>
                <w:sz w:val="12"/>
                <w:szCs w:val="12"/>
                <w:color w:val="auto"/>
              </w:rPr>
            </w:pPr>
          </w:p>
        </w:tc>
        <w:tc>
          <w:tcPr>
            <w:tcW w:w="460" w:type="dxa"/>
            <w:vAlign w:val="bottom"/>
            <w:gridSpan w:val="2"/>
            <w:vMerge w:val="restart"/>
          </w:tcPr>
          <w:p>
            <w:pPr>
              <w:jc w:val="right"/>
              <w:ind w:right="100"/>
              <w:spacing w:after="0"/>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gridSpan w:val="2"/>
            <w:vMerge w:val="restart"/>
          </w:tcPr>
          <w:p>
            <w:pPr>
              <w:jc w:val="right"/>
              <w:ind w:right="140"/>
              <w:spacing w:after="0"/>
              <w:rPr>
                <w:sz w:val="20"/>
                <w:szCs w:val="20"/>
                <w:color w:val="auto"/>
              </w:rPr>
            </w:pPr>
            <w:r>
              <w:rPr>
                <w:rFonts w:ascii="Arial" w:cs="Arial" w:eastAsia="Arial" w:hAnsi="Arial"/>
                <w:sz w:val="14"/>
                <w:szCs w:val="14"/>
                <w:b w:val="1"/>
                <w:bCs w:val="1"/>
                <w:color w:val="auto"/>
              </w:rPr>
              <w:t>(0.2)</w:t>
            </w:r>
          </w:p>
        </w:tc>
        <w:tc>
          <w:tcPr>
            <w:tcW w:w="100" w:type="dxa"/>
            <w:vAlign w:val="bottom"/>
          </w:tcPr>
          <w:p>
            <w:pPr>
              <w:spacing w:after="0"/>
              <w:rPr>
                <w:sz w:val="12"/>
                <w:szCs w:val="12"/>
                <w:color w:val="auto"/>
              </w:rPr>
            </w:pPr>
          </w:p>
        </w:tc>
        <w:tc>
          <w:tcPr>
            <w:tcW w:w="940" w:type="dxa"/>
            <w:vAlign w:val="bottom"/>
            <w:gridSpan w:val="2"/>
            <w:vMerge w:val="restart"/>
          </w:tcPr>
          <w:p>
            <w:pPr>
              <w:jc w:val="right"/>
              <w:ind w:right="200"/>
              <w:spacing w:after="0"/>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720" w:type="dxa"/>
            <w:vAlign w:val="bottom"/>
            <w:gridSpan w:val="2"/>
            <w:vMerge w:val="restart"/>
          </w:tcPr>
          <w:p>
            <w:pPr>
              <w:jc w:val="right"/>
              <w:ind w:right="200"/>
              <w:spacing w:after="0"/>
              <w:rPr>
                <w:sz w:val="20"/>
                <w:szCs w:val="20"/>
                <w:color w:val="auto"/>
              </w:rPr>
            </w:pPr>
            <w:r>
              <w:rPr>
                <w:rFonts w:ascii="Arial" w:cs="Arial" w:eastAsia="Arial" w:hAnsi="Arial"/>
                <w:sz w:val="14"/>
                <w:szCs w:val="14"/>
                <w:b w:val="1"/>
                <w:bCs w:val="1"/>
                <w:color w:val="auto"/>
              </w:rPr>
              <w:t>—</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4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(0.2)</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260" w:type="dxa"/>
            <w:vAlign w:val="bottom"/>
          </w:tcPr>
          <w:p>
            <w:pPr>
              <w:ind w:left="120"/>
              <w:spacing w:after="0"/>
              <w:rPr>
                <w:sz w:val="20"/>
                <w:szCs w:val="20"/>
                <w:color w:val="auto"/>
              </w:rPr>
            </w:pPr>
            <w:r>
              <w:rPr>
                <w:rFonts w:ascii="Arial" w:cs="Arial" w:eastAsia="Arial" w:hAnsi="Arial"/>
                <w:sz w:val="14"/>
                <w:szCs w:val="14"/>
                <w:color w:val="auto"/>
              </w:rPr>
              <w:t>previous period</w:t>
            </w:r>
          </w:p>
        </w:tc>
        <w:tc>
          <w:tcPr>
            <w:tcW w:w="160" w:type="dxa"/>
            <w:vAlign w:val="bottom"/>
          </w:tcPr>
          <w:p>
            <w:pPr>
              <w:spacing w:after="0"/>
              <w:rPr>
                <w:sz w:val="14"/>
                <w:szCs w:val="14"/>
                <w:color w:val="auto"/>
              </w:rPr>
            </w:pPr>
          </w:p>
        </w:tc>
        <w:tc>
          <w:tcPr>
            <w:tcW w:w="600" w:type="dxa"/>
            <w:vAlign w:val="bottom"/>
            <w:vMerge w:val="continue"/>
          </w:tcPr>
          <w:p>
            <w:pPr>
              <w:spacing w:after="0"/>
              <w:rPr>
                <w:sz w:val="14"/>
                <w:szCs w:val="14"/>
                <w:color w:val="auto"/>
              </w:rPr>
            </w:pP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00" w:type="dxa"/>
            <w:vAlign w:val="bottom"/>
            <w:vMerge w:val="continue"/>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46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vMerge w:val="continue"/>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4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94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720" w:type="dxa"/>
            <w:vAlign w:val="bottom"/>
            <w:gridSpan w:val="2"/>
            <w:vMerge w:val="continue"/>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2260" w:type="dxa"/>
            <w:vAlign w:val="bottom"/>
            <w:tcBorders>
              <w:right w:val="single" w:sz="8" w:color="CCEEFF"/>
            </w:tcBorders>
            <w:shd w:val="clear" w:color="auto" w:fill="CCEEFF"/>
          </w:tcPr>
          <w:p>
            <w:pPr>
              <w:spacing w:after="0" w:line="130" w:lineRule="exact"/>
              <w:rPr>
                <w:sz w:val="20"/>
                <w:szCs w:val="20"/>
                <w:color w:val="auto"/>
              </w:rPr>
            </w:pPr>
            <w:r>
              <w:rPr>
                <w:rFonts w:ascii="Arial" w:cs="Arial" w:eastAsia="Arial" w:hAnsi="Arial"/>
                <w:sz w:val="14"/>
                <w:szCs w:val="14"/>
                <w:color w:val="auto"/>
              </w:rPr>
              <w:t>Write-offs charged against</w:t>
            </w:r>
          </w:p>
        </w:tc>
        <w:tc>
          <w:tcPr>
            <w:tcW w:w="160" w:type="dxa"/>
            <w:vAlign w:val="bottom"/>
            <w:shd w:val="clear" w:color="auto" w:fill="CCEEFF"/>
          </w:tcPr>
          <w:p>
            <w:pPr>
              <w:spacing w:after="0"/>
              <w:rPr>
                <w:sz w:val="11"/>
                <w:szCs w:val="11"/>
                <w:color w:val="auto"/>
              </w:rPr>
            </w:pPr>
          </w:p>
        </w:tc>
        <w:tc>
          <w:tcPr>
            <w:tcW w:w="600" w:type="dxa"/>
            <w:vAlign w:val="bottom"/>
            <w:vMerge w:val="restart"/>
            <w:shd w:val="clear" w:color="auto" w:fill="CCEEFF"/>
          </w:tcPr>
          <w:p>
            <w:pPr>
              <w:ind w:left="400"/>
              <w:spacing w:after="0"/>
              <w:rPr>
                <w:sz w:val="20"/>
                <w:szCs w:val="20"/>
                <w:color w:val="auto"/>
              </w:rPr>
            </w:pPr>
            <w:r>
              <w:rPr>
                <w:rFonts w:ascii="Arial" w:cs="Arial" w:eastAsia="Arial" w:hAnsi="Arial"/>
                <w:sz w:val="14"/>
                <w:szCs w:val="14"/>
                <w:b w:val="1"/>
                <w:bCs w:val="1"/>
                <w:color w:val="auto"/>
              </w:rPr>
              <w:t>—</w:t>
            </w:r>
          </w:p>
        </w:tc>
        <w:tc>
          <w:tcPr>
            <w:tcW w:w="180" w:type="dxa"/>
            <w:vAlign w:val="bottom"/>
            <w:tcBorders>
              <w:left w:val="single" w:sz="8" w:color="CCEEFF"/>
              <w:right w:val="single" w:sz="8" w:color="CCEEFF"/>
            </w:tcBorders>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00" w:type="dxa"/>
            <w:vAlign w:val="bottom"/>
            <w:vMerge w:val="restart"/>
            <w:shd w:val="clear" w:color="auto" w:fill="CCEEFF"/>
          </w:tcPr>
          <w:p>
            <w:pPr>
              <w:ind w:left="500"/>
              <w:spacing w:after="0"/>
              <w:rPr>
                <w:sz w:val="20"/>
                <w:szCs w:val="20"/>
                <w:color w:val="auto"/>
              </w:rPr>
            </w:pPr>
            <w:r>
              <w:rPr>
                <w:rFonts w:ascii="Arial" w:cs="Arial" w:eastAsia="Arial" w:hAnsi="Arial"/>
                <w:sz w:val="14"/>
                <w:szCs w:val="14"/>
                <w:b w:val="1"/>
                <w:bCs w:val="1"/>
                <w:color w:val="auto"/>
              </w:rPr>
              <w:t>—</w:t>
            </w:r>
          </w:p>
        </w:tc>
        <w:tc>
          <w:tcPr>
            <w:tcW w:w="160" w:type="dxa"/>
            <w:vAlign w:val="bottom"/>
            <w:tcBorders>
              <w:left w:val="single" w:sz="8" w:color="CCEEFF"/>
              <w:right w:val="single" w:sz="8" w:color="CCEEFF"/>
            </w:tcBorders>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20" w:type="dxa"/>
            <w:vAlign w:val="bottom"/>
            <w:tcBorders>
              <w:right w:val="single" w:sz="8" w:color="CCEEFF"/>
            </w:tcBorders>
            <w:gridSpan w:val="2"/>
            <w:vMerge w:val="restart"/>
            <w:shd w:val="clear" w:color="auto" w:fill="CCEEFF"/>
          </w:tcPr>
          <w:p>
            <w:pPr>
              <w:ind w:left="460"/>
              <w:spacing w:after="0"/>
              <w:rPr>
                <w:sz w:val="20"/>
                <w:szCs w:val="20"/>
                <w:color w:val="auto"/>
              </w:rPr>
            </w:pPr>
            <w:r>
              <w:rPr>
                <w:rFonts w:ascii="Arial" w:cs="Arial" w:eastAsia="Arial" w:hAnsi="Arial"/>
                <w:sz w:val="14"/>
                <w:szCs w:val="14"/>
                <w:b w:val="1"/>
                <w:bCs w:val="1"/>
                <w:color w:val="auto"/>
              </w:rPr>
              <w:t>—</w:t>
            </w:r>
          </w:p>
        </w:tc>
        <w:tc>
          <w:tcPr>
            <w:tcW w:w="200" w:type="dxa"/>
            <w:vAlign w:val="bottom"/>
            <w:shd w:val="clear" w:color="auto" w:fill="CCEEFF"/>
          </w:tcPr>
          <w:p>
            <w:pPr>
              <w:spacing w:after="0"/>
              <w:rPr>
                <w:sz w:val="11"/>
                <w:szCs w:val="11"/>
                <w:color w:val="auto"/>
              </w:rPr>
            </w:pPr>
          </w:p>
        </w:tc>
        <w:tc>
          <w:tcPr>
            <w:tcW w:w="46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4"/>
                <w:szCs w:val="14"/>
                <w:b w:val="1"/>
                <w:bCs w:val="1"/>
                <w:color w:val="auto"/>
              </w:rPr>
              <w:t>—</w:t>
            </w:r>
          </w:p>
        </w:tc>
        <w:tc>
          <w:tcPr>
            <w:tcW w:w="120" w:type="dxa"/>
            <w:vAlign w:val="bottom"/>
            <w:tcBorders>
              <w:right w:val="single" w:sz="8" w:color="CCEEFF"/>
            </w:tcBorders>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gridSpan w:val="2"/>
            <w:vMerge w:val="restart"/>
            <w:shd w:val="clear" w:color="auto" w:fill="CCEEFF"/>
          </w:tcPr>
          <w:p>
            <w:pPr>
              <w:jc w:val="right"/>
              <w:ind w:right="140"/>
              <w:spacing w:after="0"/>
              <w:rPr>
                <w:sz w:val="20"/>
                <w:szCs w:val="20"/>
                <w:color w:val="auto"/>
              </w:rPr>
            </w:pPr>
            <w:r>
              <w:rPr>
                <w:rFonts w:ascii="Arial" w:cs="Arial" w:eastAsia="Arial" w:hAnsi="Arial"/>
                <w:sz w:val="14"/>
                <w:szCs w:val="14"/>
                <w:b w:val="1"/>
                <w:bCs w:val="1"/>
                <w:color w:val="auto"/>
              </w:rPr>
              <w:t>(0.1)</w:t>
            </w:r>
          </w:p>
        </w:tc>
        <w:tc>
          <w:tcPr>
            <w:tcW w:w="100" w:type="dxa"/>
            <w:vAlign w:val="bottom"/>
            <w:shd w:val="clear" w:color="auto" w:fill="CCEEFF"/>
          </w:tcPr>
          <w:p>
            <w:pPr>
              <w:spacing w:after="0"/>
              <w:rPr>
                <w:sz w:val="11"/>
                <w:szCs w:val="11"/>
                <w:color w:val="auto"/>
              </w:rPr>
            </w:pPr>
          </w:p>
        </w:tc>
        <w:tc>
          <w:tcPr>
            <w:tcW w:w="940" w:type="dxa"/>
            <w:vAlign w:val="bottom"/>
            <w:gridSpan w:val="2"/>
            <w:vMerge w:val="restart"/>
            <w:shd w:val="clear" w:color="auto" w:fill="CCEEFF"/>
          </w:tcPr>
          <w:p>
            <w:pPr>
              <w:jc w:val="right"/>
              <w:ind w:right="200"/>
              <w:spacing w:after="0"/>
              <w:rPr>
                <w:sz w:val="20"/>
                <w:szCs w:val="20"/>
                <w:color w:val="auto"/>
              </w:rPr>
            </w:pPr>
            <w:r>
              <w:rPr>
                <w:rFonts w:ascii="Arial" w:cs="Arial" w:eastAsia="Arial" w:hAnsi="Arial"/>
                <w:sz w:val="14"/>
                <w:szCs w:val="14"/>
                <w:b w:val="1"/>
                <w:bCs w:val="1"/>
                <w:color w:val="auto"/>
              </w:rPr>
              <w:t>—</w:t>
            </w:r>
          </w:p>
        </w:tc>
        <w:tc>
          <w:tcPr>
            <w:tcW w:w="120" w:type="dxa"/>
            <w:vAlign w:val="bottom"/>
            <w:shd w:val="clear" w:color="auto" w:fill="CCEEFF"/>
          </w:tcPr>
          <w:p>
            <w:pPr>
              <w:spacing w:after="0"/>
              <w:rPr>
                <w:sz w:val="11"/>
                <w:szCs w:val="11"/>
                <w:color w:val="auto"/>
              </w:rPr>
            </w:pPr>
          </w:p>
        </w:tc>
        <w:tc>
          <w:tcPr>
            <w:tcW w:w="720" w:type="dxa"/>
            <w:vAlign w:val="bottom"/>
            <w:gridSpan w:val="2"/>
            <w:vMerge w:val="restart"/>
            <w:shd w:val="clear" w:color="auto" w:fill="CCEEFF"/>
          </w:tcPr>
          <w:p>
            <w:pPr>
              <w:jc w:val="right"/>
              <w:ind w:right="140"/>
              <w:spacing w:after="0"/>
              <w:rPr>
                <w:sz w:val="20"/>
                <w:szCs w:val="20"/>
                <w:color w:val="auto"/>
              </w:rPr>
            </w:pPr>
            <w:r>
              <w:rPr>
                <w:rFonts w:ascii="Arial" w:cs="Arial" w:eastAsia="Arial" w:hAnsi="Arial"/>
                <w:sz w:val="14"/>
                <w:szCs w:val="14"/>
                <w:b w:val="1"/>
                <w:bCs w:val="1"/>
                <w:color w:val="auto"/>
              </w:rPr>
              <w:t>(0.1)</w:t>
            </w: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4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(0.2)</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260" w:type="dxa"/>
            <w:vAlign w:val="bottom"/>
            <w:tcBorders>
              <w:right w:val="single" w:sz="8" w:color="CCEEFF"/>
            </w:tcBorders>
            <w:shd w:val="clear" w:color="auto" w:fill="CCEEFF"/>
          </w:tcPr>
          <w:p>
            <w:pPr>
              <w:ind w:left="120"/>
              <w:spacing w:after="0"/>
              <w:rPr>
                <w:sz w:val="20"/>
                <w:szCs w:val="20"/>
                <w:color w:val="auto"/>
              </w:rPr>
            </w:pPr>
            <w:r>
              <w:rPr>
                <w:rFonts w:ascii="Arial" w:cs="Arial" w:eastAsia="Arial" w:hAnsi="Arial"/>
                <w:sz w:val="14"/>
                <w:szCs w:val="14"/>
                <w:color w:val="auto"/>
              </w:rPr>
              <w:t>allowance</w:t>
            </w:r>
          </w:p>
        </w:tc>
        <w:tc>
          <w:tcPr>
            <w:tcW w:w="160" w:type="dxa"/>
            <w:vAlign w:val="bottom"/>
            <w:shd w:val="clear" w:color="auto" w:fill="CCEEFF"/>
          </w:tcPr>
          <w:p>
            <w:pPr>
              <w:spacing w:after="0"/>
              <w:rPr>
                <w:sz w:val="14"/>
                <w:szCs w:val="14"/>
                <w:color w:val="auto"/>
              </w:rPr>
            </w:pPr>
          </w:p>
        </w:tc>
        <w:tc>
          <w:tcPr>
            <w:tcW w:w="600" w:type="dxa"/>
            <w:vAlign w:val="bottom"/>
            <w:vMerge w:val="continue"/>
            <w:shd w:val="clear" w:color="auto" w:fill="CCEEFF"/>
          </w:tcPr>
          <w:p>
            <w:pPr>
              <w:spacing w:after="0"/>
              <w:rPr>
                <w:sz w:val="14"/>
                <w:szCs w:val="14"/>
                <w:color w:val="auto"/>
              </w:rPr>
            </w:pPr>
          </w:p>
        </w:tc>
        <w:tc>
          <w:tcPr>
            <w:tcW w:w="180" w:type="dxa"/>
            <w:vAlign w:val="bottom"/>
            <w:tcBorders>
              <w:left w:val="single" w:sz="8" w:color="CCEEFF"/>
              <w:right w:val="single" w:sz="8" w:color="CCEEFF"/>
            </w:tcBorders>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700" w:type="dxa"/>
            <w:vAlign w:val="bottom"/>
            <w:vMerge w:val="continue"/>
            <w:shd w:val="clear" w:color="auto" w:fill="CCEEFF"/>
          </w:tcPr>
          <w:p>
            <w:pPr>
              <w:spacing w:after="0"/>
              <w:rPr>
                <w:sz w:val="14"/>
                <w:szCs w:val="14"/>
                <w:color w:val="auto"/>
              </w:rPr>
            </w:pPr>
          </w:p>
        </w:tc>
        <w:tc>
          <w:tcPr>
            <w:tcW w:w="160" w:type="dxa"/>
            <w:vAlign w:val="bottom"/>
            <w:tcBorders>
              <w:left w:val="single" w:sz="8" w:color="CCEEFF"/>
              <w:right w:val="single" w:sz="8" w:color="CCEEFF"/>
            </w:tcBorders>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20" w:type="dxa"/>
            <w:vAlign w:val="bottom"/>
            <w:tcBorders>
              <w:right w:val="single" w:sz="8" w:color="CCEEFF"/>
            </w:tcBorders>
            <w:gridSpan w:val="2"/>
            <w:vMerge w:val="continue"/>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460" w:type="dxa"/>
            <w:vAlign w:val="bottom"/>
            <w:gridSpan w:val="2"/>
            <w:vMerge w:val="continue"/>
            <w:shd w:val="clear" w:color="auto" w:fill="CCEEFF"/>
          </w:tcPr>
          <w:p>
            <w:pPr>
              <w:spacing w:after="0"/>
              <w:rPr>
                <w:sz w:val="14"/>
                <w:szCs w:val="14"/>
                <w:color w:val="auto"/>
              </w:rPr>
            </w:pPr>
          </w:p>
        </w:tc>
        <w:tc>
          <w:tcPr>
            <w:tcW w:w="120" w:type="dxa"/>
            <w:vAlign w:val="bottom"/>
            <w:tcBorders>
              <w:right w:val="single" w:sz="8" w:color="CCEEFF"/>
            </w:tcBorders>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00" w:type="dxa"/>
            <w:vAlign w:val="bottom"/>
            <w:vMerge w:val="continue"/>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40" w:type="dxa"/>
            <w:vAlign w:val="bottom"/>
            <w:gridSpan w:val="2"/>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40" w:type="dxa"/>
            <w:vAlign w:val="bottom"/>
            <w:gridSpan w:val="2"/>
            <w:vMerge w:val="continue"/>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20" w:type="dxa"/>
            <w:vAlign w:val="bottom"/>
            <w:gridSpan w:val="2"/>
            <w:vMerge w:val="continue"/>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340" w:type="dxa"/>
            <w:vAlign w:val="bottom"/>
            <w:vMerge w:val="continue"/>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2260" w:type="dxa"/>
            <w:vAlign w:val="bottom"/>
          </w:tcPr>
          <w:p>
            <w:pPr>
              <w:spacing w:after="0" w:line="130" w:lineRule="exact"/>
              <w:rPr>
                <w:sz w:val="20"/>
                <w:szCs w:val="20"/>
                <w:color w:val="auto"/>
              </w:rPr>
            </w:pPr>
            <w:r>
              <w:rPr>
                <w:rFonts w:ascii="Arial" w:cs="Arial" w:eastAsia="Arial" w:hAnsi="Arial"/>
                <w:sz w:val="14"/>
                <w:szCs w:val="14"/>
                <w:color w:val="auto"/>
              </w:rPr>
              <w:t>Foreign currency translation</w:t>
            </w:r>
          </w:p>
        </w:tc>
        <w:tc>
          <w:tcPr>
            <w:tcW w:w="160" w:type="dxa"/>
            <w:vAlign w:val="bottom"/>
          </w:tcPr>
          <w:p>
            <w:pPr>
              <w:spacing w:after="0"/>
              <w:rPr>
                <w:sz w:val="11"/>
                <w:szCs w:val="11"/>
                <w:color w:val="auto"/>
              </w:rPr>
            </w:pPr>
          </w:p>
        </w:tc>
        <w:tc>
          <w:tcPr>
            <w:tcW w:w="600" w:type="dxa"/>
            <w:vAlign w:val="bottom"/>
            <w:vMerge w:val="restart"/>
          </w:tcPr>
          <w:p>
            <w:pPr>
              <w:ind w:left="400"/>
              <w:spacing w:after="0"/>
              <w:rPr>
                <w:sz w:val="20"/>
                <w:szCs w:val="20"/>
                <w:color w:val="auto"/>
              </w:rPr>
            </w:pPr>
            <w:r>
              <w:rPr>
                <w:rFonts w:ascii="Arial" w:cs="Arial" w:eastAsia="Arial" w:hAnsi="Arial"/>
                <w:sz w:val="14"/>
                <w:szCs w:val="14"/>
                <w:b w:val="1"/>
                <w:bCs w:val="1"/>
                <w:color w:val="auto"/>
              </w:rPr>
              <w:t>—</w:t>
            </w: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vMerge w:val="restart"/>
          </w:tcPr>
          <w:p>
            <w:pPr>
              <w:ind w:left="500"/>
              <w:spacing w:after="0"/>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20" w:type="dxa"/>
            <w:vAlign w:val="bottom"/>
            <w:gridSpan w:val="2"/>
            <w:vMerge w:val="restart"/>
          </w:tcPr>
          <w:p>
            <w:pPr>
              <w:ind w:left="460"/>
              <w:spacing w:after="0"/>
              <w:rPr>
                <w:sz w:val="20"/>
                <w:szCs w:val="20"/>
                <w:color w:val="auto"/>
              </w:rPr>
            </w:pPr>
            <w:r>
              <w:rPr>
                <w:rFonts w:ascii="Arial" w:cs="Arial" w:eastAsia="Arial" w:hAnsi="Arial"/>
                <w:sz w:val="14"/>
                <w:szCs w:val="14"/>
                <w:b w:val="1"/>
                <w:bCs w:val="1"/>
                <w:color w:val="auto"/>
              </w:rPr>
              <w:t>—</w:t>
            </w:r>
          </w:p>
        </w:tc>
        <w:tc>
          <w:tcPr>
            <w:tcW w:w="200" w:type="dxa"/>
            <w:vAlign w:val="bottom"/>
          </w:tcPr>
          <w:p>
            <w:pPr>
              <w:spacing w:after="0"/>
              <w:rPr>
                <w:sz w:val="11"/>
                <w:szCs w:val="11"/>
                <w:color w:val="auto"/>
              </w:rPr>
            </w:pPr>
          </w:p>
        </w:tc>
        <w:tc>
          <w:tcPr>
            <w:tcW w:w="42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(2.2)</w:t>
            </w: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gridSpan w:val="2"/>
            <w:vMerge w:val="restart"/>
          </w:tcPr>
          <w:p>
            <w:pPr>
              <w:jc w:val="right"/>
              <w:ind w:right="200"/>
              <w:spacing w:after="0"/>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1"/>
                <w:szCs w:val="11"/>
                <w:color w:val="auto"/>
              </w:rPr>
            </w:pPr>
          </w:p>
        </w:tc>
        <w:tc>
          <w:tcPr>
            <w:tcW w:w="940" w:type="dxa"/>
            <w:vAlign w:val="bottom"/>
            <w:gridSpan w:val="2"/>
            <w:vMerge w:val="restart"/>
          </w:tcPr>
          <w:p>
            <w:pPr>
              <w:jc w:val="right"/>
              <w:ind w:right="200"/>
              <w:spacing w:after="0"/>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1"/>
                <w:szCs w:val="11"/>
                <w:color w:val="auto"/>
              </w:rPr>
            </w:pPr>
          </w:p>
        </w:tc>
        <w:tc>
          <w:tcPr>
            <w:tcW w:w="720" w:type="dxa"/>
            <w:vAlign w:val="bottom"/>
            <w:gridSpan w:val="2"/>
            <w:vMerge w:val="restart"/>
          </w:tcPr>
          <w:p>
            <w:pPr>
              <w:jc w:val="right"/>
              <w:ind w:right="200"/>
              <w:spacing w:after="0"/>
              <w:rPr>
                <w:sz w:val="20"/>
                <w:szCs w:val="20"/>
                <w:color w:val="auto"/>
              </w:rPr>
            </w:pPr>
            <w:r>
              <w:rPr>
                <w:rFonts w:ascii="Arial" w:cs="Arial" w:eastAsia="Arial" w:hAnsi="Arial"/>
                <w:sz w:val="14"/>
                <w:szCs w:val="14"/>
                <w:b w:val="1"/>
                <w:bCs w:val="1"/>
                <w:color w:val="auto"/>
              </w:rPr>
              <w:t>—</w:t>
            </w: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(2.2)</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260" w:type="dxa"/>
            <w:vAlign w:val="bottom"/>
          </w:tcPr>
          <w:p>
            <w:pPr>
              <w:ind w:left="120"/>
              <w:spacing w:after="0"/>
              <w:rPr>
                <w:sz w:val="20"/>
                <w:szCs w:val="20"/>
                <w:color w:val="auto"/>
              </w:rPr>
            </w:pPr>
            <w:r>
              <w:rPr>
                <w:rFonts w:ascii="Arial" w:cs="Arial" w:eastAsia="Arial" w:hAnsi="Arial"/>
                <w:sz w:val="14"/>
                <w:szCs w:val="14"/>
                <w:color w:val="auto"/>
              </w:rPr>
              <w:t>adjustment</w:t>
            </w:r>
          </w:p>
        </w:tc>
        <w:tc>
          <w:tcPr>
            <w:tcW w:w="160" w:type="dxa"/>
            <w:vAlign w:val="bottom"/>
          </w:tcPr>
          <w:p>
            <w:pPr>
              <w:spacing w:after="0"/>
              <w:rPr>
                <w:sz w:val="14"/>
                <w:szCs w:val="14"/>
                <w:color w:val="auto"/>
              </w:rPr>
            </w:pPr>
          </w:p>
        </w:tc>
        <w:tc>
          <w:tcPr>
            <w:tcW w:w="600" w:type="dxa"/>
            <w:vAlign w:val="bottom"/>
            <w:vMerge w:val="continue"/>
          </w:tcPr>
          <w:p>
            <w:pPr>
              <w:spacing w:after="0"/>
              <w:rPr>
                <w:sz w:val="14"/>
                <w:szCs w:val="14"/>
                <w:color w:val="auto"/>
              </w:rPr>
            </w:pP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00" w:type="dxa"/>
            <w:vAlign w:val="bottom"/>
            <w:vMerge w:val="continue"/>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42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vMerge w:val="continue"/>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4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94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720" w:type="dxa"/>
            <w:vAlign w:val="bottom"/>
            <w:gridSpan w:val="2"/>
            <w:vMerge w:val="continue"/>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260" w:type="dxa"/>
            <w:vAlign w:val="bottom"/>
            <w:tcBorders>
              <w:top w:val="single" w:sz="8" w:color="CCEEFF"/>
              <w:bottom w:val="single" w:sz="8" w:color="CCEEFF"/>
              <w:right w:val="single" w:sz="8" w:color="CCEEFF"/>
            </w:tcBorders>
            <w:shd w:val="clear" w:color="auto" w:fill="CCEEFF"/>
          </w:tcPr>
          <w:p>
            <w:pPr>
              <w:spacing w:after="0" w:line="142" w:lineRule="exact"/>
              <w:rPr>
                <w:sz w:val="20"/>
                <w:szCs w:val="20"/>
                <w:color w:val="auto"/>
              </w:rPr>
            </w:pPr>
            <w:r>
              <w:rPr>
                <w:rFonts w:ascii="Arial" w:cs="Arial" w:eastAsia="Arial" w:hAnsi="Arial"/>
                <w:sz w:val="14"/>
                <w:szCs w:val="14"/>
                <w:color w:val="auto"/>
              </w:rPr>
              <w:t>Ending balance</w:t>
            </w:r>
          </w:p>
        </w:tc>
        <w:tc>
          <w:tcPr>
            <w:tcW w:w="160" w:type="dxa"/>
            <w:vAlign w:val="bottom"/>
            <w:tcBorders>
              <w:top w:val="single" w:sz="8" w:color="auto"/>
              <w:bottom w:val="single" w:sz="8" w:color="auto"/>
            </w:tcBorders>
            <w:shd w:val="clear" w:color="auto" w:fill="CCEEFF"/>
          </w:tcPr>
          <w:p>
            <w:pPr>
              <w:spacing w:after="0" w:line="142" w:lineRule="exact"/>
              <w:rPr>
                <w:sz w:val="20"/>
                <w:szCs w:val="20"/>
                <w:color w:val="auto"/>
              </w:rPr>
            </w:pPr>
            <w:r>
              <w:rPr>
                <w:rFonts w:ascii="Arial" w:cs="Arial" w:eastAsia="Arial" w:hAnsi="Arial"/>
                <w:sz w:val="14"/>
                <w:szCs w:val="14"/>
                <w:b w:val="1"/>
                <w:bCs w:val="1"/>
                <w:color w:val="auto"/>
              </w:rPr>
              <w:t>$</w:t>
            </w:r>
          </w:p>
        </w:tc>
        <w:tc>
          <w:tcPr>
            <w:tcW w:w="600" w:type="dxa"/>
            <w:vAlign w:val="bottom"/>
            <w:tcBorders>
              <w:top w:val="single" w:sz="8" w:color="auto"/>
              <w:bottom w:val="single" w:sz="8" w:color="auto"/>
            </w:tcBorders>
            <w:shd w:val="clear" w:color="auto" w:fill="CCEEFF"/>
          </w:tcPr>
          <w:p>
            <w:pPr>
              <w:ind w:left="400"/>
              <w:spacing w:after="0" w:line="142" w:lineRule="exact"/>
              <w:rPr>
                <w:sz w:val="20"/>
                <w:szCs w:val="20"/>
                <w:color w:val="auto"/>
              </w:rPr>
            </w:pPr>
            <w:r>
              <w:rPr>
                <w:rFonts w:ascii="Arial" w:cs="Arial" w:eastAsia="Arial" w:hAnsi="Arial"/>
                <w:sz w:val="14"/>
                <w:szCs w:val="14"/>
                <w:b w:val="1"/>
                <w:bCs w:val="1"/>
                <w:color w:val="auto"/>
              </w:rPr>
              <w:t>—</w:t>
            </w:r>
          </w:p>
        </w:tc>
        <w:tc>
          <w:tcPr>
            <w:tcW w:w="180" w:type="dxa"/>
            <w:vAlign w:val="bottom"/>
            <w:tcBorders>
              <w:top w:val="single" w:sz="8" w:color="CCEEFF"/>
              <w:left w:val="single" w:sz="8" w:color="CCEEFF"/>
              <w:bottom w:val="single" w:sz="8" w:color="CCEEFF"/>
              <w:right w:val="single" w:sz="8" w:color="CCEEFF"/>
            </w:tcBorders>
            <w:shd w:val="clear" w:color="auto" w:fill="CCEEFF"/>
          </w:tcPr>
          <w:p>
            <w:pPr>
              <w:spacing w:after="0"/>
              <w:rPr>
                <w:sz w:val="12"/>
                <w:szCs w:val="12"/>
                <w:color w:val="auto"/>
              </w:rPr>
            </w:pPr>
          </w:p>
        </w:tc>
        <w:tc>
          <w:tcPr>
            <w:tcW w:w="80" w:type="dxa"/>
            <w:vAlign w:val="bottom"/>
            <w:tcBorders>
              <w:top w:val="single" w:sz="8" w:color="auto"/>
              <w:bottom w:val="single" w:sz="8" w:color="auto"/>
            </w:tcBorders>
            <w:shd w:val="clear" w:color="auto" w:fill="CCEEFF"/>
          </w:tcPr>
          <w:p>
            <w:pPr>
              <w:spacing w:after="0" w:line="142" w:lineRule="exact"/>
              <w:rPr>
                <w:sz w:val="20"/>
                <w:szCs w:val="20"/>
                <w:color w:val="auto"/>
              </w:rPr>
            </w:pPr>
            <w:r>
              <w:rPr>
                <w:rFonts w:ascii="Arial" w:cs="Arial" w:eastAsia="Arial" w:hAnsi="Arial"/>
                <w:sz w:val="14"/>
                <w:szCs w:val="14"/>
                <w:b w:val="1"/>
                <w:bCs w:val="1"/>
                <w:color w:val="auto"/>
                <w:w w:val="76"/>
              </w:rPr>
              <w:t>$</w:t>
            </w:r>
          </w:p>
        </w:tc>
        <w:tc>
          <w:tcPr>
            <w:tcW w:w="700" w:type="dxa"/>
            <w:vAlign w:val="bottom"/>
            <w:tcBorders>
              <w:top w:val="single" w:sz="8" w:color="auto"/>
              <w:bottom w:val="single" w:sz="8" w:color="auto"/>
            </w:tcBorders>
            <w:shd w:val="clear" w:color="auto" w:fill="CCEEFF"/>
          </w:tcPr>
          <w:p>
            <w:pPr>
              <w:ind w:left="500"/>
              <w:spacing w:after="0" w:line="142" w:lineRule="exact"/>
              <w:rPr>
                <w:sz w:val="20"/>
                <w:szCs w:val="20"/>
                <w:color w:val="auto"/>
              </w:rPr>
            </w:pPr>
            <w:r>
              <w:rPr>
                <w:rFonts w:ascii="Arial" w:cs="Arial" w:eastAsia="Arial" w:hAnsi="Arial"/>
                <w:sz w:val="14"/>
                <w:szCs w:val="14"/>
                <w:b w:val="1"/>
                <w:bCs w:val="1"/>
                <w:color w:val="auto"/>
              </w:rPr>
              <w:t>—</w:t>
            </w:r>
          </w:p>
        </w:tc>
        <w:tc>
          <w:tcPr>
            <w:tcW w:w="160" w:type="dxa"/>
            <w:vAlign w:val="bottom"/>
            <w:tcBorders>
              <w:top w:val="single" w:sz="8" w:color="CCEEFF"/>
              <w:left w:val="single" w:sz="8" w:color="CCEEFF"/>
              <w:bottom w:val="single" w:sz="8" w:color="CCEEFF"/>
              <w:right w:val="single" w:sz="8" w:color="CCEEFF"/>
            </w:tcBorders>
            <w:shd w:val="clear" w:color="auto" w:fill="CCEEFF"/>
          </w:tcPr>
          <w:p>
            <w:pPr>
              <w:spacing w:after="0"/>
              <w:rPr>
                <w:sz w:val="12"/>
                <w:szCs w:val="12"/>
                <w:color w:val="auto"/>
              </w:rPr>
            </w:pPr>
          </w:p>
        </w:tc>
        <w:tc>
          <w:tcPr>
            <w:tcW w:w="80" w:type="dxa"/>
            <w:vAlign w:val="bottom"/>
            <w:tcBorders>
              <w:top w:val="single" w:sz="8" w:color="auto"/>
              <w:bottom w:val="single" w:sz="8" w:color="auto"/>
            </w:tcBorders>
            <w:shd w:val="clear" w:color="auto" w:fill="CCEEFF"/>
          </w:tcPr>
          <w:p>
            <w:pPr>
              <w:spacing w:after="0" w:line="142" w:lineRule="exact"/>
              <w:rPr>
                <w:sz w:val="20"/>
                <w:szCs w:val="20"/>
                <w:color w:val="auto"/>
              </w:rPr>
            </w:pPr>
            <w:r>
              <w:rPr>
                <w:rFonts w:ascii="Arial" w:cs="Arial" w:eastAsia="Arial" w:hAnsi="Arial"/>
                <w:sz w:val="14"/>
                <w:szCs w:val="14"/>
                <w:b w:val="1"/>
                <w:bCs w:val="1"/>
                <w:color w:val="auto"/>
                <w:w w:val="76"/>
              </w:rPr>
              <w:t>$</w:t>
            </w:r>
          </w:p>
        </w:tc>
        <w:tc>
          <w:tcPr>
            <w:tcW w:w="660" w:type="dxa"/>
            <w:vAlign w:val="bottom"/>
            <w:tcBorders>
              <w:top w:val="single" w:sz="8" w:color="auto"/>
              <w:bottom w:val="single" w:sz="8" w:color="auto"/>
            </w:tcBorders>
            <w:shd w:val="clear" w:color="auto" w:fill="CCEEFF"/>
          </w:tcPr>
          <w:p>
            <w:pPr>
              <w:ind w:left="460"/>
              <w:spacing w:after="0" w:line="142" w:lineRule="exact"/>
              <w:rPr>
                <w:sz w:val="20"/>
                <w:szCs w:val="20"/>
                <w:color w:val="auto"/>
              </w:rPr>
            </w:pPr>
            <w:r>
              <w:rPr>
                <w:rFonts w:ascii="Arial" w:cs="Arial" w:eastAsia="Arial" w:hAnsi="Arial"/>
                <w:sz w:val="14"/>
                <w:szCs w:val="14"/>
                <w:b w:val="1"/>
                <w:bCs w:val="1"/>
                <w:color w:val="auto"/>
              </w:rPr>
              <w:t>—</w:t>
            </w:r>
          </w:p>
        </w:tc>
        <w:tc>
          <w:tcPr>
            <w:tcW w:w="160" w:type="dxa"/>
            <w:vAlign w:val="bottom"/>
            <w:tcBorders>
              <w:top w:val="single" w:sz="8" w:color="CCEEFF"/>
              <w:left w:val="single" w:sz="8" w:color="CCEEFF"/>
              <w:bottom w:val="single" w:sz="8" w:color="CCEEFF"/>
              <w:right w:val="single" w:sz="8" w:color="CCEEFF"/>
            </w:tcBorders>
            <w:shd w:val="clear" w:color="auto" w:fill="CCEEFF"/>
          </w:tcPr>
          <w:p>
            <w:pPr>
              <w:spacing w:after="0"/>
              <w:rPr>
                <w:sz w:val="12"/>
                <w:szCs w:val="12"/>
                <w:color w:val="auto"/>
              </w:rPr>
            </w:pPr>
          </w:p>
        </w:tc>
        <w:tc>
          <w:tcPr>
            <w:tcW w:w="200" w:type="dxa"/>
            <w:vAlign w:val="bottom"/>
            <w:tcBorders>
              <w:top w:val="single" w:sz="8" w:color="auto"/>
              <w:bottom w:val="single" w:sz="8" w:color="auto"/>
            </w:tcBorders>
            <w:shd w:val="clear" w:color="auto" w:fill="CCEEFF"/>
          </w:tcPr>
          <w:p>
            <w:pPr>
              <w:spacing w:after="0" w:line="142" w:lineRule="exact"/>
              <w:rPr>
                <w:sz w:val="20"/>
                <w:szCs w:val="20"/>
                <w:color w:val="auto"/>
              </w:rPr>
            </w:pPr>
            <w:r>
              <w:rPr>
                <w:rFonts w:ascii="Arial" w:cs="Arial" w:eastAsia="Arial" w:hAnsi="Arial"/>
                <w:sz w:val="14"/>
                <w:szCs w:val="14"/>
                <w:b w:val="1"/>
                <w:bCs w:val="1"/>
                <w:color w:val="auto"/>
              </w:rPr>
              <w:t>$</w:t>
            </w:r>
          </w:p>
        </w:tc>
        <w:tc>
          <w:tcPr>
            <w:tcW w:w="42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12.5</w:t>
            </w:r>
          </w:p>
        </w:tc>
        <w:tc>
          <w:tcPr>
            <w:tcW w:w="40" w:type="dxa"/>
            <w:vAlign w:val="bottom"/>
            <w:tcBorders>
              <w:top w:val="single" w:sz="8" w:color="CCEEFF"/>
              <w:left w:val="single" w:sz="8" w:color="CCEEFF"/>
              <w:bottom w:val="single" w:sz="8" w:color="CCEEFF"/>
            </w:tcBorders>
            <w:shd w:val="clear" w:color="auto" w:fill="CCEEFF"/>
          </w:tcPr>
          <w:p>
            <w:pPr>
              <w:spacing w:after="0"/>
              <w:rPr>
                <w:sz w:val="12"/>
                <w:szCs w:val="12"/>
                <w:color w:val="auto"/>
              </w:rPr>
            </w:pPr>
          </w:p>
        </w:tc>
        <w:tc>
          <w:tcPr>
            <w:tcW w:w="120" w:type="dxa"/>
            <w:vAlign w:val="bottom"/>
            <w:tcBorders>
              <w:top w:val="single" w:sz="8" w:color="CCEEFF"/>
              <w:bottom w:val="single" w:sz="8" w:color="CCEEFF"/>
              <w:right w:val="single" w:sz="8" w:color="CCEEFF"/>
            </w:tcBorders>
            <w:shd w:val="clear" w:color="auto" w:fill="CCEEFF"/>
          </w:tcPr>
          <w:p>
            <w:pPr>
              <w:spacing w:after="0"/>
              <w:rPr>
                <w:sz w:val="12"/>
                <w:szCs w:val="12"/>
                <w:color w:val="auto"/>
              </w:rPr>
            </w:pPr>
          </w:p>
        </w:tc>
        <w:tc>
          <w:tcPr>
            <w:tcW w:w="80" w:type="dxa"/>
            <w:vAlign w:val="bottom"/>
            <w:tcBorders>
              <w:top w:val="single" w:sz="8" w:color="auto"/>
              <w:bottom w:val="single" w:sz="8" w:color="auto"/>
            </w:tcBorders>
            <w:shd w:val="clear" w:color="auto" w:fill="CCEEFF"/>
          </w:tcPr>
          <w:p>
            <w:pPr>
              <w:spacing w:after="0" w:line="142" w:lineRule="exact"/>
              <w:rPr>
                <w:sz w:val="20"/>
                <w:szCs w:val="20"/>
                <w:color w:val="auto"/>
              </w:rPr>
            </w:pPr>
            <w:r>
              <w:rPr>
                <w:rFonts w:ascii="Arial" w:cs="Arial" w:eastAsia="Arial" w:hAnsi="Arial"/>
                <w:sz w:val="14"/>
                <w:szCs w:val="14"/>
                <w:b w:val="1"/>
                <w:bCs w:val="1"/>
                <w:color w:val="auto"/>
                <w:w w:val="76"/>
              </w:rPr>
              <w:t>$</w:t>
            </w:r>
          </w:p>
        </w:tc>
        <w:tc>
          <w:tcPr>
            <w:tcW w:w="60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160" w:type="dxa"/>
            <w:vAlign w:val="bottom"/>
            <w:tcBorders>
              <w:top w:val="single" w:sz="8" w:color="CCEEFF"/>
              <w:bottom w:val="single" w:sz="8" w:color="CCEEFF"/>
            </w:tcBorders>
            <w:shd w:val="clear" w:color="auto" w:fill="CCEEFF"/>
          </w:tcPr>
          <w:p>
            <w:pPr>
              <w:spacing w:after="0"/>
              <w:rPr>
                <w:sz w:val="12"/>
                <w:szCs w:val="12"/>
                <w:color w:val="auto"/>
              </w:rPr>
            </w:pPr>
          </w:p>
        </w:tc>
        <w:tc>
          <w:tcPr>
            <w:tcW w:w="80" w:type="dxa"/>
            <w:vAlign w:val="bottom"/>
            <w:tcBorders>
              <w:top w:val="single" w:sz="8" w:color="auto"/>
              <w:bottom w:val="single" w:sz="8" w:color="auto"/>
            </w:tcBorders>
            <w:shd w:val="clear" w:color="auto" w:fill="CCEEFF"/>
          </w:tcPr>
          <w:p>
            <w:pPr>
              <w:spacing w:after="0" w:line="142" w:lineRule="exact"/>
              <w:rPr>
                <w:sz w:val="20"/>
                <w:szCs w:val="20"/>
                <w:color w:val="auto"/>
              </w:rPr>
            </w:pPr>
            <w:r>
              <w:rPr>
                <w:rFonts w:ascii="Arial" w:cs="Arial" w:eastAsia="Arial" w:hAnsi="Arial"/>
                <w:sz w:val="14"/>
                <w:szCs w:val="14"/>
                <w:b w:val="1"/>
                <w:bCs w:val="1"/>
                <w:color w:val="auto"/>
                <w:w w:val="76"/>
              </w:rPr>
              <w:t>$</w:t>
            </w:r>
          </w:p>
        </w:tc>
        <w:tc>
          <w:tcPr>
            <w:tcW w:w="70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140" w:type="dxa"/>
            <w:vAlign w:val="bottom"/>
            <w:tcBorders>
              <w:top w:val="single" w:sz="8" w:color="CCEEFF"/>
              <w:bottom w:val="single" w:sz="8" w:color="CCEEFF"/>
            </w:tcBorders>
            <w:shd w:val="clear" w:color="auto" w:fill="CCEEFF"/>
          </w:tcPr>
          <w:p>
            <w:pPr>
              <w:spacing w:after="0"/>
              <w:rPr>
                <w:sz w:val="12"/>
                <w:szCs w:val="12"/>
                <w:color w:val="auto"/>
              </w:rPr>
            </w:pPr>
          </w:p>
        </w:tc>
        <w:tc>
          <w:tcPr>
            <w:tcW w:w="100" w:type="dxa"/>
            <w:vAlign w:val="bottom"/>
            <w:tcBorders>
              <w:top w:val="single" w:sz="8" w:color="auto"/>
              <w:bottom w:val="single" w:sz="8" w:color="auto"/>
            </w:tcBorders>
            <w:shd w:val="clear" w:color="auto" w:fill="CCEEFF"/>
          </w:tcPr>
          <w:p>
            <w:pPr>
              <w:ind w:left="20"/>
              <w:spacing w:after="0" w:line="142" w:lineRule="exact"/>
              <w:rPr>
                <w:sz w:val="20"/>
                <w:szCs w:val="20"/>
                <w:color w:val="auto"/>
              </w:rPr>
            </w:pPr>
            <w:r>
              <w:rPr>
                <w:rFonts w:ascii="Arial" w:cs="Arial" w:eastAsia="Arial" w:hAnsi="Arial"/>
                <w:sz w:val="14"/>
                <w:szCs w:val="14"/>
                <w:b w:val="1"/>
                <w:bCs w:val="1"/>
                <w:color w:val="auto"/>
                <w:w w:val="76"/>
              </w:rPr>
              <w:t>$</w:t>
            </w:r>
          </w:p>
        </w:tc>
        <w:tc>
          <w:tcPr>
            <w:tcW w:w="78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160" w:type="dxa"/>
            <w:vAlign w:val="bottom"/>
            <w:tcBorders>
              <w:top w:val="single" w:sz="8" w:color="CCEEFF"/>
              <w:bottom w:val="single" w:sz="8" w:color="CCEEFF"/>
            </w:tcBorders>
            <w:shd w:val="clear" w:color="auto" w:fill="CCEEFF"/>
          </w:tcPr>
          <w:p>
            <w:pPr>
              <w:spacing w:after="0"/>
              <w:rPr>
                <w:sz w:val="12"/>
                <w:szCs w:val="12"/>
                <w:color w:val="auto"/>
              </w:rPr>
            </w:pPr>
          </w:p>
        </w:tc>
        <w:tc>
          <w:tcPr>
            <w:tcW w:w="120" w:type="dxa"/>
            <w:vAlign w:val="bottom"/>
            <w:tcBorders>
              <w:top w:val="single" w:sz="8" w:color="auto"/>
              <w:bottom w:val="single" w:sz="8" w:color="auto"/>
            </w:tcBorders>
            <w:shd w:val="clear" w:color="auto" w:fill="CCEEFF"/>
          </w:tcPr>
          <w:p>
            <w:pPr>
              <w:spacing w:after="0" w:line="142" w:lineRule="exact"/>
              <w:rPr>
                <w:sz w:val="20"/>
                <w:szCs w:val="20"/>
                <w:color w:val="auto"/>
              </w:rPr>
            </w:pPr>
            <w:r>
              <w:rPr>
                <w:rFonts w:ascii="Arial" w:cs="Arial" w:eastAsia="Arial" w:hAnsi="Arial"/>
                <w:sz w:val="14"/>
                <w:szCs w:val="14"/>
                <w:b w:val="1"/>
                <w:bCs w:val="1"/>
                <w:color w:val="auto"/>
              </w:rPr>
              <w:t>$</w:t>
            </w:r>
          </w:p>
        </w:tc>
        <w:tc>
          <w:tcPr>
            <w:tcW w:w="58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140" w:type="dxa"/>
            <w:vAlign w:val="bottom"/>
            <w:tcBorders>
              <w:top w:val="single" w:sz="8" w:color="CCEEFF"/>
              <w:bottom w:val="single" w:sz="8" w:color="CCEEFF"/>
            </w:tcBorders>
            <w:shd w:val="clear" w:color="auto" w:fill="CCEEFF"/>
          </w:tcPr>
          <w:p>
            <w:pPr>
              <w:spacing w:after="0"/>
              <w:rPr>
                <w:sz w:val="12"/>
                <w:szCs w:val="12"/>
                <w:color w:val="auto"/>
              </w:rPr>
            </w:pPr>
          </w:p>
        </w:tc>
        <w:tc>
          <w:tcPr>
            <w:tcW w:w="20" w:type="dxa"/>
            <w:vAlign w:val="bottom"/>
            <w:tcBorders>
              <w:top w:val="single" w:sz="8" w:color="CCEEFF"/>
              <w:bottom w:val="single" w:sz="8" w:color="CCEEFF"/>
            </w:tcBorders>
            <w:shd w:val="clear" w:color="auto" w:fill="CCEEFF"/>
          </w:tcPr>
          <w:p>
            <w:pPr>
              <w:spacing w:after="0"/>
              <w:rPr>
                <w:sz w:val="12"/>
                <w:szCs w:val="12"/>
                <w:color w:val="auto"/>
              </w:rPr>
            </w:pP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0"/>
                <w:szCs w:val="10"/>
                <w:b w:val="1"/>
                <w:bCs w:val="1"/>
                <w:color w:val="auto"/>
                <w:w w:val="71"/>
              </w:rPr>
              <w:t>$</w:t>
            </w:r>
          </w:p>
        </w:tc>
        <w:tc>
          <w:tcPr>
            <w:tcW w:w="34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w w:val="95"/>
              </w:rPr>
              <w:t>12.5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2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20" w:type="dxa"/>
            <w:vAlign w:val="bottom"/>
            <w:tcBorders>
              <w:bottom w:val="single" w:sz="8" w:color="auto"/>
            </w:tcBorders>
            <w:gridSpan w:val="2"/>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680" w:type="dxa"/>
            <w:vAlign w:val="bottom"/>
            <w:tcBorders>
              <w:bottom w:val="single" w:sz="8" w:color="auto"/>
            </w:tcBorders>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80" w:type="dxa"/>
            <w:vAlign w:val="bottom"/>
            <w:tcBorders>
              <w:bottom w:val="single" w:sz="8" w:color="auto"/>
            </w:tcBorders>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1"/>
        </w:trPr>
        <w:tc>
          <w:tcPr>
            <w:tcW w:w="2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360" w:type="dxa"/>
            <w:vAlign w:val="bottom"/>
            <w:tcBorders>
              <w:bottom w:val="single" w:sz="8" w:color="auto"/>
            </w:tcBorders>
            <w:gridSpan w:val="12"/>
          </w:tcPr>
          <w:p>
            <w:pPr>
              <w:jc w:val="center"/>
              <w:ind w:left="288"/>
              <w:spacing w:after="0"/>
              <w:rPr>
                <w:sz w:val="20"/>
                <w:szCs w:val="20"/>
                <w:color w:val="auto"/>
              </w:rPr>
            </w:pPr>
            <w:r>
              <w:rPr>
                <w:rFonts w:ascii="Arial" w:cs="Arial" w:eastAsia="Arial" w:hAnsi="Arial"/>
                <w:sz w:val="14"/>
                <w:szCs w:val="14"/>
                <w:b w:val="1"/>
                <w:bCs w:val="1"/>
                <w:color w:val="auto"/>
                <w:w w:val="91"/>
              </w:rPr>
              <w:t>For the three months ended June 30, 2021</w:t>
            </w:r>
          </w:p>
        </w:tc>
        <w:tc>
          <w:tcPr>
            <w:tcW w:w="10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22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80" w:type="dxa"/>
            <w:vAlign w:val="bottom"/>
            <w:gridSpan w:val="2"/>
          </w:tcPr>
          <w:p>
            <w:pPr>
              <w:jc w:val="center"/>
              <w:spacing w:after="0" w:line="119" w:lineRule="exact"/>
              <w:rPr>
                <w:sz w:val="20"/>
                <w:szCs w:val="20"/>
                <w:color w:val="auto"/>
              </w:rPr>
            </w:pPr>
            <w:r>
              <w:rPr>
                <w:rFonts w:ascii="Arial" w:cs="Arial" w:eastAsia="Arial" w:hAnsi="Arial"/>
                <w:sz w:val="13"/>
                <w:szCs w:val="13"/>
                <w:b w:val="1"/>
                <w:bCs w:val="1"/>
                <w:color w:val="auto"/>
                <w:w w:val="97"/>
              </w:rPr>
              <w:t>Residential</w:t>
            </w: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0"/>
              </w:rPr>
              <w:t>mortgage-</w:t>
            </w:r>
          </w:p>
        </w:tc>
        <w:tc>
          <w:tcPr>
            <w:tcW w:w="160" w:type="dxa"/>
            <w:vAlign w:val="bottom"/>
          </w:tcPr>
          <w:p>
            <w:pPr>
              <w:spacing w:after="0"/>
              <w:rPr>
                <w:sz w:val="12"/>
                <w:szCs w:val="12"/>
                <w:color w:val="auto"/>
              </w:rPr>
            </w:pPr>
          </w:p>
        </w:tc>
        <w:tc>
          <w:tcPr>
            <w:tcW w:w="920" w:type="dxa"/>
            <w:vAlign w:val="bottom"/>
            <w:gridSpan w:val="3"/>
            <w:vMerge w:val="restart"/>
          </w:tcPr>
          <w:p>
            <w:pPr>
              <w:ind w:left="20"/>
              <w:spacing w:after="0"/>
              <w:rPr>
                <w:sz w:val="20"/>
                <w:szCs w:val="20"/>
                <w:color w:val="auto"/>
              </w:rPr>
            </w:pPr>
            <w:r>
              <w:rPr>
                <w:rFonts w:ascii="Arial" w:cs="Arial" w:eastAsia="Arial" w:hAnsi="Arial"/>
                <w:sz w:val="14"/>
                <w:szCs w:val="14"/>
                <w:b w:val="1"/>
                <w:bCs w:val="1"/>
                <w:color w:val="auto"/>
              </w:rPr>
              <w:t>Commercial</w:t>
            </w:r>
          </w:p>
        </w:tc>
        <w:tc>
          <w:tcPr>
            <w:tcW w:w="1040" w:type="dxa"/>
            <w:vAlign w:val="bottom"/>
            <w:gridSpan w:val="3"/>
            <w:vMerge w:val="restart"/>
          </w:tcPr>
          <w:p>
            <w:pPr>
              <w:ind w:left="20"/>
              <w:spacing w:after="0"/>
              <w:rPr>
                <w:sz w:val="20"/>
                <w:szCs w:val="20"/>
                <w:color w:val="auto"/>
              </w:rPr>
            </w:pPr>
            <w:r>
              <w:rPr>
                <w:rFonts w:ascii="Arial" w:cs="Arial" w:eastAsia="Arial" w:hAnsi="Arial"/>
                <w:sz w:val="14"/>
                <w:szCs w:val="14"/>
                <w:b w:val="1"/>
                <w:bCs w:val="1"/>
                <w:color w:val="auto"/>
              </w:rPr>
              <w:t>Collateralized</w:t>
            </w:r>
          </w:p>
        </w:tc>
        <w:tc>
          <w:tcPr>
            <w:tcW w:w="1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vMerge w:val="restart"/>
          </w:tcPr>
          <w:p>
            <w:pPr>
              <w:jc w:val="center"/>
              <w:ind w:right="68"/>
              <w:spacing w:after="0"/>
              <w:rPr>
                <w:sz w:val="20"/>
                <w:szCs w:val="20"/>
                <w:color w:val="auto"/>
              </w:rPr>
            </w:pPr>
            <w:r>
              <w:rPr>
                <w:rFonts w:ascii="Arial" w:cs="Arial" w:eastAsia="Arial" w:hAnsi="Arial"/>
                <w:sz w:val="14"/>
                <w:szCs w:val="14"/>
                <w:b w:val="1"/>
                <w:bCs w:val="1"/>
                <w:color w:val="auto"/>
                <w:w w:val="95"/>
              </w:rPr>
              <w:t>U.S.</w:t>
            </w: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gridSpan w:val="3"/>
            <w:vMerge w:val="restart"/>
          </w:tcPr>
          <w:p>
            <w:pPr>
              <w:jc w:val="center"/>
              <w:ind w:right="160"/>
              <w:spacing w:after="0"/>
              <w:rPr>
                <w:sz w:val="20"/>
                <w:szCs w:val="20"/>
                <w:color w:val="auto"/>
              </w:rPr>
            </w:pPr>
            <w:r>
              <w:rPr>
                <w:rFonts w:ascii="Arial" w:cs="Arial" w:eastAsia="Arial" w:hAnsi="Arial"/>
                <w:sz w:val="14"/>
                <w:szCs w:val="14"/>
                <w:b w:val="1"/>
                <w:bCs w:val="1"/>
                <w:color w:val="auto"/>
                <w:w w:val="87"/>
              </w:rPr>
              <w:t>States and</w:t>
            </w:r>
          </w:p>
        </w:tc>
        <w:tc>
          <w:tcPr>
            <w:tcW w:w="2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jc w:val="center"/>
              <w:ind w:right="8"/>
              <w:spacing w:after="0" w:line="149" w:lineRule="exact"/>
              <w:rPr>
                <w:sz w:val="20"/>
                <w:szCs w:val="20"/>
                <w:color w:val="auto"/>
              </w:rPr>
            </w:pPr>
            <w:r>
              <w:rPr>
                <w:rFonts w:ascii="Arial" w:cs="Arial" w:eastAsia="Arial" w:hAnsi="Arial"/>
                <w:sz w:val="14"/>
                <w:szCs w:val="14"/>
                <w:b w:val="1"/>
                <w:bCs w:val="1"/>
                <w:color w:val="auto"/>
                <w:w w:val="91"/>
              </w:rPr>
              <w:t>backed</w:t>
            </w:r>
          </w:p>
        </w:tc>
        <w:tc>
          <w:tcPr>
            <w:tcW w:w="160" w:type="dxa"/>
            <w:vAlign w:val="bottom"/>
          </w:tcPr>
          <w:p>
            <w:pPr>
              <w:spacing w:after="0"/>
              <w:rPr>
                <w:sz w:val="12"/>
                <w:szCs w:val="12"/>
                <w:color w:val="auto"/>
              </w:rPr>
            </w:pPr>
          </w:p>
        </w:tc>
        <w:tc>
          <w:tcPr>
            <w:tcW w:w="920" w:type="dxa"/>
            <w:vAlign w:val="bottom"/>
            <w:gridSpan w:val="3"/>
            <w:vMerge w:val="continue"/>
          </w:tcPr>
          <w:p>
            <w:pPr>
              <w:spacing w:after="0"/>
              <w:rPr>
                <w:sz w:val="12"/>
                <w:szCs w:val="12"/>
                <w:color w:val="auto"/>
              </w:rPr>
            </w:pPr>
          </w:p>
        </w:tc>
        <w:tc>
          <w:tcPr>
            <w:tcW w:w="1040" w:type="dxa"/>
            <w:vAlign w:val="bottom"/>
            <w:gridSpan w:val="3"/>
            <w:vMerge w:val="continue"/>
          </w:tcPr>
          <w:p>
            <w:pPr>
              <w:spacing w:after="0"/>
              <w:rPr>
                <w:sz w:val="12"/>
                <w:szCs w:val="12"/>
                <w:color w:val="auto"/>
              </w:rPr>
            </w:pPr>
          </w:p>
        </w:tc>
        <w:tc>
          <w:tcPr>
            <w:tcW w:w="120" w:type="dxa"/>
            <w:vAlign w:val="bottom"/>
          </w:tcPr>
          <w:p>
            <w:pPr>
              <w:spacing w:after="0"/>
              <w:rPr>
                <w:sz w:val="12"/>
                <w:szCs w:val="12"/>
                <w:color w:val="auto"/>
              </w:rPr>
            </w:pPr>
          </w:p>
        </w:tc>
        <w:tc>
          <w:tcPr>
            <w:tcW w:w="72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rPr>
              <w:t>Other</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vMerge w:val="continue"/>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Non-U.S.</w:t>
            </w:r>
          </w:p>
        </w:tc>
        <w:tc>
          <w:tcPr>
            <w:tcW w:w="160" w:type="dxa"/>
            <w:vAlign w:val="bottom"/>
          </w:tcPr>
          <w:p>
            <w:pPr>
              <w:spacing w:after="0"/>
              <w:rPr>
                <w:sz w:val="12"/>
                <w:szCs w:val="12"/>
                <w:color w:val="auto"/>
              </w:rPr>
            </w:pPr>
          </w:p>
        </w:tc>
        <w:tc>
          <w:tcPr>
            <w:tcW w:w="900" w:type="dxa"/>
            <w:vAlign w:val="bottom"/>
            <w:gridSpan w:val="3"/>
            <w:vMerge w:val="continue"/>
          </w:tcPr>
          <w:p>
            <w:pPr>
              <w:spacing w:after="0"/>
              <w:rPr>
                <w:sz w:val="12"/>
                <w:szCs w:val="12"/>
                <w:color w:val="auto"/>
              </w:rPr>
            </w:pPr>
          </w:p>
        </w:tc>
        <w:tc>
          <w:tcPr>
            <w:tcW w:w="2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jc w:val="center"/>
              <w:ind w:right="8"/>
              <w:spacing w:after="0" w:line="149" w:lineRule="exact"/>
              <w:rPr>
                <w:sz w:val="20"/>
                <w:szCs w:val="20"/>
                <w:color w:val="auto"/>
              </w:rPr>
            </w:pPr>
            <w:r>
              <w:rPr>
                <w:rFonts w:ascii="Arial" w:cs="Arial" w:eastAsia="Arial" w:hAnsi="Arial"/>
                <w:sz w:val="14"/>
                <w:szCs w:val="14"/>
                <w:b w:val="1"/>
                <w:bCs w:val="1"/>
                <w:color w:val="auto"/>
                <w:w w:val="87"/>
              </w:rPr>
              <w:t>pass-</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0"/>
              </w:rPr>
              <w:t>mortgage-</w:t>
            </w:r>
          </w:p>
        </w:tc>
        <w:tc>
          <w:tcPr>
            <w:tcW w:w="100" w:type="dxa"/>
            <w:vAlign w:val="bottom"/>
          </w:tcPr>
          <w:p>
            <w:pPr>
              <w:spacing w:after="0"/>
              <w:rPr>
                <w:sz w:val="12"/>
                <w:szCs w:val="12"/>
                <w:color w:val="auto"/>
              </w:rPr>
            </w:pPr>
          </w:p>
        </w:tc>
        <w:tc>
          <w:tcPr>
            <w:tcW w:w="9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7"/>
              </w:rPr>
              <w:t>debt</w:t>
            </w:r>
          </w:p>
        </w:tc>
        <w:tc>
          <w:tcPr>
            <w:tcW w:w="120" w:type="dxa"/>
            <w:vAlign w:val="bottom"/>
          </w:tcPr>
          <w:p>
            <w:pPr>
              <w:spacing w:after="0"/>
              <w:rPr>
                <w:sz w:val="12"/>
                <w:szCs w:val="12"/>
                <w:color w:val="auto"/>
              </w:rPr>
            </w:pPr>
          </w:p>
        </w:tc>
        <w:tc>
          <w:tcPr>
            <w:tcW w:w="720" w:type="dxa"/>
            <w:vAlign w:val="bottom"/>
            <w:gridSpan w:val="2"/>
            <w:vMerge w:val="continue"/>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260" w:type="dxa"/>
            <w:vAlign w:val="bottom"/>
          </w:tcPr>
          <w:p>
            <w:pPr>
              <w:spacing w:after="0"/>
              <w:rPr>
                <w:sz w:val="12"/>
                <w:szCs w:val="12"/>
                <w:color w:val="auto"/>
              </w:rPr>
            </w:pPr>
          </w:p>
        </w:tc>
        <w:tc>
          <w:tcPr>
            <w:tcW w:w="76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2"/>
              </w:rPr>
              <w:t>government</w:t>
            </w: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vMerge w:val="continue"/>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4"/>
              </w:rPr>
              <w:t>political</w:t>
            </w:r>
          </w:p>
        </w:tc>
        <w:tc>
          <w:tcPr>
            <w:tcW w:w="660" w:type="dxa"/>
            <w:vAlign w:val="bottom"/>
            <w:gridSpan w:val="3"/>
            <w:vMerge w:val="restart"/>
          </w:tcPr>
          <w:p>
            <w:pPr>
              <w:spacing w:after="0"/>
              <w:rPr>
                <w:sz w:val="20"/>
                <w:szCs w:val="20"/>
                <w:color w:val="auto"/>
              </w:rPr>
            </w:pPr>
            <w:r>
              <w:rPr>
                <w:rFonts w:ascii="Arial" w:cs="Arial" w:eastAsia="Arial" w:hAnsi="Arial"/>
                <w:sz w:val="14"/>
                <w:szCs w:val="14"/>
                <w:b w:val="1"/>
                <w:bCs w:val="1"/>
                <w:color w:val="auto"/>
                <w:w w:val="95"/>
              </w:rPr>
              <w:t>Corporate</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through</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6"/>
              </w:rPr>
              <w:t>backed</w:t>
            </w:r>
          </w:p>
        </w:tc>
        <w:tc>
          <w:tcPr>
            <w:tcW w:w="100" w:type="dxa"/>
            <w:vAlign w:val="bottom"/>
          </w:tcPr>
          <w:p>
            <w:pPr>
              <w:spacing w:after="0"/>
              <w:rPr>
                <w:sz w:val="12"/>
                <w:szCs w:val="12"/>
                <w:color w:val="auto"/>
              </w:rPr>
            </w:pPr>
          </w:p>
        </w:tc>
        <w:tc>
          <w:tcPr>
            <w:tcW w:w="9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8"/>
              </w:rPr>
              <w:t>obligations</w:t>
            </w:r>
          </w:p>
        </w:tc>
        <w:tc>
          <w:tcPr>
            <w:tcW w:w="120" w:type="dxa"/>
            <w:vAlign w:val="bottom"/>
          </w:tcPr>
          <w:p>
            <w:pPr>
              <w:spacing w:after="0"/>
              <w:rPr>
                <w:sz w:val="12"/>
                <w:szCs w:val="12"/>
                <w:color w:val="auto"/>
              </w:rPr>
            </w:pPr>
          </w:p>
        </w:tc>
        <w:tc>
          <w:tcPr>
            <w:tcW w:w="7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7"/>
              </w:rPr>
              <w:t>debt</w:t>
            </w:r>
          </w:p>
        </w:tc>
        <w:tc>
          <w:tcPr>
            <w:tcW w:w="20" w:type="dxa"/>
            <w:vAlign w:val="bottom"/>
          </w:tcPr>
          <w:p>
            <w:pPr>
              <w:spacing w:after="0"/>
              <w:rPr>
                <w:sz w:val="12"/>
                <w:szCs w:val="12"/>
                <w:color w:val="auto"/>
              </w:rPr>
            </w:pPr>
          </w:p>
        </w:tc>
        <w:tc>
          <w:tcPr>
            <w:tcW w:w="42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260" w:type="dxa"/>
            <w:vAlign w:val="bottom"/>
          </w:tcPr>
          <w:p>
            <w:pPr>
              <w:spacing w:after="0"/>
              <w:rPr>
                <w:sz w:val="14"/>
                <w:szCs w:val="14"/>
                <w:color w:val="auto"/>
              </w:rPr>
            </w:pPr>
          </w:p>
        </w:tc>
        <w:tc>
          <w:tcPr>
            <w:tcW w:w="760" w:type="dxa"/>
            <w:vAlign w:val="bottom"/>
            <w:gridSpan w:val="2"/>
          </w:tcPr>
          <w:p>
            <w:pPr>
              <w:spacing w:after="0"/>
              <w:rPr>
                <w:sz w:val="20"/>
                <w:szCs w:val="20"/>
                <w:color w:val="auto"/>
              </w:rPr>
            </w:pPr>
            <w:r>
              <w:rPr>
                <w:rFonts w:ascii="Arial" w:cs="Arial" w:eastAsia="Arial" w:hAnsi="Arial"/>
                <w:sz w:val="14"/>
                <w:szCs w:val="14"/>
                <w:b w:val="1"/>
                <w:bCs w:val="1"/>
                <w:color w:val="auto"/>
                <w:w w:val="81"/>
              </w:rPr>
              <w:t>and agencies</w:t>
            </w:r>
          </w:p>
        </w:tc>
        <w:tc>
          <w:tcPr>
            <w:tcW w:w="180" w:type="dxa"/>
            <w:vAlign w:val="bottom"/>
          </w:tcPr>
          <w:p>
            <w:pPr>
              <w:spacing w:after="0"/>
              <w:rPr>
                <w:sz w:val="14"/>
                <w:szCs w:val="14"/>
                <w:color w:val="auto"/>
              </w:rPr>
            </w:pPr>
          </w:p>
        </w:tc>
        <w:tc>
          <w:tcPr>
            <w:tcW w:w="780" w:type="dxa"/>
            <w:vAlign w:val="bottom"/>
            <w:gridSpan w:val="2"/>
          </w:tcPr>
          <w:p>
            <w:pPr>
              <w:spacing w:after="0"/>
              <w:rPr>
                <w:sz w:val="20"/>
                <w:szCs w:val="20"/>
                <w:color w:val="auto"/>
              </w:rPr>
            </w:pPr>
            <w:r>
              <w:rPr>
                <w:rFonts w:ascii="Arial" w:cs="Arial" w:eastAsia="Arial" w:hAnsi="Arial"/>
                <w:sz w:val="14"/>
                <w:szCs w:val="14"/>
                <w:b w:val="1"/>
                <w:bCs w:val="1"/>
                <w:color w:val="auto"/>
                <w:w w:val="84"/>
              </w:rPr>
              <w:t>governments</w:t>
            </w:r>
          </w:p>
        </w:tc>
        <w:tc>
          <w:tcPr>
            <w:tcW w:w="160" w:type="dxa"/>
            <w:vAlign w:val="bottom"/>
          </w:tcPr>
          <w:p>
            <w:pPr>
              <w:spacing w:after="0"/>
              <w:rPr>
                <w:sz w:val="14"/>
                <w:szCs w:val="14"/>
                <w:color w:val="auto"/>
              </w:rPr>
            </w:pPr>
          </w:p>
        </w:tc>
        <w:tc>
          <w:tcPr>
            <w:tcW w:w="740" w:type="dxa"/>
            <w:vAlign w:val="bottom"/>
            <w:gridSpan w:val="2"/>
          </w:tcPr>
          <w:p>
            <w:pPr>
              <w:spacing w:after="0"/>
              <w:rPr>
                <w:sz w:val="20"/>
                <w:szCs w:val="20"/>
                <w:color w:val="auto"/>
              </w:rPr>
            </w:pPr>
            <w:r>
              <w:rPr>
                <w:rFonts w:ascii="Arial" w:cs="Arial" w:eastAsia="Arial" w:hAnsi="Arial"/>
                <w:sz w:val="14"/>
                <w:szCs w:val="14"/>
                <w:b w:val="1"/>
                <w:bCs w:val="1"/>
                <w:color w:val="auto"/>
                <w:w w:val="81"/>
              </w:rPr>
              <w:t>subdivisions</w:t>
            </w:r>
          </w:p>
        </w:tc>
        <w:tc>
          <w:tcPr>
            <w:tcW w:w="160" w:type="dxa"/>
            <w:vAlign w:val="bottom"/>
          </w:tcPr>
          <w:p>
            <w:pPr>
              <w:spacing w:after="0"/>
              <w:rPr>
                <w:sz w:val="14"/>
                <w:szCs w:val="14"/>
                <w:color w:val="auto"/>
              </w:rPr>
            </w:pPr>
          </w:p>
        </w:tc>
        <w:tc>
          <w:tcPr>
            <w:tcW w:w="660" w:type="dxa"/>
            <w:vAlign w:val="bottom"/>
            <w:gridSpan w:val="3"/>
            <w:vMerge w:val="continue"/>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gridSpan w:val="2"/>
          </w:tcPr>
          <w:p>
            <w:pPr>
              <w:jc w:val="right"/>
              <w:spacing w:after="0"/>
              <w:rPr>
                <w:sz w:val="20"/>
                <w:szCs w:val="20"/>
                <w:color w:val="auto"/>
              </w:rPr>
            </w:pPr>
            <w:r>
              <w:rPr>
                <w:rFonts w:ascii="Arial" w:cs="Arial" w:eastAsia="Arial" w:hAnsi="Arial"/>
                <w:sz w:val="14"/>
                <w:szCs w:val="14"/>
                <w:b w:val="1"/>
                <w:bCs w:val="1"/>
                <w:color w:val="auto"/>
                <w:w w:val="94"/>
              </w:rPr>
              <w:t>securities</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8"/>
              </w:rPr>
              <w:t>securities</w:t>
            </w:r>
          </w:p>
        </w:tc>
        <w:tc>
          <w:tcPr>
            <w:tcW w:w="100" w:type="dxa"/>
            <w:vAlign w:val="bottom"/>
          </w:tcPr>
          <w:p>
            <w:pPr>
              <w:spacing w:after="0"/>
              <w:rPr>
                <w:sz w:val="14"/>
                <w:szCs w:val="14"/>
                <w:color w:val="auto"/>
              </w:rPr>
            </w:pPr>
          </w:p>
        </w:tc>
        <w:tc>
          <w:tcPr>
            <w:tcW w:w="780" w:type="dxa"/>
            <w:vAlign w:val="bottom"/>
          </w:tcPr>
          <w:p>
            <w:pPr>
              <w:jc w:val="center"/>
              <w:ind w:right="8"/>
              <w:spacing w:after="0"/>
              <w:rPr>
                <w:sz w:val="20"/>
                <w:szCs w:val="20"/>
                <w:color w:val="auto"/>
              </w:rPr>
            </w:pPr>
            <w:r>
              <w:rPr>
                <w:rFonts w:ascii="Arial" w:cs="Arial" w:eastAsia="Arial" w:hAnsi="Arial"/>
                <w:sz w:val="14"/>
                <w:szCs w:val="14"/>
                <w:b w:val="1"/>
                <w:bCs w:val="1"/>
                <w:color w:val="auto"/>
              </w:rPr>
              <w:t>(1)</w:t>
            </w:r>
          </w:p>
        </w:tc>
        <w:tc>
          <w:tcPr>
            <w:tcW w:w="160" w:type="dxa"/>
            <w:vAlign w:val="bottom"/>
          </w:tcPr>
          <w:p>
            <w:pPr>
              <w:spacing w:after="0"/>
              <w:rPr>
                <w:sz w:val="14"/>
                <w:szCs w:val="14"/>
                <w:color w:val="auto"/>
              </w:rPr>
            </w:pPr>
          </w:p>
        </w:tc>
        <w:tc>
          <w:tcPr>
            <w:tcW w:w="840" w:type="dxa"/>
            <w:vAlign w:val="bottom"/>
            <w:gridSpan w:val="3"/>
          </w:tcPr>
          <w:p>
            <w:pPr>
              <w:ind w:left="20"/>
              <w:spacing w:after="0"/>
              <w:rPr>
                <w:sz w:val="20"/>
                <w:szCs w:val="20"/>
                <w:color w:val="auto"/>
              </w:rPr>
            </w:pPr>
            <w:r>
              <w:rPr>
                <w:rFonts w:ascii="Arial" w:cs="Arial" w:eastAsia="Arial" w:hAnsi="Arial"/>
                <w:sz w:val="14"/>
                <w:szCs w:val="14"/>
                <w:b w:val="1"/>
                <w:bCs w:val="1"/>
                <w:color w:val="auto"/>
              </w:rPr>
              <w:t>obligations</w:t>
            </w:r>
          </w:p>
        </w:tc>
        <w:tc>
          <w:tcPr>
            <w:tcW w:w="20" w:type="dxa"/>
            <w:vAlign w:val="bottom"/>
          </w:tcPr>
          <w:p>
            <w:pPr>
              <w:spacing w:after="0"/>
              <w:rPr>
                <w:sz w:val="14"/>
                <w:szCs w:val="14"/>
                <w:color w:val="auto"/>
              </w:rPr>
            </w:pPr>
          </w:p>
        </w:tc>
        <w:tc>
          <w:tcPr>
            <w:tcW w:w="42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2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80" w:type="dxa"/>
            <w:vAlign w:val="bottom"/>
            <w:tcBorders>
              <w:left w:val="single" w:sz="8" w:color="auto"/>
            </w:tcBorders>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60" w:type="dxa"/>
            <w:vAlign w:val="bottom"/>
            <w:tcBorders>
              <w:left w:val="single" w:sz="8" w:color="auto"/>
            </w:tcBorders>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60" w:type="dxa"/>
            <w:vAlign w:val="bottom"/>
            <w:tcBorders>
              <w:left w:val="single" w:sz="8" w:color="auto"/>
            </w:tcBorders>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40" w:type="dxa"/>
            <w:vAlign w:val="bottom"/>
            <w:tcBorders>
              <w:left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80" w:type="dxa"/>
            <w:vAlign w:val="bottom"/>
            <w:gridSpan w:val="2"/>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8"/>
        </w:trPr>
        <w:tc>
          <w:tcPr>
            <w:tcW w:w="20" w:type="dxa"/>
            <w:vAlign w:val="bottom"/>
          </w:tcPr>
          <w:p>
            <w:pPr>
              <w:spacing w:after="0"/>
              <w:rPr>
                <w:sz w:val="11"/>
                <w:szCs w:val="11"/>
                <w:color w:val="auto"/>
              </w:rPr>
            </w:pPr>
          </w:p>
        </w:tc>
        <w:tc>
          <w:tcPr>
            <w:tcW w:w="22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gridSpan w:val="3"/>
          </w:tcPr>
          <w:p>
            <w:pPr>
              <w:jc w:val="center"/>
              <w:spacing w:after="0" w:line="129" w:lineRule="exact"/>
              <w:rPr>
                <w:sz w:val="20"/>
                <w:szCs w:val="20"/>
                <w:color w:val="auto"/>
              </w:rPr>
            </w:pPr>
            <w:r>
              <w:rPr>
                <w:rFonts w:ascii="Arial" w:cs="Arial" w:eastAsia="Arial" w:hAnsi="Arial"/>
                <w:sz w:val="14"/>
                <w:szCs w:val="14"/>
                <w:i w:val="1"/>
                <w:iCs w:val="1"/>
                <w:color w:val="auto"/>
              </w:rPr>
              <w:t>(in millions)</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260" w:type="dxa"/>
            <w:vAlign w:val="bottom"/>
            <w:tcBorders>
              <w:right w:val="single" w:sz="8" w:color="CCEEFF"/>
            </w:tcBorders>
            <w:shd w:val="clear" w:color="auto" w:fill="CCEEFF"/>
          </w:tcPr>
          <w:p>
            <w:pPr>
              <w:spacing w:after="0" w:line="149" w:lineRule="exact"/>
              <w:rPr>
                <w:sz w:val="20"/>
                <w:szCs w:val="20"/>
                <w:color w:val="auto"/>
              </w:rPr>
            </w:pPr>
            <w:r>
              <w:rPr>
                <w:rFonts w:ascii="Arial" w:cs="Arial" w:eastAsia="Arial" w:hAnsi="Arial"/>
                <w:sz w:val="14"/>
                <w:szCs w:val="14"/>
                <w:color w:val="auto"/>
              </w:rPr>
              <w:t>Beginning balance</w:t>
            </w:r>
          </w:p>
        </w:tc>
        <w:tc>
          <w:tcPr>
            <w:tcW w:w="1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ind w:left="420"/>
              <w:spacing w:after="0" w:line="149" w:lineRule="exact"/>
              <w:rPr>
                <w:sz w:val="20"/>
                <w:szCs w:val="20"/>
                <w:color w:val="auto"/>
              </w:rPr>
            </w:pPr>
            <w:r>
              <w:rPr>
                <w:rFonts w:ascii="Arial" w:cs="Arial" w:eastAsia="Arial" w:hAnsi="Arial"/>
                <w:sz w:val="14"/>
                <w:szCs w:val="14"/>
                <w:color w:val="auto"/>
                <w:w w:val="99"/>
              </w:rPr>
              <w:t>—</w:t>
            </w:r>
          </w:p>
        </w:tc>
        <w:tc>
          <w:tcPr>
            <w:tcW w:w="260" w:type="dxa"/>
            <w:vAlign w:val="bottom"/>
            <w:tcBorders>
              <w:left w:val="single" w:sz="8" w:color="CCEEFF"/>
            </w:tcBorders>
            <w:gridSpan w:val="2"/>
            <w:shd w:val="clear" w:color="auto" w:fill="CCEEFF"/>
          </w:tcPr>
          <w:p>
            <w:pPr>
              <w:ind w:left="160"/>
              <w:spacing w:after="0" w:line="149" w:lineRule="exact"/>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ind w:left="500"/>
              <w:spacing w:after="0" w:line="149" w:lineRule="exact"/>
              <w:rPr>
                <w:sz w:val="20"/>
                <w:szCs w:val="20"/>
                <w:color w:val="auto"/>
              </w:rPr>
            </w:pPr>
            <w:r>
              <w:rPr>
                <w:rFonts w:ascii="Arial" w:cs="Arial" w:eastAsia="Arial" w:hAnsi="Arial"/>
                <w:sz w:val="14"/>
                <w:szCs w:val="14"/>
                <w:color w:val="auto"/>
              </w:rPr>
              <w:t>—</w:t>
            </w:r>
          </w:p>
        </w:tc>
        <w:tc>
          <w:tcPr>
            <w:tcW w:w="240" w:type="dxa"/>
            <w:vAlign w:val="bottom"/>
            <w:tcBorders>
              <w:left w:val="single" w:sz="8" w:color="CCEEFF"/>
            </w:tcBorders>
            <w:gridSpan w:val="2"/>
            <w:shd w:val="clear" w:color="auto" w:fill="CCEEFF"/>
          </w:tcPr>
          <w:p>
            <w:pPr>
              <w:ind w:left="160"/>
              <w:spacing w:after="0" w:line="149" w:lineRule="exact"/>
              <w:rPr>
                <w:sz w:val="20"/>
                <w:szCs w:val="20"/>
                <w:color w:val="auto"/>
              </w:rPr>
            </w:pPr>
            <w:r>
              <w:rPr>
                <w:rFonts w:ascii="Arial" w:cs="Arial" w:eastAsia="Arial" w:hAnsi="Arial"/>
                <w:sz w:val="14"/>
                <w:szCs w:val="14"/>
                <w:color w:val="auto"/>
                <w:w w:val="76"/>
              </w:rPr>
              <w:t>$</w:t>
            </w:r>
          </w:p>
        </w:tc>
        <w:tc>
          <w:tcPr>
            <w:tcW w:w="820" w:type="dxa"/>
            <w:vAlign w:val="bottom"/>
            <w:tcBorders>
              <w:right w:val="single" w:sz="8" w:color="CCEEFF"/>
            </w:tcBorders>
            <w:gridSpan w:val="2"/>
            <w:shd w:val="clear" w:color="auto" w:fill="CCEEFF"/>
          </w:tcPr>
          <w:p>
            <w:pPr>
              <w:ind w:left="480"/>
              <w:spacing w:after="0" w:line="149"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w:t>
            </w: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0.9</w:t>
            </w:r>
          </w:p>
        </w:tc>
        <w:tc>
          <w:tcPr>
            <w:tcW w:w="40" w:type="dxa"/>
            <w:vAlign w:val="bottom"/>
            <w:tcBorders>
              <w:left w:val="single" w:sz="8" w:color="CCEEFF"/>
            </w:tcBorders>
            <w:shd w:val="clear" w:color="auto" w:fill="CCEEFF"/>
          </w:tcPr>
          <w:p>
            <w:pPr>
              <w:spacing w:after="0"/>
              <w:rPr>
                <w:sz w:val="12"/>
                <w:szCs w:val="12"/>
                <w:color w:val="auto"/>
              </w:rPr>
            </w:pPr>
          </w:p>
        </w:tc>
        <w:tc>
          <w:tcPr>
            <w:tcW w:w="200" w:type="dxa"/>
            <w:vAlign w:val="bottom"/>
            <w:gridSpan w:val="2"/>
            <w:shd w:val="clear" w:color="auto" w:fill="CCEEFF"/>
          </w:tcPr>
          <w:p>
            <w:pPr>
              <w:ind w:left="120"/>
              <w:spacing w:after="0" w:line="149" w:lineRule="exact"/>
              <w:rPr>
                <w:sz w:val="20"/>
                <w:szCs w:val="20"/>
                <w:color w:val="auto"/>
              </w:rPr>
            </w:pPr>
            <w:r>
              <w:rPr>
                <w:rFonts w:ascii="Arial" w:cs="Arial" w:eastAsia="Arial" w:hAnsi="Arial"/>
                <w:sz w:val="14"/>
                <w:szCs w:val="14"/>
                <w:color w:val="auto"/>
                <w:w w:val="76"/>
              </w:rPr>
              <w:t>$</w:t>
            </w: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240" w:type="dxa"/>
            <w:vAlign w:val="bottom"/>
            <w:gridSpan w:val="2"/>
            <w:shd w:val="clear" w:color="auto" w:fill="CCEEFF"/>
          </w:tcPr>
          <w:p>
            <w:pPr>
              <w:ind w:left="160"/>
              <w:spacing w:after="0" w:line="149" w:lineRule="exact"/>
              <w:rPr>
                <w:sz w:val="20"/>
                <w:szCs w:val="20"/>
                <w:color w:val="auto"/>
              </w:rPr>
            </w:pPr>
            <w:r>
              <w:rPr>
                <w:rFonts w:ascii="Arial" w:cs="Arial" w:eastAsia="Arial" w:hAnsi="Arial"/>
                <w:sz w:val="14"/>
                <w:szCs w:val="14"/>
                <w:color w:val="auto"/>
                <w:w w:val="76"/>
              </w:rPr>
              <w:t>$</w:t>
            </w: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7.0</w:t>
            </w: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ind w:left="20"/>
              <w:spacing w:after="0" w:line="149" w:lineRule="exact"/>
              <w:rPr>
                <w:sz w:val="20"/>
                <w:szCs w:val="20"/>
                <w:color w:val="auto"/>
              </w:rPr>
            </w:pPr>
            <w:r>
              <w:rPr>
                <w:rFonts w:ascii="Arial" w:cs="Arial" w:eastAsia="Arial" w:hAnsi="Arial"/>
                <w:sz w:val="14"/>
                <w:szCs w:val="14"/>
                <w:color w:val="auto"/>
                <w:w w:val="76"/>
              </w:rPr>
              <w:t>$</w:t>
            </w: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2.6</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w:t>
            </w:r>
          </w:p>
        </w:tc>
        <w:tc>
          <w:tcPr>
            <w:tcW w:w="72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3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5"/>
              </w:rPr>
              <w:t>10.5</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2260" w:type="dxa"/>
            <w:vAlign w:val="bottom"/>
          </w:tcPr>
          <w:p>
            <w:pPr>
              <w:spacing w:after="0" w:line="130" w:lineRule="exact"/>
              <w:rPr>
                <w:sz w:val="20"/>
                <w:szCs w:val="20"/>
                <w:color w:val="auto"/>
              </w:rPr>
            </w:pPr>
            <w:r>
              <w:rPr>
                <w:rFonts w:ascii="Arial" w:cs="Arial" w:eastAsia="Arial" w:hAnsi="Arial"/>
                <w:sz w:val="14"/>
                <w:szCs w:val="14"/>
                <w:color w:val="auto"/>
              </w:rPr>
              <w:t>Additions for credit losses not</w:t>
            </w: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260" w:type="dxa"/>
            <w:vAlign w:val="bottom"/>
          </w:tcPr>
          <w:p>
            <w:pPr>
              <w:ind w:left="120"/>
              <w:spacing w:after="0"/>
              <w:rPr>
                <w:sz w:val="20"/>
                <w:szCs w:val="20"/>
                <w:color w:val="auto"/>
              </w:rPr>
            </w:pPr>
            <w:r>
              <w:rPr>
                <w:rFonts w:ascii="Arial" w:cs="Arial" w:eastAsia="Arial" w:hAnsi="Arial"/>
                <w:sz w:val="14"/>
                <w:szCs w:val="14"/>
                <w:color w:val="auto"/>
              </w:rPr>
              <w:t>previously recorded</w:t>
            </w:r>
          </w:p>
        </w:tc>
        <w:tc>
          <w:tcPr>
            <w:tcW w:w="160" w:type="dxa"/>
            <w:vAlign w:val="bottom"/>
          </w:tcPr>
          <w:p>
            <w:pPr>
              <w:spacing w:after="0"/>
              <w:rPr>
                <w:sz w:val="14"/>
                <w:szCs w:val="14"/>
                <w:color w:val="auto"/>
              </w:rPr>
            </w:pPr>
          </w:p>
        </w:tc>
        <w:tc>
          <w:tcPr>
            <w:tcW w:w="600" w:type="dxa"/>
            <w:vAlign w:val="bottom"/>
          </w:tcPr>
          <w:p>
            <w:pPr>
              <w:ind w:left="420"/>
              <w:spacing w:after="0"/>
              <w:rPr>
                <w:sz w:val="20"/>
                <w:szCs w:val="20"/>
                <w:color w:val="auto"/>
              </w:rPr>
            </w:pPr>
            <w:r>
              <w:rPr>
                <w:rFonts w:ascii="Arial" w:cs="Arial" w:eastAsia="Arial" w:hAnsi="Arial"/>
                <w:sz w:val="14"/>
                <w:szCs w:val="14"/>
                <w:color w:val="auto"/>
                <w:w w:val="99"/>
              </w:rPr>
              <w:t>—</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00" w:type="dxa"/>
            <w:vAlign w:val="bottom"/>
          </w:tcPr>
          <w:p>
            <w:pPr>
              <w:ind w:left="50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20" w:type="dxa"/>
            <w:vAlign w:val="bottom"/>
            <w:gridSpan w:val="2"/>
          </w:tcPr>
          <w:p>
            <w:pPr>
              <w:ind w:left="48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4"/>
                <w:szCs w:val="14"/>
                <w:color w:val="auto"/>
              </w:rPr>
            </w:pPr>
          </w:p>
        </w:tc>
        <w:tc>
          <w:tcPr>
            <w:tcW w:w="420" w:type="dxa"/>
            <w:vAlign w:val="bottom"/>
          </w:tcPr>
          <w:p>
            <w:pPr>
              <w:jc w:val="right"/>
              <w:spacing w:after="0"/>
              <w:rPr>
                <w:sz w:val="20"/>
                <w:szCs w:val="20"/>
                <w:color w:val="auto"/>
              </w:rPr>
            </w:pPr>
            <w:r>
              <w:rPr>
                <w:rFonts w:ascii="Arial" w:cs="Arial" w:eastAsia="Arial" w:hAnsi="Arial"/>
                <w:sz w:val="14"/>
                <w:szCs w:val="14"/>
                <w:color w:val="auto"/>
              </w:rPr>
              <w:t>7.6</w:t>
            </w: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4"/>
                <w:szCs w:val="14"/>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7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tcPr>
          <w:p>
            <w:pPr>
              <w:jc w:val="right"/>
              <w:spacing w:after="0"/>
              <w:rPr>
                <w:sz w:val="20"/>
                <w:szCs w:val="20"/>
                <w:color w:val="auto"/>
              </w:rPr>
            </w:pPr>
            <w:r>
              <w:rPr>
                <w:rFonts w:ascii="Arial" w:cs="Arial" w:eastAsia="Arial" w:hAnsi="Arial"/>
                <w:sz w:val="14"/>
                <w:szCs w:val="14"/>
                <w:color w:val="auto"/>
              </w:rPr>
              <w:t>7.6</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2260" w:type="dxa"/>
            <w:vAlign w:val="bottom"/>
            <w:tcBorders>
              <w:right w:val="single" w:sz="8" w:color="CCEEFF"/>
            </w:tcBorders>
            <w:shd w:val="clear" w:color="auto" w:fill="CCEEFF"/>
          </w:tcPr>
          <w:p>
            <w:pPr>
              <w:spacing w:after="0" w:line="130" w:lineRule="exact"/>
              <w:rPr>
                <w:sz w:val="20"/>
                <w:szCs w:val="20"/>
                <w:color w:val="auto"/>
              </w:rPr>
            </w:pPr>
            <w:r>
              <w:rPr>
                <w:rFonts w:ascii="Arial" w:cs="Arial" w:eastAsia="Arial" w:hAnsi="Arial"/>
                <w:sz w:val="14"/>
                <w:szCs w:val="14"/>
                <w:color w:val="auto"/>
              </w:rPr>
              <w:t>Write-offs charged against</w:t>
            </w:r>
          </w:p>
        </w:tc>
        <w:tc>
          <w:tcPr>
            <w:tcW w:w="16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80" w:type="dxa"/>
            <w:vAlign w:val="bottom"/>
            <w:tcBorders>
              <w:left w:val="single" w:sz="8" w:color="CCEEFF"/>
              <w:right w:val="single" w:sz="8" w:color="CCEEFF"/>
            </w:tcBorders>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60" w:type="dxa"/>
            <w:vAlign w:val="bottom"/>
            <w:tcBorders>
              <w:left w:val="single" w:sz="8" w:color="CCEEFF"/>
              <w:right w:val="single" w:sz="8" w:color="CCEEFF"/>
            </w:tcBorders>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160" w:type="dxa"/>
            <w:vAlign w:val="bottom"/>
            <w:tcBorders>
              <w:left w:val="single" w:sz="8" w:color="CCEEFF"/>
              <w:right w:val="single" w:sz="8" w:color="CCEEFF"/>
            </w:tcBorders>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420" w:type="dxa"/>
            <w:vAlign w:val="bottom"/>
            <w:shd w:val="clear" w:color="auto" w:fill="CCEEFF"/>
          </w:tcPr>
          <w:p>
            <w:pPr>
              <w:spacing w:after="0"/>
              <w:rPr>
                <w:sz w:val="11"/>
                <w:szCs w:val="11"/>
                <w:color w:val="auto"/>
              </w:rPr>
            </w:pPr>
          </w:p>
        </w:tc>
        <w:tc>
          <w:tcPr>
            <w:tcW w:w="40" w:type="dxa"/>
            <w:vAlign w:val="bottom"/>
            <w:tcBorders>
              <w:left w:val="single" w:sz="8" w:color="CCEEFF"/>
            </w:tcBorders>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260" w:type="dxa"/>
            <w:vAlign w:val="bottom"/>
            <w:tcBorders>
              <w:right w:val="single" w:sz="8" w:color="CCEEFF"/>
            </w:tcBorders>
            <w:shd w:val="clear" w:color="auto" w:fill="CCEEFF"/>
          </w:tcPr>
          <w:p>
            <w:pPr>
              <w:ind w:left="120"/>
              <w:spacing w:after="0"/>
              <w:rPr>
                <w:sz w:val="20"/>
                <w:szCs w:val="20"/>
                <w:color w:val="auto"/>
              </w:rPr>
            </w:pPr>
            <w:r>
              <w:rPr>
                <w:rFonts w:ascii="Arial" w:cs="Arial" w:eastAsia="Arial" w:hAnsi="Arial"/>
                <w:sz w:val="14"/>
                <w:szCs w:val="14"/>
                <w:color w:val="auto"/>
              </w:rPr>
              <w:t>allowance</w:t>
            </w:r>
          </w:p>
        </w:tc>
        <w:tc>
          <w:tcPr>
            <w:tcW w:w="160" w:type="dxa"/>
            <w:vAlign w:val="bottom"/>
            <w:shd w:val="clear" w:color="auto" w:fill="CCEEFF"/>
          </w:tcPr>
          <w:p>
            <w:pPr>
              <w:spacing w:after="0"/>
              <w:rPr>
                <w:sz w:val="14"/>
                <w:szCs w:val="14"/>
                <w:color w:val="auto"/>
              </w:rPr>
            </w:pPr>
          </w:p>
        </w:tc>
        <w:tc>
          <w:tcPr>
            <w:tcW w:w="600" w:type="dxa"/>
            <w:vAlign w:val="bottom"/>
            <w:shd w:val="clear" w:color="auto" w:fill="CCEEFF"/>
          </w:tcPr>
          <w:p>
            <w:pPr>
              <w:ind w:left="420"/>
              <w:spacing w:after="0"/>
              <w:rPr>
                <w:sz w:val="20"/>
                <w:szCs w:val="20"/>
                <w:color w:val="auto"/>
              </w:rPr>
            </w:pPr>
            <w:r>
              <w:rPr>
                <w:rFonts w:ascii="Arial" w:cs="Arial" w:eastAsia="Arial" w:hAnsi="Arial"/>
                <w:sz w:val="14"/>
                <w:szCs w:val="14"/>
                <w:color w:val="auto"/>
                <w:w w:val="99"/>
              </w:rPr>
              <w:t>—</w:t>
            </w:r>
          </w:p>
        </w:tc>
        <w:tc>
          <w:tcPr>
            <w:tcW w:w="180" w:type="dxa"/>
            <w:vAlign w:val="bottom"/>
            <w:tcBorders>
              <w:left w:val="single" w:sz="8" w:color="CCEEFF"/>
              <w:right w:val="single" w:sz="8" w:color="CCEEFF"/>
            </w:tcBorders>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700" w:type="dxa"/>
            <w:vAlign w:val="bottom"/>
            <w:shd w:val="clear" w:color="auto" w:fill="CCEEFF"/>
          </w:tcPr>
          <w:p>
            <w:pPr>
              <w:ind w:left="500"/>
              <w:spacing w:after="0"/>
              <w:rPr>
                <w:sz w:val="20"/>
                <w:szCs w:val="20"/>
                <w:color w:val="auto"/>
              </w:rPr>
            </w:pPr>
            <w:r>
              <w:rPr>
                <w:rFonts w:ascii="Arial" w:cs="Arial" w:eastAsia="Arial" w:hAnsi="Arial"/>
                <w:sz w:val="14"/>
                <w:szCs w:val="14"/>
                <w:color w:val="auto"/>
              </w:rPr>
              <w:t>—</w:t>
            </w:r>
          </w:p>
        </w:tc>
        <w:tc>
          <w:tcPr>
            <w:tcW w:w="160" w:type="dxa"/>
            <w:vAlign w:val="bottom"/>
            <w:tcBorders>
              <w:left w:val="single" w:sz="8" w:color="CCEEFF"/>
              <w:right w:val="single" w:sz="8" w:color="CCEEFF"/>
            </w:tcBorders>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20" w:type="dxa"/>
            <w:vAlign w:val="bottom"/>
            <w:tcBorders>
              <w:right w:val="single" w:sz="8" w:color="CCEEFF"/>
            </w:tcBorders>
            <w:gridSpan w:val="2"/>
            <w:shd w:val="clear" w:color="auto" w:fill="CCEEFF"/>
          </w:tcPr>
          <w:p>
            <w:pPr>
              <w:ind w:left="48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4"/>
                <w:szCs w:val="14"/>
                <w:color w:val="auto"/>
              </w:rPr>
            </w:pPr>
          </w:p>
        </w:tc>
        <w:tc>
          <w:tcPr>
            <w:tcW w:w="46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w:t>
            </w:r>
          </w:p>
        </w:tc>
        <w:tc>
          <w:tcPr>
            <w:tcW w:w="120" w:type="dxa"/>
            <w:vAlign w:val="bottom"/>
            <w:tcBorders>
              <w:right w:val="single" w:sz="8" w:color="CCEEFF"/>
            </w:tcBorders>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(6.8)</w:t>
            </w:r>
          </w:p>
        </w:tc>
        <w:tc>
          <w:tcPr>
            <w:tcW w:w="100" w:type="dxa"/>
            <w:vAlign w:val="bottom"/>
            <w:shd w:val="clear" w:color="auto" w:fill="CCEEFF"/>
          </w:tcPr>
          <w:p>
            <w:pPr>
              <w:spacing w:after="0"/>
              <w:rPr>
                <w:sz w:val="14"/>
                <w:szCs w:val="14"/>
                <w:color w:val="auto"/>
              </w:rPr>
            </w:pPr>
          </w:p>
        </w:tc>
        <w:tc>
          <w:tcPr>
            <w:tcW w:w="94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(2.6)</w:t>
            </w:r>
          </w:p>
        </w:tc>
        <w:tc>
          <w:tcPr>
            <w:tcW w:w="120" w:type="dxa"/>
            <w:vAlign w:val="bottom"/>
            <w:shd w:val="clear" w:color="auto" w:fill="CCEEFF"/>
          </w:tcPr>
          <w:p>
            <w:pPr>
              <w:spacing w:after="0"/>
              <w:rPr>
                <w:sz w:val="14"/>
                <w:szCs w:val="14"/>
                <w:color w:val="auto"/>
              </w:rPr>
            </w:pPr>
          </w:p>
        </w:tc>
        <w:tc>
          <w:tcPr>
            <w:tcW w:w="7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3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(9.4)</w:t>
            </w: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2260" w:type="dxa"/>
            <w:vAlign w:val="bottom"/>
            <w:tcBorders>
              <w:bottom w:val="single" w:sz="8" w:color="CCEEFF"/>
            </w:tcBorders>
          </w:tcPr>
          <w:p>
            <w:pPr>
              <w:spacing w:after="0" w:line="142" w:lineRule="exact"/>
              <w:rPr>
                <w:sz w:val="20"/>
                <w:szCs w:val="20"/>
                <w:color w:val="auto"/>
              </w:rPr>
            </w:pPr>
            <w:r>
              <w:rPr>
                <w:rFonts w:ascii="Arial" w:cs="Arial" w:eastAsia="Arial" w:hAnsi="Arial"/>
                <w:sz w:val="14"/>
                <w:szCs w:val="14"/>
                <w:color w:val="auto"/>
              </w:rPr>
              <w:t>Ending balance</w:t>
            </w:r>
          </w:p>
        </w:tc>
        <w:tc>
          <w:tcPr>
            <w:tcW w:w="160" w:type="dxa"/>
            <w:vAlign w:val="bottom"/>
            <w:tcBorders>
              <w:top w:val="single" w:sz="8" w:color="auto"/>
              <w:bottom w:val="single" w:sz="8" w:color="auto"/>
            </w:tcBorders>
          </w:tcPr>
          <w:p>
            <w:pPr>
              <w:spacing w:after="0" w:line="142" w:lineRule="exact"/>
              <w:rPr>
                <w:sz w:val="20"/>
                <w:szCs w:val="20"/>
                <w:color w:val="auto"/>
              </w:rPr>
            </w:pPr>
            <w:r>
              <w:rPr>
                <w:rFonts w:ascii="Arial" w:cs="Arial" w:eastAsia="Arial" w:hAnsi="Arial"/>
                <w:sz w:val="14"/>
                <w:szCs w:val="14"/>
                <w:color w:val="auto"/>
              </w:rPr>
              <w:t>$</w:t>
            </w:r>
          </w:p>
        </w:tc>
        <w:tc>
          <w:tcPr>
            <w:tcW w:w="600" w:type="dxa"/>
            <w:vAlign w:val="bottom"/>
            <w:tcBorders>
              <w:top w:val="single" w:sz="8" w:color="auto"/>
              <w:bottom w:val="single" w:sz="8" w:color="auto"/>
            </w:tcBorders>
          </w:tcPr>
          <w:p>
            <w:pPr>
              <w:ind w:left="420"/>
              <w:spacing w:after="0" w:line="142" w:lineRule="exact"/>
              <w:rPr>
                <w:sz w:val="20"/>
                <w:szCs w:val="20"/>
                <w:color w:val="auto"/>
              </w:rPr>
            </w:pPr>
            <w:r>
              <w:rPr>
                <w:rFonts w:ascii="Arial" w:cs="Arial" w:eastAsia="Arial" w:hAnsi="Arial"/>
                <w:sz w:val="14"/>
                <w:szCs w:val="14"/>
                <w:color w:val="auto"/>
                <w:w w:val="99"/>
              </w:rPr>
              <w:t>—</w:t>
            </w:r>
          </w:p>
        </w:tc>
        <w:tc>
          <w:tcPr>
            <w:tcW w:w="180" w:type="dxa"/>
            <w:vAlign w:val="bottom"/>
            <w:tcBorders>
              <w:bottom w:val="single" w:sz="8" w:color="CCEEFF"/>
            </w:tcBorders>
          </w:tcPr>
          <w:p>
            <w:pPr>
              <w:spacing w:after="0"/>
              <w:rPr>
                <w:sz w:val="15"/>
                <w:szCs w:val="15"/>
                <w:color w:val="auto"/>
              </w:rPr>
            </w:pPr>
          </w:p>
        </w:tc>
        <w:tc>
          <w:tcPr>
            <w:tcW w:w="80" w:type="dxa"/>
            <w:vAlign w:val="bottom"/>
            <w:tcBorders>
              <w:top w:val="single" w:sz="8" w:color="auto"/>
              <w:bottom w:val="single" w:sz="8" w:color="auto"/>
            </w:tcBorders>
          </w:tcPr>
          <w:p>
            <w:pPr>
              <w:spacing w:after="0" w:line="142" w:lineRule="exact"/>
              <w:rPr>
                <w:sz w:val="20"/>
                <w:szCs w:val="20"/>
                <w:color w:val="auto"/>
              </w:rPr>
            </w:pPr>
            <w:r>
              <w:rPr>
                <w:rFonts w:ascii="Arial" w:cs="Arial" w:eastAsia="Arial" w:hAnsi="Arial"/>
                <w:sz w:val="14"/>
                <w:szCs w:val="14"/>
                <w:color w:val="auto"/>
                <w:w w:val="76"/>
              </w:rPr>
              <w:t>$</w:t>
            </w:r>
          </w:p>
        </w:tc>
        <w:tc>
          <w:tcPr>
            <w:tcW w:w="700" w:type="dxa"/>
            <w:vAlign w:val="bottom"/>
            <w:tcBorders>
              <w:top w:val="single" w:sz="8" w:color="auto"/>
              <w:bottom w:val="single" w:sz="8" w:color="auto"/>
            </w:tcBorders>
          </w:tcPr>
          <w:p>
            <w:pPr>
              <w:ind w:left="500"/>
              <w:spacing w:after="0" w:line="142" w:lineRule="exact"/>
              <w:rPr>
                <w:sz w:val="20"/>
                <w:szCs w:val="20"/>
                <w:color w:val="auto"/>
              </w:rPr>
            </w:pPr>
            <w:r>
              <w:rPr>
                <w:rFonts w:ascii="Arial" w:cs="Arial" w:eastAsia="Arial" w:hAnsi="Arial"/>
                <w:sz w:val="14"/>
                <w:szCs w:val="14"/>
                <w:color w:val="auto"/>
              </w:rPr>
              <w:t>—</w:t>
            </w:r>
          </w:p>
        </w:tc>
        <w:tc>
          <w:tcPr>
            <w:tcW w:w="160" w:type="dxa"/>
            <w:vAlign w:val="bottom"/>
            <w:tcBorders>
              <w:bottom w:val="single" w:sz="8" w:color="CCEEFF"/>
            </w:tcBorders>
          </w:tcPr>
          <w:p>
            <w:pPr>
              <w:spacing w:after="0"/>
              <w:rPr>
                <w:sz w:val="15"/>
                <w:szCs w:val="15"/>
                <w:color w:val="auto"/>
              </w:rPr>
            </w:pPr>
          </w:p>
        </w:tc>
        <w:tc>
          <w:tcPr>
            <w:tcW w:w="80" w:type="dxa"/>
            <w:vAlign w:val="bottom"/>
            <w:tcBorders>
              <w:top w:val="single" w:sz="8" w:color="auto"/>
              <w:bottom w:val="single" w:sz="8" w:color="auto"/>
            </w:tcBorders>
          </w:tcPr>
          <w:p>
            <w:pPr>
              <w:spacing w:after="0" w:line="142" w:lineRule="exact"/>
              <w:rPr>
                <w:sz w:val="20"/>
                <w:szCs w:val="20"/>
                <w:color w:val="auto"/>
              </w:rPr>
            </w:pPr>
            <w:r>
              <w:rPr>
                <w:rFonts w:ascii="Arial" w:cs="Arial" w:eastAsia="Arial" w:hAnsi="Arial"/>
                <w:sz w:val="14"/>
                <w:szCs w:val="14"/>
                <w:color w:val="auto"/>
                <w:w w:val="76"/>
              </w:rPr>
              <w:t>$</w:t>
            </w:r>
          </w:p>
        </w:tc>
        <w:tc>
          <w:tcPr>
            <w:tcW w:w="660" w:type="dxa"/>
            <w:vAlign w:val="bottom"/>
            <w:tcBorders>
              <w:top w:val="single" w:sz="8" w:color="auto"/>
              <w:bottom w:val="single" w:sz="8" w:color="auto"/>
            </w:tcBorders>
          </w:tcPr>
          <w:p>
            <w:pPr>
              <w:ind w:left="480"/>
              <w:spacing w:after="0" w:line="142" w:lineRule="exact"/>
              <w:rPr>
                <w:sz w:val="20"/>
                <w:szCs w:val="20"/>
                <w:color w:val="auto"/>
              </w:rPr>
            </w:pPr>
            <w:r>
              <w:rPr>
                <w:rFonts w:ascii="Arial" w:cs="Arial" w:eastAsia="Arial" w:hAnsi="Arial"/>
                <w:sz w:val="14"/>
                <w:szCs w:val="14"/>
                <w:color w:val="auto"/>
                <w:w w:val="99"/>
              </w:rPr>
              <w:t>—</w:t>
            </w:r>
          </w:p>
        </w:tc>
        <w:tc>
          <w:tcPr>
            <w:tcW w:w="160" w:type="dxa"/>
            <w:vAlign w:val="bottom"/>
            <w:tcBorders>
              <w:bottom w:val="single" w:sz="8" w:color="CCEEFF"/>
            </w:tcBorders>
          </w:tcPr>
          <w:p>
            <w:pPr>
              <w:spacing w:after="0"/>
              <w:rPr>
                <w:sz w:val="15"/>
                <w:szCs w:val="15"/>
                <w:color w:val="auto"/>
              </w:rPr>
            </w:pPr>
          </w:p>
        </w:tc>
        <w:tc>
          <w:tcPr>
            <w:tcW w:w="200" w:type="dxa"/>
            <w:vAlign w:val="bottom"/>
            <w:tcBorders>
              <w:top w:val="single" w:sz="8" w:color="auto"/>
              <w:bottom w:val="single" w:sz="8" w:color="auto"/>
            </w:tcBorders>
          </w:tcPr>
          <w:p>
            <w:pPr>
              <w:spacing w:after="0" w:line="142" w:lineRule="exact"/>
              <w:rPr>
                <w:sz w:val="20"/>
                <w:szCs w:val="20"/>
                <w:color w:val="auto"/>
              </w:rPr>
            </w:pPr>
            <w:r>
              <w:rPr>
                <w:rFonts w:ascii="Arial" w:cs="Arial" w:eastAsia="Arial" w:hAnsi="Arial"/>
                <w:sz w:val="14"/>
                <w:szCs w:val="14"/>
                <w:color w:val="auto"/>
              </w:rPr>
              <w:t>$</w:t>
            </w:r>
          </w:p>
        </w:tc>
        <w:tc>
          <w:tcPr>
            <w:tcW w:w="4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8.5</w:t>
            </w:r>
          </w:p>
        </w:tc>
        <w:tc>
          <w:tcPr>
            <w:tcW w:w="40" w:type="dxa"/>
            <w:vAlign w:val="bottom"/>
            <w:tcBorders>
              <w:bottom w:val="single" w:sz="8" w:color="CCEEFF"/>
            </w:tcBorders>
          </w:tcPr>
          <w:p>
            <w:pPr>
              <w:spacing w:after="0"/>
              <w:rPr>
                <w:sz w:val="15"/>
                <w:szCs w:val="15"/>
                <w:color w:val="auto"/>
              </w:rPr>
            </w:pPr>
          </w:p>
        </w:tc>
        <w:tc>
          <w:tcPr>
            <w:tcW w:w="120" w:type="dxa"/>
            <w:vAlign w:val="bottom"/>
            <w:tcBorders>
              <w:bottom w:val="single" w:sz="8" w:color="CCEEFF"/>
            </w:tcBorders>
          </w:tcPr>
          <w:p>
            <w:pPr>
              <w:spacing w:after="0"/>
              <w:rPr>
                <w:sz w:val="15"/>
                <w:szCs w:val="15"/>
                <w:color w:val="auto"/>
              </w:rPr>
            </w:pPr>
          </w:p>
        </w:tc>
        <w:tc>
          <w:tcPr>
            <w:tcW w:w="80" w:type="dxa"/>
            <w:vAlign w:val="bottom"/>
            <w:tcBorders>
              <w:top w:val="single" w:sz="8" w:color="auto"/>
              <w:bottom w:val="single" w:sz="8" w:color="auto"/>
            </w:tcBorders>
          </w:tcPr>
          <w:p>
            <w:pPr>
              <w:spacing w:after="0" w:line="142" w:lineRule="exact"/>
              <w:rPr>
                <w:sz w:val="20"/>
                <w:szCs w:val="20"/>
                <w:color w:val="auto"/>
              </w:rPr>
            </w:pPr>
            <w:r>
              <w:rPr>
                <w:rFonts w:ascii="Arial" w:cs="Arial" w:eastAsia="Arial" w:hAnsi="Arial"/>
                <w:sz w:val="14"/>
                <w:szCs w:val="14"/>
                <w:color w:val="auto"/>
                <w:w w:val="76"/>
              </w:rPr>
              <w:t>$</w:t>
            </w:r>
          </w:p>
        </w:tc>
        <w:tc>
          <w:tcPr>
            <w:tcW w:w="6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w:t>
            </w:r>
          </w:p>
        </w:tc>
        <w:tc>
          <w:tcPr>
            <w:tcW w:w="160" w:type="dxa"/>
            <w:vAlign w:val="bottom"/>
            <w:tcBorders>
              <w:bottom w:val="single" w:sz="8" w:color="CCEEFF"/>
            </w:tcBorders>
          </w:tcPr>
          <w:p>
            <w:pPr>
              <w:spacing w:after="0"/>
              <w:rPr>
                <w:sz w:val="15"/>
                <w:szCs w:val="15"/>
                <w:color w:val="auto"/>
              </w:rPr>
            </w:pPr>
          </w:p>
        </w:tc>
        <w:tc>
          <w:tcPr>
            <w:tcW w:w="80" w:type="dxa"/>
            <w:vAlign w:val="bottom"/>
            <w:tcBorders>
              <w:top w:val="single" w:sz="8" w:color="auto"/>
              <w:bottom w:val="single" w:sz="8" w:color="auto"/>
            </w:tcBorders>
          </w:tcPr>
          <w:p>
            <w:pPr>
              <w:spacing w:after="0" w:line="142" w:lineRule="exact"/>
              <w:rPr>
                <w:sz w:val="20"/>
                <w:szCs w:val="20"/>
                <w:color w:val="auto"/>
              </w:rPr>
            </w:pPr>
            <w:r>
              <w:rPr>
                <w:rFonts w:ascii="Arial" w:cs="Arial" w:eastAsia="Arial" w:hAnsi="Arial"/>
                <w:sz w:val="14"/>
                <w:szCs w:val="14"/>
                <w:color w:val="auto"/>
                <w:w w:val="76"/>
              </w:rPr>
              <w:t>$</w:t>
            </w:r>
          </w:p>
        </w:tc>
        <w:tc>
          <w:tcPr>
            <w:tcW w:w="7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0.2</w:t>
            </w:r>
          </w:p>
        </w:tc>
        <w:tc>
          <w:tcPr>
            <w:tcW w:w="140" w:type="dxa"/>
            <w:vAlign w:val="bottom"/>
            <w:tcBorders>
              <w:bottom w:val="single" w:sz="8" w:color="CCEEFF"/>
            </w:tcBorders>
          </w:tcPr>
          <w:p>
            <w:pPr>
              <w:spacing w:after="0"/>
              <w:rPr>
                <w:sz w:val="15"/>
                <w:szCs w:val="15"/>
                <w:color w:val="auto"/>
              </w:rPr>
            </w:pPr>
          </w:p>
        </w:tc>
        <w:tc>
          <w:tcPr>
            <w:tcW w:w="100" w:type="dxa"/>
            <w:vAlign w:val="bottom"/>
            <w:tcBorders>
              <w:top w:val="single" w:sz="8" w:color="auto"/>
              <w:bottom w:val="single" w:sz="8" w:color="auto"/>
            </w:tcBorders>
          </w:tcPr>
          <w:p>
            <w:pPr>
              <w:ind w:left="20"/>
              <w:spacing w:after="0" w:line="142" w:lineRule="exact"/>
              <w:rPr>
                <w:sz w:val="20"/>
                <w:szCs w:val="20"/>
                <w:color w:val="auto"/>
              </w:rPr>
            </w:pPr>
            <w:r>
              <w:rPr>
                <w:rFonts w:ascii="Arial" w:cs="Arial" w:eastAsia="Arial" w:hAnsi="Arial"/>
                <w:sz w:val="14"/>
                <w:szCs w:val="14"/>
                <w:color w:val="auto"/>
                <w:w w:val="76"/>
              </w:rPr>
              <w:t>$</w:t>
            </w:r>
          </w:p>
        </w:tc>
        <w:tc>
          <w:tcPr>
            <w:tcW w:w="7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w:t>
            </w:r>
          </w:p>
        </w:tc>
        <w:tc>
          <w:tcPr>
            <w:tcW w:w="160" w:type="dxa"/>
            <w:vAlign w:val="bottom"/>
            <w:tcBorders>
              <w:bottom w:val="single" w:sz="8" w:color="CCEEFF"/>
            </w:tcBorders>
          </w:tcPr>
          <w:p>
            <w:pPr>
              <w:spacing w:after="0"/>
              <w:rPr>
                <w:sz w:val="15"/>
                <w:szCs w:val="15"/>
                <w:color w:val="auto"/>
              </w:rPr>
            </w:pPr>
          </w:p>
        </w:tc>
        <w:tc>
          <w:tcPr>
            <w:tcW w:w="120" w:type="dxa"/>
            <w:vAlign w:val="bottom"/>
            <w:tcBorders>
              <w:top w:val="single" w:sz="8" w:color="auto"/>
              <w:bottom w:val="single" w:sz="8" w:color="auto"/>
            </w:tcBorders>
          </w:tcPr>
          <w:p>
            <w:pPr>
              <w:spacing w:after="0" w:line="142" w:lineRule="exact"/>
              <w:rPr>
                <w:sz w:val="20"/>
                <w:szCs w:val="20"/>
                <w:color w:val="auto"/>
              </w:rPr>
            </w:pPr>
            <w:r>
              <w:rPr>
                <w:rFonts w:ascii="Arial" w:cs="Arial" w:eastAsia="Arial" w:hAnsi="Arial"/>
                <w:sz w:val="14"/>
                <w:szCs w:val="14"/>
                <w:color w:val="auto"/>
              </w:rPr>
              <w:t>$</w:t>
            </w:r>
          </w:p>
        </w:tc>
        <w:tc>
          <w:tcPr>
            <w:tcW w:w="5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w:t>
            </w:r>
          </w:p>
        </w:tc>
        <w:tc>
          <w:tcPr>
            <w:tcW w:w="140" w:type="dxa"/>
            <w:vAlign w:val="bottom"/>
            <w:tcBorders>
              <w:bottom w:val="single" w:sz="8" w:color="CCEEFF"/>
            </w:tcBorders>
          </w:tcPr>
          <w:p>
            <w:pPr>
              <w:spacing w:after="0"/>
              <w:rPr>
                <w:sz w:val="15"/>
                <w:szCs w:val="15"/>
                <w:color w:val="auto"/>
              </w:rPr>
            </w:pPr>
          </w:p>
        </w:tc>
        <w:tc>
          <w:tcPr>
            <w:tcW w:w="20" w:type="dxa"/>
            <w:vAlign w:val="bottom"/>
            <w:tcBorders>
              <w:bottom w:val="single" w:sz="8" w:color="CCEEFF"/>
            </w:tcBorders>
          </w:tcPr>
          <w:p>
            <w:pPr>
              <w:spacing w:after="0"/>
              <w:rPr>
                <w:sz w:val="15"/>
                <w:szCs w:val="15"/>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3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8.7</w:t>
            </w:r>
          </w:p>
        </w:tc>
        <w:tc>
          <w:tcPr>
            <w:tcW w:w="0" w:type="dxa"/>
            <w:vAlign w:val="bottom"/>
          </w:tcPr>
          <w:p>
            <w:pPr>
              <w:spacing w:after="0"/>
              <w:rPr>
                <w:sz w:val="1"/>
                <w:szCs w:val="1"/>
                <w:color w:val="auto"/>
              </w:rPr>
            </w:pPr>
          </w:p>
        </w:tc>
      </w:tr>
      <w:tr>
        <w:trPr>
          <w:trHeight w:val="129"/>
        </w:trPr>
        <w:tc>
          <w:tcPr>
            <w:tcW w:w="20" w:type="dxa"/>
            <w:vAlign w:val="bottom"/>
            <w:vMerge w:val="restart"/>
          </w:tcPr>
          <w:p>
            <w:pPr>
              <w:spacing w:after="0"/>
              <w:rPr>
                <w:sz w:val="11"/>
                <w:szCs w:val="11"/>
                <w:color w:val="auto"/>
              </w:rPr>
            </w:pPr>
          </w:p>
        </w:tc>
        <w:tc>
          <w:tcPr>
            <w:tcW w:w="2260" w:type="dxa"/>
            <w:vAlign w:val="bottom"/>
            <w:tcBorders>
              <w:right w:val="single" w:sz="8" w:color="CCEEFF"/>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80" w:type="dxa"/>
            <w:vAlign w:val="bottom"/>
            <w:tcBorders>
              <w:left w:val="single" w:sz="8" w:color="CCEEFF"/>
              <w:right w:val="single" w:sz="8" w:color="CCEEFF"/>
            </w:tcBorders>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60" w:type="dxa"/>
            <w:vAlign w:val="bottom"/>
            <w:tcBorders>
              <w:left w:val="single" w:sz="8" w:color="CCEEFF"/>
              <w:right w:val="single" w:sz="8" w:color="CCEEFF"/>
            </w:tcBorders>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160" w:type="dxa"/>
            <w:vAlign w:val="bottom"/>
            <w:tcBorders>
              <w:left w:val="single" w:sz="8" w:color="CCEEFF"/>
              <w:right w:val="single" w:sz="8" w:color="CCEEFF"/>
            </w:tcBorders>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420" w:type="dxa"/>
            <w:vAlign w:val="bottom"/>
            <w:shd w:val="clear" w:color="auto" w:fill="CCEEFF"/>
          </w:tcPr>
          <w:p>
            <w:pPr>
              <w:spacing w:after="0"/>
              <w:rPr>
                <w:sz w:val="11"/>
                <w:szCs w:val="11"/>
                <w:color w:val="auto"/>
              </w:rPr>
            </w:pPr>
          </w:p>
        </w:tc>
        <w:tc>
          <w:tcPr>
            <w:tcW w:w="40" w:type="dxa"/>
            <w:vAlign w:val="bottom"/>
            <w:tcBorders>
              <w:left w:val="single" w:sz="8" w:color="CCEEFF"/>
            </w:tcBorders>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vMerge w:val="continue"/>
          </w:tcPr>
          <w:p>
            <w:pPr>
              <w:spacing w:after="0"/>
              <w:rPr>
                <w:sz w:val="11"/>
                <w:szCs w:val="11"/>
                <w:color w:val="auto"/>
              </w:rPr>
            </w:pPr>
          </w:p>
        </w:tc>
        <w:tc>
          <w:tcPr>
            <w:tcW w:w="2260" w:type="dxa"/>
            <w:vAlign w:val="bottom"/>
          </w:tcPr>
          <w:p>
            <w:pPr>
              <w:spacing w:after="0" w:line="130" w:lineRule="exact"/>
              <w:rPr>
                <w:sz w:val="20"/>
                <w:szCs w:val="20"/>
                <w:color w:val="auto"/>
              </w:rPr>
            </w:pPr>
            <w:r>
              <w:rPr>
                <w:rFonts w:ascii="Arial" w:cs="Arial" w:eastAsia="Arial" w:hAnsi="Arial"/>
                <w:sz w:val="14"/>
                <w:szCs w:val="14"/>
                <w:color w:val="auto"/>
              </w:rPr>
              <w:t>Accrued interest written off to net</w:t>
            </w:r>
          </w:p>
        </w:tc>
        <w:tc>
          <w:tcPr>
            <w:tcW w:w="160" w:type="dxa"/>
            <w:vAlign w:val="bottom"/>
            <w:vMerge w:val="restart"/>
          </w:tcPr>
          <w:p>
            <w:pPr>
              <w:spacing w:after="0"/>
              <w:rPr>
                <w:sz w:val="20"/>
                <w:szCs w:val="20"/>
                <w:color w:val="auto"/>
              </w:rPr>
            </w:pPr>
            <w:r>
              <w:rPr>
                <w:rFonts w:ascii="Arial" w:cs="Arial" w:eastAsia="Arial" w:hAnsi="Arial"/>
                <w:sz w:val="14"/>
                <w:szCs w:val="14"/>
                <w:color w:val="auto"/>
              </w:rPr>
              <w:t>$</w:t>
            </w:r>
          </w:p>
        </w:tc>
        <w:tc>
          <w:tcPr>
            <w:tcW w:w="600" w:type="dxa"/>
            <w:vAlign w:val="bottom"/>
            <w:vMerge w:val="restart"/>
          </w:tcPr>
          <w:p>
            <w:pPr>
              <w:ind w:left="420"/>
              <w:spacing w:after="0"/>
              <w:rPr>
                <w:sz w:val="20"/>
                <w:szCs w:val="20"/>
                <w:color w:val="auto"/>
              </w:rPr>
            </w:pPr>
            <w:r>
              <w:rPr>
                <w:rFonts w:ascii="Arial" w:cs="Arial" w:eastAsia="Arial" w:hAnsi="Arial"/>
                <w:sz w:val="14"/>
                <w:szCs w:val="14"/>
                <w:color w:val="auto"/>
                <w:w w:val="99"/>
              </w:rPr>
              <w:t>—</w:t>
            </w:r>
          </w:p>
        </w:tc>
        <w:tc>
          <w:tcPr>
            <w:tcW w:w="260" w:type="dxa"/>
            <w:vAlign w:val="bottom"/>
            <w:gridSpan w:val="2"/>
            <w:vMerge w:val="restart"/>
          </w:tcPr>
          <w:p>
            <w:pPr>
              <w:ind w:left="160"/>
              <w:spacing w:after="0"/>
              <w:rPr>
                <w:sz w:val="20"/>
                <w:szCs w:val="20"/>
                <w:color w:val="auto"/>
              </w:rPr>
            </w:pPr>
            <w:r>
              <w:rPr>
                <w:rFonts w:ascii="Arial" w:cs="Arial" w:eastAsia="Arial" w:hAnsi="Arial"/>
                <w:sz w:val="14"/>
                <w:szCs w:val="14"/>
                <w:color w:val="auto"/>
              </w:rPr>
              <w:t>$</w:t>
            </w:r>
          </w:p>
        </w:tc>
        <w:tc>
          <w:tcPr>
            <w:tcW w:w="700" w:type="dxa"/>
            <w:vAlign w:val="bottom"/>
            <w:vMerge w:val="restart"/>
          </w:tcPr>
          <w:p>
            <w:pPr>
              <w:ind w:left="500"/>
              <w:spacing w:after="0"/>
              <w:rPr>
                <w:sz w:val="20"/>
                <w:szCs w:val="20"/>
                <w:color w:val="auto"/>
              </w:rPr>
            </w:pPr>
            <w:r>
              <w:rPr>
                <w:rFonts w:ascii="Arial" w:cs="Arial" w:eastAsia="Arial" w:hAnsi="Arial"/>
                <w:sz w:val="14"/>
                <w:szCs w:val="14"/>
                <w:color w:val="auto"/>
              </w:rPr>
              <w:t>—</w:t>
            </w:r>
          </w:p>
        </w:tc>
        <w:tc>
          <w:tcPr>
            <w:tcW w:w="240" w:type="dxa"/>
            <w:vAlign w:val="bottom"/>
            <w:gridSpan w:val="2"/>
            <w:vMerge w:val="restart"/>
          </w:tcPr>
          <w:p>
            <w:pPr>
              <w:ind w:left="160"/>
              <w:spacing w:after="0"/>
              <w:rPr>
                <w:sz w:val="20"/>
                <w:szCs w:val="20"/>
                <w:color w:val="auto"/>
              </w:rPr>
            </w:pPr>
            <w:r>
              <w:rPr>
                <w:rFonts w:ascii="Arial" w:cs="Arial" w:eastAsia="Arial" w:hAnsi="Arial"/>
                <w:sz w:val="14"/>
                <w:szCs w:val="14"/>
                <w:color w:val="auto"/>
                <w:w w:val="76"/>
              </w:rPr>
              <w:t>$</w:t>
            </w:r>
          </w:p>
        </w:tc>
        <w:tc>
          <w:tcPr>
            <w:tcW w:w="820" w:type="dxa"/>
            <w:vAlign w:val="bottom"/>
            <w:gridSpan w:val="2"/>
            <w:vMerge w:val="restart"/>
          </w:tcPr>
          <w:p>
            <w:pPr>
              <w:ind w:left="480"/>
              <w:spacing w:after="0"/>
              <w:rPr>
                <w:sz w:val="20"/>
                <w:szCs w:val="20"/>
                <w:color w:val="auto"/>
              </w:rPr>
            </w:pPr>
            <w:r>
              <w:rPr>
                <w:rFonts w:ascii="Arial" w:cs="Arial" w:eastAsia="Arial" w:hAnsi="Arial"/>
                <w:sz w:val="14"/>
                <w:szCs w:val="14"/>
                <w:color w:val="auto"/>
              </w:rPr>
              <w:t>—</w:t>
            </w:r>
          </w:p>
        </w:tc>
        <w:tc>
          <w:tcPr>
            <w:tcW w:w="200" w:type="dxa"/>
            <w:vAlign w:val="bottom"/>
            <w:vMerge w:val="restart"/>
          </w:tcPr>
          <w:p>
            <w:pPr>
              <w:spacing w:after="0"/>
              <w:rPr>
                <w:sz w:val="20"/>
                <w:szCs w:val="20"/>
                <w:color w:val="auto"/>
              </w:rPr>
            </w:pPr>
            <w:r>
              <w:rPr>
                <w:rFonts w:ascii="Arial" w:cs="Arial" w:eastAsia="Arial" w:hAnsi="Arial"/>
                <w:sz w:val="14"/>
                <w:szCs w:val="14"/>
                <w:color w:val="auto"/>
              </w:rPr>
              <w:t>$</w:t>
            </w:r>
          </w:p>
        </w:tc>
        <w:tc>
          <w:tcPr>
            <w:tcW w:w="420" w:type="dxa"/>
            <w:vAlign w:val="bottom"/>
            <w:vMerge w:val="restart"/>
          </w:tcPr>
          <w:p>
            <w:pPr>
              <w:jc w:val="right"/>
              <w:spacing w:after="0"/>
              <w:rPr>
                <w:sz w:val="20"/>
                <w:szCs w:val="20"/>
                <w:color w:val="auto"/>
              </w:rPr>
            </w:pPr>
            <w:r>
              <w:rPr>
                <w:rFonts w:ascii="Arial" w:cs="Arial" w:eastAsia="Arial" w:hAnsi="Arial"/>
                <w:sz w:val="14"/>
                <w:szCs w:val="14"/>
                <w:color w:val="auto"/>
              </w:rPr>
              <w:t>0.2</w:t>
            </w:r>
          </w:p>
        </w:tc>
        <w:tc>
          <w:tcPr>
            <w:tcW w:w="40" w:type="dxa"/>
            <w:vAlign w:val="bottom"/>
          </w:tcPr>
          <w:p>
            <w:pPr>
              <w:spacing w:after="0"/>
              <w:rPr>
                <w:sz w:val="11"/>
                <w:szCs w:val="11"/>
                <w:color w:val="auto"/>
              </w:rPr>
            </w:pPr>
          </w:p>
        </w:tc>
        <w:tc>
          <w:tcPr>
            <w:tcW w:w="200" w:type="dxa"/>
            <w:vAlign w:val="bottom"/>
            <w:gridSpan w:val="2"/>
            <w:vMerge w:val="restart"/>
          </w:tcPr>
          <w:p>
            <w:pPr>
              <w:ind w:left="120"/>
              <w:spacing w:after="0"/>
              <w:rPr>
                <w:sz w:val="20"/>
                <w:szCs w:val="20"/>
                <w:color w:val="auto"/>
              </w:rPr>
            </w:pPr>
            <w:r>
              <w:rPr>
                <w:rFonts w:ascii="Arial" w:cs="Arial" w:eastAsia="Arial" w:hAnsi="Arial"/>
                <w:sz w:val="14"/>
                <w:szCs w:val="14"/>
                <w:color w:val="auto"/>
                <w:w w:val="76"/>
              </w:rPr>
              <w:t>$</w:t>
            </w:r>
          </w:p>
        </w:tc>
        <w:tc>
          <w:tcPr>
            <w:tcW w:w="60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240" w:type="dxa"/>
            <w:vAlign w:val="bottom"/>
            <w:gridSpan w:val="2"/>
            <w:vMerge w:val="restart"/>
          </w:tcPr>
          <w:p>
            <w:pPr>
              <w:ind w:left="160"/>
              <w:spacing w:after="0"/>
              <w:rPr>
                <w:sz w:val="20"/>
                <w:szCs w:val="20"/>
                <w:color w:val="auto"/>
              </w:rPr>
            </w:pPr>
            <w:r>
              <w:rPr>
                <w:rFonts w:ascii="Arial" w:cs="Arial" w:eastAsia="Arial" w:hAnsi="Arial"/>
                <w:sz w:val="14"/>
                <w:szCs w:val="14"/>
                <w:color w:val="auto"/>
                <w:w w:val="76"/>
              </w:rPr>
              <w:t>$</w:t>
            </w:r>
          </w:p>
        </w:tc>
        <w:tc>
          <w:tcPr>
            <w:tcW w:w="840" w:type="dxa"/>
            <w:vAlign w:val="bottom"/>
            <w:gridSpan w:val="2"/>
            <w:vMerge w:val="restart"/>
          </w:tcPr>
          <w:p>
            <w:pPr>
              <w:jc w:val="right"/>
              <w:ind w:right="200"/>
              <w:spacing w:after="0"/>
              <w:rPr>
                <w:sz w:val="20"/>
                <w:szCs w:val="20"/>
                <w:color w:val="auto"/>
              </w:rPr>
            </w:pPr>
            <w:r>
              <w:rPr>
                <w:rFonts w:ascii="Arial" w:cs="Arial" w:eastAsia="Arial" w:hAnsi="Arial"/>
                <w:sz w:val="14"/>
                <w:szCs w:val="14"/>
                <w:color w:val="auto"/>
              </w:rPr>
              <w:t>—</w:t>
            </w:r>
          </w:p>
        </w:tc>
        <w:tc>
          <w:tcPr>
            <w:tcW w:w="100" w:type="dxa"/>
            <w:vAlign w:val="bottom"/>
            <w:vMerge w:val="restart"/>
          </w:tcPr>
          <w:p>
            <w:pPr>
              <w:ind w:left="20"/>
              <w:spacing w:after="0"/>
              <w:rPr>
                <w:sz w:val="20"/>
                <w:szCs w:val="20"/>
                <w:color w:val="auto"/>
              </w:rPr>
            </w:pPr>
            <w:r>
              <w:rPr>
                <w:rFonts w:ascii="Arial" w:cs="Arial" w:eastAsia="Arial" w:hAnsi="Arial"/>
                <w:sz w:val="14"/>
                <w:szCs w:val="14"/>
                <w:color w:val="auto"/>
                <w:w w:val="76"/>
              </w:rPr>
              <w:t>$</w:t>
            </w:r>
          </w:p>
        </w:tc>
        <w:tc>
          <w:tcPr>
            <w:tcW w:w="940" w:type="dxa"/>
            <w:vAlign w:val="bottom"/>
            <w:gridSpan w:val="2"/>
            <w:vMerge w:val="restart"/>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vMerge w:val="restart"/>
          </w:tcPr>
          <w:p>
            <w:pPr>
              <w:spacing w:after="0"/>
              <w:rPr>
                <w:sz w:val="20"/>
                <w:szCs w:val="20"/>
                <w:color w:val="auto"/>
              </w:rPr>
            </w:pPr>
            <w:r>
              <w:rPr>
                <w:rFonts w:ascii="Arial" w:cs="Arial" w:eastAsia="Arial" w:hAnsi="Arial"/>
                <w:sz w:val="14"/>
                <w:szCs w:val="14"/>
                <w:color w:val="auto"/>
              </w:rPr>
              <w:t>$</w:t>
            </w:r>
          </w:p>
        </w:tc>
        <w:tc>
          <w:tcPr>
            <w:tcW w:w="720" w:type="dxa"/>
            <w:vAlign w:val="bottom"/>
            <w:gridSpan w:val="2"/>
            <w:vMerge w:val="restart"/>
          </w:tcPr>
          <w:p>
            <w:pPr>
              <w:jc w:val="right"/>
              <w:ind w:right="200"/>
              <w:spacing w:after="0"/>
              <w:rPr>
                <w:sz w:val="20"/>
                <w:szCs w:val="20"/>
                <w:color w:val="auto"/>
              </w:rPr>
            </w:pPr>
            <w:r>
              <w:rPr>
                <w:rFonts w:ascii="Arial" w:cs="Arial" w:eastAsia="Arial" w:hAnsi="Arial"/>
                <w:sz w:val="14"/>
                <w:szCs w:val="14"/>
                <w:color w:val="auto"/>
              </w:rPr>
              <w:t>—</w:t>
            </w:r>
          </w:p>
        </w:tc>
        <w:tc>
          <w:tcPr>
            <w:tcW w:w="100" w:type="dxa"/>
            <w:vAlign w:val="bottom"/>
            <w:gridSpan w:val="2"/>
            <w:vMerge w:val="restart"/>
          </w:tcPr>
          <w:p>
            <w:pPr>
              <w:jc w:val="right"/>
              <w:spacing w:after="0"/>
              <w:rPr>
                <w:sz w:val="20"/>
                <w:szCs w:val="20"/>
                <w:color w:val="auto"/>
              </w:rPr>
            </w:pPr>
            <w:r>
              <w:rPr>
                <w:rFonts w:ascii="Arial" w:cs="Arial" w:eastAsia="Arial" w:hAnsi="Arial"/>
                <w:sz w:val="14"/>
                <w:szCs w:val="14"/>
                <w:color w:val="auto"/>
                <w:w w:val="76"/>
              </w:rPr>
              <w:t>$</w:t>
            </w:r>
          </w:p>
        </w:tc>
        <w:tc>
          <w:tcPr>
            <w:tcW w:w="340" w:type="dxa"/>
            <w:vAlign w:val="bottom"/>
            <w:vMerge w:val="restart"/>
          </w:tcPr>
          <w:p>
            <w:pPr>
              <w:jc w:val="right"/>
              <w:spacing w:after="0"/>
              <w:rPr>
                <w:sz w:val="20"/>
                <w:szCs w:val="20"/>
                <w:color w:val="auto"/>
              </w:rPr>
            </w:pPr>
            <w:r>
              <w:rPr>
                <w:rFonts w:ascii="Arial" w:cs="Arial" w:eastAsia="Arial" w:hAnsi="Arial"/>
                <w:sz w:val="14"/>
                <w:szCs w:val="14"/>
                <w:color w:val="auto"/>
              </w:rPr>
              <w:t>0.2</w:t>
            </w: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2260" w:type="dxa"/>
            <w:vAlign w:val="bottom"/>
          </w:tcPr>
          <w:p>
            <w:pPr>
              <w:ind w:left="120"/>
              <w:spacing w:after="0" w:line="154" w:lineRule="exact"/>
              <w:rPr>
                <w:sz w:val="20"/>
                <w:szCs w:val="20"/>
                <w:color w:val="auto"/>
              </w:rPr>
            </w:pPr>
            <w:r>
              <w:rPr>
                <w:rFonts w:ascii="Arial" w:cs="Arial" w:eastAsia="Arial" w:hAnsi="Arial"/>
                <w:sz w:val="14"/>
                <w:szCs w:val="14"/>
                <w:color w:val="auto"/>
              </w:rPr>
              <w:t>investment income</w:t>
            </w:r>
          </w:p>
        </w:tc>
        <w:tc>
          <w:tcPr>
            <w:tcW w:w="160" w:type="dxa"/>
            <w:vAlign w:val="bottom"/>
            <w:vMerge w:val="continue"/>
          </w:tcPr>
          <w:p>
            <w:pPr>
              <w:spacing w:after="0"/>
              <w:rPr>
                <w:sz w:val="13"/>
                <w:szCs w:val="13"/>
                <w:color w:val="auto"/>
              </w:rPr>
            </w:pPr>
          </w:p>
        </w:tc>
        <w:tc>
          <w:tcPr>
            <w:tcW w:w="600" w:type="dxa"/>
            <w:vAlign w:val="bottom"/>
            <w:vMerge w:val="continue"/>
          </w:tcPr>
          <w:p>
            <w:pPr>
              <w:spacing w:after="0"/>
              <w:rPr>
                <w:sz w:val="13"/>
                <w:szCs w:val="13"/>
                <w:color w:val="auto"/>
              </w:rPr>
            </w:pPr>
          </w:p>
        </w:tc>
        <w:tc>
          <w:tcPr>
            <w:tcW w:w="260" w:type="dxa"/>
            <w:vAlign w:val="bottom"/>
            <w:gridSpan w:val="2"/>
            <w:vMerge w:val="continue"/>
          </w:tcPr>
          <w:p>
            <w:pPr>
              <w:spacing w:after="0"/>
              <w:rPr>
                <w:sz w:val="13"/>
                <w:szCs w:val="13"/>
                <w:color w:val="auto"/>
              </w:rPr>
            </w:pPr>
          </w:p>
        </w:tc>
        <w:tc>
          <w:tcPr>
            <w:tcW w:w="700" w:type="dxa"/>
            <w:vAlign w:val="bottom"/>
            <w:vMerge w:val="continue"/>
          </w:tcPr>
          <w:p>
            <w:pPr>
              <w:spacing w:after="0"/>
              <w:rPr>
                <w:sz w:val="13"/>
                <w:szCs w:val="13"/>
                <w:color w:val="auto"/>
              </w:rPr>
            </w:pPr>
          </w:p>
        </w:tc>
        <w:tc>
          <w:tcPr>
            <w:tcW w:w="240" w:type="dxa"/>
            <w:vAlign w:val="bottom"/>
            <w:gridSpan w:val="2"/>
            <w:vMerge w:val="continue"/>
          </w:tcPr>
          <w:p>
            <w:pPr>
              <w:spacing w:after="0"/>
              <w:rPr>
                <w:sz w:val="13"/>
                <w:szCs w:val="13"/>
                <w:color w:val="auto"/>
              </w:rPr>
            </w:pPr>
          </w:p>
        </w:tc>
        <w:tc>
          <w:tcPr>
            <w:tcW w:w="820" w:type="dxa"/>
            <w:vAlign w:val="bottom"/>
            <w:gridSpan w:val="2"/>
            <w:vMerge w:val="continue"/>
          </w:tcPr>
          <w:p>
            <w:pPr>
              <w:spacing w:after="0"/>
              <w:rPr>
                <w:sz w:val="13"/>
                <w:szCs w:val="13"/>
                <w:color w:val="auto"/>
              </w:rPr>
            </w:pPr>
          </w:p>
        </w:tc>
        <w:tc>
          <w:tcPr>
            <w:tcW w:w="200" w:type="dxa"/>
            <w:vAlign w:val="bottom"/>
            <w:vMerge w:val="continue"/>
          </w:tcPr>
          <w:p>
            <w:pPr>
              <w:spacing w:after="0"/>
              <w:rPr>
                <w:sz w:val="13"/>
                <w:szCs w:val="13"/>
                <w:color w:val="auto"/>
              </w:rPr>
            </w:pPr>
          </w:p>
        </w:tc>
        <w:tc>
          <w:tcPr>
            <w:tcW w:w="42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200" w:type="dxa"/>
            <w:vAlign w:val="bottom"/>
            <w:gridSpan w:val="2"/>
            <w:vMerge w:val="continue"/>
          </w:tcPr>
          <w:p>
            <w:pPr>
              <w:spacing w:after="0"/>
              <w:rPr>
                <w:sz w:val="13"/>
                <w:szCs w:val="13"/>
                <w:color w:val="auto"/>
              </w:rPr>
            </w:pPr>
          </w:p>
        </w:tc>
        <w:tc>
          <w:tcPr>
            <w:tcW w:w="600" w:type="dxa"/>
            <w:vAlign w:val="bottom"/>
            <w:vMerge w:val="continue"/>
          </w:tcPr>
          <w:p>
            <w:pPr>
              <w:spacing w:after="0"/>
              <w:rPr>
                <w:sz w:val="13"/>
                <w:szCs w:val="13"/>
                <w:color w:val="auto"/>
              </w:rPr>
            </w:pPr>
          </w:p>
        </w:tc>
        <w:tc>
          <w:tcPr>
            <w:tcW w:w="240" w:type="dxa"/>
            <w:vAlign w:val="bottom"/>
            <w:gridSpan w:val="2"/>
            <w:vMerge w:val="continue"/>
          </w:tcPr>
          <w:p>
            <w:pPr>
              <w:spacing w:after="0"/>
              <w:rPr>
                <w:sz w:val="13"/>
                <w:szCs w:val="13"/>
                <w:color w:val="auto"/>
              </w:rPr>
            </w:pPr>
          </w:p>
        </w:tc>
        <w:tc>
          <w:tcPr>
            <w:tcW w:w="840" w:type="dxa"/>
            <w:vAlign w:val="bottom"/>
            <w:gridSpan w:val="2"/>
            <w:vMerge w:val="continue"/>
          </w:tcPr>
          <w:p>
            <w:pPr>
              <w:spacing w:after="0"/>
              <w:rPr>
                <w:sz w:val="13"/>
                <w:szCs w:val="13"/>
                <w:color w:val="auto"/>
              </w:rPr>
            </w:pPr>
          </w:p>
        </w:tc>
        <w:tc>
          <w:tcPr>
            <w:tcW w:w="100" w:type="dxa"/>
            <w:vAlign w:val="bottom"/>
            <w:vMerge w:val="continue"/>
          </w:tcPr>
          <w:p>
            <w:pPr>
              <w:spacing w:after="0"/>
              <w:rPr>
                <w:sz w:val="13"/>
                <w:szCs w:val="13"/>
                <w:color w:val="auto"/>
              </w:rPr>
            </w:pPr>
          </w:p>
        </w:tc>
        <w:tc>
          <w:tcPr>
            <w:tcW w:w="940" w:type="dxa"/>
            <w:vAlign w:val="bottom"/>
            <w:gridSpan w:val="2"/>
            <w:vMerge w:val="continue"/>
          </w:tcPr>
          <w:p>
            <w:pPr>
              <w:spacing w:after="0"/>
              <w:rPr>
                <w:sz w:val="13"/>
                <w:szCs w:val="13"/>
                <w:color w:val="auto"/>
              </w:rPr>
            </w:pPr>
          </w:p>
        </w:tc>
        <w:tc>
          <w:tcPr>
            <w:tcW w:w="120" w:type="dxa"/>
            <w:vAlign w:val="bottom"/>
            <w:vMerge w:val="continue"/>
          </w:tcPr>
          <w:p>
            <w:pPr>
              <w:spacing w:after="0"/>
              <w:rPr>
                <w:sz w:val="13"/>
                <w:szCs w:val="13"/>
                <w:color w:val="auto"/>
              </w:rPr>
            </w:pPr>
          </w:p>
        </w:tc>
        <w:tc>
          <w:tcPr>
            <w:tcW w:w="720" w:type="dxa"/>
            <w:vAlign w:val="bottom"/>
            <w:gridSpan w:val="2"/>
            <w:vMerge w:val="continue"/>
          </w:tcPr>
          <w:p>
            <w:pPr>
              <w:spacing w:after="0"/>
              <w:rPr>
                <w:sz w:val="13"/>
                <w:szCs w:val="13"/>
                <w:color w:val="auto"/>
              </w:rPr>
            </w:pPr>
          </w:p>
        </w:tc>
        <w:tc>
          <w:tcPr>
            <w:tcW w:w="100" w:type="dxa"/>
            <w:vAlign w:val="bottom"/>
            <w:gridSpan w:val="2"/>
            <w:vMerge w:val="continue"/>
          </w:tcPr>
          <w:p>
            <w:pPr>
              <w:spacing w:after="0"/>
              <w:rPr>
                <w:sz w:val="13"/>
                <w:szCs w:val="13"/>
                <w:color w:val="auto"/>
              </w:rPr>
            </w:pPr>
          </w:p>
        </w:tc>
        <w:tc>
          <w:tcPr>
            <w:tcW w:w="34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2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603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23" w:name="page24"/>
    <w:bookmarkEnd w:id="23"/>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2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380" w:type="dxa"/>
            <w:vAlign w:val="bottom"/>
            <w:tcBorders>
              <w:bottom w:val="single" w:sz="8" w:color="auto"/>
            </w:tcBorders>
            <w:gridSpan w:val="13"/>
          </w:tcPr>
          <w:p>
            <w:pPr>
              <w:jc w:val="center"/>
              <w:ind w:left="208"/>
              <w:spacing w:after="0"/>
              <w:rPr>
                <w:sz w:val="20"/>
                <w:szCs w:val="20"/>
                <w:color w:val="auto"/>
              </w:rPr>
            </w:pPr>
            <w:r>
              <w:rPr>
                <w:rFonts w:ascii="Arial" w:cs="Arial" w:eastAsia="Arial" w:hAnsi="Arial"/>
                <w:sz w:val="14"/>
                <w:szCs w:val="14"/>
                <w:b w:val="1"/>
                <w:bCs w:val="1"/>
                <w:color w:val="auto"/>
                <w:w w:val="91"/>
              </w:rPr>
              <w:t>For the six months ended June 30, 2022</w:t>
            </w:r>
          </w:p>
        </w:tc>
        <w:tc>
          <w:tcPr>
            <w:tcW w:w="8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22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00" w:type="dxa"/>
            <w:vAlign w:val="bottom"/>
            <w:gridSpan w:val="3"/>
          </w:tcPr>
          <w:p>
            <w:pPr>
              <w:jc w:val="center"/>
              <w:ind w:right="40"/>
              <w:spacing w:after="0" w:line="119" w:lineRule="exact"/>
              <w:rPr>
                <w:sz w:val="20"/>
                <w:szCs w:val="20"/>
                <w:color w:val="auto"/>
              </w:rPr>
            </w:pPr>
            <w:r>
              <w:rPr>
                <w:rFonts w:ascii="Arial" w:cs="Arial" w:eastAsia="Arial" w:hAnsi="Arial"/>
                <w:sz w:val="13"/>
                <w:szCs w:val="13"/>
                <w:b w:val="1"/>
                <w:bCs w:val="1"/>
                <w:color w:val="auto"/>
                <w:w w:val="95"/>
              </w:rPr>
              <w:t>Residential</w:t>
            </w:r>
          </w:p>
        </w:tc>
        <w:tc>
          <w:tcPr>
            <w:tcW w:w="1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w w:val="96"/>
              </w:rPr>
              <w:t>mortgage-</w:t>
            </w:r>
          </w:p>
        </w:tc>
        <w:tc>
          <w:tcPr>
            <w:tcW w:w="140" w:type="dxa"/>
            <w:vAlign w:val="bottom"/>
          </w:tcPr>
          <w:p>
            <w:pPr>
              <w:spacing w:after="0"/>
              <w:rPr>
                <w:sz w:val="12"/>
                <w:szCs w:val="12"/>
                <w:color w:val="auto"/>
              </w:rPr>
            </w:pPr>
          </w:p>
        </w:tc>
        <w:tc>
          <w:tcPr>
            <w:tcW w:w="9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Commercial</w:t>
            </w:r>
          </w:p>
        </w:tc>
        <w:tc>
          <w:tcPr>
            <w:tcW w:w="1020" w:type="dxa"/>
            <w:vAlign w:val="bottom"/>
            <w:gridSpan w:val="3"/>
            <w:vMerge w:val="restart"/>
          </w:tcPr>
          <w:p>
            <w:pPr>
              <w:jc w:val="center"/>
              <w:ind w:right="180"/>
              <w:spacing w:after="0"/>
              <w:rPr>
                <w:sz w:val="20"/>
                <w:szCs w:val="20"/>
                <w:color w:val="auto"/>
              </w:rPr>
            </w:pPr>
            <w:r>
              <w:rPr>
                <w:rFonts w:ascii="Arial" w:cs="Arial" w:eastAsia="Arial" w:hAnsi="Arial"/>
                <w:sz w:val="14"/>
                <w:szCs w:val="14"/>
                <w:b w:val="1"/>
                <w:bCs w:val="1"/>
                <w:color w:val="auto"/>
                <w:w w:val="92"/>
              </w:rPr>
              <w:t>Collateralized</w:t>
            </w: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6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U.S.</w:t>
            </w:r>
          </w:p>
        </w:tc>
        <w:tc>
          <w:tcPr>
            <w:tcW w:w="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2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w w:val="90"/>
              </w:rPr>
              <w:t>States and</w:t>
            </w:r>
          </w:p>
        </w:tc>
        <w:tc>
          <w:tcPr>
            <w:tcW w:w="1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1"/>
              </w:rPr>
              <w:t>backed</w:t>
            </w:r>
          </w:p>
        </w:tc>
        <w:tc>
          <w:tcPr>
            <w:tcW w:w="140" w:type="dxa"/>
            <w:vAlign w:val="bottom"/>
          </w:tcPr>
          <w:p>
            <w:pPr>
              <w:spacing w:after="0"/>
              <w:rPr>
                <w:sz w:val="12"/>
                <w:szCs w:val="12"/>
                <w:color w:val="auto"/>
              </w:rPr>
            </w:pPr>
          </w:p>
        </w:tc>
        <w:tc>
          <w:tcPr>
            <w:tcW w:w="940" w:type="dxa"/>
            <w:vAlign w:val="bottom"/>
            <w:gridSpan w:val="3"/>
            <w:vMerge w:val="continue"/>
          </w:tcPr>
          <w:p>
            <w:pPr>
              <w:spacing w:after="0"/>
              <w:rPr>
                <w:sz w:val="12"/>
                <w:szCs w:val="12"/>
                <w:color w:val="auto"/>
              </w:rPr>
            </w:pPr>
          </w:p>
        </w:tc>
        <w:tc>
          <w:tcPr>
            <w:tcW w:w="1020" w:type="dxa"/>
            <w:vAlign w:val="bottom"/>
            <w:gridSpan w:val="3"/>
            <w:vMerge w:val="continue"/>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vMerge w:val="restart"/>
          </w:tcPr>
          <w:p>
            <w:pPr>
              <w:jc w:val="right"/>
              <w:ind w:right="88"/>
              <w:spacing w:after="0"/>
              <w:rPr>
                <w:sz w:val="20"/>
                <w:szCs w:val="20"/>
                <w:color w:val="auto"/>
              </w:rPr>
            </w:pPr>
            <w:r>
              <w:rPr>
                <w:rFonts w:ascii="Arial" w:cs="Arial" w:eastAsia="Arial" w:hAnsi="Arial"/>
                <w:sz w:val="14"/>
                <w:szCs w:val="14"/>
                <w:b w:val="1"/>
                <w:bCs w:val="1"/>
                <w:color w:val="auto"/>
              </w:rPr>
              <w:t>Other</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6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Non-U.S.</w:t>
            </w:r>
          </w:p>
        </w:tc>
        <w:tc>
          <w:tcPr>
            <w:tcW w:w="72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87"/>
              </w:rPr>
              <w:t>pass-</w:t>
            </w:r>
          </w:p>
        </w:tc>
        <w:tc>
          <w:tcPr>
            <w:tcW w:w="140" w:type="dxa"/>
            <w:vAlign w:val="bottom"/>
          </w:tcPr>
          <w:p>
            <w:pPr>
              <w:spacing w:after="0"/>
              <w:rPr>
                <w:sz w:val="12"/>
                <w:szCs w:val="12"/>
                <w:color w:val="auto"/>
              </w:rPr>
            </w:pPr>
          </w:p>
        </w:tc>
        <w:tc>
          <w:tcPr>
            <w:tcW w:w="940" w:type="dxa"/>
            <w:vAlign w:val="bottom"/>
            <w:gridSpan w:val="3"/>
          </w:tcPr>
          <w:p>
            <w:pPr>
              <w:jc w:val="center"/>
              <w:ind w:right="200"/>
              <w:spacing w:after="0" w:line="149" w:lineRule="exact"/>
              <w:rPr>
                <w:sz w:val="20"/>
                <w:szCs w:val="20"/>
                <w:color w:val="auto"/>
              </w:rPr>
            </w:pPr>
            <w:r>
              <w:rPr>
                <w:rFonts w:ascii="Arial" w:cs="Arial" w:eastAsia="Arial" w:hAnsi="Arial"/>
                <w:sz w:val="14"/>
                <w:szCs w:val="14"/>
                <w:b w:val="1"/>
                <w:bCs w:val="1"/>
                <w:color w:val="auto"/>
                <w:w w:val="90"/>
              </w:rPr>
              <w:t>mortgage-</w:t>
            </w:r>
          </w:p>
        </w:tc>
        <w:tc>
          <w:tcPr>
            <w:tcW w:w="80" w:type="dxa"/>
            <w:vAlign w:val="bottom"/>
          </w:tcPr>
          <w:p>
            <w:pPr>
              <w:spacing w:after="0"/>
              <w:rPr>
                <w:sz w:val="12"/>
                <w:szCs w:val="12"/>
                <w:color w:val="auto"/>
              </w:rPr>
            </w:pPr>
          </w:p>
        </w:tc>
        <w:tc>
          <w:tcPr>
            <w:tcW w:w="9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7"/>
              </w:rPr>
              <w:t>debt</w:t>
            </w:r>
          </w:p>
        </w:tc>
        <w:tc>
          <w:tcPr>
            <w:tcW w:w="100" w:type="dxa"/>
            <w:vAlign w:val="bottom"/>
          </w:tcPr>
          <w:p>
            <w:pPr>
              <w:spacing w:after="0"/>
              <w:rPr>
                <w:sz w:val="12"/>
                <w:szCs w:val="12"/>
                <w:color w:val="auto"/>
              </w:rPr>
            </w:pPr>
          </w:p>
        </w:tc>
        <w:tc>
          <w:tcPr>
            <w:tcW w:w="580" w:type="dxa"/>
            <w:vAlign w:val="bottom"/>
            <w:vMerge w:val="continue"/>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government</w:t>
            </w:r>
          </w:p>
        </w:tc>
        <w:tc>
          <w:tcPr>
            <w:tcW w:w="80" w:type="dxa"/>
            <w:vAlign w:val="bottom"/>
          </w:tcPr>
          <w:p>
            <w:pPr>
              <w:spacing w:after="0"/>
              <w:rPr>
                <w:sz w:val="12"/>
                <w:szCs w:val="12"/>
                <w:color w:val="auto"/>
              </w:rPr>
            </w:pPr>
          </w:p>
        </w:tc>
        <w:tc>
          <w:tcPr>
            <w:tcW w:w="86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tcPr>
          <w:p>
            <w:pPr>
              <w:jc w:val="right"/>
              <w:ind w:right="48"/>
              <w:spacing w:after="0" w:line="149" w:lineRule="exact"/>
              <w:rPr>
                <w:sz w:val="20"/>
                <w:szCs w:val="20"/>
                <w:color w:val="auto"/>
              </w:rPr>
            </w:pPr>
            <w:r>
              <w:rPr>
                <w:rFonts w:ascii="Arial" w:cs="Arial" w:eastAsia="Arial" w:hAnsi="Arial"/>
                <w:sz w:val="14"/>
                <w:szCs w:val="14"/>
                <w:b w:val="1"/>
                <w:bCs w:val="1"/>
                <w:color w:val="auto"/>
                <w:w w:val="94"/>
              </w:rPr>
              <w:t>political</w:t>
            </w:r>
          </w:p>
        </w:tc>
        <w:tc>
          <w:tcPr>
            <w:tcW w:w="840" w:type="dxa"/>
            <w:vAlign w:val="bottom"/>
            <w:gridSpan w:val="4"/>
            <w:vMerge w:val="restart"/>
          </w:tcPr>
          <w:p>
            <w:pPr>
              <w:ind w:left="160"/>
              <w:spacing w:after="0"/>
              <w:rPr>
                <w:sz w:val="20"/>
                <w:szCs w:val="20"/>
                <w:color w:val="auto"/>
              </w:rPr>
            </w:pPr>
            <w:r>
              <w:rPr>
                <w:rFonts w:ascii="Arial" w:cs="Arial" w:eastAsia="Arial" w:hAnsi="Arial"/>
                <w:sz w:val="14"/>
                <w:szCs w:val="14"/>
                <w:b w:val="1"/>
                <w:bCs w:val="1"/>
                <w:color w:val="auto"/>
                <w:w w:val="98"/>
              </w:rPr>
              <w:t>Corporate</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4"/>
              </w:rPr>
              <w:t>through</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6"/>
              </w:rPr>
              <w:t>backed</w:t>
            </w:r>
          </w:p>
        </w:tc>
        <w:tc>
          <w:tcPr>
            <w:tcW w:w="80" w:type="dxa"/>
            <w:vAlign w:val="bottom"/>
          </w:tcPr>
          <w:p>
            <w:pPr>
              <w:spacing w:after="0"/>
              <w:rPr>
                <w:sz w:val="12"/>
                <w:szCs w:val="12"/>
                <w:color w:val="auto"/>
              </w:rPr>
            </w:pPr>
          </w:p>
        </w:tc>
        <w:tc>
          <w:tcPr>
            <w:tcW w:w="9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8"/>
              </w:rPr>
              <w:t>obligations</w:t>
            </w:r>
          </w:p>
        </w:tc>
        <w:tc>
          <w:tcPr>
            <w:tcW w:w="100" w:type="dxa"/>
            <w:vAlign w:val="bottom"/>
          </w:tcPr>
          <w:p>
            <w:pPr>
              <w:spacing w:after="0"/>
              <w:rPr>
                <w:sz w:val="12"/>
                <w:szCs w:val="12"/>
                <w:color w:val="auto"/>
              </w:rPr>
            </w:pPr>
          </w:p>
        </w:tc>
        <w:tc>
          <w:tcPr>
            <w:tcW w:w="580" w:type="dxa"/>
            <w:vAlign w:val="bottom"/>
          </w:tcPr>
          <w:p>
            <w:pPr>
              <w:jc w:val="right"/>
              <w:ind w:right="148"/>
              <w:spacing w:after="0" w:line="149" w:lineRule="exact"/>
              <w:rPr>
                <w:sz w:val="20"/>
                <w:szCs w:val="20"/>
                <w:color w:val="auto"/>
              </w:rPr>
            </w:pPr>
            <w:r>
              <w:rPr>
                <w:rFonts w:ascii="Arial" w:cs="Arial" w:eastAsia="Arial" w:hAnsi="Arial"/>
                <w:sz w:val="14"/>
                <w:szCs w:val="14"/>
                <w:b w:val="1"/>
                <w:bCs w:val="1"/>
                <w:color w:val="auto"/>
              </w:rPr>
              <w:t>debt</w:t>
            </w:r>
          </w:p>
        </w:tc>
        <w:tc>
          <w:tcPr>
            <w:tcW w:w="180" w:type="dxa"/>
            <w:vAlign w:val="bottom"/>
          </w:tcPr>
          <w:p>
            <w:pPr>
              <w:spacing w:after="0"/>
              <w:rPr>
                <w:sz w:val="12"/>
                <w:szCs w:val="12"/>
                <w:color w:val="auto"/>
              </w:rPr>
            </w:pPr>
          </w:p>
        </w:tc>
        <w:tc>
          <w:tcPr>
            <w:tcW w:w="40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w w:val="95"/>
              </w:rPr>
              <w:t>Total</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60" w:type="dxa"/>
            <w:vAlign w:val="bottom"/>
            <w:gridSpan w:val="2"/>
          </w:tcPr>
          <w:p>
            <w:pPr>
              <w:spacing w:after="0"/>
              <w:rPr>
                <w:sz w:val="20"/>
                <w:szCs w:val="20"/>
                <w:color w:val="auto"/>
              </w:rPr>
            </w:pPr>
            <w:r>
              <w:rPr>
                <w:rFonts w:ascii="Arial" w:cs="Arial" w:eastAsia="Arial" w:hAnsi="Arial"/>
                <w:sz w:val="14"/>
                <w:szCs w:val="14"/>
                <w:b w:val="1"/>
                <w:bCs w:val="1"/>
                <w:color w:val="auto"/>
                <w:w w:val="81"/>
              </w:rPr>
              <w:t>and agencies</w:t>
            </w:r>
          </w:p>
        </w:tc>
        <w:tc>
          <w:tcPr>
            <w:tcW w:w="180" w:type="dxa"/>
            <w:vAlign w:val="bottom"/>
          </w:tcPr>
          <w:p>
            <w:pPr>
              <w:spacing w:after="0"/>
              <w:rPr>
                <w:sz w:val="14"/>
                <w:szCs w:val="14"/>
                <w:color w:val="auto"/>
              </w:rPr>
            </w:pPr>
          </w:p>
        </w:tc>
        <w:tc>
          <w:tcPr>
            <w:tcW w:w="940" w:type="dxa"/>
            <w:vAlign w:val="bottom"/>
            <w:gridSpan w:val="3"/>
          </w:tcPr>
          <w:p>
            <w:pPr>
              <w:spacing w:after="0"/>
              <w:rPr>
                <w:sz w:val="20"/>
                <w:szCs w:val="20"/>
                <w:color w:val="auto"/>
              </w:rPr>
            </w:pPr>
            <w:r>
              <w:rPr>
                <w:rFonts w:ascii="Arial" w:cs="Arial" w:eastAsia="Arial" w:hAnsi="Arial"/>
                <w:sz w:val="14"/>
                <w:szCs w:val="14"/>
                <w:b w:val="1"/>
                <w:bCs w:val="1"/>
                <w:color w:val="auto"/>
              </w:rPr>
              <w:t>governments</w:t>
            </w:r>
          </w:p>
        </w:tc>
        <w:tc>
          <w:tcPr>
            <w:tcW w:w="720" w:type="dxa"/>
            <w:vAlign w:val="bottom"/>
            <w:gridSpan w:val="2"/>
          </w:tcPr>
          <w:p>
            <w:pPr>
              <w:spacing w:after="0"/>
              <w:rPr>
                <w:sz w:val="20"/>
                <w:szCs w:val="20"/>
                <w:color w:val="auto"/>
              </w:rPr>
            </w:pPr>
            <w:r>
              <w:rPr>
                <w:rFonts w:ascii="Arial" w:cs="Arial" w:eastAsia="Arial" w:hAnsi="Arial"/>
                <w:sz w:val="14"/>
                <w:szCs w:val="14"/>
                <w:b w:val="1"/>
                <w:bCs w:val="1"/>
                <w:color w:val="auto"/>
                <w:w w:val="79"/>
              </w:rPr>
              <w:t>subdivisions</w:t>
            </w:r>
          </w:p>
        </w:tc>
        <w:tc>
          <w:tcPr>
            <w:tcW w:w="840" w:type="dxa"/>
            <w:vAlign w:val="bottom"/>
            <w:gridSpan w:val="4"/>
            <w:vMerge w:val="continue"/>
          </w:tcPr>
          <w:p>
            <w:pPr>
              <w:spacing w:after="0"/>
              <w:rPr>
                <w:sz w:val="14"/>
                <w:szCs w:val="14"/>
                <w:color w:val="auto"/>
              </w:rPr>
            </w:pPr>
          </w:p>
        </w:tc>
        <w:tc>
          <w:tcPr>
            <w:tcW w:w="120" w:type="dxa"/>
            <w:vAlign w:val="bottom"/>
          </w:tcPr>
          <w:p>
            <w:pPr>
              <w:spacing w:after="0"/>
              <w:rPr>
                <w:sz w:val="14"/>
                <w:szCs w:val="14"/>
                <w:color w:val="auto"/>
              </w:rPr>
            </w:pPr>
          </w:p>
        </w:tc>
        <w:tc>
          <w:tcPr>
            <w:tcW w:w="700" w:type="dxa"/>
            <w:vAlign w:val="bottom"/>
            <w:gridSpan w:val="3"/>
          </w:tcPr>
          <w:p>
            <w:pPr>
              <w:jc w:val="right"/>
              <w:ind w:right="80"/>
              <w:spacing w:after="0"/>
              <w:rPr>
                <w:sz w:val="20"/>
                <w:szCs w:val="20"/>
                <w:color w:val="auto"/>
              </w:rPr>
            </w:pPr>
            <w:r>
              <w:rPr>
                <w:rFonts w:ascii="Arial" w:cs="Arial" w:eastAsia="Arial" w:hAnsi="Arial"/>
                <w:sz w:val="14"/>
                <w:szCs w:val="14"/>
                <w:b w:val="1"/>
                <w:bCs w:val="1"/>
                <w:color w:val="auto"/>
                <w:w w:val="91"/>
              </w:rPr>
              <w:t>securities</w:t>
            </w: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8"/>
              </w:rPr>
              <w:t>securities</w:t>
            </w:r>
          </w:p>
        </w:tc>
        <w:tc>
          <w:tcPr>
            <w:tcW w:w="80" w:type="dxa"/>
            <w:vAlign w:val="bottom"/>
          </w:tcPr>
          <w:p>
            <w:pPr>
              <w:spacing w:after="0"/>
              <w:rPr>
                <w:sz w:val="14"/>
                <w:szCs w:val="14"/>
                <w:color w:val="auto"/>
              </w:rPr>
            </w:pPr>
          </w:p>
        </w:tc>
        <w:tc>
          <w:tcPr>
            <w:tcW w:w="760" w:type="dxa"/>
            <w:vAlign w:val="bottom"/>
          </w:tcPr>
          <w:p>
            <w:pPr>
              <w:jc w:val="center"/>
              <w:ind w:right="28"/>
              <w:spacing w:after="0"/>
              <w:rPr>
                <w:sz w:val="20"/>
                <w:szCs w:val="20"/>
                <w:color w:val="auto"/>
              </w:rPr>
            </w:pPr>
            <w:r>
              <w:rPr>
                <w:rFonts w:ascii="Arial" w:cs="Arial" w:eastAsia="Arial" w:hAnsi="Arial"/>
                <w:sz w:val="14"/>
                <w:szCs w:val="14"/>
                <w:b w:val="1"/>
                <w:bCs w:val="1"/>
                <w:color w:val="auto"/>
              </w:rPr>
              <w:t>(1)</w:t>
            </w:r>
          </w:p>
        </w:tc>
        <w:tc>
          <w:tcPr>
            <w:tcW w:w="180" w:type="dxa"/>
            <w:vAlign w:val="bottom"/>
          </w:tcPr>
          <w:p>
            <w:pPr>
              <w:spacing w:after="0"/>
              <w:rPr>
                <w:sz w:val="14"/>
                <w:szCs w:val="14"/>
                <w:color w:val="auto"/>
              </w:rPr>
            </w:pPr>
          </w:p>
        </w:tc>
        <w:tc>
          <w:tcPr>
            <w:tcW w:w="680" w:type="dxa"/>
            <w:vAlign w:val="bottom"/>
            <w:gridSpan w:val="2"/>
          </w:tcPr>
          <w:p>
            <w:pPr>
              <w:spacing w:after="0"/>
              <w:rPr>
                <w:sz w:val="20"/>
                <w:szCs w:val="20"/>
                <w:color w:val="auto"/>
              </w:rPr>
            </w:pPr>
            <w:r>
              <w:rPr>
                <w:rFonts w:ascii="Arial" w:cs="Arial" w:eastAsia="Arial" w:hAnsi="Arial"/>
                <w:sz w:val="14"/>
                <w:szCs w:val="14"/>
                <w:b w:val="1"/>
                <w:bCs w:val="1"/>
                <w:color w:val="auto"/>
                <w:w w:val="85"/>
              </w:rPr>
              <w:t>obligations</w:t>
            </w:r>
          </w:p>
        </w:tc>
        <w:tc>
          <w:tcPr>
            <w:tcW w:w="180" w:type="dxa"/>
            <w:vAlign w:val="bottom"/>
          </w:tcPr>
          <w:p>
            <w:pPr>
              <w:spacing w:after="0"/>
              <w:rPr>
                <w:sz w:val="14"/>
                <w:szCs w:val="14"/>
                <w:color w:val="auto"/>
              </w:rPr>
            </w:pPr>
          </w:p>
        </w:tc>
        <w:tc>
          <w:tcPr>
            <w:tcW w:w="40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80" w:type="dxa"/>
            <w:vAlign w:val="bottom"/>
            <w:tcBorders>
              <w:right w:val="single" w:sz="8" w:color="auto"/>
            </w:tcBorders>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660" w:type="dxa"/>
            <w:vAlign w:val="bottom"/>
            <w:gridSpan w:val="2"/>
            <w:shd w:val="clear" w:color="auto" w:fill="000000"/>
          </w:tcPr>
          <w:p>
            <w:pPr>
              <w:spacing w:after="0" w:line="20" w:lineRule="exact"/>
              <w:rPr>
                <w:sz w:val="1"/>
                <w:szCs w:val="1"/>
                <w:color w:val="auto"/>
              </w:rPr>
            </w:pPr>
          </w:p>
        </w:tc>
        <w:tc>
          <w:tcPr>
            <w:tcW w:w="40" w:type="dxa"/>
            <w:vAlign w:val="bottom"/>
            <w:vMerge w:val="restart"/>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8"/>
        </w:trPr>
        <w:tc>
          <w:tcPr>
            <w:tcW w:w="20" w:type="dxa"/>
            <w:vAlign w:val="bottom"/>
          </w:tcPr>
          <w:p>
            <w:pPr>
              <w:spacing w:after="0"/>
              <w:rPr>
                <w:sz w:val="11"/>
                <w:szCs w:val="11"/>
                <w:color w:val="auto"/>
              </w:rPr>
            </w:pPr>
          </w:p>
        </w:tc>
        <w:tc>
          <w:tcPr>
            <w:tcW w:w="2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gridSpan w:val="3"/>
          </w:tcPr>
          <w:p>
            <w:pPr>
              <w:jc w:val="center"/>
              <w:spacing w:after="0" w:line="129" w:lineRule="exact"/>
              <w:rPr>
                <w:sz w:val="20"/>
                <w:szCs w:val="20"/>
                <w:color w:val="auto"/>
              </w:rPr>
            </w:pPr>
            <w:r>
              <w:rPr>
                <w:rFonts w:ascii="Arial" w:cs="Arial" w:eastAsia="Arial" w:hAnsi="Arial"/>
                <w:sz w:val="14"/>
                <w:szCs w:val="14"/>
                <w:i w:val="1"/>
                <w:iCs w:val="1"/>
                <w:color w:val="auto"/>
              </w:rPr>
              <w:t>(in millions)</w:t>
            </w:r>
          </w:p>
        </w:tc>
        <w:tc>
          <w:tcPr>
            <w:tcW w:w="40" w:type="dxa"/>
            <w:vAlign w:val="bottom"/>
            <w:vMerge w:val="continue"/>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2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Beginning balance</w:t>
            </w:r>
          </w:p>
        </w:tc>
        <w:tc>
          <w:tcPr>
            <w:tcW w:w="260" w:type="dxa"/>
            <w:vAlign w:val="bottom"/>
            <w:gridSpan w:val="2"/>
            <w:shd w:val="clear" w:color="auto" w:fill="CCEEFF"/>
          </w:tcPr>
          <w:p>
            <w:pPr>
              <w:ind w:left="60"/>
              <w:spacing w:after="0" w:line="149" w:lineRule="exact"/>
              <w:rPr>
                <w:sz w:val="20"/>
                <w:szCs w:val="20"/>
                <w:color w:val="auto"/>
              </w:rPr>
            </w:pPr>
            <w:r>
              <w:rPr>
                <w:rFonts w:ascii="Arial" w:cs="Arial" w:eastAsia="Arial" w:hAnsi="Arial"/>
                <w:sz w:val="14"/>
                <w:szCs w:val="14"/>
                <w:b w:val="1"/>
                <w:bCs w:val="1"/>
                <w:color w:val="auto"/>
              </w:rPr>
              <w:t>$</w:t>
            </w:r>
          </w:p>
        </w:tc>
        <w:tc>
          <w:tcPr>
            <w:tcW w:w="760" w:type="dxa"/>
            <w:vAlign w:val="bottom"/>
            <w:tcBorders>
              <w:right w:val="single" w:sz="8" w:color="CCEEFF"/>
            </w:tcBorders>
            <w:gridSpan w:val="2"/>
            <w:shd w:val="clear" w:color="auto" w:fill="CCEEFF"/>
          </w:tcPr>
          <w:p>
            <w:pPr>
              <w:ind w:left="38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w w:val="76"/>
              </w:rPr>
              <w:t>$</w:t>
            </w:r>
          </w:p>
        </w:tc>
        <w:tc>
          <w:tcPr>
            <w:tcW w:w="860" w:type="dxa"/>
            <w:vAlign w:val="bottom"/>
            <w:tcBorders>
              <w:right w:val="single" w:sz="8" w:color="CCEEFF"/>
            </w:tcBorders>
            <w:gridSpan w:val="2"/>
            <w:shd w:val="clear" w:color="auto" w:fill="CCEEFF"/>
          </w:tcPr>
          <w:p>
            <w:pPr>
              <w:ind w:left="48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w w:val="76"/>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380" w:type="dxa"/>
            <w:vAlign w:val="bottom"/>
            <w:tcBorders>
              <w:left w:val="single" w:sz="8" w:color="CCEEFF"/>
            </w:tcBorders>
            <w:gridSpan w:val="2"/>
            <w:shd w:val="clear" w:color="auto" w:fill="CCEEFF"/>
          </w:tcPr>
          <w:p>
            <w:pPr>
              <w:ind w:left="160"/>
              <w:spacing w:after="0" w:line="149" w:lineRule="exact"/>
              <w:rPr>
                <w:sz w:val="20"/>
                <w:szCs w:val="20"/>
                <w:color w:val="auto"/>
              </w:rPr>
            </w:pPr>
            <w:r>
              <w:rPr>
                <w:rFonts w:ascii="Arial" w:cs="Arial" w:eastAsia="Arial" w:hAnsi="Arial"/>
                <w:sz w:val="14"/>
                <w:szCs w:val="14"/>
                <w:b w:val="1"/>
                <w:bCs w:val="1"/>
                <w:color w:val="auto"/>
              </w:rPr>
              <w:t>$</w:t>
            </w: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15.1</w:t>
            </w:r>
          </w:p>
        </w:tc>
        <w:tc>
          <w:tcPr>
            <w:tcW w:w="40" w:type="dxa"/>
            <w:vAlign w:val="bottom"/>
            <w:tcBorders>
              <w:left w:val="single" w:sz="8" w:color="CCEEFF"/>
            </w:tcBorders>
            <w:shd w:val="clear" w:color="auto" w:fill="CCEEFF"/>
          </w:tcPr>
          <w:p>
            <w:pPr>
              <w:spacing w:after="0"/>
              <w:rPr>
                <w:sz w:val="12"/>
                <w:szCs w:val="12"/>
                <w:color w:val="auto"/>
              </w:rPr>
            </w:pPr>
          </w:p>
        </w:tc>
        <w:tc>
          <w:tcPr>
            <w:tcW w:w="2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2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b w:val="1"/>
                <w:bCs w:val="1"/>
                <w:color w:val="auto"/>
              </w:rPr>
              <w:t>—</w:t>
            </w:r>
          </w:p>
        </w:tc>
        <w:tc>
          <w:tcPr>
            <w:tcW w:w="220" w:type="dxa"/>
            <w:vAlign w:val="bottom"/>
            <w:gridSpan w:val="2"/>
            <w:shd w:val="clear" w:color="auto" w:fill="CCEEFF"/>
          </w:tcPr>
          <w:p>
            <w:pPr>
              <w:ind w:left="120"/>
              <w:spacing w:after="0" w:line="149" w:lineRule="exact"/>
              <w:rPr>
                <w:sz w:val="20"/>
                <w:szCs w:val="20"/>
                <w:color w:val="auto"/>
              </w:rPr>
            </w:pPr>
            <w:r>
              <w:rPr>
                <w:rFonts w:ascii="Arial" w:cs="Arial" w:eastAsia="Arial" w:hAnsi="Arial"/>
                <w:sz w:val="14"/>
                <w:szCs w:val="14"/>
                <w:b w:val="1"/>
                <w:bCs w:val="1"/>
                <w:color w:val="auto"/>
              </w:rPr>
              <w:t>$</w:t>
            </w: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0.3</w:t>
            </w:r>
          </w:p>
        </w:tc>
        <w:tc>
          <w:tcPr>
            <w:tcW w:w="180" w:type="dxa"/>
            <w:vAlign w:val="bottom"/>
            <w:tcBorders>
              <w:left w:val="single" w:sz="8" w:color="CCEEFF"/>
              <w:right w:val="single" w:sz="8" w:color="CCEEFF"/>
            </w:tcBorders>
            <w:shd w:val="clear" w:color="auto" w:fill="CCEEFF"/>
          </w:tcPr>
          <w:p>
            <w:pPr>
              <w:spacing w:after="0"/>
              <w:rPr>
                <w:sz w:val="12"/>
                <w:szCs w:val="12"/>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5"/>
                <w:szCs w:val="5"/>
                <w:b w:val="1"/>
                <w:bCs w:val="1"/>
                <w:color w:val="auto"/>
                <w:w w:val="70"/>
              </w:rPr>
              <w:t>$</w:t>
            </w:r>
          </w:p>
        </w:tc>
        <w:tc>
          <w:tcPr>
            <w:tcW w:w="940" w:type="dxa"/>
            <w:vAlign w:val="bottom"/>
            <w:tcBorders>
              <w:right w:val="single" w:sz="8" w:color="CCEEFF"/>
            </w:tcBorders>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b w:val="1"/>
                <w:bCs w:val="1"/>
                <w:color w:val="auto"/>
              </w:rPr>
              <w:t>—</w:t>
            </w:r>
          </w:p>
        </w:tc>
        <w:tc>
          <w:tcPr>
            <w:tcW w:w="10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w:t>
            </w: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0.1</w:t>
            </w:r>
          </w:p>
        </w:tc>
        <w:tc>
          <w:tcPr>
            <w:tcW w:w="580" w:type="dxa"/>
            <w:vAlign w:val="bottom"/>
            <w:tcBorders>
              <w:left w:val="single" w:sz="8" w:color="CCEEFF"/>
            </w:tcBorders>
            <w:gridSpan w:val="3"/>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$ 15.5</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2200" w:type="dxa"/>
            <w:vAlign w:val="bottom"/>
          </w:tcPr>
          <w:p>
            <w:pPr>
              <w:spacing w:after="0" w:line="130" w:lineRule="exact"/>
              <w:rPr>
                <w:sz w:val="20"/>
                <w:szCs w:val="20"/>
                <w:color w:val="auto"/>
              </w:rPr>
            </w:pPr>
            <w:r>
              <w:rPr>
                <w:rFonts w:ascii="Arial" w:cs="Arial" w:eastAsia="Arial" w:hAnsi="Arial"/>
                <w:sz w:val="14"/>
                <w:szCs w:val="14"/>
                <w:color w:val="auto"/>
              </w:rPr>
              <w:t>Additions for credit losses not</w:t>
            </w: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gridSpan w:val="2"/>
            <w:vMerge w:val="restart"/>
          </w:tcPr>
          <w:p>
            <w:pPr>
              <w:ind w:left="380"/>
              <w:spacing w:after="0"/>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1"/>
                <w:szCs w:val="11"/>
                <w:color w:val="auto"/>
              </w:rPr>
            </w:pPr>
          </w:p>
        </w:tc>
        <w:tc>
          <w:tcPr>
            <w:tcW w:w="860" w:type="dxa"/>
            <w:vAlign w:val="bottom"/>
            <w:gridSpan w:val="2"/>
            <w:vMerge w:val="restart"/>
          </w:tcPr>
          <w:p>
            <w:pPr>
              <w:ind w:left="480"/>
              <w:spacing w:after="0"/>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1"/>
                <w:szCs w:val="11"/>
                <w:color w:val="auto"/>
              </w:rPr>
            </w:pPr>
          </w:p>
        </w:tc>
        <w:tc>
          <w:tcPr>
            <w:tcW w:w="64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w:t>
            </w:r>
          </w:p>
        </w:tc>
        <w:tc>
          <w:tcPr>
            <w:tcW w:w="1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2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3.2</w:t>
            </w: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gridSpan w:val="2"/>
            <w:vMerge w:val="restart"/>
          </w:tcPr>
          <w:p>
            <w:pPr>
              <w:jc w:val="right"/>
              <w:ind w:right="80"/>
              <w:spacing w:after="0"/>
              <w:rPr>
                <w:sz w:val="20"/>
                <w:szCs w:val="20"/>
                <w:color w:val="auto"/>
              </w:rPr>
            </w:pPr>
            <w:r>
              <w:rPr>
                <w:rFonts w:ascii="Arial" w:cs="Arial" w:eastAsia="Arial" w:hAnsi="Arial"/>
                <w:sz w:val="14"/>
                <w:szCs w:val="14"/>
                <w:b w:val="1"/>
                <w:bCs w:val="1"/>
                <w:color w:val="auto"/>
              </w:rPr>
              <w:t>—</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60" w:type="dxa"/>
            <w:vAlign w:val="bottom"/>
            <w:gridSpan w:val="2"/>
            <w:vMerge w:val="restart"/>
          </w:tcPr>
          <w:p>
            <w:pPr>
              <w:jc w:val="right"/>
              <w:ind w:right="240"/>
              <w:spacing w:after="0"/>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1"/>
                <w:szCs w:val="11"/>
                <w:color w:val="auto"/>
              </w:rPr>
            </w:pPr>
          </w:p>
        </w:tc>
        <w:tc>
          <w:tcPr>
            <w:tcW w:w="940" w:type="dxa"/>
            <w:vAlign w:val="bottom"/>
            <w:gridSpan w:val="2"/>
            <w:vMerge w:val="restart"/>
          </w:tcPr>
          <w:p>
            <w:pPr>
              <w:jc w:val="right"/>
              <w:ind w:right="220"/>
              <w:spacing w:after="0"/>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1"/>
                <w:szCs w:val="11"/>
                <w:color w:val="auto"/>
              </w:rPr>
            </w:pPr>
          </w:p>
        </w:tc>
        <w:tc>
          <w:tcPr>
            <w:tcW w:w="58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0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3.2</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200" w:type="dxa"/>
            <w:vAlign w:val="bottom"/>
          </w:tcPr>
          <w:p>
            <w:pPr>
              <w:ind w:left="120"/>
              <w:spacing w:after="0"/>
              <w:rPr>
                <w:sz w:val="20"/>
                <w:szCs w:val="20"/>
                <w:color w:val="auto"/>
              </w:rPr>
            </w:pPr>
            <w:r>
              <w:rPr>
                <w:rFonts w:ascii="Arial" w:cs="Arial" w:eastAsia="Arial" w:hAnsi="Arial"/>
                <w:sz w:val="14"/>
                <w:szCs w:val="14"/>
                <w:color w:val="auto"/>
              </w:rPr>
              <w:t>previously recorded</w:t>
            </w: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6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vMerge w:val="continue"/>
          </w:tcPr>
          <w:p>
            <w:pPr>
              <w:spacing w:after="0"/>
              <w:rPr>
                <w:sz w:val="14"/>
                <w:szCs w:val="14"/>
                <w:color w:val="auto"/>
              </w:rPr>
            </w:pPr>
          </w:p>
        </w:tc>
        <w:tc>
          <w:tcPr>
            <w:tcW w:w="1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2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2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94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vMerge w:val="continue"/>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0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2200" w:type="dxa"/>
            <w:vAlign w:val="bottom"/>
            <w:shd w:val="clear" w:color="auto" w:fill="CCEEFF"/>
          </w:tcPr>
          <w:p>
            <w:pPr>
              <w:spacing w:after="0" w:line="130" w:lineRule="exact"/>
              <w:rPr>
                <w:sz w:val="20"/>
                <w:szCs w:val="20"/>
                <w:color w:val="auto"/>
              </w:rPr>
            </w:pPr>
            <w:r>
              <w:rPr>
                <w:rFonts w:ascii="Arial" w:cs="Arial" w:eastAsia="Arial" w:hAnsi="Arial"/>
                <w:sz w:val="14"/>
                <w:szCs w:val="14"/>
                <w:color w:val="auto"/>
                <w:w w:val="96"/>
              </w:rPr>
              <w:t>Reductions for securities sold during</w:t>
            </w:r>
          </w:p>
        </w:tc>
        <w:tc>
          <w:tcPr>
            <w:tcW w:w="80" w:type="dxa"/>
            <w:vAlign w:val="bottom"/>
            <w:tcBorders>
              <w:right w:val="single" w:sz="8" w:color="CCEEFF"/>
            </w:tcBorders>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760" w:type="dxa"/>
            <w:vAlign w:val="bottom"/>
            <w:tcBorders>
              <w:right w:val="single" w:sz="8" w:color="CCEEFF"/>
            </w:tcBorders>
            <w:gridSpan w:val="2"/>
            <w:vMerge w:val="restart"/>
            <w:shd w:val="clear" w:color="auto" w:fill="CCEEFF"/>
          </w:tcPr>
          <w:p>
            <w:pPr>
              <w:ind w:left="380"/>
              <w:spacing w:after="0"/>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1"/>
                <w:szCs w:val="11"/>
                <w:color w:val="auto"/>
              </w:rPr>
            </w:pPr>
          </w:p>
        </w:tc>
        <w:tc>
          <w:tcPr>
            <w:tcW w:w="860" w:type="dxa"/>
            <w:vAlign w:val="bottom"/>
            <w:tcBorders>
              <w:right w:val="single" w:sz="8" w:color="CCEEFF"/>
            </w:tcBorders>
            <w:gridSpan w:val="2"/>
            <w:vMerge w:val="restart"/>
            <w:shd w:val="clear" w:color="auto" w:fill="CCEEFF"/>
          </w:tcPr>
          <w:p>
            <w:pPr>
              <w:ind w:left="480"/>
              <w:spacing w:after="0"/>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1"/>
                <w:szCs w:val="11"/>
                <w:color w:val="auto"/>
              </w:rPr>
            </w:pPr>
          </w:p>
        </w:tc>
        <w:tc>
          <w:tcPr>
            <w:tcW w:w="64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180" w:type="dxa"/>
            <w:vAlign w:val="bottom"/>
            <w:tcBorders>
              <w:left w:val="single" w:sz="8" w:color="CCEEFF"/>
              <w:right w:val="single" w:sz="8" w:color="CCEEFF"/>
            </w:tcBorders>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42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(7.5)</w:t>
            </w:r>
          </w:p>
        </w:tc>
        <w:tc>
          <w:tcPr>
            <w:tcW w:w="40" w:type="dxa"/>
            <w:vAlign w:val="bottom"/>
            <w:tcBorders>
              <w:left w:val="single" w:sz="8" w:color="CCEEFF"/>
            </w:tcBorders>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20" w:type="dxa"/>
            <w:vAlign w:val="bottom"/>
            <w:gridSpan w:val="2"/>
            <w:vMerge w:val="restart"/>
            <w:shd w:val="clear" w:color="auto" w:fill="CCEEFF"/>
          </w:tcPr>
          <w:p>
            <w:pPr>
              <w:jc w:val="right"/>
              <w:ind w:right="80"/>
              <w:spacing w:after="0"/>
              <w:rPr>
                <w:sz w:val="20"/>
                <w:szCs w:val="20"/>
                <w:color w:val="auto"/>
              </w:rPr>
            </w:pPr>
            <w:r>
              <w:rPr>
                <w:rFonts w:ascii="Arial" w:cs="Arial" w:eastAsia="Arial" w:hAnsi="Arial"/>
                <w:sz w:val="14"/>
                <w:szCs w:val="14"/>
                <w:b w:val="1"/>
                <w:bCs w:val="1"/>
                <w:color w:val="auto"/>
              </w:rPr>
              <w:t>—</w:t>
            </w:r>
          </w:p>
        </w:tc>
        <w:tc>
          <w:tcPr>
            <w:tcW w:w="140" w:type="dxa"/>
            <w:vAlign w:val="bottom"/>
            <w:tcBorders>
              <w:right w:val="single" w:sz="8" w:color="CCEEFF"/>
            </w:tcBorders>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60" w:type="dxa"/>
            <w:vAlign w:val="bottom"/>
            <w:tcBorders>
              <w:right w:val="single" w:sz="8" w:color="CCEEFF"/>
            </w:tcBorders>
            <w:gridSpan w:val="2"/>
            <w:vMerge w:val="restart"/>
            <w:shd w:val="clear" w:color="auto" w:fill="CCEEFF"/>
          </w:tcPr>
          <w:p>
            <w:pPr>
              <w:jc w:val="right"/>
              <w:ind w:right="240"/>
              <w:spacing w:after="0"/>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1"/>
                <w:szCs w:val="11"/>
                <w:color w:val="auto"/>
              </w:rPr>
            </w:pPr>
          </w:p>
        </w:tc>
        <w:tc>
          <w:tcPr>
            <w:tcW w:w="940" w:type="dxa"/>
            <w:vAlign w:val="bottom"/>
            <w:tcBorders>
              <w:right w:val="single" w:sz="8" w:color="CCEEFF"/>
            </w:tcBorders>
            <w:gridSpan w:val="2"/>
            <w:vMerge w:val="restart"/>
            <w:shd w:val="clear" w:color="auto" w:fill="CCEEFF"/>
          </w:tcPr>
          <w:p>
            <w:pPr>
              <w:jc w:val="right"/>
              <w:ind w:right="220"/>
              <w:spacing w:after="0"/>
              <w:rPr>
                <w:sz w:val="20"/>
                <w:szCs w:val="20"/>
                <w:color w:val="auto"/>
              </w:rPr>
            </w:pPr>
            <w:r>
              <w:rPr>
                <w:rFonts w:ascii="Arial" w:cs="Arial" w:eastAsia="Arial" w:hAnsi="Arial"/>
                <w:sz w:val="14"/>
                <w:szCs w:val="14"/>
                <w:b w:val="1"/>
                <w:bCs w:val="1"/>
                <w:color w:val="auto"/>
              </w:rPr>
              <w:t>—</w:t>
            </w:r>
          </w:p>
        </w:tc>
        <w:tc>
          <w:tcPr>
            <w:tcW w:w="100" w:type="dxa"/>
            <w:vAlign w:val="bottom"/>
            <w:shd w:val="clear" w:color="auto" w:fill="CCEEFF"/>
          </w:tcPr>
          <w:p>
            <w:pPr>
              <w:spacing w:after="0"/>
              <w:rPr>
                <w:sz w:val="11"/>
                <w:szCs w:val="11"/>
                <w:color w:val="auto"/>
              </w:rPr>
            </w:pPr>
          </w:p>
        </w:tc>
        <w:tc>
          <w:tcPr>
            <w:tcW w:w="58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180" w:type="dxa"/>
            <w:vAlign w:val="bottom"/>
            <w:tcBorders>
              <w:left w:val="single" w:sz="8" w:color="CCEEFF"/>
              <w:right w:val="single" w:sz="8" w:color="CCEEFF"/>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30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w w:val="97"/>
              </w:rPr>
              <w:t>(7.5)</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200" w:type="dxa"/>
            <w:vAlign w:val="bottom"/>
            <w:shd w:val="clear" w:color="auto" w:fill="CCEEFF"/>
          </w:tcPr>
          <w:p>
            <w:pPr>
              <w:ind w:left="120"/>
              <w:spacing w:after="0"/>
              <w:rPr>
                <w:sz w:val="20"/>
                <w:szCs w:val="20"/>
                <w:color w:val="auto"/>
              </w:rPr>
            </w:pPr>
            <w:r>
              <w:rPr>
                <w:rFonts w:ascii="Arial" w:cs="Arial" w:eastAsia="Arial" w:hAnsi="Arial"/>
                <w:sz w:val="14"/>
                <w:szCs w:val="14"/>
                <w:color w:val="auto"/>
              </w:rPr>
              <w:t>the period</w:t>
            </w:r>
          </w:p>
        </w:tc>
        <w:tc>
          <w:tcPr>
            <w:tcW w:w="80" w:type="dxa"/>
            <w:vAlign w:val="bottom"/>
            <w:tcBorders>
              <w:right w:val="single" w:sz="8" w:color="CCEEFF"/>
            </w:tcBorders>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760" w:type="dxa"/>
            <w:vAlign w:val="bottom"/>
            <w:tcBorders>
              <w:right w:val="single" w:sz="8" w:color="CCEEFF"/>
            </w:tcBorders>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60" w:type="dxa"/>
            <w:vAlign w:val="bottom"/>
            <w:tcBorders>
              <w:right w:val="single" w:sz="8" w:color="CCEEFF"/>
            </w:tcBorders>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40" w:type="dxa"/>
            <w:vAlign w:val="bottom"/>
            <w:vMerge w:val="continue"/>
            <w:shd w:val="clear" w:color="auto" w:fill="CCEEFF"/>
          </w:tcPr>
          <w:p>
            <w:pPr>
              <w:spacing w:after="0"/>
              <w:rPr>
                <w:sz w:val="14"/>
                <w:szCs w:val="14"/>
                <w:color w:val="auto"/>
              </w:rPr>
            </w:pPr>
          </w:p>
        </w:tc>
        <w:tc>
          <w:tcPr>
            <w:tcW w:w="180" w:type="dxa"/>
            <w:vAlign w:val="bottom"/>
            <w:tcBorders>
              <w:left w:val="single" w:sz="8" w:color="CCEEFF"/>
              <w:right w:val="single" w:sz="8" w:color="CCEEFF"/>
            </w:tcBorders>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420" w:type="dxa"/>
            <w:vAlign w:val="bottom"/>
            <w:vMerge w:val="continue"/>
            <w:shd w:val="clear" w:color="auto" w:fill="CCEEFF"/>
          </w:tcPr>
          <w:p>
            <w:pPr>
              <w:spacing w:after="0"/>
              <w:rPr>
                <w:sz w:val="14"/>
                <w:szCs w:val="14"/>
                <w:color w:val="auto"/>
              </w:rPr>
            </w:pPr>
          </w:p>
        </w:tc>
        <w:tc>
          <w:tcPr>
            <w:tcW w:w="40" w:type="dxa"/>
            <w:vAlign w:val="bottom"/>
            <w:tcBorders>
              <w:left w:val="single" w:sz="8" w:color="CCEEFF"/>
            </w:tcBorders>
            <w:shd w:val="clear" w:color="auto" w:fill="CCEEFF"/>
          </w:tcPr>
          <w:p>
            <w:pPr>
              <w:spacing w:after="0"/>
              <w:rPr>
                <w:sz w:val="14"/>
                <w:szCs w:val="14"/>
                <w:color w:val="auto"/>
              </w:rPr>
            </w:pPr>
          </w:p>
        </w:tc>
        <w:tc>
          <w:tcPr>
            <w:tcW w:w="120" w:type="dxa"/>
            <w:vAlign w:val="bottom"/>
            <w:tcBorders>
              <w:right w:val="single" w:sz="8" w:color="CCEEFF"/>
            </w:tcBorders>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20" w:type="dxa"/>
            <w:vAlign w:val="bottom"/>
            <w:gridSpan w:val="2"/>
            <w:vMerge w:val="continue"/>
            <w:shd w:val="clear" w:color="auto" w:fill="CCEEFF"/>
          </w:tcPr>
          <w:p>
            <w:pPr>
              <w:spacing w:after="0"/>
              <w:rPr>
                <w:sz w:val="14"/>
                <w:szCs w:val="14"/>
                <w:color w:val="auto"/>
              </w:rPr>
            </w:pPr>
          </w:p>
        </w:tc>
        <w:tc>
          <w:tcPr>
            <w:tcW w:w="140" w:type="dxa"/>
            <w:vAlign w:val="bottom"/>
            <w:tcBorders>
              <w:right w:val="single" w:sz="8" w:color="CCEEFF"/>
            </w:tcBorders>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60" w:type="dxa"/>
            <w:vAlign w:val="bottom"/>
            <w:tcBorders>
              <w:right w:val="single" w:sz="8" w:color="CCEEFF"/>
            </w:tcBorders>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940" w:type="dxa"/>
            <w:vAlign w:val="bottom"/>
            <w:tcBorders>
              <w:right w:val="single" w:sz="8" w:color="CCEEFF"/>
            </w:tcBorders>
            <w:gridSpan w:val="2"/>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80" w:type="dxa"/>
            <w:vAlign w:val="bottom"/>
            <w:vMerge w:val="continue"/>
            <w:shd w:val="clear" w:color="auto" w:fill="CCEEFF"/>
          </w:tcPr>
          <w:p>
            <w:pPr>
              <w:spacing w:after="0"/>
              <w:rPr>
                <w:sz w:val="14"/>
                <w:szCs w:val="14"/>
                <w:color w:val="auto"/>
              </w:rPr>
            </w:pPr>
          </w:p>
        </w:tc>
        <w:tc>
          <w:tcPr>
            <w:tcW w:w="180" w:type="dxa"/>
            <w:vAlign w:val="bottom"/>
            <w:tcBorders>
              <w:left w:val="single" w:sz="8" w:color="CCEEFF"/>
              <w:right w:val="single" w:sz="8" w:color="CCEEFF"/>
            </w:tcBorders>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300" w:type="dxa"/>
            <w:vAlign w:val="bottom"/>
            <w:vMerge w:val="continue"/>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2200" w:type="dxa"/>
            <w:vAlign w:val="bottom"/>
          </w:tcPr>
          <w:p>
            <w:pPr>
              <w:spacing w:after="0" w:line="130" w:lineRule="exact"/>
              <w:rPr>
                <w:sz w:val="20"/>
                <w:szCs w:val="20"/>
                <w:color w:val="auto"/>
              </w:rPr>
            </w:pPr>
            <w:r>
              <w:rPr>
                <w:rFonts w:ascii="Arial" w:cs="Arial" w:eastAsia="Arial" w:hAnsi="Arial"/>
                <w:sz w:val="14"/>
                <w:szCs w:val="14"/>
                <w:color w:val="auto"/>
                <w:w w:val="97"/>
              </w:rPr>
              <w:t>Additional increases (decreases) for</w:t>
            </w: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200" w:type="dxa"/>
            <w:vAlign w:val="bottom"/>
          </w:tcPr>
          <w:p>
            <w:pPr>
              <w:ind w:left="120"/>
              <w:spacing w:after="0" w:line="149" w:lineRule="exact"/>
              <w:rPr>
                <w:sz w:val="20"/>
                <w:szCs w:val="20"/>
                <w:color w:val="auto"/>
              </w:rPr>
            </w:pPr>
            <w:r>
              <w:rPr>
                <w:rFonts w:ascii="Arial" w:cs="Arial" w:eastAsia="Arial" w:hAnsi="Arial"/>
                <w:sz w:val="14"/>
                <w:szCs w:val="14"/>
                <w:color w:val="auto"/>
                <w:w w:val="98"/>
              </w:rPr>
              <w:t>credit losses on securities with an</w:t>
            </w: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200" w:type="dxa"/>
            <w:vAlign w:val="bottom"/>
          </w:tcPr>
          <w:p>
            <w:pPr>
              <w:ind w:left="120"/>
              <w:spacing w:after="0" w:line="149" w:lineRule="exact"/>
              <w:rPr>
                <w:sz w:val="20"/>
                <w:szCs w:val="20"/>
                <w:color w:val="auto"/>
              </w:rPr>
            </w:pPr>
            <w:r>
              <w:rPr>
                <w:rFonts w:ascii="Arial" w:cs="Arial" w:eastAsia="Arial" w:hAnsi="Arial"/>
                <w:sz w:val="14"/>
                <w:szCs w:val="14"/>
                <w:color w:val="auto"/>
              </w:rPr>
              <w:t>allowance recorded in the</w:t>
            </w: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60" w:type="dxa"/>
            <w:vAlign w:val="bottom"/>
            <w:gridSpan w:val="2"/>
            <w:vMerge w:val="restart"/>
          </w:tcPr>
          <w:p>
            <w:pPr>
              <w:ind w:left="380"/>
              <w:spacing w:after="0"/>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860" w:type="dxa"/>
            <w:vAlign w:val="bottom"/>
            <w:gridSpan w:val="2"/>
            <w:vMerge w:val="restart"/>
          </w:tcPr>
          <w:p>
            <w:pPr>
              <w:ind w:left="480"/>
              <w:spacing w:after="0"/>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64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w:t>
            </w:r>
          </w:p>
        </w:tc>
        <w:tc>
          <w:tcPr>
            <w:tcW w:w="1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2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3.0</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gridSpan w:val="2"/>
            <w:vMerge w:val="restart"/>
          </w:tcPr>
          <w:p>
            <w:pPr>
              <w:jc w:val="right"/>
              <w:ind w:right="80"/>
              <w:spacing w:after="0"/>
              <w:rPr>
                <w:sz w:val="20"/>
                <w:szCs w:val="20"/>
                <w:color w:val="auto"/>
              </w:rPr>
            </w:pPr>
            <w:r>
              <w:rPr>
                <w:rFonts w:ascii="Arial" w:cs="Arial" w:eastAsia="Arial" w:hAnsi="Arial"/>
                <w:sz w:val="14"/>
                <w:szCs w:val="14"/>
                <w:b w:val="1"/>
                <w:bCs w:val="1"/>
                <w:color w:val="auto"/>
              </w:rPr>
              <w:t>—</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(0.2)</w:t>
            </w: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2"/>
            <w:vMerge w:val="restart"/>
          </w:tcPr>
          <w:p>
            <w:pPr>
              <w:jc w:val="right"/>
              <w:ind w:right="220"/>
              <w:spacing w:after="0"/>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2"/>
                <w:szCs w:val="12"/>
                <w:color w:val="auto"/>
              </w:rPr>
            </w:pPr>
          </w:p>
        </w:tc>
        <w:tc>
          <w:tcPr>
            <w:tcW w:w="58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0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2.8</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200" w:type="dxa"/>
            <w:vAlign w:val="bottom"/>
          </w:tcPr>
          <w:p>
            <w:pPr>
              <w:ind w:left="120"/>
              <w:spacing w:after="0"/>
              <w:rPr>
                <w:sz w:val="20"/>
                <w:szCs w:val="20"/>
                <w:color w:val="auto"/>
              </w:rPr>
            </w:pPr>
            <w:r>
              <w:rPr>
                <w:rFonts w:ascii="Arial" w:cs="Arial" w:eastAsia="Arial" w:hAnsi="Arial"/>
                <w:sz w:val="14"/>
                <w:szCs w:val="14"/>
                <w:color w:val="auto"/>
              </w:rPr>
              <w:t>previous period</w:t>
            </w: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6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vMerge w:val="continue"/>
          </w:tcPr>
          <w:p>
            <w:pPr>
              <w:spacing w:after="0"/>
              <w:rPr>
                <w:sz w:val="14"/>
                <w:szCs w:val="14"/>
                <w:color w:val="auto"/>
              </w:rPr>
            </w:pPr>
          </w:p>
        </w:tc>
        <w:tc>
          <w:tcPr>
            <w:tcW w:w="1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2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2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vMerge w:val="continue"/>
          </w:tcPr>
          <w:p>
            <w:pPr>
              <w:spacing w:after="0"/>
              <w:rPr>
                <w:sz w:val="14"/>
                <w:szCs w:val="14"/>
                <w:color w:val="auto"/>
              </w:rPr>
            </w:pP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4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vMerge w:val="continue"/>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0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2200" w:type="dxa"/>
            <w:vAlign w:val="bottom"/>
            <w:shd w:val="clear" w:color="auto" w:fill="CCEEFF"/>
          </w:tcPr>
          <w:p>
            <w:pPr>
              <w:spacing w:after="0" w:line="130" w:lineRule="exact"/>
              <w:rPr>
                <w:sz w:val="20"/>
                <w:szCs w:val="20"/>
                <w:color w:val="auto"/>
              </w:rPr>
            </w:pPr>
            <w:r>
              <w:rPr>
                <w:rFonts w:ascii="Arial" w:cs="Arial" w:eastAsia="Arial" w:hAnsi="Arial"/>
                <w:sz w:val="14"/>
                <w:szCs w:val="14"/>
                <w:color w:val="auto"/>
              </w:rPr>
              <w:t>Write-offs charged against</w:t>
            </w:r>
          </w:p>
        </w:tc>
        <w:tc>
          <w:tcPr>
            <w:tcW w:w="80" w:type="dxa"/>
            <w:vAlign w:val="bottom"/>
            <w:tcBorders>
              <w:right w:val="single" w:sz="8" w:color="CCEEFF"/>
            </w:tcBorders>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760" w:type="dxa"/>
            <w:vAlign w:val="bottom"/>
            <w:tcBorders>
              <w:right w:val="single" w:sz="8" w:color="CCEEFF"/>
            </w:tcBorders>
            <w:gridSpan w:val="2"/>
            <w:vMerge w:val="restart"/>
            <w:shd w:val="clear" w:color="auto" w:fill="CCEEFF"/>
          </w:tcPr>
          <w:p>
            <w:pPr>
              <w:ind w:left="380"/>
              <w:spacing w:after="0"/>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1"/>
                <w:szCs w:val="11"/>
                <w:color w:val="auto"/>
              </w:rPr>
            </w:pPr>
          </w:p>
        </w:tc>
        <w:tc>
          <w:tcPr>
            <w:tcW w:w="860" w:type="dxa"/>
            <w:vAlign w:val="bottom"/>
            <w:tcBorders>
              <w:right w:val="single" w:sz="8" w:color="CCEEFF"/>
            </w:tcBorders>
            <w:gridSpan w:val="2"/>
            <w:vMerge w:val="restart"/>
            <w:shd w:val="clear" w:color="auto" w:fill="CCEEFF"/>
          </w:tcPr>
          <w:p>
            <w:pPr>
              <w:ind w:left="480"/>
              <w:spacing w:after="0"/>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1"/>
                <w:szCs w:val="11"/>
                <w:color w:val="auto"/>
              </w:rPr>
            </w:pPr>
          </w:p>
        </w:tc>
        <w:tc>
          <w:tcPr>
            <w:tcW w:w="64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180" w:type="dxa"/>
            <w:vAlign w:val="bottom"/>
            <w:tcBorders>
              <w:left w:val="single" w:sz="8" w:color="CCEEFF"/>
              <w:right w:val="single" w:sz="8" w:color="CCEEFF"/>
            </w:tcBorders>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46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4"/>
                <w:szCs w:val="14"/>
                <w:b w:val="1"/>
                <w:bCs w:val="1"/>
                <w:color w:val="auto"/>
              </w:rPr>
              <w:t>—</w:t>
            </w:r>
          </w:p>
        </w:tc>
        <w:tc>
          <w:tcPr>
            <w:tcW w:w="120" w:type="dxa"/>
            <w:vAlign w:val="bottom"/>
            <w:tcBorders>
              <w:right w:val="single" w:sz="8" w:color="CCEEFF"/>
            </w:tcBorders>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20" w:type="dxa"/>
            <w:vAlign w:val="bottom"/>
            <w:gridSpan w:val="2"/>
            <w:vMerge w:val="restart"/>
            <w:shd w:val="clear" w:color="auto" w:fill="CCEEFF"/>
          </w:tcPr>
          <w:p>
            <w:pPr>
              <w:jc w:val="right"/>
              <w:ind w:right="80"/>
              <w:spacing w:after="0"/>
              <w:rPr>
                <w:sz w:val="20"/>
                <w:szCs w:val="20"/>
                <w:color w:val="auto"/>
              </w:rPr>
            </w:pPr>
            <w:r>
              <w:rPr>
                <w:rFonts w:ascii="Arial" w:cs="Arial" w:eastAsia="Arial" w:hAnsi="Arial"/>
                <w:sz w:val="14"/>
                <w:szCs w:val="14"/>
                <w:b w:val="1"/>
                <w:bCs w:val="1"/>
                <w:color w:val="auto"/>
              </w:rPr>
              <w:t>—</w:t>
            </w:r>
          </w:p>
        </w:tc>
        <w:tc>
          <w:tcPr>
            <w:tcW w:w="140" w:type="dxa"/>
            <w:vAlign w:val="bottom"/>
            <w:tcBorders>
              <w:right w:val="single" w:sz="8" w:color="CCEEFF"/>
            </w:tcBorders>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8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(0.1)</w:t>
            </w:r>
          </w:p>
        </w:tc>
        <w:tc>
          <w:tcPr>
            <w:tcW w:w="180" w:type="dxa"/>
            <w:vAlign w:val="bottom"/>
            <w:tcBorders>
              <w:left w:val="single" w:sz="8" w:color="CCEEFF"/>
              <w:right w:val="single" w:sz="8" w:color="CCEEFF"/>
            </w:tcBorders>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40" w:type="dxa"/>
            <w:vAlign w:val="bottom"/>
            <w:tcBorders>
              <w:right w:val="single" w:sz="8" w:color="CCEEFF"/>
            </w:tcBorders>
            <w:gridSpan w:val="2"/>
            <w:vMerge w:val="restart"/>
            <w:shd w:val="clear" w:color="auto" w:fill="CCEEFF"/>
          </w:tcPr>
          <w:p>
            <w:pPr>
              <w:jc w:val="right"/>
              <w:ind w:right="220"/>
              <w:spacing w:after="0"/>
              <w:rPr>
                <w:sz w:val="20"/>
                <w:szCs w:val="20"/>
                <w:color w:val="auto"/>
              </w:rPr>
            </w:pPr>
            <w:r>
              <w:rPr>
                <w:rFonts w:ascii="Arial" w:cs="Arial" w:eastAsia="Arial" w:hAnsi="Arial"/>
                <w:sz w:val="14"/>
                <w:szCs w:val="14"/>
                <w:b w:val="1"/>
                <w:bCs w:val="1"/>
                <w:color w:val="auto"/>
              </w:rPr>
              <w:t>—</w:t>
            </w:r>
          </w:p>
        </w:tc>
        <w:tc>
          <w:tcPr>
            <w:tcW w:w="100" w:type="dxa"/>
            <w:vAlign w:val="bottom"/>
            <w:shd w:val="clear" w:color="auto" w:fill="CCEEFF"/>
          </w:tcPr>
          <w:p>
            <w:pPr>
              <w:spacing w:after="0"/>
              <w:rPr>
                <w:sz w:val="11"/>
                <w:szCs w:val="11"/>
                <w:color w:val="auto"/>
              </w:rPr>
            </w:pPr>
          </w:p>
        </w:tc>
        <w:tc>
          <w:tcPr>
            <w:tcW w:w="58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(0.1)</w:t>
            </w:r>
          </w:p>
        </w:tc>
        <w:tc>
          <w:tcPr>
            <w:tcW w:w="180" w:type="dxa"/>
            <w:vAlign w:val="bottom"/>
            <w:tcBorders>
              <w:left w:val="single" w:sz="8" w:color="CCEEFF"/>
              <w:right w:val="single" w:sz="8" w:color="CCEEFF"/>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30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w w:val="97"/>
              </w:rPr>
              <w:t>(0.2)</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200" w:type="dxa"/>
            <w:vAlign w:val="bottom"/>
            <w:shd w:val="clear" w:color="auto" w:fill="CCEEFF"/>
          </w:tcPr>
          <w:p>
            <w:pPr>
              <w:ind w:left="120"/>
              <w:spacing w:after="0"/>
              <w:rPr>
                <w:sz w:val="20"/>
                <w:szCs w:val="20"/>
                <w:color w:val="auto"/>
              </w:rPr>
            </w:pPr>
            <w:r>
              <w:rPr>
                <w:rFonts w:ascii="Arial" w:cs="Arial" w:eastAsia="Arial" w:hAnsi="Arial"/>
                <w:sz w:val="14"/>
                <w:szCs w:val="14"/>
                <w:color w:val="auto"/>
              </w:rPr>
              <w:t>allowance</w:t>
            </w:r>
          </w:p>
        </w:tc>
        <w:tc>
          <w:tcPr>
            <w:tcW w:w="80" w:type="dxa"/>
            <w:vAlign w:val="bottom"/>
            <w:tcBorders>
              <w:right w:val="single" w:sz="8" w:color="CCEEFF"/>
            </w:tcBorders>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760" w:type="dxa"/>
            <w:vAlign w:val="bottom"/>
            <w:tcBorders>
              <w:right w:val="single" w:sz="8" w:color="CCEEFF"/>
            </w:tcBorders>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60" w:type="dxa"/>
            <w:vAlign w:val="bottom"/>
            <w:tcBorders>
              <w:right w:val="single" w:sz="8" w:color="CCEEFF"/>
            </w:tcBorders>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40" w:type="dxa"/>
            <w:vAlign w:val="bottom"/>
            <w:vMerge w:val="continue"/>
            <w:shd w:val="clear" w:color="auto" w:fill="CCEEFF"/>
          </w:tcPr>
          <w:p>
            <w:pPr>
              <w:spacing w:after="0"/>
              <w:rPr>
                <w:sz w:val="14"/>
                <w:szCs w:val="14"/>
                <w:color w:val="auto"/>
              </w:rPr>
            </w:pPr>
          </w:p>
        </w:tc>
        <w:tc>
          <w:tcPr>
            <w:tcW w:w="180" w:type="dxa"/>
            <w:vAlign w:val="bottom"/>
            <w:tcBorders>
              <w:left w:val="single" w:sz="8" w:color="CCEEFF"/>
              <w:right w:val="single" w:sz="8" w:color="CCEEFF"/>
            </w:tcBorders>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460" w:type="dxa"/>
            <w:vAlign w:val="bottom"/>
            <w:gridSpan w:val="2"/>
            <w:vMerge w:val="continue"/>
            <w:shd w:val="clear" w:color="auto" w:fill="CCEEFF"/>
          </w:tcPr>
          <w:p>
            <w:pPr>
              <w:spacing w:after="0"/>
              <w:rPr>
                <w:sz w:val="14"/>
                <w:szCs w:val="14"/>
                <w:color w:val="auto"/>
              </w:rPr>
            </w:pPr>
          </w:p>
        </w:tc>
        <w:tc>
          <w:tcPr>
            <w:tcW w:w="120" w:type="dxa"/>
            <w:vAlign w:val="bottom"/>
            <w:tcBorders>
              <w:right w:val="single" w:sz="8" w:color="CCEEFF"/>
            </w:tcBorders>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20" w:type="dxa"/>
            <w:vAlign w:val="bottom"/>
            <w:gridSpan w:val="2"/>
            <w:vMerge w:val="continue"/>
            <w:shd w:val="clear" w:color="auto" w:fill="CCEEFF"/>
          </w:tcPr>
          <w:p>
            <w:pPr>
              <w:spacing w:after="0"/>
              <w:rPr>
                <w:sz w:val="14"/>
                <w:szCs w:val="14"/>
                <w:color w:val="auto"/>
              </w:rPr>
            </w:pPr>
          </w:p>
        </w:tc>
        <w:tc>
          <w:tcPr>
            <w:tcW w:w="140" w:type="dxa"/>
            <w:vAlign w:val="bottom"/>
            <w:tcBorders>
              <w:right w:val="single" w:sz="8" w:color="CCEEFF"/>
            </w:tcBorders>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80" w:type="dxa"/>
            <w:vAlign w:val="bottom"/>
            <w:vMerge w:val="continue"/>
            <w:shd w:val="clear" w:color="auto" w:fill="CCEEFF"/>
          </w:tcPr>
          <w:p>
            <w:pPr>
              <w:spacing w:after="0"/>
              <w:rPr>
                <w:sz w:val="14"/>
                <w:szCs w:val="14"/>
                <w:color w:val="auto"/>
              </w:rPr>
            </w:pPr>
          </w:p>
        </w:tc>
        <w:tc>
          <w:tcPr>
            <w:tcW w:w="180" w:type="dxa"/>
            <w:vAlign w:val="bottom"/>
            <w:tcBorders>
              <w:left w:val="single" w:sz="8" w:color="CCEEFF"/>
              <w:right w:val="single" w:sz="8" w:color="CCEEFF"/>
            </w:tcBorders>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940" w:type="dxa"/>
            <w:vAlign w:val="bottom"/>
            <w:tcBorders>
              <w:right w:val="single" w:sz="8" w:color="CCEEFF"/>
            </w:tcBorders>
            <w:gridSpan w:val="2"/>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80" w:type="dxa"/>
            <w:vAlign w:val="bottom"/>
            <w:vMerge w:val="continue"/>
            <w:shd w:val="clear" w:color="auto" w:fill="CCEEFF"/>
          </w:tcPr>
          <w:p>
            <w:pPr>
              <w:spacing w:after="0"/>
              <w:rPr>
                <w:sz w:val="14"/>
                <w:szCs w:val="14"/>
                <w:color w:val="auto"/>
              </w:rPr>
            </w:pPr>
          </w:p>
        </w:tc>
        <w:tc>
          <w:tcPr>
            <w:tcW w:w="180" w:type="dxa"/>
            <w:vAlign w:val="bottom"/>
            <w:tcBorders>
              <w:left w:val="single" w:sz="8" w:color="CCEEFF"/>
              <w:right w:val="single" w:sz="8" w:color="CCEEFF"/>
            </w:tcBorders>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300" w:type="dxa"/>
            <w:vAlign w:val="bottom"/>
            <w:vMerge w:val="continue"/>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2200" w:type="dxa"/>
            <w:vAlign w:val="bottom"/>
          </w:tcPr>
          <w:p>
            <w:pPr>
              <w:spacing w:after="0" w:line="130" w:lineRule="exact"/>
              <w:rPr>
                <w:sz w:val="20"/>
                <w:szCs w:val="20"/>
                <w:color w:val="auto"/>
              </w:rPr>
            </w:pPr>
            <w:r>
              <w:rPr>
                <w:rFonts w:ascii="Arial" w:cs="Arial" w:eastAsia="Arial" w:hAnsi="Arial"/>
                <w:sz w:val="14"/>
                <w:szCs w:val="14"/>
                <w:color w:val="auto"/>
              </w:rPr>
              <w:t>Foreign currency translation</w:t>
            </w: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gridSpan w:val="2"/>
            <w:vMerge w:val="restart"/>
          </w:tcPr>
          <w:p>
            <w:pPr>
              <w:ind w:left="380"/>
              <w:spacing w:after="0"/>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1"/>
                <w:szCs w:val="11"/>
                <w:color w:val="auto"/>
              </w:rPr>
            </w:pPr>
          </w:p>
        </w:tc>
        <w:tc>
          <w:tcPr>
            <w:tcW w:w="860" w:type="dxa"/>
            <w:vAlign w:val="bottom"/>
            <w:gridSpan w:val="2"/>
            <w:vMerge w:val="restart"/>
          </w:tcPr>
          <w:p>
            <w:pPr>
              <w:ind w:left="480"/>
              <w:spacing w:after="0"/>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1"/>
                <w:szCs w:val="11"/>
                <w:color w:val="auto"/>
              </w:rPr>
            </w:pPr>
          </w:p>
        </w:tc>
        <w:tc>
          <w:tcPr>
            <w:tcW w:w="64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w:t>
            </w:r>
          </w:p>
        </w:tc>
        <w:tc>
          <w:tcPr>
            <w:tcW w:w="1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2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(1.3)</w:t>
            </w: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gridSpan w:val="2"/>
            <w:vMerge w:val="restart"/>
          </w:tcPr>
          <w:p>
            <w:pPr>
              <w:jc w:val="right"/>
              <w:ind w:right="80"/>
              <w:spacing w:after="0"/>
              <w:rPr>
                <w:sz w:val="20"/>
                <w:szCs w:val="20"/>
                <w:color w:val="auto"/>
              </w:rPr>
            </w:pPr>
            <w:r>
              <w:rPr>
                <w:rFonts w:ascii="Arial" w:cs="Arial" w:eastAsia="Arial" w:hAnsi="Arial"/>
                <w:sz w:val="14"/>
                <w:szCs w:val="14"/>
                <w:b w:val="1"/>
                <w:bCs w:val="1"/>
                <w:color w:val="auto"/>
              </w:rPr>
              <w:t>—</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60" w:type="dxa"/>
            <w:vAlign w:val="bottom"/>
            <w:gridSpan w:val="2"/>
            <w:vMerge w:val="restart"/>
          </w:tcPr>
          <w:p>
            <w:pPr>
              <w:jc w:val="right"/>
              <w:ind w:right="240"/>
              <w:spacing w:after="0"/>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1"/>
                <w:szCs w:val="11"/>
                <w:color w:val="auto"/>
              </w:rPr>
            </w:pPr>
          </w:p>
        </w:tc>
        <w:tc>
          <w:tcPr>
            <w:tcW w:w="940" w:type="dxa"/>
            <w:vAlign w:val="bottom"/>
            <w:gridSpan w:val="2"/>
            <w:vMerge w:val="restart"/>
          </w:tcPr>
          <w:p>
            <w:pPr>
              <w:jc w:val="right"/>
              <w:ind w:right="220"/>
              <w:spacing w:after="0"/>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1"/>
                <w:szCs w:val="11"/>
                <w:color w:val="auto"/>
              </w:rPr>
            </w:pPr>
          </w:p>
        </w:tc>
        <w:tc>
          <w:tcPr>
            <w:tcW w:w="58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00" w:type="dxa"/>
            <w:vAlign w:val="bottom"/>
            <w:vMerge w:val="restart"/>
          </w:tcPr>
          <w:p>
            <w:pPr>
              <w:jc w:val="right"/>
              <w:spacing w:after="0"/>
              <w:rPr>
                <w:sz w:val="20"/>
                <w:szCs w:val="20"/>
                <w:color w:val="auto"/>
              </w:rPr>
            </w:pPr>
            <w:r>
              <w:rPr>
                <w:rFonts w:ascii="Arial" w:cs="Arial" w:eastAsia="Arial" w:hAnsi="Arial"/>
                <w:sz w:val="14"/>
                <w:szCs w:val="14"/>
                <w:b w:val="1"/>
                <w:bCs w:val="1"/>
                <w:color w:val="auto"/>
                <w:w w:val="97"/>
              </w:rPr>
              <w:t>(1.3)</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200" w:type="dxa"/>
            <w:vAlign w:val="bottom"/>
          </w:tcPr>
          <w:p>
            <w:pPr>
              <w:ind w:left="120"/>
              <w:spacing w:after="0"/>
              <w:rPr>
                <w:sz w:val="20"/>
                <w:szCs w:val="20"/>
                <w:color w:val="auto"/>
              </w:rPr>
            </w:pPr>
            <w:r>
              <w:rPr>
                <w:rFonts w:ascii="Arial" w:cs="Arial" w:eastAsia="Arial" w:hAnsi="Arial"/>
                <w:sz w:val="14"/>
                <w:szCs w:val="14"/>
                <w:color w:val="auto"/>
              </w:rPr>
              <w:t>adjustment</w:t>
            </w: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6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vMerge w:val="continue"/>
          </w:tcPr>
          <w:p>
            <w:pPr>
              <w:spacing w:after="0"/>
              <w:rPr>
                <w:sz w:val="14"/>
                <w:szCs w:val="14"/>
                <w:color w:val="auto"/>
              </w:rPr>
            </w:pPr>
          </w:p>
        </w:tc>
        <w:tc>
          <w:tcPr>
            <w:tcW w:w="1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2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2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94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vMerge w:val="continue"/>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0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200" w:type="dxa"/>
            <w:vAlign w:val="bottom"/>
            <w:tcBorders>
              <w:top w:val="single" w:sz="8" w:color="CCEEFF"/>
              <w:bottom w:val="single" w:sz="8" w:color="CCEEFF"/>
            </w:tcBorders>
            <w:shd w:val="clear" w:color="auto" w:fill="CCEEFF"/>
          </w:tcPr>
          <w:p>
            <w:pPr>
              <w:spacing w:after="0" w:line="142" w:lineRule="exact"/>
              <w:rPr>
                <w:sz w:val="20"/>
                <w:szCs w:val="20"/>
                <w:color w:val="auto"/>
              </w:rPr>
            </w:pPr>
            <w:r>
              <w:rPr>
                <w:rFonts w:ascii="Arial" w:cs="Arial" w:eastAsia="Arial" w:hAnsi="Arial"/>
                <w:sz w:val="14"/>
                <w:szCs w:val="14"/>
                <w:color w:val="auto"/>
              </w:rPr>
              <w:t>Ending balance</w:t>
            </w:r>
          </w:p>
        </w:tc>
        <w:tc>
          <w:tcPr>
            <w:tcW w:w="80" w:type="dxa"/>
            <w:vAlign w:val="bottom"/>
            <w:tcBorders>
              <w:top w:val="single" w:sz="8" w:color="CCEEFF"/>
              <w:bottom w:val="single" w:sz="8" w:color="CCEEFF"/>
              <w:right w:val="single" w:sz="8" w:color="CCEEFF"/>
            </w:tcBorders>
            <w:shd w:val="clear" w:color="auto" w:fill="CCEEFF"/>
          </w:tcPr>
          <w:p>
            <w:pPr>
              <w:spacing w:after="0"/>
              <w:rPr>
                <w:sz w:val="12"/>
                <w:szCs w:val="12"/>
                <w:color w:val="auto"/>
              </w:rPr>
            </w:pPr>
          </w:p>
        </w:tc>
        <w:tc>
          <w:tcPr>
            <w:tcW w:w="180" w:type="dxa"/>
            <w:vAlign w:val="bottom"/>
            <w:tcBorders>
              <w:top w:val="single" w:sz="8" w:color="auto"/>
              <w:bottom w:val="single" w:sz="8" w:color="auto"/>
            </w:tcBorders>
            <w:shd w:val="clear" w:color="auto" w:fill="CCEEFF"/>
          </w:tcPr>
          <w:p>
            <w:pPr>
              <w:spacing w:after="0" w:line="142" w:lineRule="exact"/>
              <w:rPr>
                <w:sz w:val="20"/>
                <w:szCs w:val="20"/>
                <w:color w:val="auto"/>
              </w:rPr>
            </w:pPr>
            <w:r>
              <w:rPr>
                <w:rFonts w:ascii="Arial" w:cs="Arial" w:eastAsia="Arial" w:hAnsi="Arial"/>
                <w:sz w:val="14"/>
                <w:szCs w:val="14"/>
                <w:b w:val="1"/>
                <w:bCs w:val="1"/>
                <w:color w:val="auto"/>
              </w:rPr>
              <w:t>$</w:t>
            </w:r>
          </w:p>
        </w:tc>
        <w:tc>
          <w:tcPr>
            <w:tcW w:w="580" w:type="dxa"/>
            <w:vAlign w:val="bottom"/>
            <w:tcBorders>
              <w:top w:val="single" w:sz="8" w:color="auto"/>
              <w:bottom w:val="single" w:sz="8" w:color="auto"/>
            </w:tcBorders>
            <w:shd w:val="clear" w:color="auto" w:fill="CCEEFF"/>
          </w:tcPr>
          <w:p>
            <w:pPr>
              <w:ind w:left="380"/>
              <w:spacing w:after="0" w:line="142" w:lineRule="exact"/>
              <w:rPr>
                <w:sz w:val="20"/>
                <w:szCs w:val="20"/>
                <w:color w:val="auto"/>
              </w:rPr>
            </w:pPr>
            <w:r>
              <w:rPr>
                <w:rFonts w:ascii="Arial" w:cs="Arial" w:eastAsia="Arial" w:hAnsi="Arial"/>
                <w:sz w:val="14"/>
                <w:szCs w:val="14"/>
                <w:b w:val="1"/>
                <w:bCs w:val="1"/>
                <w:color w:val="auto"/>
              </w:rPr>
              <w:t>—</w:t>
            </w:r>
          </w:p>
        </w:tc>
        <w:tc>
          <w:tcPr>
            <w:tcW w:w="180" w:type="dxa"/>
            <w:vAlign w:val="bottom"/>
            <w:tcBorders>
              <w:top w:val="single" w:sz="8" w:color="CCEEFF"/>
              <w:left w:val="single" w:sz="8" w:color="CCEEFF"/>
              <w:bottom w:val="single" w:sz="8" w:color="CCEEFF"/>
              <w:right w:val="single" w:sz="8" w:color="CCEEFF"/>
            </w:tcBorders>
            <w:shd w:val="clear" w:color="auto" w:fill="CCEEFF"/>
          </w:tcPr>
          <w:p>
            <w:pPr>
              <w:spacing w:after="0"/>
              <w:rPr>
                <w:sz w:val="12"/>
                <w:szCs w:val="12"/>
                <w:color w:val="auto"/>
              </w:rPr>
            </w:pPr>
          </w:p>
        </w:tc>
        <w:tc>
          <w:tcPr>
            <w:tcW w:w="80" w:type="dxa"/>
            <w:vAlign w:val="bottom"/>
            <w:tcBorders>
              <w:top w:val="single" w:sz="8" w:color="auto"/>
              <w:bottom w:val="single" w:sz="8" w:color="auto"/>
            </w:tcBorders>
            <w:shd w:val="clear" w:color="auto" w:fill="CCEEFF"/>
          </w:tcPr>
          <w:p>
            <w:pPr>
              <w:spacing w:after="0" w:line="142" w:lineRule="exact"/>
              <w:rPr>
                <w:sz w:val="20"/>
                <w:szCs w:val="20"/>
                <w:color w:val="auto"/>
              </w:rPr>
            </w:pPr>
            <w:r>
              <w:rPr>
                <w:rFonts w:ascii="Arial" w:cs="Arial" w:eastAsia="Arial" w:hAnsi="Arial"/>
                <w:sz w:val="14"/>
                <w:szCs w:val="14"/>
                <w:b w:val="1"/>
                <w:bCs w:val="1"/>
                <w:color w:val="auto"/>
                <w:w w:val="76"/>
              </w:rPr>
              <w:t>$</w:t>
            </w:r>
          </w:p>
        </w:tc>
        <w:tc>
          <w:tcPr>
            <w:tcW w:w="680" w:type="dxa"/>
            <w:vAlign w:val="bottom"/>
            <w:tcBorders>
              <w:top w:val="single" w:sz="8" w:color="auto"/>
              <w:bottom w:val="single" w:sz="8" w:color="auto"/>
            </w:tcBorders>
            <w:shd w:val="clear" w:color="auto" w:fill="CCEEFF"/>
          </w:tcPr>
          <w:p>
            <w:pPr>
              <w:ind w:left="480"/>
              <w:spacing w:after="0" w:line="142" w:lineRule="exact"/>
              <w:rPr>
                <w:sz w:val="20"/>
                <w:szCs w:val="20"/>
                <w:color w:val="auto"/>
              </w:rPr>
            </w:pPr>
            <w:r>
              <w:rPr>
                <w:rFonts w:ascii="Arial" w:cs="Arial" w:eastAsia="Arial" w:hAnsi="Arial"/>
                <w:sz w:val="14"/>
                <w:szCs w:val="14"/>
                <w:b w:val="1"/>
                <w:bCs w:val="1"/>
                <w:color w:val="auto"/>
              </w:rPr>
              <w:t>—</w:t>
            </w:r>
          </w:p>
        </w:tc>
        <w:tc>
          <w:tcPr>
            <w:tcW w:w="180" w:type="dxa"/>
            <w:vAlign w:val="bottom"/>
            <w:tcBorders>
              <w:top w:val="single" w:sz="8" w:color="CCEEFF"/>
              <w:left w:val="single" w:sz="8" w:color="CCEEFF"/>
              <w:bottom w:val="single" w:sz="8" w:color="CCEEFF"/>
              <w:right w:val="single" w:sz="8" w:color="CCEEFF"/>
            </w:tcBorders>
            <w:shd w:val="clear" w:color="auto" w:fill="CCEEFF"/>
          </w:tcPr>
          <w:p>
            <w:pPr>
              <w:spacing w:after="0"/>
              <w:rPr>
                <w:sz w:val="12"/>
                <w:szCs w:val="12"/>
                <w:color w:val="auto"/>
              </w:rPr>
            </w:pPr>
          </w:p>
        </w:tc>
        <w:tc>
          <w:tcPr>
            <w:tcW w:w="80" w:type="dxa"/>
            <w:vAlign w:val="bottom"/>
            <w:tcBorders>
              <w:top w:val="single" w:sz="8" w:color="auto"/>
              <w:bottom w:val="single" w:sz="8" w:color="auto"/>
            </w:tcBorders>
            <w:shd w:val="clear" w:color="auto" w:fill="CCEEFF"/>
          </w:tcPr>
          <w:p>
            <w:pPr>
              <w:spacing w:after="0" w:line="142" w:lineRule="exact"/>
              <w:rPr>
                <w:sz w:val="20"/>
                <w:szCs w:val="20"/>
                <w:color w:val="auto"/>
              </w:rPr>
            </w:pPr>
            <w:r>
              <w:rPr>
                <w:rFonts w:ascii="Arial" w:cs="Arial" w:eastAsia="Arial" w:hAnsi="Arial"/>
                <w:sz w:val="14"/>
                <w:szCs w:val="14"/>
                <w:b w:val="1"/>
                <w:bCs w:val="1"/>
                <w:color w:val="auto"/>
                <w:w w:val="76"/>
              </w:rPr>
              <w:t>$</w:t>
            </w:r>
          </w:p>
        </w:tc>
        <w:tc>
          <w:tcPr>
            <w:tcW w:w="64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180" w:type="dxa"/>
            <w:vAlign w:val="bottom"/>
            <w:tcBorders>
              <w:top w:val="single" w:sz="8" w:color="CCEEFF"/>
              <w:left w:val="single" w:sz="8" w:color="CCEEFF"/>
              <w:bottom w:val="single" w:sz="8" w:color="CCEEFF"/>
              <w:right w:val="single" w:sz="8" w:color="CCEEFF"/>
            </w:tcBorders>
            <w:shd w:val="clear" w:color="auto" w:fill="CCEEFF"/>
          </w:tcPr>
          <w:p>
            <w:pPr>
              <w:spacing w:after="0"/>
              <w:rPr>
                <w:sz w:val="12"/>
                <w:szCs w:val="12"/>
                <w:color w:val="auto"/>
              </w:rPr>
            </w:pPr>
          </w:p>
        </w:tc>
        <w:tc>
          <w:tcPr>
            <w:tcW w:w="200" w:type="dxa"/>
            <w:vAlign w:val="bottom"/>
            <w:tcBorders>
              <w:top w:val="single" w:sz="8" w:color="auto"/>
              <w:bottom w:val="single" w:sz="8" w:color="auto"/>
            </w:tcBorders>
            <w:shd w:val="clear" w:color="auto" w:fill="CCEEFF"/>
          </w:tcPr>
          <w:p>
            <w:pPr>
              <w:spacing w:after="0" w:line="142" w:lineRule="exact"/>
              <w:rPr>
                <w:sz w:val="20"/>
                <w:szCs w:val="20"/>
                <w:color w:val="auto"/>
              </w:rPr>
            </w:pPr>
            <w:r>
              <w:rPr>
                <w:rFonts w:ascii="Arial" w:cs="Arial" w:eastAsia="Arial" w:hAnsi="Arial"/>
                <w:sz w:val="14"/>
                <w:szCs w:val="14"/>
                <w:b w:val="1"/>
                <w:bCs w:val="1"/>
                <w:color w:val="auto"/>
              </w:rPr>
              <w:t>$</w:t>
            </w:r>
          </w:p>
        </w:tc>
        <w:tc>
          <w:tcPr>
            <w:tcW w:w="42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12.</w:t>
            </w:r>
            <w:r>
              <w:rPr>
                <w:rFonts w:ascii="Arial" w:cs="Arial" w:eastAsia="Arial" w:hAnsi="Arial"/>
                <w:sz w:val="14"/>
                <w:szCs w:val="14"/>
                <w:b w:val="1"/>
                <w:bCs w:val="1"/>
                <w:u w:val="single" w:color="auto"/>
                <w:color w:val="auto"/>
              </w:rPr>
              <w:t>5</w:t>
            </w:r>
          </w:p>
        </w:tc>
        <w:tc>
          <w:tcPr>
            <w:tcW w:w="40" w:type="dxa"/>
            <w:vAlign w:val="bottom"/>
            <w:tcBorders>
              <w:top w:val="single" w:sz="8" w:color="CCEEFF"/>
              <w:left w:val="single" w:sz="8" w:color="CCEEFF"/>
              <w:bottom w:val="single" w:sz="8" w:color="CCEEFF"/>
            </w:tcBorders>
            <w:shd w:val="clear" w:color="auto" w:fill="CCEEFF"/>
          </w:tcPr>
          <w:p>
            <w:pPr>
              <w:spacing w:after="0"/>
              <w:rPr>
                <w:sz w:val="12"/>
                <w:szCs w:val="12"/>
                <w:color w:val="auto"/>
              </w:rPr>
            </w:pPr>
          </w:p>
        </w:tc>
        <w:tc>
          <w:tcPr>
            <w:tcW w:w="120" w:type="dxa"/>
            <w:vAlign w:val="bottom"/>
            <w:tcBorders>
              <w:top w:val="single" w:sz="8" w:color="CCEEFF"/>
              <w:bottom w:val="single" w:sz="8" w:color="CCEEFF"/>
              <w:right w:val="single" w:sz="8" w:color="CCEEFF"/>
            </w:tcBorders>
            <w:shd w:val="clear" w:color="auto" w:fill="CCEEFF"/>
          </w:tcPr>
          <w:p>
            <w:pPr>
              <w:spacing w:after="0"/>
              <w:rPr>
                <w:sz w:val="12"/>
                <w:szCs w:val="12"/>
                <w:color w:val="auto"/>
              </w:rPr>
            </w:pP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0"/>
                <w:szCs w:val="10"/>
                <w:b w:val="1"/>
                <w:bCs w:val="1"/>
                <w:color w:val="auto"/>
                <w:w w:val="71"/>
              </w:rPr>
              <w:t>$</w:t>
            </w:r>
          </w:p>
        </w:tc>
        <w:tc>
          <w:tcPr>
            <w:tcW w:w="58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40" w:type="dxa"/>
            <w:vAlign w:val="bottom"/>
            <w:tcBorders>
              <w:top w:val="single" w:sz="8" w:color="CCEEFF"/>
              <w:bottom w:val="single" w:sz="8" w:color="CCEEFF"/>
            </w:tcBorders>
            <w:shd w:val="clear" w:color="auto" w:fill="CCEEFF"/>
          </w:tcPr>
          <w:p>
            <w:pPr>
              <w:spacing w:after="0"/>
              <w:rPr>
                <w:sz w:val="12"/>
                <w:szCs w:val="12"/>
                <w:color w:val="auto"/>
              </w:rPr>
            </w:pPr>
          </w:p>
        </w:tc>
        <w:tc>
          <w:tcPr>
            <w:tcW w:w="140" w:type="dxa"/>
            <w:vAlign w:val="bottom"/>
            <w:tcBorders>
              <w:top w:val="single" w:sz="8" w:color="CCEEFF"/>
              <w:bottom w:val="single" w:sz="8" w:color="CCEEFF"/>
              <w:right w:val="single" w:sz="8" w:color="CCEEFF"/>
            </w:tcBorders>
            <w:shd w:val="clear" w:color="auto" w:fill="CCEEFF"/>
          </w:tcPr>
          <w:p>
            <w:pPr>
              <w:spacing w:after="0"/>
              <w:rPr>
                <w:sz w:val="12"/>
                <w:szCs w:val="12"/>
                <w:color w:val="auto"/>
              </w:rPr>
            </w:pPr>
          </w:p>
        </w:tc>
        <w:tc>
          <w:tcPr>
            <w:tcW w:w="80" w:type="dxa"/>
            <w:vAlign w:val="bottom"/>
            <w:tcBorders>
              <w:top w:val="single" w:sz="8" w:color="auto"/>
              <w:bottom w:val="single" w:sz="8" w:color="auto"/>
            </w:tcBorders>
            <w:shd w:val="clear" w:color="auto" w:fill="CCEEFF"/>
          </w:tcPr>
          <w:p>
            <w:pPr>
              <w:spacing w:after="0" w:line="142" w:lineRule="exact"/>
              <w:rPr>
                <w:sz w:val="20"/>
                <w:szCs w:val="20"/>
                <w:color w:val="auto"/>
              </w:rPr>
            </w:pPr>
            <w:r>
              <w:rPr>
                <w:rFonts w:ascii="Arial" w:cs="Arial" w:eastAsia="Arial" w:hAnsi="Arial"/>
                <w:sz w:val="14"/>
                <w:szCs w:val="14"/>
                <w:b w:val="1"/>
                <w:bCs w:val="1"/>
                <w:color w:val="auto"/>
                <w:w w:val="76"/>
              </w:rPr>
              <w:t>$</w:t>
            </w:r>
          </w:p>
        </w:tc>
        <w:tc>
          <w:tcPr>
            <w:tcW w:w="68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180" w:type="dxa"/>
            <w:vAlign w:val="bottom"/>
            <w:tcBorders>
              <w:top w:val="single" w:sz="8" w:color="CCEEFF"/>
              <w:left w:val="single" w:sz="8" w:color="CCEEFF"/>
              <w:bottom w:val="single" w:sz="8" w:color="CCEEFF"/>
              <w:right w:val="single" w:sz="8" w:color="CCEEFF"/>
            </w:tcBorders>
            <w:shd w:val="clear" w:color="auto" w:fill="CCEEFF"/>
          </w:tcPr>
          <w:p>
            <w:pPr>
              <w:spacing w:after="0"/>
              <w:rPr>
                <w:sz w:val="12"/>
                <w:szCs w:val="12"/>
                <w:color w:val="auto"/>
              </w:rPr>
            </w:pP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5"/>
                <w:szCs w:val="5"/>
                <w:b w:val="1"/>
                <w:bCs w:val="1"/>
                <w:color w:val="auto"/>
                <w:w w:val="70"/>
              </w:rPr>
              <w:t>$</w:t>
            </w:r>
          </w:p>
        </w:tc>
        <w:tc>
          <w:tcPr>
            <w:tcW w:w="76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180" w:type="dxa"/>
            <w:vAlign w:val="bottom"/>
            <w:tcBorders>
              <w:top w:val="single" w:sz="8" w:color="CCEEFF"/>
              <w:left w:val="single" w:sz="8" w:color="CCEEFF"/>
              <w:bottom w:val="single" w:sz="8" w:color="CCEEFF"/>
              <w:right w:val="single" w:sz="8" w:color="CCEEFF"/>
            </w:tcBorders>
            <w:shd w:val="clear" w:color="auto" w:fill="CCEEFF"/>
          </w:tcPr>
          <w:p>
            <w:pPr>
              <w:spacing w:after="0"/>
              <w:rPr>
                <w:sz w:val="12"/>
                <w:szCs w:val="12"/>
                <w:color w:val="auto"/>
              </w:rPr>
            </w:pPr>
          </w:p>
        </w:tc>
        <w:tc>
          <w:tcPr>
            <w:tcW w:w="100" w:type="dxa"/>
            <w:vAlign w:val="bottom"/>
            <w:tcBorders>
              <w:top w:val="single" w:sz="8" w:color="auto"/>
              <w:bottom w:val="single" w:sz="8" w:color="auto"/>
            </w:tcBorders>
            <w:shd w:val="clear" w:color="auto" w:fill="CCEEFF"/>
          </w:tcPr>
          <w:p>
            <w:pPr>
              <w:spacing w:after="0" w:line="142" w:lineRule="exact"/>
              <w:rPr>
                <w:sz w:val="20"/>
                <w:szCs w:val="20"/>
                <w:color w:val="auto"/>
              </w:rPr>
            </w:pPr>
            <w:r>
              <w:rPr>
                <w:rFonts w:ascii="Arial" w:cs="Arial" w:eastAsia="Arial" w:hAnsi="Arial"/>
                <w:sz w:val="14"/>
                <w:szCs w:val="14"/>
                <w:b w:val="1"/>
                <w:bCs w:val="1"/>
                <w:color w:val="auto"/>
              </w:rPr>
              <w:t>$</w:t>
            </w:r>
          </w:p>
        </w:tc>
        <w:tc>
          <w:tcPr>
            <w:tcW w:w="58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180" w:type="dxa"/>
            <w:vAlign w:val="bottom"/>
            <w:tcBorders>
              <w:top w:val="single" w:sz="8" w:color="CCEEFF"/>
              <w:left w:val="single" w:sz="8" w:color="CCEEFF"/>
              <w:bottom w:val="single" w:sz="8" w:color="CCEEFF"/>
              <w:right w:val="single" w:sz="8" w:color="CCEEFF"/>
            </w:tcBorders>
            <w:shd w:val="clear" w:color="auto" w:fill="CCEEFF"/>
          </w:tcPr>
          <w:p>
            <w:pPr>
              <w:spacing w:after="0"/>
              <w:rPr>
                <w:sz w:val="12"/>
                <w:szCs w:val="12"/>
                <w:color w:val="auto"/>
              </w:rPr>
            </w:pPr>
          </w:p>
        </w:tc>
        <w:tc>
          <w:tcPr>
            <w:tcW w:w="400" w:type="dxa"/>
            <w:vAlign w:val="bottom"/>
            <w:tcBorders>
              <w:top w:val="single" w:sz="8" w:color="auto"/>
              <w:bottom w:val="single" w:sz="8" w:color="auto"/>
            </w:tcBorders>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w w:val="82"/>
              </w:rPr>
              <w:t>$ 12.5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20" w:type="dxa"/>
            <w:vAlign w:val="bottom"/>
            <w:tcBorders>
              <w:bottom w:val="single" w:sz="8" w:color="auto"/>
            </w:tcBorders>
            <w:gridSpan w:val="2"/>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660" w:type="dxa"/>
            <w:vAlign w:val="bottom"/>
            <w:tcBorders>
              <w:bottom w:val="single" w:sz="8" w:color="auto"/>
            </w:tcBorders>
            <w:gridSpan w:val="2"/>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760" w:type="dxa"/>
            <w:vAlign w:val="bottom"/>
            <w:tcBorders>
              <w:bottom w:val="single" w:sz="8" w:color="auto"/>
            </w:tcBorders>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8"/>
        </w:trPr>
        <w:tc>
          <w:tcPr>
            <w:tcW w:w="2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380" w:type="dxa"/>
            <w:vAlign w:val="bottom"/>
            <w:tcBorders>
              <w:bottom w:val="single" w:sz="8" w:color="auto"/>
            </w:tcBorders>
            <w:gridSpan w:val="13"/>
          </w:tcPr>
          <w:p>
            <w:pPr>
              <w:jc w:val="center"/>
              <w:ind w:left="248"/>
              <w:spacing w:after="0"/>
              <w:rPr>
                <w:sz w:val="20"/>
                <w:szCs w:val="20"/>
                <w:color w:val="auto"/>
              </w:rPr>
            </w:pPr>
            <w:r>
              <w:rPr>
                <w:rFonts w:ascii="Arial" w:cs="Arial" w:eastAsia="Arial" w:hAnsi="Arial"/>
                <w:sz w:val="14"/>
                <w:szCs w:val="14"/>
                <w:b w:val="1"/>
                <w:bCs w:val="1"/>
                <w:color w:val="auto"/>
                <w:w w:val="91"/>
              </w:rPr>
              <w:t>For the six months ended June 30, 2021</w:t>
            </w:r>
          </w:p>
        </w:tc>
        <w:tc>
          <w:tcPr>
            <w:tcW w:w="8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22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00" w:type="dxa"/>
            <w:vAlign w:val="bottom"/>
            <w:gridSpan w:val="3"/>
          </w:tcPr>
          <w:p>
            <w:pPr>
              <w:spacing w:after="0" w:line="119" w:lineRule="exact"/>
              <w:rPr>
                <w:sz w:val="20"/>
                <w:szCs w:val="20"/>
                <w:color w:val="auto"/>
              </w:rPr>
            </w:pPr>
            <w:r>
              <w:rPr>
                <w:rFonts w:ascii="Arial" w:cs="Arial" w:eastAsia="Arial" w:hAnsi="Arial"/>
                <w:sz w:val="13"/>
                <w:szCs w:val="13"/>
                <w:b w:val="1"/>
                <w:bCs w:val="1"/>
                <w:color w:val="auto"/>
                <w:w w:val="97"/>
              </w:rPr>
              <w:t>Residential</w:t>
            </w:r>
          </w:p>
        </w:tc>
        <w:tc>
          <w:tcPr>
            <w:tcW w:w="1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gridSpan w:val="3"/>
          </w:tcPr>
          <w:p>
            <w:pPr>
              <w:jc w:val="center"/>
              <w:spacing w:after="0" w:line="149" w:lineRule="exact"/>
              <w:rPr>
                <w:sz w:val="20"/>
                <w:szCs w:val="20"/>
                <w:color w:val="auto"/>
              </w:rPr>
            </w:pPr>
            <w:r>
              <w:rPr>
                <w:rFonts w:ascii="Arial" w:cs="Arial" w:eastAsia="Arial" w:hAnsi="Arial"/>
                <w:sz w:val="14"/>
                <w:szCs w:val="14"/>
                <w:b w:val="1"/>
                <w:bCs w:val="1"/>
                <w:color w:val="auto"/>
                <w:w w:val="90"/>
              </w:rPr>
              <w:t>mortgage-</w:t>
            </w:r>
          </w:p>
        </w:tc>
        <w:tc>
          <w:tcPr>
            <w:tcW w:w="140" w:type="dxa"/>
            <w:vAlign w:val="bottom"/>
          </w:tcPr>
          <w:p>
            <w:pPr>
              <w:spacing w:after="0"/>
              <w:rPr>
                <w:sz w:val="12"/>
                <w:szCs w:val="12"/>
                <w:color w:val="auto"/>
              </w:rPr>
            </w:pPr>
          </w:p>
        </w:tc>
        <w:tc>
          <w:tcPr>
            <w:tcW w:w="940" w:type="dxa"/>
            <w:vAlign w:val="bottom"/>
            <w:gridSpan w:val="3"/>
            <w:vMerge w:val="restart"/>
          </w:tcPr>
          <w:p>
            <w:pPr>
              <w:jc w:val="center"/>
              <w:ind w:right="140"/>
              <w:spacing w:after="0"/>
              <w:rPr>
                <w:sz w:val="20"/>
                <w:szCs w:val="20"/>
                <w:color w:val="auto"/>
              </w:rPr>
            </w:pPr>
            <w:r>
              <w:rPr>
                <w:rFonts w:ascii="Arial" w:cs="Arial" w:eastAsia="Arial" w:hAnsi="Arial"/>
                <w:sz w:val="14"/>
                <w:szCs w:val="14"/>
                <w:b w:val="1"/>
                <w:bCs w:val="1"/>
                <w:color w:val="auto"/>
                <w:w w:val="94"/>
              </w:rPr>
              <w:t>Commercial</w:t>
            </w:r>
          </w:p>
        </w:tc>
        <w:tc>
          <w:tcPr>
            <w:tcW w:w="102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Collateralized</w:t>
            </w: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6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U.S.</w:t>
            </w:r>
          </w:p>
        </w:tc>
        <w:tc>
          <w:tcPr>
            <w:tcW w:w="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2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w w:val="95"/>
              </w:rPr>
              <w:t>States and</w:t>
            </w:r>
          </w:p>
        </w:tc>
        <w:tc>
          <w:tcPr>
            <w:tcW w:w="1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gridSpan w:val="2"/>
          </w:tcPr>
          <w:p>
            <w:pPr>
              <w:jc w:val="center"/>
              <w:ind w:right="60"/>
              <w:spacing w:after="0" w:line="149" w:lineRule="exact"/>
              <w:rPr>
                <w:sz w:val="20"/>
                <w:szCs w:val="20"/>
                <w:color w:val="auto"/>
              </w:rPr>
            </w:pPr>
            <w:r>
              <w:rPr>
                <w:rFonts w:ascii="Arial" w:cs="Arial" w:eastAsia="Arial" w:hAnsi="Arial"/>
                <w:sz w:val="14"/>
                <w:szCs w:val="14"/>
                <w:b w:val="1"/>
                <w:bCs w:val="1"/>
                <w:color w:val="auto"/>
                <w:w w:val="91"/>
              </w:rPr>
              <w:t>backed</w:t>
            </w:r>
          </w:p>
        </w:tc>
        <w:tc>
          <w:tcPr>
            <w:tcW w:w="140" w:type="dxa"/>
            <w:vAlign w:val="bottom"/>
          </w:tcPr>
          <w:p>
            <w:pPr>
              <w:spacing w:after="0"/>
              <w:rPr>
                <w:sz w:val="12"/>
                <w:szCs w:val="12"/>
                <w:color w:val="auto"/>
              </w:rPr>
            </w:pPr>
          </w:p>
        </w:tc>
        <w:tc>
          <w:tcPr>
            <w:tcW w:w="940" w:type="dxa"/>
            <w:vAlign w:val="bottom"/>
            <w:gridSpan w:val="3"/>
            <w:vMerge w:val="continue"/>
          </w:tcPr>
          <w:p>
            <w:pPr>
              <w:spacing w:after="0"/>
              <w:rPr>
                <w:sz w:val="12"/>
                <w:szCs w:val="12"/>
                <w:color w:val="auto"/>
              </w:rPr>
            </w:pPr>
          </w:p>
        </w:tc>
        <w:tc>
          <w:tcPr>
            <w:tcW w:w="1020" w:type="dxa"/>
            <w:vAlign w:val="bottom"/>
            <w:gridSpan w:val="3"/>
            <w:vMerge w:val="continue"/>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6"/>
              </w:rPr>
              <w:t>Other</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6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Non-U.S.</w:t>
            </w:r>
          </w:p>
        </w:tc>
        <w:tc>
          <w:tcPr>
            <w:tcW w:w="72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81"/>
              </w:rPr>
              <w:t>pass-</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3"/>
              </w:rPr>
              <w:t>mortgage-</w:t>
            </w:r>
          </w:p>
        </w:tc>
        <w:tc>
          <w:tcPr>
            <w:tcW w:w="80" w:type="dxa"/>
            <w:vAlign w:val="bottom"/>
          </w:tcPr>
          <w:p>
            <w:pPr>
              <w:spacing w:after="0"/>
              <w:rPr>
                <w:sz w:val="12"/>
                <w:szCs w:val="12"/>
                <w:color w:val="auto"/>
              </w:rPr>
            </w:pPr>
          </w:p>
        </w:tc>
        <w:tc>
          <w:tcPr>
            <w:tcW w:w="94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4"/>
              </w:rPr>
              <w:t>debt</w:t>
            </w:r>
          </w:p>
        </w:tc>
        <w:tc>
          <w:tcPr>
            <w:tcW w:w="100" w:type="dxa"/>
            <w:vAlign w:val="bottom"/>
          </w:tcPr>
          <w:p>
            <w:pPr>
              <w:spacing w:after="0"/>
              <w:rPr>
                <w:sz w:val="12"/>
                <w:szCs w:val="12"/>
                <w:color w:val="auto"/>
              </w:rPr>
            </w:pPr>
          </w:p>
        </w:tc>
        <w:tc>
          <w:tcPr>
            <w:tcW w:w="580" w:type="dxa"/>
            <w:vAlign w:val="bottom"/>
            <w:vMerge w:val="continue"/>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rPr>
              <w:t>government</w:t>
            </w:r>
          </w:p>
        </w:tc>
        <w:tc>
          <w:tcPr>
            <w:tcW w:w="80" w:type="dxa"/>
            <w:vAlign w:val="bottom"/>
          </w:tcPr>
          <w:p>
            <w:pPr>
              <w:spacing w:after="0"/>
              <w:rPr>
                <w:sz w:val="12"/>
                <w:szCs w:val="12"/>
                <w:color w:val="auto"/>
              </w:rPr>
            </w:pPr>
          </w:p>
        </w:tc>
        <w:tc>
          <w:tcPr>
            <w:tcW w:w="86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tcPr>
          <w:p>
            <w:pPr>
              <w:jc w:val="right"/>
              <w:ind w:right="28"/>
              <w:spacing w:after="0" w:line="149" w:lineRule="exact"/>
              <w:rPr>
                <w:sz w:val="20"/>
                <w:szCs w:val="20"/>
                <w:color w:val="auto"/>
              </w:rPr>
            </w:pPr>
            <w:r>
              <w:rPr>
                <w:rFonts w:ascii="Arial" w:cs="Arial" w:eastAsia="Arial" w:hAnsi="Arial"/>
                <w:sz w:val="14"/>
                <w:szCs w:val="14"/>
                <w:b w:val="1"/>
                <w:bCs w:val="1"/>
                <w:color w:val="auto"/>
                <w:w w:val="98"/>
              </w:rPr>
              <w:t>political</w:t>
            </w:r>
          </w:p>
        </w:tc>
        <w:tc>
          <w:tcPr>
            <w:tcW w:w="180" w:type="dxa"/>
            <w:vAlign w:val="bottom"/>
          </w:tcPr>
          <w:p>
            <w:pPr>
              <w:spacing w:after="0"/>
              <w:rPr>
                <w:sz w:val="12"/>
                <w:szCs w:val="12"/>
                <w:color w:val="auto"/>
              </w:rPr>
            </w:pPr>
          </w:p>
        </w:tc>
        <w:tc>
          <w:tcPr>
            <w:tcW w:w="660" w:type="dxa"/>
            <w:vAlign w:val="bottom"/>
            <w:gridSpan w:val="3"/>
            <w:vMerge w:val="restart"/>
          </w:tcPr>
          <w:p>
            <w:pPr>
              <w:spacing w:after="0"/>
              <w:rPr>
                <w:sz w:val="20"/>
                <w:szCs w:val="20"/>
                <w:color w:val="auto"/>
              </w:rPr>
            </w:pPr>
            <w:r>
              <w:rPr>
                <w:rFonts w:ascii="Arial" w:cs="Arial" w:eastAsia="Arial" w:hAnsi="Arial"/>
                <w:sz w:val="14"/>
                <w:szCs w:val="14"/>
                <w:b w:val="1"/>
                <w:bCs w:val="1"/>
                <w:color w:val="auto"/>
                <w:w w:val="95"/>
              </w:rPr>
              <w:t>Corporate</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w w:val="94"/>
              </w:rPr>
              <w:t>through</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1"/>
              </w:rPr>
              <w:t>backed</w:t>
            </w:r>
          </w:p>
        </w:tc>
        <w:tc>
          <w:tcPr>
            <w:tcW w:w="80" w:type="dxa"/>
            <w:vAlign w:val="bottom"/>
          </w:tcPr>
          <w:p>
            <w:pPr>
              <w:spacing w:after="0"/>
              <w:rPr>
                <w:sz w:val="12"/>
                <w:szCs w:val="12"/>
                <w:color w:val="auto"/>
              </w:rPr>
            </w:pPr>
          </w:p>
        </w:tc>
        <w:tc>
          <w:tcPr>
            <w:tcW w:w="94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0"/>
              </w:rPr>
              <w:t>obligations</w:t>
            </w:r>
          </w:p>
        </w:tc>
        <w:tc>
          <w:tcPr>
            <w:tcW w:w="100" w:type="dxa"/>
            <w:vAlign w:val="bottom"/>
          </w:tcPr>
          <w:p>
            <w:pPr>
              <w:spacing w:after="0"/>
              <w:rPr>
                <w:sz w:val="12"/>
                <w:szCs w:val="12"/>
                <w:color w:val="auto"/>
              </w:rPr>
            </w:pPr>
          </w:p>
        </w:tc>
        <w:tc>
          <w:tcPr>
            <w:tcW w:w="5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debt</w:t>
            </w:r>
          </w:p>
        </w:tc>
        <w:tc>
          <w:tcPr>
            <w:tcW w:w="180" w:type="dxa"/>
            <w:vAlign w:val="bottom"/>
          </w:tcPr>
          <w:p>
            <w:pPr>
              <w:spacing w:after="0"/>
              <w:rPr>
                <w:sz w:val="12"/>
                <w:szCs w:val="12"/>
                <w:color w:val="auto"/>
              </w:rPr>
            </w:pPr>
          </w:p>
        </w:tc>
        <w:tc>
          <w:tcPr>
            <w:tcW w:w="40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40" w:type="dxa"/>
            <w:vAlign w:val="bottom"/>
            <w:gridSpan w:val="3"/>
          </w:tcPr>
          <w:p>
            <w:pPr>
              <w:spacing w:after="0"/>
              <w:rPr>
                <w:sz w:val="20"/>
                <w:szCs w:val="20"/>
                <w:color w:val="auto"/>
              </w:rPr>
            </w:pPr>
            <w:r>
              <w:rPr>
                <w:rFonts w:ascii="Arial" w:cs="Arial" w:eastAsia="Arial" w:hAnsi="Arial"/>
                <w:sz w:val="14"/>
                <w:szCs w:val="14"/>
                <w:b w:val="1"/>
                <w:bCs w:val="1"/>
                <w:color w:val="auto"/>
              </w:rPr>
              <w:t>and agencies</w:t>
            </w:r>
          </w:p>
        </w:tc>
        <w:tc>
          <w:tcPr>
            <w:tcW w:w="940" w:type="dxa"/>
            <w:vAlign w:val="bottom"/>
            <w:gridSpan w:val="3"/>
          </w:tcPr>
          <w:p>
            <w:pPr>
              <w:spacing w:after="0"/>
              <w:rPr>
                <w:sz w:val="20"/>
                <w:szCs w:val="20"/>
                <w:color w:val="auto"/>
              </w:rPr>
            </w:pPr>
            <w:r>
              <w:rPr>
                <w:rFonts w:ascii="Arial" w:cs="Arial" w:eastAsia="Arial" w:hAnsi="Arial"/>
                <w:sz w:val="14"/>
                <w:szCs w:val="14"/>
                <w:b w:val="1"/>
                <w:bCs w:val="1"/>
                <w:color w:val="auto"/>
              </w:rPr>
              <w:t>governments</w:t>
            </w:r>
          </w:p>
        </w:tc>
        <w:tc>
          <w:tcPr>
            <w:tcW w:w="720" w:type="dxa"/>
            <w:vAlign w:val="bottom"/>
            <w:gridSpan w:val="2"/>
          </w:tcPr>
          <w:p>
            <w:pPr>
              <w:spacing w:after="0"/>
              <w:rPr>
                <w:sz w:val="20"/>
                <w:szCs w:val="20"/>
                <w:color w:val="auto"/>
              </w:rPr>
            </w:pPr>
            <w:r>
              <w:rPr>
                <w:rFonts w:ascii="Arial" w:cs="Arial" w:eastAsia="Arial" w:hAnsi="Arial"/>
                <w:sz w:val="14"/>
                <w:szCs w:val="14"/>
                <w:b w:val="1"/>
                <w:bCs w:val="1"/>
                <w:color w:val="auto"/>
                <w:w w:val="79"/>
              </w:rPr>
              <w:t>subdivisions</w:t>
            </w:r>
          </w:p>
        </w:tc>
        <w:tc>
          <w:tcPr>
            <w:tcW w:w="180" w:type="dxa"/>
            <w:vAlign w:val="bottom"/>
          </w:tcPr>
          <w:p>
            <w:pPr>
              <w:spacing w:after="0"/>
              <w:rPr>
                <w:sz w:val="14"/>
                <w:szCs w:val="14"/>
                <w:color w:val="auto"/>
              </w:rPr>
            </w:pPr>
          </w:p>
        </w:tc>
        <w:tc>
          <w:tcPr>
            <w:tcW w:w="660" w:type="dxa"/>
            <w:vAlign w:val="bottom"/>
            <w:gridSpan w:val="3"/>
            <w:vMerge w:val="continue"/>
          </w:tcPr>
          <w:p>
            <w:pPr>
              <w:spacing w:after="0"/>
              <w:rPr>
                <w:sz w:val="14"/>
                <w:szCs w:val="14"/>
                <w:color w:val="auto"/>
              </w:rPr>
            </w:pPr>
          </w:p>
        </w:tc>
        <w:tc>
          <w:tcPr>
            <w:tcW w:w="120" w:type="dxa"/>
            <w:vAlign w:val="bottom"/>
          </w:tcPr>
          <w:p>
            <w:pPr>
              <w:spacing w:after="0"/>
              <w:rPr>
                <w:sz w:val="14"/>
                <w:szCs w:val="14"/>
                <w:color w:val="auto"/>
              </w:rPr>
            </w:pPr>
          </w:p>
        </w:tc>
        <w:tc>
          <w:tcPr>
            <w:tcW w:w="700" w:type="dxa"/>
            <w:vAlign w:val="bottom"/>
            <w:gridSpan w:val="3"/>
          </w:tcPr>
          <w:p>
            <w:pPr>
              <w:jc w:val="right"/>
              <w:ind w:right="60"/>
              <w:spacing w:after="0"/>
              <w:rPr>
                <w:sz w:val="20"/>
                <w:szCs w:val="20"/>
                <w:color w:val="auto"/>
              </w:rPr>
            </w:pPr>
            <w:r>
              <w:rPr>
                <w:rFonts w:ascii="Arial" w:cs="Arial" w:eastAsia="Arial" w:hAnsi="Arial"/>
                <w:sz w:val="14"/>
                <w:szCs w:val="14"/>
                <w:b w:val="1"/>
                <w:bCs w:val="1"/>
                <w:color w:val="auto"/>
                <w:w w:val="94"/>
              </w:rPr>
              <w:t>securities</w:t>
            </w: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8"/>
              </w:rPr>
              <w:t>securities</w:t>
            </w:r>
          </w:p>
        </w:tc>
        <w:tc>
          <w:tcPr>
            <w:tcW w:w="80" w:type="dxa"/>
            <w:vAlign w:val="bottom"/>
          </w:tcPr>
          <w:p>
            <w:pPr>
              <w:spacing w:after="0"/>
              <w:rPr>
                <w:sz w:val="14"/>
                <w:szCs w:val="14"/>
                <w:color w:val="auto"/>
              </w:rPr>
            </w:pPr>
          </w:p>
        </w:tc>
        <w:tc>
          <w:tcPr>
            <w:tcW w:w="760" w:type="dxa"/>
            <w:vAlign w:val="bottom"/>
          </w:tcPr>
          <w:p>
            <w:pPr>
              <w:jc w:val="center"/>
              <w:spacing w:after="0"/>
              <w:rPr>
                <w:sz w:val="20"/>
                <w:szCs w:val="20"/>
                <w:color w:val="auto"/>
              </w:rPr>
            </w:pPr>
            <w:r>
              <w:rPr>
                <w:rFonts w:ascii="Arial" w:cs="Arial" w:eastAsia="Arial" w:hAnsi="Arial"/>
                <w:sz w:val="14"/>
                <w:szCs w:val="14"/>
                <w:b w:val="1"/>
                <w:bCs w:val="1"/>
                <w:color w:val="auto"/>
                <w:w w:val="93"/>
              </w:rPr>
              <w:t>(1)</w:t>
            </w:r>
          </w:p>
        </w:tc>
        <w:tc>
          <w:tcPr>
            <w:tcW w:w="180" w:type="dxa"/>
            <w:vAlign w:val="bottom"/>
          </w:tcPr>
          <w:p>
            <w:pPr>
              <w:spacing w:after="0"/>
              <w:rPr>
                <w:sz w:val="14"/>
                <w:szCs w:val="14"/>
                <w:color w:val="auto"/>
              </w:rPr>
            </w:pPr>
          </w:p>
        </w:tc>
        <w:tc>
          <w:tcPr>
            <w:tcW w:w="680" w:type="dxa"/>
            <w:vAlign w:val="bottom"/>
            <w:gridSpan w:val="2"/>
          </w:tcPr>
          <w:p>
            <w:pPr>
              <w:jc w:val="center"/>
              <w:spacing w:after="0"/>
              <w:rPr>
                <w:sz w:val="20"/>
                <w:szCs w:val="20"/>
                <w:color w:val="auto"/>
              </w:rPr>
            </w:pPr>
            <w:r>
              <w:rPr>
                <w:rFonts w:ascii="Arial" w:cs="Arial" w:eastAsia="Arial" w:hAnsi="Arial"/>
                <w:sz w:val="14"/>
                <w:szCs w:val="14"/>
                <w:b w:val="1"/>
                <w:bCs w:val="1"/>
                <w:color w:val="auto"/>
                <w:w w:val="88"/>
              </w:rPr>
              <w:t>obligations</w:t>
            </w:r>
          </w:p>
        </w:tc>
        <w:tc>
          <w:tcPr>
            <w:tcW w:w="180" w:type="dxa"/>
            <w:vAlign w:val="bottom"/>
          </w:tcPr>
          <w:p>
            <w:pPr>
              <w:spacing w:after="0"/>
              <w:rPr>
                <w:sz w:val="14"/>
                <w:szCs w:val="14"/>
                <w:color w:val="auto"/>
              </w:rPr>
            </w:pPr>
          </w:p>
        </w:tc>
        <w:tc>
          <w:tcPr>
            <w:tcW w:w="40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80" w:type="dxa"/>
            <w:vAlign w:val="bottom"/>
            <w:tcBorders>
              <w:left w:val="single" w:sz="8" w:color="auto"/>
            </w:tcBorders>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80" w:type="dxa"/>
            <w:vAlign w:val="bottom"/>
            <w:tcBorders>
              <w:left w:val="single" w:sz="8" w:color="auto"/>
            </w:tcBorders>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80" w:type="dxa"/>
            <w:vAlign w:val="bottom"/>
            <w:tcBorders>
              <w:left w:val="single" w:sz="8" w:color="auto"/>
            </w:tcBorders>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40" w:type="dxa"/>
            <w:vAlign w:val="bottom"/>
            <w:tcBorders>
              <w:left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00" w:type="dxa"/>
            <w:vAlign w:val="bottom"/>
            <w:gridSpan w:val="3"/>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80" w:type="dxa"/>
            <w:vAlign w:val="bottom"/>
            <w:tcBorders>
              <w:left w:val="single" w:sz="8" w:color="auto"/>
            </w:tcBorders>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80" w:type="dxa"/>
            <w:vAlign w:val="bottom"/>
            <w:tcBorders>
              <w:left w:val="single" w:sz="8" w:color="auto"/>
            </w:tcBorders>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80" w:type="dxa"/>
            <w:vAlign w:val="bottom"/>
            <w:tcBorders>
              <w:left w:val="single" w:sz="8" w:color="auto"/>
            </w:tcBorders>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2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20" w:type="dxa"/>
            <w:vAlign w:val="bottom"/>
            <w:gridSpan w:val="4"/>
          </w:tcPr>
          <w:p>
            <w:pPr>
              <w:jc w:val="center"/>
              <w:ind w:right="80"/>
              <w:spacing w:after="0" w:line="129" w:lineRule="exact"/>
              <w:rPr>
                <w:sz w:val="20"/>
                <w:szCs w:val="20"/>
                <w:color w:val="auto"/>
              </w:rPr>
            </w:pPr>
            <w:r>
              <w:rPr>
                <w:rFonts w:ascii="Arial" w:cs="Arial" w:eastAsia="Arial" w:hAnsi="Arial"/>
                <w:sz w:val="14"/>
                <w:szCs w:val="14"/>
                <w:i w:val="1"/>
                <w:iCs w:val="1"/>
                <w:color w:val="auto"/>
                <w:w w:val="98"/>
              </w:rPr>
              <w:t>(in millions)</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2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Beginning balance</w:t>
            </w:r>
          </w:p>
        </w:tc>
        <w:tc>
          <w:tcPr>
            <w:tcW w:w="260" w:type="dxa"/>
            <w:vAlign w:val="bottom"/>
            <w:gridSpan w:val="2"/>
            <w:shd w:val="clear" w:color="auto" w:fill="CCEEFF"/>
          </w:tcPr>
          <w:p>
            <w:pPr>
              <w:ind w:left="80"/>
              <w:spacing w:after="0" w:line="149" w:lineRule="exact"/>
              <w:rPr>
                <w:sz w:val="20"/>
                <w:szCs w:val="20"/>
                <w:color w:val="auto"/>
              </w:rPr>
            </w:pPr>
            <w:r>
              <w:rPr>
                <w:rFonts w:ascii="Arial" w:cs="Arial" w:eastAsia="Arial" w:hAnsi="Arial"/>
                <w:sz w:val="14"/>
                <w:szCs w:val="14"/>
                <w:color w:val="auto"/>
              </w:rPr>
              <w:t>$</w:t>
            </w:r>
          </w:p>
        </w:tc>
        <w:tc>
          <w:tcPr>
            <w:tcW w:w="760" w:type="dxa"/>
            <w:vAlign w:val="bottom"/>
            <w:tcBorders>
              <w:right w:val="single" w:sz="8" w:color="CCEEFF"/>
            </w:tcBorders>
            <w:gridSpan w:val="2"/>
            <w:shd w:val="clear" w:color="auto" w:fill="CCEEFF"/>
          </w:tcPr>
          <w:p>
            <w:pPr>
              <w:ind w:left="40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w w:val="76"/>
              </w:rPr>
              <w:t>$</w:t>
            </w:r>
          </w:p>
        </w:tc>
        <w:tc>
          <w:tcPr>
            <w:tcW w:w="860" w:type="dxa"/>
            <w:vAlign w:val="bottom"/>
            <w:tcBorders>
              <w:right w:val="single" w:sz="8" w:color="CCEEFF"/>
            </w:tcBorders>
            <w:gridSpan w:val="2"/>
            <w:shd w:val="clear" w:color="auto" w:fill="CCEEFF"/>
          </w:tcPr>
          <w:p>
            <w:pPr>
              <w:ind w:left="52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w w:val="76"/>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380" w:type="dxa"/>
            <w:vAlign w:val="bottom"/>
            <w:tcBorders>
              <w:left w:val="single" w:sz="8" w:color="CCEEFF"/>
            </w:tcBorders>
            <w:gridSpan w:val="2"/>
            <w:shd w:val="clear" w:color="auto" w:fill="CCEEFF"/>
          </w:tcPr>
          <w:p>
            <w:pPr>
              <w:ind w:left="180"/>
              <w:spacing w:after="0" w:line="149" w:lineRule="exact"/>
              <w:rPr>
                <w:sz w:val="20"/>
                <w:szCs w:val="20"/>
                <w:color w:val="auto"/>
              </w:rPr>
            </w:pPr>
            <w:r>
              <w:rPr>
                <w:rFonts w:ascii="Arial" w:cs="Arial" w:eastAsia="Arial" w:hAnsi="Arial"/>
                <w:sz w:val="14"/>
                <w:szCs w:val="14"/>
                <w:color w:val="auto"/>
              </w:rPr>
              <w:t>$</w:t>
            </w: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0.9</w:t>
            </w:r>
          </w:p>
        </w:tc>
        <w:tc>
          <w:tcPr>
            <w:tcW w:w="40" w:type="dxa"/>
            <w:vAlign w:val="bottom"/>
            <w:tcBorders>
              <w:left w:val="single" w:sz="8" w:color="CCEEFF"/>
            </w:tcBorders>
            <w:shd w:val="clear" w:color="auto" w:fill="CCEEFF"/>
          </w:tcPr>
          <w:p>
            <w:pPr>
              <w:spacing w:after="0"/>
              <w:rPr>
                <w:sz w:val="12"/>
                <w:szCs w:val="12"/>
                <w:color w:val="auto"/>
              </w:rPr>
            </w:pPr>
          </w:p>
        </w:tc>
        <w:tc>
          <w:tcPr>
            <w:tcW w:w="200" w:type="dxa"/>
            <w:vAlign w:val="bottom"/>
            <w:gridSpan w:val="2"/>
            <w:shd w:val="clear" w:color="auto" w:fill="CCEEFF"/>
          </w:tcPr>
          <w:p>
            <w:pPr>
              <w:ind w:left="120"/>
              <w:spacing w:after="0" w:line="149" w:lineRule="exact"/>
              <w:rPr>
                <w:sz w:val="20"/>
                <w:szCs w:val="20"/>
                <w:color w:val="auto"/>
              </w:rPr>
            </w:pPr>
            <w:r>
              <w:rPr>
                <w:rFonts w:ascii="Arial" w:cs="Arial" w:eastAsia="Arial" w:hAnsi="Arial"/>
                <w:sz w:val="14"/>
                <w:szCs w:val="14"/>
                <w:color w:val="auto"/>
                <w:w w:val="76"/>
              </w:rPr>
              <w:t>$</w:t>
            </w:r>
          </w:p>
        </w:tc>
        <w:tc>
          <w:tcPr>
            <w:tcW w:w="6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22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w w:val="76"/>
              </w:rPr>
              <w:t>$</w:t>
            </w: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4.3</w:t>
            </w:r>
          </w:p>
        </w:tc>
        <w:tc>
          <w:tcPr>
            <w:tcW w:w="180" w:type="dxa"/>
            <w:vAlign w:val="bottom"/>
            <w:tcBorders>
              <w:left w:val="single" w:sz="8" w:color="CCEEFF"/>
              <w:right w:val="single" w:sz="8" w:color="CCEEFF"/>
            </w:tcBorders>
            <w:shd w:val="clear" w:color="auto" w:fill="CCEEFF"/>
          </w:tcPr>
          <w:p>
            <w:pPr>
              <w:spacing w:after="0"/>
              <w:rPr>
                <w:sz w:val="12"/>
                <w:szCs w:val="12"/>
                <w:color w:val="auto"/>
              </w:rPr>
            </w:pPr>
          </w:p>
        </w:tc>
        <w:tc>
          <w:tcPr>
            <w:tcW w:w="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w w:val="76"/>
              </w:rPr>
              <w:t>$</w:t>
            </w: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2.2</w:t>
            </w:r>
          </w:p>
        </w:tc>
        <w:tc>
          <w:tcPr>
            <w:tcW w:w="180" w:type="dxa"/>
            <w:vAlign w:val="bottom"/>
            <w:tcBorders>
              <w:left w:val="single" w:sz="8" w:color="CCEEFF"/>
              <w:right w:val="single" w:sz="8" w:color="CCEEFF"/>
            </w:tcBorders>
            <w:shd w:val="clear" w:color="auto" w:fill="CCEEFF"/>
          </w:tcPr>
          <w:p>
            <w:pPr>
              <w:spacing w:after="0"/>
              <w:rPr>
                <w:sz w:val="12"/>
                <w:szCs w:val="12"/>
                <w:color w:val="auto"/>
              </w:rPr>
            </w:pPr>
          </w:p>
        </w:tc>
        <w:tc>
          <w:tcPr>
            <w:tcW w:w="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280" w:type="dxa"/>
            <w:vAlign w:val="bottom"/>
            <w:tcBorders>
              <w:left w:val="single" w:sz="8" w:color="CCEEFF"/>
            </w:tcBorders>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3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2200" w:type="dxa"/>
            <w:vAlign w:val="bottom"/>
          </w:tcPr>
          <w:p>
            <w:pPr>
              <w:spacing w:after="0" w:line="130" w:lineRule="exact"/>
              <w:rPr>
                <w:sz w:val="20"/>
                <w:szCs w:val="20"/>
                <w:color w:val="auto"/>
              </w:rPr>
            </w:pPr>
            <w:r>
              <w:rPr>
                <w:rFonts w:ascii="Arial" w:cs="Arial" w:eastAsia="Arial" w:hAnsi="Arial"/>
                <w:sz w:val="14"/>
                <w:szCs w:val="14"/>
                <w:color w:val="auto"/>
              </w:rPr>
              <w:t>Additions for credit losses not</w:t>
            </w: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200" w:type="dxa"/>
            <w:vAlign w:val="bottom"/>
          </w:tcPr>
          <w:p>
            <w:pPr>
              <w:ind w:left="120"/>
              <w:spacing w:after="0"/>
              <w:rPr>
                <w:sz w:val="20"/>
                <w:szCs w:val="20"/>
                <w:color w:val="auto"/>
              </w:rPr>
            </w:pPr>
            <w:r>
              <w:rPr>
                <w:rFonts w:ascii="Arial" w:cs="Arial" w:eastAsia="Arial" w:hAnsi="Arial"/>
                <w:sz w:val="14"/>
                <w:szCs w:val="14"/>
                <w:color w:val="auto"/>
              </w:rPr>
              <w:t>previously recorded</w:t>
            </w: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60" w:type="dxa"/>
            <w:vAlign w:val="bottom"/>
            <w:gridSpan w:val="2"/>
          </w:tcPr>
          <w:p>
            <w:pPr>
              <w:ind w:left="40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860" w:type="dxa"/>
            <w:vAlign w:val="bottom"/>
            <w:gridSpan w:val="2"/>
          </w:tcPr>
          <w:p>
            <w:pPr>
              <w:ind w:left="52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20" w:type="dxa"/>
            <w:vAlign w:val="bottom"/>
          </w:tcPr>
          <w:p>
            <w:pPr>
              <w:jc w:val="right"/>
              <w:spacing w:after="0"/>
              <w:rPr>
                <w:sz w:val="20"/>
                <w:szCs w:val="20"/>
                <w:color w:val="auto"/>
              </w:rPr>
            </w:pPr>
            <w:r>
              <w:rPr>
                <w:rFonts w:ascii="Arial" w:cs="Arial" w:eastAsia="Arial" w:hAnsi="Arial"/>
                <w:sz w:val="14"/>
                <w:szCs w:val="14"/>
                <w:color w:val="auto"/>
              </w:rPr>
              <w:t>7.6</w:t>
            </w: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20" w:type="dxa"/>
            <w:vAlign w:val="bottom"/>
            <w:gridSpan w:val="2"/>
          </w:tcPr>
          <w:p>
            <w:pPr>
              <w:jc w:val="right"/>
              <w:ind w:right="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0.3</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00" w:type="dxa"/>
            <w:vAlign w:val="bottom"/>
          </w:tcPr>
          <w:p>
            <w:pPr>
              <w:jc w:val="right"/>
              <w:spacing w:after="0"/>
              <w:rPr>
                <w:sz w:val="20"/>
                <w:szCs w:val="20"/>
                <w:color w:val="auto"/>
              </w:rPr>
            </w:pPr>
            <w:r>
              <w:rPr>
                <w:rFonts w:ascii="Arial" w:cs="Arial" w:eastAsia="Arial" w:hAnsi="Arial"/>
                <w:sz w:val="14"/>
                <w:szCs w:val="14"/>
                <w:color w:val="auto"/>
              </w:rPr>
              <w:t>7.9</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2200" w:type="dxa"/>
            <w:vAlign w:val="bottom"/>
            <w:shd w:val="clear" w:color="auto" w:fill="CCEEFF"/>
          </w:tcPr>
          <w:p>
            <w:pPr>
              <w:spacing w:after="0" w:line="130" w:lineRule="exact"/>
              <w:rPr>
                <w:sz w:val="20"/>
                <w:szCs w:val="20"/>
                <w:color w:val="auto"/>
              </w:rPr>
            </w:pPr>
            <w:r>
              <w:rPr>
                <w:rFonts w:ascii="Arial" w:cs="Arial" w:eastAsia="Arial" w:hAnsi="Arial"/>
                <w:sz w:val="14"/>
                <w:szCs w:val="14"/>
                <w:color w:val="auto"/>
                <w:w w:val="97"/>
              </w:rPr>
              <w:t>Additional increases (decreases) for</w:t>
            </w:r>
          </w:p>
        </w:tc>
        <w:tc>
          <w:tcPr>
            <w:tcW w:w="80" w:type="dxa"/>
            <w:vAlign w:val="bottom"/>
            <w:tcBorders>
              <w:right w:val="single" w:sz="8" w:color="CCEEFF"/>
            </w:tcBorders>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80" w:type="dxa"/>
            <w:vAlign w:val="bottom"/>
            <w:tcBorders>
              <w:left w:val="single" w:sz="8" w:color="CCEEFF"/>
              <w:right w:val="single" w:sz="8" w:color="CCEEFF"/>
            </w:tcBorders>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80" w:type="dxa"/>
            <w:vAlign w:val="bottom"/>
            <w:tcBorders>
              <w:left w:val="single" w:sz="8" w:color="CCEEFF"/>
              <w:right w:val="single" w:sz="8" w:color="CCEEFF"/>
            </w:tcBorders>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80" w:type="dxa"/>
            <w:vAlign w:val="bottom"/>
            <w:tcBorders>
              <w:left w:val="single" w:sz="8" w:color="CCEEFF"/>
              <w:right w:val="single" w:sz="8" w:color="CCEEFF"/>
            </w:tcBorders>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420" w:type="dxa"/>
            <w:vAlign w:val="bottom"/>
            <w:shd w:val="clear" w:color="auto" w:fill="CCEEFF"/>
          </w:tcPr>
          <w:p>
            <w:pPr>
              <w:spacing w:after="0"/>
              <w:rPr>
                <w:sz w:val="11"/>
                <w:szCs w:val="11"/>
                <w:color w:val="auto"/>
              </w:rPr>
            </w:pPr>
          </w:p>
        </w:tc>
        <w:tc>
          <w:tcPr>
            <w:tcW w:w="40" w:type="dxa"/>
            <w:vAlign w:val="bottom"/>
            <w:tcBorders>
              <w:left w:val="single" w:sz="8" w:color="CCEEFF"/>
            </w:tcBorders>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80" w:type="dxa"/>
            <w:vAlign w:val="bottom"/>
            <w:tcBorders>
              <w:left w:val="single" w:sz="8" w:color="CCEEFF"/>
              <w:right w:val="single" w:sz="8" w:color="CCEEFF"/>
            </w:tcBorders>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80" w:type="dxa"/>
            <w:vAlign w:val="bottom"/>
            <w:tcBorders>
              <w:left w:val="single" w:sz="8" w:color="CCEEFF"/>
              <w:right w:val="single" w:sz="8" w:color="CCEEFF"/>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80" w:type="dxa"/>
            <w:vAlign w:val="bottom"/>
            <w:tcBorders>
              <w:left w:val="single" w:sz="8" w:color="CCEEFF"/>
              <w:right w:val="single" w:sz="8" w:color="CCEEFF"/>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20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w w:val="98"/>
              </w:rPr>
              <w:t>credit losses on securities with an</w:t>
            </w:r>
          </w:p>
        </w:tc>
        <w:tc>
          <w:tcPr>
            <w:tcW w:w="80" w:type="dxa"/>
            <w:vAlign w:val="bottom"/>
            <w:tcBorders>
              <w:right w:val="single" w:sz="8" w:color="CCEEFF"/>
            </w:tcBorders>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80" w:type="dxa"/>
            <w:vAlign w:val="bottom"/>
            <w:tcBorders>
              <w:left w:val="single" w:sz="8" w:color="CCEEFF"/>
              <w:right w:val="single" w:sz="8" w:color="CCEEFF"/>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80" w:type="dxa"/>
            <w:vAlign w:val="bottom"/>
            <w:tcBorders>
              <w:left w:val="single" w:sz="8" w:color="CCEEFF"/>
              <w:right w:val="single" w:sz="8" w:color="CCEEFF"/>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80" w:type="dxa"/>
            <w:vAlign w:val="bottom"/>
            <w:tcBorders>
              <w:left w:val="single" w:sz="8" w:color="CCEEFF"/>
              <w:right w:val="single" w:sz="8" w:color="CCEEFF"/>
            </w:tcBorders>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40" w:type="dxa"/>
            <w:vAlign w:val="bottom"/>
            <w:tcBorders>
              <w:left w:val="single" w:sz="8" w:color="CCEEFF"/>
            </w:tcBorders>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80" w:type="dxa"/>
            <w:vAlign w:val="bottom"/>
            <w:tcBorders>
              <w:left w:val="single" w:sz="8" w:color="CCEEFF"/>
              <w:right w:val="single" w:sz="8" w:color="CCEEFF"/>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80" w:type="dxa"/>
            <w:vAlign w:val="bottom"/>
            <w:tcBorders>
              <w:left w:val="single" w:sz="8" w:color="CCEEFF"/>
              <w:right w:val="single" w:sz="8" w:color="CCEEFF"/>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80" w:type="dxa"/>
            <w:vAlign w:val="bottom"/>
            <w:tcBorders>
              <w:left w:val="single" w:sz="8" w:color="CCEEFF"/>
              <w:right w:val="single" w:sz="8" w:color="CCEEFF"/>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20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w w:val="95"/>
              </w:rPr>
              <w:t>allowance recorded in the previous</w:t>
            </w:r>
          </w:p>
        </w:tc>
        <w:tc>
          <w:tcPr>
            <w:tcW w:w="80" w:type="dxa"/>
            <w:vAlign w:val="bottom"/>
            <w:tcBorders>
              <w:right w:val="single" w:sz="8" w:color="CCEEFF"/>
            </w:tcBorders>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80" w:type="dxa"/>
            <w:vAlign w:val="bottom"/>
            <w:tcBorders>
              <w:left w:val="single" w:sz="8" w:color="CCEEFF"/>
              <w:right w:val="single" w:sz="8" w:color="CCEEFF"/>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80" w:type="dxa"/>
            <w:vAlign w:val="bottom"/>
            <w:tcBorders>
              <w:left w:val="single" w:sz="8" w:color="CCEEFF"/>
              <w:right w:val="single" w:sz="8" w:color="CCEEFF"/>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80" w:type="dxa"/>
            <w:vAlign w:val="bottom"/>
            <w:tcBorders>
              <w:left w:val="single" w:sz="8" w:color="CCEEFF"/>
              <w:right w:val="single" w:sz="8" w:color="CCEEFF"/>
            </w:tcBorders>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40" w:type="dxa"/>
            <w:vAlign w:val="bottom"/>
            <w:tcBorders>
              <w:left w:val="single" w:sz="8" w:color="CCEEFF"/>
            </w:tcBorders>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80" w:type="dxa"/>
            <w:vAlign w:val="bottom"/>
            <w:tcBorders>
              <w:left w:val="single" w:sz="8" w:color="CCEEFF"/>
              <w:right w:val="single" w:sz="8" w:color="CCEEFF"/>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80" w:type="dxa"/>
            <w:vAlign w:val="bottom"/>
            <w:tcBorders>
              <w:left w:val="single" w:sz="8" w:color="CCEEFF"/>
              <w:right w:val="single" w:sz="8" w:color="CCEEFF"/>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80" w:type="dxa"/>
            <w:vAlign w:val="bottom"/>
            <w:tcBorders>
              <w:left w:val="single" w:sz="8" w:color="CCEEFF"/>
              <w:right w:val="single" w:sz="8" w:color="CCEEFF"/>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200" w:type="dxa"/>
            <w:vAlign w:val="bottom"/>
            <w:shd w:val="clear" w:color="auto" w:fill="CCEEFF"/>
          </w:tcPr>
          <w:p>
            <w:pPr>
              <w:ind w:left="120"/>
              <w:spacing w:after="0"/>
              <w:rPr>
                <w:sz w:val="20"/>
                <w:szCs w:val="20"/>
                <w:color w:val="auto"/>
              </w:rPr>
            </w:pPr>
            <w:r>
              <w:rPr>
                <w:rFonts w:ascii="Arial" w:cs="Arial" w:eastAsia="Arial" w:hAnsi="Arial"/>
                <w:sz w:val="14"/>
                <w:szCs w:val="14"/>
                <w:color w:val="auto"/>
              </w:rPr>
              <w:t>period</w:t>
            </w:r>
          </w:p>
        </w:tc>
        <w:tc>
          <w:tcPr>
            <w:tcW w:w="80" w:type="dxa"/>
            <w:vAlign w:val="bottom"/>
            <w:tcBorders>
              <w:right w:val="single" w:sz="8" w:color="CCEEFF"/>
            </w:tcBorders>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760" w:type="dxa"/>
            <w:vAlign w:val="bottom"/>
            <w:tcBorders>
              <w:right w:val="single" w:sz="8" w:color="CCEEFF"/>
            </w:tcBorders>
            <w:gridSpan w:val="2"/>
            <w:shd w:val="clear" w:color="auto" w:fill="CCEEFF"/>
          </w:tcPr>
          <w:p>
            <w:pPr>
              <w:ind w:left="400"/>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4"/>
                <w:szCs w:val="14"/>
                <w:color w:val="auto"/>
              </w:rPr>
            </w:pPr>
          </w:p>
        </w:tc>
        <w:tc>
          <w:tcPr>
            <w:tcW w:w="860" w:type="dxa"/>
            <w:vAlign w:val="bottom"/>
            <w:tcBorders>
              <w:right w:val="single" w:sz="8" w:color="CCEEFF"/>
            </w:tcBorders>
            <w:gridSpan w:val="2"/>
            <w:shd w:val="clear" w:color="auto" w:fill="CCEEFF"/>
          </w:tcPr>
          <w:p>
            <w:pPr>
              <w:ind w:left="520"/>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4"/>
                <w:szCs w:val="14"/>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80" w:type="dxa"/>
            <w:vAlign w:val="bottom"/>
            <w:tcBorders>
              <w:left w:val="single" w:sz="8" w:color="CCEEFF"/>
              <w:right w:val="single" w:sz="8" w:color="CCEEFF"/>
            </w:tcBorders>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46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w:t>
            </w:r>
          </w:p>
        </w:tc>
        <w:tc>
          <w:tcPr>
            <w:tcW w:w="120" w:type="dxa"/>
            <w:vAlign w:val="bottom"/>
            <w:tcBorders>
              <w:right w:val="single" w:sz="8" w:color="CCEEFF"/>
            </w:tcBorders>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2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w:t>
            </w:r>
          </w:p>
        </w:tc>
        <w:tc>
          <w:tcPr>
            <w:tcW w:w="140" w:type="dxa"/>
            <w:vAlign w:val="bottom"/>
            <w:tcBorders>
              <w:right w:val="single" w:sz="8" w:color="CCEEFF"/>
            </w:tcBorders>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w:t>
            </w:r>
          </w:p>
        </w:tc>
        <w:tc>
          <w:tcPr>
            <w:tcW w:w="180" w:type="dxa"/>
            <w:vAlign w:val="bottom"/>
            <w:tcBorders>
              <w:left w:val="single" w:sz="8" w:color="CCEEFF"/>
              <w:right w:val="single" w:sz="8" w:color="CCEEFF"/>
            </w:tcBorders>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0.4</w:t>
            </w:r>
          </w:p>
        </w:tc>
        <w:tc>
          <w:tcPr>
            <w:tcW w:w="180" w:type="dxa"/>
            <w:vAlign w:val="bottom"/>
            <w:tcBorders>
              <w:left w:val="single" w:sz="8" w:color="CCEEFF"/>
              <w:right w:val="single" w:sz="8" w:color="CCEEFF"/>
            </w:tcBorders>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80" w:type="dxa"/>
            <w:vAlign w:val="bottom"/>
            <w:tcBorders>
              <w:left w:val="single" w:sz="8" w:color="CCEEFF"/>
              <w:right w:val="single" w:sz="8" w:color="CCEEFF"/>
            </w:tcBorders>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200" w:type="dxa"/>
            <w:vAlign w:val="bottom"/>
          </w:tcPr>
          <w:p>
            <w:pPr>
              <w:spacing w:after="0" w:line="149" w:lineRule="exact"/>
              <w:rPr>
                <w:sz w:val="20"/>
                <w:szCs w:val="20"/>
                <w:color w:val="auto"/>
              </w:rPr>
            </w:pPr>
            <w:r>
              <w:rPr>
                <w:rFonts w:ascii="Arial" w:cs="Arial" w:eastAsia="Arial" w:hAnsi="Arial"/>
                <w:sz w:val="14"/>
                <w:szCs w:val="14"/>
                <w:color w:val="auto"/>
                <w:w w:val="94"/>
              </w:rPr>
              <w:t>Write-offs charged against allowance</w:t>
            </w: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60" w:type="dxa"/>
            <w:vAlign w:val="bottom"/>
            <w:gridSpan w:val="2"/>
          </w:tcPr>
          <w:p>
            <w:pPr>
              <w:ind w:left="40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60" w:type="dxa"/>
            <w:vAlign w:val="bottom"/>
            <w:gridSpan w:val="2"/>
          </w:tcPr>
          <w:p>
            <w:pPr>
              <w:ind w:left="52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6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(6.8)</w:t>
            </w:r>
          </w:p>
        </w:tc>
        <w:tc>
          <w:tcPr>
            <w:tcW w:w="80" w:type="dxa"/>
            <w:vAlign w:val="bottom"/>
          </w:tcPr>
          <w:p>
            <w:pPr>
              <w:spacing w:after="0"/>
              <w:rPr>
                <w:sz w:val="12"/>
                <w:szCs w:val="12"/>
                <w:color w:val="auto"/>
              </w:rPr>
            </w:pPr>
          </w:p>
        </w:tc>
        <w:tc>
          <w:tcPr>
            <w:tcW w:w="94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(2.6)</w:t>
            </w:r>
          </w:p>
        </w:tc>
        <w:tc>
          <w:tcPr>
            <w:tcW w:w="10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00" w:type="dxa"/>
            <w:vAlign w:val="bottom"/>
          </w:tcPr>
          <w:p>
            <w:pPr>
              <w:jc w:val="right"/>
              <w:spacing w:after="0" w:line="149" w:lineRule="exact"/>
              <w:rPr>
                <w:sz w:val="20"/>
                <w:szCs w:val="20"/>
                <w:color w:val="auto"/>
              </w:rPr>
            </w:pPr>
            <w:r>
              <w:rPr>
                <w:rFonts w:ascii="Arial" w:cs="Arial" w:eastAsia="Arial" w:hAnsi="Arial"/>
                <w:sz w:val="14"/>
                <w:szCs w:val="14"/>
                <w:color w:val="auto"/>
                <w:w w:val="97"/>
              </w:rPr>
              <w:t>(9.4)</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200" w:type="dxa"/>
            <w:vAlign w:val="bottom"/>
            <w:tcBorders>
              <w:top w:val="single" w:sz="8" w:color="CCEEFF"/>
              <w:bottom w:val="single" w:sz="8" w:color="CCEEFF"/>
            </w:tcBorders>
            <w:shd w:val="clear" w:color="auto" w:fill="CCEEFF"/>
          </w:tcPr>
          <w:p>
            <w:pPr>
              <w:spacing w:after="0" w:line="142" w:lineRule="exact"/>
              <w:rPr>
                <w:sz w:val="20"/>
                <w:szCs w:val="20"/>
                <w:color w:val="auto"/>
              </w:rPr>
            </w:pPr>
            <w:r>
              <w:rPr>
                <w:rFonts w:ascii="Arial" w:cs="Arial" w:eastAsia="Arial" w:hAnsi="Arial"/>
                <w:sz w:val="14"/>
                <w:szCs w:val="14"/>
                <w:color w:val="auto"/>
              </w:rPr>
              <w:t>Ending balance</w:t>
            </w:r>
          </w:p>
        </w:tc>
        <w:tc>
          <w:tcPr>
            <w:tcW w:w="80" w:type="dxa"/>
            <w:vAlign w:val="bottom"/>
            <w:tcBorders>
              <w:top w:val="single" w:sz="8" w:color="CCEEFF"/>
              <w:bottom w:val="single" w:sz="8" w:color="CCEEFF"/>
              <w:right w:val="single" w:sz="8" w:color="CCEEFF"/>
            </w:tcBorders>
            <w:shd w:val="clear" w:color="auto" w:fill="CCEEFF"/>
          </w:tcPr>
          <w:p>
            <w:pPr>
              <w:spacing w:after="0"/>
              <w:rPr>
                <w:sz w:val="12"/>
                <w:szCs w:val="12"/>
                <w:color w:val="auto"/>
              </w:rPr>
            </w:pPr>
          </w:p>
        </w:tc>
        <w:tc>
          <w:tcPr>
            <w:tcW w:w="180" w:type="dxa"/>
            <w:vAlign w:val="bottom"/>
            <w:tcBorders>
              <w:top w:val="single" w:sz="8" w:color="auto"/>
              <w:bottom w:val="single" w:sz="8" w:color="auto"/>
            </w:tcBorders>
            <w:shd w:val="clear" w:color="auto" w:fill="CCEEFF"/>
          </w:tcPr>
          <w:p>
            <w:pPr>
              <w:spacing w:after="0" w:line="142" w:lineRule="exact"/>
              <w:rPr>
                <w:sz w:val="20"/>
                <w:szCs w:val="20"/>
                <w:color w:val="auto"/>
              </w:rPr>
            </w:pPr>
            <w:r>
              <w:rPr>
                <w:rFonts w:ascii="Arial" w:cs="Arial" w:eastAsia="Arial" w:hAnsi="Arial"/>
                <w:sz w:val="14"/>
                <w:szCs w:val="14"/>
                <w:color w:val="auto"/>
              </w:rPr>
              <w:t>$</w:t>
            </w:r>
          </w:p>
        </w:tc>
        <w:tc>
          <w:tcPr>
            <w:tcW w:w="580" w:type="dxa"/>
            <w:vAlign w:val="bottom"/>
            <w:tcBorders>
              <w:top w:val="single" w:sz="8" w:color="auto"/>
              <w:bottom w:val="single" w:sz="8" w:color="auto"/>
            </w:tcBorders>
            <w:shd w:val="clear" w:color="auto" w:fill="CCEEFF"/>
          </w:tcPr>
          <w:p>
            <w:pPr>
              <w:ind w:left="400"/>
              <w:spacing w:after="0" w:line="142" w:lineRule="exact"/>
              <w:rPr>
                <w:sz w:val="20"/>
                <w:szCs w:val="20"/>
                <w:color w:val="auto"/>
              </w:rPr>
            </w:pPr>
            <w:r>
              <w:rPr>
                <w:rFonts w:ascii="Arial" w:cs="Arial" w:eastAsia="Arial" w:hAnsi="Arial"/>
                <w:sz w:val="14"/>
                <w:szCs w:val="14"/>
                <w:color w:val="auto"/>
                <w:w w:val="99"/>
              </w:rPr>
              <w:t>—</w:t>
            </w:r>
          </w:p>
        </w:tc>
        <w:tc>
          <w:tcPr>
            <w:tcW w:w="180" w:type="dxa"/>
            <w:vAlign w:val="bottom"/>
            <w:tcBorders>
              <w:top w:val="single" w:sz="8" w:color="CCEEFF"/>
              <w:left w:val="single" w:sz="8" w:color="CCEEFF"/>
              <w:bottom w:val="single" w:sz="8" w:color="CCEEFF"/>
              <w:right w:val="single" w:sz="8" w:color="CCEEFF"/>
            </w:tcBorders>
            <w:shd w:val="clear" w:color="auto" w:fill="CCEEFF"/>
          </w:tcPr>
          <w:p>
            <w:pPr>
              <w:spacing w:after="0"/>
              <w:rPr>
                <w:sz w:val="12"/>
                <w:szCs w:val="12"/>
                <w:color w:val="auto"/>
              </w:rPr>
            </w:pPr>
          </w:p>
        </w:tc>
        <w:tc>
          <w:tcPr>
            <w:tcW w:w="80" w:type="dxa"/>
            <w:vAlign w:val="bottom"/>
            <w:tcBorders>
              <w:top w:val="single" w:sz="8" w:color="auto"/>
              <w:bottom w:val="single" w:sz="8" w:color="auto"/>
            </w:tcBorders>
            <w:shd w:val="clear" w:color="auto" w:fill="CCEEFF"/>
          </w:tcPr>
          <w:p>
            <w:pPr>
              <w:spacing w:after="0" w:line="142" w:lineRule="exact"/>
              <w:rPr>
                <w:sz w:val="20"/>
                <w:szCs w:val="20"/>
                <w:color w:val="auto"/>
              </w:rPr>
            </w:pPr>
            <w:r>
              <w:rPr>
                <w:rFonts w:ascii="Arial" w:cs="Arial" w:eastAsia="Arial" w:hAnsi="Arial"/>
                <w:sz w:val="14"/>
                <w:szCs w:val="14"/>
                <w:color w:val="auto"/>
                <w:w w:val="76"/>
              </w:rPr>
              <w:t>$</w:t>
            </w:r>
          </w:p>
        </w:tc>
        <w:tc>
          <w:tcPr>
            <w:tcW w:w="680" w:type="dxa"/>
            <w:vAlign w:val="bottom"/>
            <w:tcBorders>
              <w:top w:val="single" w:sz="8" w:color="auto"/>
              <w:bottom w:val="single" w:sz="8" w:color="auto"/>
            </w:tcBorders>
            <w:shd w:val="clear" w:color="auto" w:fill="CCEEFF"/>
          </w:tcPr>
          <w:p>
            <w:pPr>
              <w:ind w:left="520"/>
              <w:spacing w:after="0" w:line="142" w:lineRule="exact"/>
              <w:rPr>
                <w:sz w:val="20"/>
                <w:szCs w:val="20"/>
                <w:color w:val="auto"/>
              </w:rPr>
            </w:pPr>
            <w:r>
              <w:rPr>
                <w:rFonts w:ascii="Arial" w:cs="Arial" w:eastAsia="Arial" w:hAnsi="Arial"/>
                <w:sz w:val="14"/>
                <w:szCs w:val="14"/>
                <w:color w:val="auto"/>
                <w:w w:val="85"/>
              </w:rPr>
              <w:t>—</w:t>
            </w:r>
          </w:p>
        </w:tc>
        <w:tc>
          <w:tcPr>
            <w:tcW w:w="180" w:type="dxa"/>
            <w:vAlign w:val="bottom"/>
            <w:tcBorders>
              <w:top w:val="single" w:sz="8" w:color="CCEEFF"/>
              <w:left w:val="single" w:sz="8" w:color="CCEEFF"/>
              <w:bottom w:val="single" w:sz="8" w:color="CCEEFF"/>
              <w:right w:val="single" w:sz="8" w:color="CCEEFF"/>
            </w:tcBorders>
            <w:shd w:val="clear" w:color="auto" w:fill="CCEEFF"/>
          </w:tcPr>
          <w:p>
            <w:pPr>
              <w:spacing w:after="0"/>
              <w:rPr>
                <w:sz w:val="12"/>
                <w:szCs w:val="12"/>
                <w:color w:val="auto"/>
              </w:rPr>
            </w:pPr>
          </w:p>
        </w:tc>
        <w:tc>
          <w:tcPr>
            <w:tcW w:w="80" w:type="dxa"/>
            <w:vAlign w:val="bottom"/>
            <w:tcBorders>
              <w:top w:val="single" w:sz="8" w:color="auto"/>
              <w:bottom w:val="single" w:sz="8" w:color="auto"/>
            </w:tcBorders>
            <w:shd w:val="clear" w:color="auto" w:fill="CCEEFF"/>
          </w:tcPr>
          <w:p>
            <w:pPr>
              <w:spacing w:after="0" w:line="142" w:lineRule="exact"/>
              <w:rPr>
                <w:sz w:val="20"/>
                <w:szCs w:val="20"/>
                <w:color w:val="auto"/>
              </w:rPr>
            </w:pPr>
            <w:r>
              <w:rPr>
                <w:rFonts w:ascii="Arial" w:cs="Arial" w:eastAsia="Arial" w:hAnsi="Arial"/>
                <w:sz w:val="14"/>
                <w:szCs w:val="14"/>
                <w:color w:val="auto"/>
                <w:w w:val="76"/>
              </w:rPr>
              <w:t>$</w:t>
            </w:r>
          </w:p>
        </w:tc>
        <w:tc>
          <w:tcPr>
            <w:tcW w:w="64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180" w:type="dxa"/>
            <w:vAlign w:val="bottom"/>
            <w:tcBorders>
              <w:top w:val="single" w:sz="8" w:color="CCEEFF"/>
              <w:left w:val="single" w:sz="8" w:color="CCEEFF"/>
              <w:bottom w:val="single" w:sz="8" w:color="CCEEFF"/>
              <w:right w:val="single" w:sz="8" w:color="CCEEFF"/>
            </w:tcBorders>
            <w:shd w:val="clear" w:color="auto" w:fill="CCEEFF"/>
          </w:tcPr>
          <w:p>
            <w:pPr>
              <w:spacing w:after="0"/>
              <w:rPr>
                <w:sz w:val="12"/>
                <w:szCs w:val="12"/>
                <w:color w:val="auto"/>
              </w:rPr>
            </w:pPr>
          </w:p>
        </w:tc>
        <w:tc>
          <w:tcPr>
            <w:tcW w:w="200" w:type="dxa"/>
            <w:vAlign w:val="bottom"/>
            <w:tcBorders>
              <w:top w:val="single" w:sz="8" w:color="auto"/>
              <w:bottom w:val="single" w:sz="8" w:color="auto"/>
            </w:tcBorders>
            <w:shd w:val="clear" w:color="auto" w:fill="CCEEFF"/>
          </w:tcPr>
          <w:p>
            <w:pPr>
              <w:spacing w:after="0" w:line="142" w:lineRule="exact"/>
              <w:rPr>
                <w:sz w:val="20"/>
                <w:szCs w:val="20"/>
                <w:color w:val="auto"/>
              </w:rPr>
            </w:pPr>
            <w:r>
              <w:rPr>
                <w:rFonts w:ascii="Arial" w:cs="Arial" w:eastAsia="Arial" w:hAnsi="Arial"/>
                <w:sz w:val="14"/>
                <w:szCs w:val="14"/>
                <w:color w:val="auto"/>
              </w:rPr>
              <w:t>$</w:t>
            </w:r>
          </w:p>
        </w:tc>
        <w:tc>
          <w:tcPr>
            <w:tcW w:w="42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8.5</w:t>
            </w:r>
          </w:p>
        </w:tc>
        <w:tc>
          <w:tcPr>
            <w:tcW w:w="40" w:type="dxa"/>
            <w:vAlign w:val="bottom"/>
            <w:tcBorders>
              <w:top w:val="single" w:sz="8" w:color="CCEEFF"/>
              <w:left w:val="single" w:sz="8" w:color="CCEEFF"/>
              <w:bottom w:val="single" w:sz="8" w:color="CCEEFF"/>
            </w:tcBorders>
            <w:shd w:val="clear" w:color="auto" w:fill="CCEEFF"/>
          </w:tcPr>
          <w:p>
            <w:pPr>
              <w:spacing w:after="0"/>
              <w:rPr>
                <w:sz w:val="12"/>
                <w:szCs w:val="12"/>
                <w:color w:val="auto"/>
              </w:rPr>
            </w:pPr>
          </w:p>
        </w:tc>
        <w:tc>
          <w:tcPr>
            <w:tcW w:w="120" w:type="dxa"/>
            <w:vAlign w:val="bottom"/>
            <w:tcBorders>
              <w:top w:val="single" w:sz="8" w:color="CCEEFF"/>
              <w:bottom w:val="single" w:sz="8" w:color="CCEEFF"/>
              <w:right w:val="single" w:sz="8" w:color="CCEEFF"/>
            </w:tcBorders>
            <w:shd w:val="clear" w:color="auto" w:fill="CCEEFF"/>
          </w:tcPr>
          <w:p>
            <w:pPr>
              <w:spacing w:after="0"/>
              <w:rPr>
                <w:sz w:val="12"/>
                <w:szCs w:val="12"/>
                <w:color w:val="auto"/>
              </w:rPr>
            </w:pPr>
          </w:p>
        </w:tc>
        <w:tc>
          <w:tcPr>
            <w:tcW w:w="80" w:type="dxa"/>
            <w:vAlign w:val="bottom"/>
            <w:tcBorders>
              <w:top w:val="single" w:sz="8" w:color="auto"/>
              <w:bottom w:val="single" w:sz="8" w:color="auto"/>
            </w:tcBorders>
            <w:shd w:val="clear" w:color="auto" w:fill="CCEEFF"/>
          </w:tcPr>
          <w:p>
            <w:pPr>
              <w:spacing w:after="0" w:line="142" w:lineRule="exact"/>
              <w:rPr>
                <w:sz w:val="20"/>
                <w:szCs w:val="20"/>
                <w:color w:val="auto"/>
              </w:rPr>
            </w:pPr>
            <w:r>
              <w:rPr>
                <w:rFonts w:ascii="Arial" w:cs="Arial" w:eastAsia="Arial" w:hAnsi="Arial"/>
                <w:sz w:val="14"/>
                <w:szCs w:val="14"/>
                <w:color w:val="auto"/>
                <w:w w:val="76"/>
              </w:rPr>
              <w:t>$</w:t>
            </w:r>
          </w:p>
        </w:tc>
        <w:tc>
          <w:tcPr>
            <w:tcW w:w="620" w:type="dxa"/>
            <w:vAlign w:val="bottom"/>
            <w:tcBorders>
              <w:top w:val="single" w:sz="8" w:color="auto"/>
              <w:bottom w:val="single" w:sz="8" w:color="auto"/>
            </w:tcBorders>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w:t>
            </w:r>
          </w:p>
        </w:tc>
        <w:tc>
          <w:tcPr>
            <w:tcW w:w="140" w:type="dxa"/>
            <w:vAlign w:val="bottom"/>
            <w:tcBorders>
              <w:top w:val="single" w:sz="8" w:color="CCEEFF"/>
              <w:bottom w:val="single" w:sz="8" w:color="CCEEFF"/>
              <w:right w:val="single" w:sz="8" w:color="CCEEFF"/>
            </w:tcBorders>
            <w:shd w:val="clear" w:color="auto" w:fill="CCEEFF"/>
          </w:tcPr>
          <w:p>
            <w:pPr>
              <w:spacing w:after="0"/>
              <w:rPr>
                <w:sz w:val="12"/>
                <w:szCs w:val="12"/>
                <w:color w:val="auto"/>
              </w:rPr>
            </w:pPr>
          </w:p>
        </w:tc>
        <w:tc>
          <w:tcPr>
            <w:tcW w:w="80" w:type="dxa"/>
            <w:vAlign w:val="bottom"/>
            <w:tcBorders>
              <w:top w:val="single" w:sz="8" w:color="auto"/>
              <w:bottom w:val="single" w:sz="8" w:color="auto"/>
            </w:tcBorders>
            <w:shd w:val="clear" w:color="auto" w:fill="CCEEFF"/>
          </w:tcPr>
          <w:p>
            <w:pPr>
              <w:spacing w:after="0" w:line="142" w:lineRule="exact"/>
              <w:rPr>
                <w:sz w:val="20"/>
                <w:szCs w:val="20"/>
                <w:color w:val="auto"/>
              </w:rPr>
            </w:pPr>
            <w:r>
              <w:rPr>
                <w:rFonts w:ascii="Arial" w:cs="Arial" w:eastAsia="Arial" w:hAnsi="Arial"/>
                <w:sz w:val="14"/>
                <w:szCs w:val="14"/>
                <w:color w:val="auto"/>
                <w:w w:val="76"/>
              </w:rPr>
              <w:t>$</w:t>
            </w:r>
          </w:p>
        </w:tc>
        <w:tc>
          <w:tcPr>
            <w:tcW w:w="68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0.2</w:t>
            </w:r>
          </w:p>
        </w:tc>
        <w:tc>
          <w:tcPr>
            <w:tcW w:w="180" w:type="dxa"/>
            <w:vAlign w:val="bottom"/>
            <w:tcBorders>
              <w:top w:val="single" w:sz="8" w:color="CCEEFF"/>
              <w:left w:val="single" w:sz="8" w:color="CCEEFF"/>
              <w:bottom w:val="single" w:sz="8" w:color="CCEEFF"/>
              <w:right w:val="single" w:sz="8" w:color="CCEEFF"/>
            </w:tcBorders>
            <w:shd w:val="clear" w:color="auto" w:fill="CCEEFF"/>
          </w:tcPr>
          <w:p>
            <w:pPr>
              <w:spacing w:after="0"/>
              <w:rPr>
                <w:sz w:val="12"/>
                <w:szCs w:val="12"/>
                <w:color w:val="auto"/>
              </w:rPr>
            </w:pPr>
          </w:p>
        </w:tc>
        <w:tc>
          <w:tcPr>
            <w:tcW w:w="80" w:type="dxa"/>
            <w:vAlign w:val="bottom"/>
            <w:tcBorders>
              <w:top w:val="single" w:sz="8" w:color="auto"/>
              <w:bottom w:val="single" w:sz="8" w:color="auto"/>
            </w:tcBorders>
            <w:shd w:val="clear" w:color="auto" w:fill="CCEEFF"/>
          </w:tcPr>
          <w:p>
            <w:pPr>
              <w:spacing w:after="0" w:line="142" w:lineRule="exact"/>
              <w:rPr>
                <w:sz w:val="20"/>
                <w:szCs w:val="20"/>
                <w:color w:val="auto"/>
              </w:rPr>
            </w:pPr>
            <w:r>
              <w:rPr>
                <w:rFonts w:ascii="Arial" w:cs="Arial" w:eastAsia="Arial" w:hAnsi="Arial"/>
                <w:sz w:val="14"/>
                <w:szCs w:val="14"/>
                <w:color w:val="auto"/>
                <w:w w:val="76"/>
              </w:rPr>
              <w:t>$</w:t>
            </w:r>
          </w:p>
        </w:tc>
        <w:tc>
          <w:tcPr>
            <w:tcW w:w="76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180" w:type="dxa"/>
            <w:vAlign w:val="bottom"/>
            <w:tcBorders>
              <w:top w:val="single" w:sz="8" w:color="CCEEFF"/>
              <w:left w:val="single" w:sz="8" w:color="CCEEFF"/>
              <w:bottom w:val="single" w:sz="8" w:color="CCEEFF"/>
              <w:right w:val="single" w:sz="8" w:color="CCEEFF"/>
            </w:tcBorders>
            <w:shd w:val="clear" w:color="auto" w:fill="CCEEFF"/>
          </w:tcPr>
          <w:p>
            <w:pPr>
              <w:spacing w:after="0"/>
              <w:rPr>
                <w:sz w:val="12"/>
                <w:szCs w:val="12"/>
                <w:color w:val="auto"/>
              </w:rPr>
            </w:pPr>
          </w:p>
        </w:tc>
        <w:tc>
          <w:tcPr>
            <w:tcW w:w="100" w:type="dxa"/>
            <w:vAlign w:val="bottom"/>
            <w:tcBorders>
              <w:top w:val="single" w:sz="8" w:color="auto"/>
              <w:bottom w:val="single" w:sz="8" w:color="auto"/>
            </w:tcBorders>
            <w:shd w:val="clear" w:color="auto" w:fill="CCEEFF"/>
          </w:tcPr>
          <w:p>
            <w:pPr>
              <w:spacing w:after="0" w:line="142" w:lineRule="exact"/>
              <w:rPr>
                <w:sz w:val="20"/>
                <w:szCs w:val="20"/>
                <w:color w:val="auto"/>
              </w:rPr>
            </w:pPr>
            <w:r>
              <w:rPr>
                <w:rFonts w:ascii="Arial" w:cs="Arial" w:eastAsia="Arial" w:hAnsi="Arial"/>
                <w:sz w:val="14"/>
                <w:szCs w:val="14"/>
                <w:color w:val="auto"/>
              </w:rPr>
              <w:t>$</w:t>
            </w:r>
          </w:p>
        </w:tc>
        <w:tc>
          <w:tcPr>
            <w:tcW w:w="58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180" w:type="dxa"/>
            <w:vAlign w:val="bottom"/>
            <w:tcBorders>
              <w:top w:val="single" w:sz="8" w:color="CCEEFF"/>
              <w:left w:val="single" w:sz="8" w:color="CCEEFF"/>
              <w:bottom w:val="single" w:sz="8" w:color="CCEEFF"/>
              <w:right w:val="single" w:sz="8" w:color="CCEEFF"/>
            </w:tcBorders>
            <w:shd w:val="clear" w:color="auto" w:fill="CCEEFF"/>
          </w:tcPr>
          <w:p>
            <w:pPr>
              <w:spacing w:after="0"/>
              <w:rPr>
                <w:sz w:val="12"/>
                <w:szCs w:val="12"/>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30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8.7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vMerge w:val="restart"/>
          </w:tcPr>
          <w:p>
            <w:pPr>
              <w:spacing w:after="0"/>
              <w:rPr>
                <w:sz w:val="11"/>
                <w:szCs w:val="11"/>
                <w:color w:val="auto"/>
              </w:rPr>
            </w:pPr>
          </w:p>
        </w:tc>
        <w:tc>
          <w:tcPr>
            <w:tcW w:w="2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vMerge w:val="continue"/>
          </w:tcPr>
          <w:p>
            <w:pPr>
              <w:spacing w:after="0"/>
              <w:rPr>
                <w:sz w:val="11"/>
                <w:szCs w:val="11"/>
                <w:color w:val="auto"/>
              </w:rPr>
            </w:pPr>
          </w:p>
        </w:tc>
        <w:tc>
          <w:tcPr>
            <w:tcW w:w="2200" w:type="dxa"/>
            <w:vAlign w:val="bottom"/>
            <w:shd w:val="clear" w:color="auto" w:fill="CCEEFF"/>
          </w:tcPr>
          <w:p>
            <w:pPr>
              <w:spacing w:after="0" w:line="130" w:lineRule="exact"/>
              <w:rPr>
                <w:sz w:val="20"/>
                <w:szCs w:val="20"/>
                <w:color w:val="auto"/>
              </w:rPr>
            </w:pPr>
            <w:r>
              <w:rPr>
                <w:rFonts w:ascii="Arial" w:cs="Arial" w:eastAsia="Arial" w:hAnsi="Arial"/>
                <w:sz w:val="14"/>
                <w:szCs w:val="14"/>
                <w:color w:val="auto"/>
              </w:rPr>
              <w:t>Accrued interest written off to net</w:t>
            </w:r>
          </w:p>
        </w:tc>
        <w:tc>
          <w:tcPr>
            <w:tcW w:w="260" w:type="dxa"/>
            <w:vAlign w:val="bottom"/>
            <w:gridSpan w:val="2"/>
            <w:vMerge w:val="restart"/>
            <w:shd w:val="clear" w:color="auto" w:fill="CCEEFF"/>
          </w:tcPr>
          <w:p>
            <w:pPr>
              <w:ind w:left="80"/>
              <w:spacing w:after="0"/>
              <w:rPr>
                <w:sz w:val="20"/>
                <w:szCs w:val="20"/>
                <w:color w:val="auto"/>
              </w:rPr>
            </w:pPr>
            <w:r>
              <w:rPr>
                <w:rFonts w:ascii="Arial" w:cs="Arial" w:eastAsia="Arial" w:hAnsi="Arial"/>
                <w:sz w:val="14"/>
                <w:szCs w:val="14"/>
                <w:color w:val="auto"/>
              </w:rPr>
              <w:t>$</w:t>
            </w:r>
          </w:p>
        </w:tc>
        <w:tc>
          <w:tcPr>
            <w:tcW w:w="760" w:type="dxa"/>
            <w:vAlign w:val="bottom"/>
            <w:tcBorders>
              <w:right w:val="single" w:sz="8" w:color="CCEEFF"/>
            </w:tcBorders>
            <w:gridSpan w:val="2"/>
            <w:vMerge w:val="restart"/>
            <w:shd w:val="clear" w:color="auto" w:fill="CCEEFF"/>
          </w:tcPr>
          <w:p>
            <w:pPr>
              <w:ind w:left="400"/>
              <w:spacing w:after="0"/>
              <w:rPr>
                <w:sz w:val="20"/>
                <w:szCs w:val="20"/>
                <w:color w:val="auto"/>
              </w:rPr>
            </w:pPr>
            <w:r>
              <w:rPr>
                <w:rFonts w:ascii="Arial" w:cs="Arial" w:eastAsia="Arial" w:hAnsi="Arial"/>
                <w:sz w:val="14"/>
                <w:szCs w:val="14"/>
                <w:color w:val="auto"/>
              </w:rPr>
              <w:t>—</w:t>
            </w:r>
          </w:p>
        </w:tc>
        <w:tc>
          <w:tcPr>
            <w:tcW w:w="80" w:type="dxa"/>
            <w:vAlign w:val="bottom"/>
            <w:vMerge w:val="restart"/>
            <w:shd w:val="clear" w:color="auto" w:fill="CCEEFF"/>
          </w:tcPr>
          <w:p>
            <w:pPr>
              <w:spacing w:after="0"/>
              <w:rPr>
                <w:sz w:val="20"/>
                <w:szCs w:val="20"/>
                <w:color w:val="auto"/>
              </w:rPr>
            </w:pPr>
            <w:r>
              <w:rPr>
                <w:rFonts w:ascii="Arial" w:cs="Arial" w:eastAsia="Arial" w:hAnsi="Arial"/>
                <w:sz w:val="14"/>
                <w:szCs w:val="14"/>
                <w:color w:val="auto"/>
                <w:w w:val="76"/>
              </w:rPr>
              <w:t>$</w:t>
            </w:r>
          </w:p>
        </w:tc>
        <w:tc>
          <w:tcPr>
            <w:tcW w:w="860" w:type="dxa"/>
            <w:vAlign w:val="bottom"/>
            <w:tcBorders>
              <w:right w:val="single" w:sz="8" w:color="CCEEFF"/>
            </w:tcBorders>
            <w:gridSpan w:val="2"/>
            <w:vMerge w:val="restart"/>
            <w:shd w:val="clear" w:color="auto" w:fill="CCEEFF"/>
          </w:tcPr>
          <w:p>
            <w:pPr>
              <w:ind w:left="520"/>
              <w:spacing w:after="0"/>
              <w:rPr>
                <w:sz w:val="20"/>
                <w:szCs w:val="20"/>
                <w:color w:val="auto"/>
              </w:rPr>
            </w:pPr>
            <w:r>
              <w:rPr>
                <w:rFonts w:ascii="Arial" w:cs="Arial" w:eastAsia="Arial" w:hAnsi="Arial"/>
                <w:sz w:val="14"/>
                <w:szCs w:val="14"/>
                <w:color w:val="auto"/>
              </w:rPr>
              <w:t>—</w:t>
            </w:r>
          </w:p>
        </w:tc>
        <w:tc>
          <w:tcPr>
            <w:tcW w:w="80" w:type="dxa"/>
            <w:vAlign w:val="bottom"/>
            <w:vMerge w:val="restart"/>
            <w:shd w:val="clear" w:color="auto" w:fill="CCEEFF"/>
          </w:tcPr>
          <w:p>
            <w:pPr>
              <w:spacing w:after="0"/>
              <w:rPr>
                <w:sz w:val="20"/>
                <w:szCs w:val="20"/>
                <w:color w:val="auto"/>
              </w:rPr>
            </w:pPr>
            <w:r>
              <w:rPr>
                <w:rFonts w:ascii="Arial" w:cs="Arial" w:eastAsia="Arial" w:hAnsi="Arial"/>
                <w:sz w:val="14"/>
                <w:szCs w:val="14"/>
                <w:color w:val="auto"/>
                <w:w w:val="76"/>
              </w:rPr>
              <w:t>$</w:t>
            </w:r>
          </w:p>
        </w:tc>
        <w:tc>
          <w:tcPr>
            <w:tcW w:w="6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380" w:type="dxa"/>
            <w:vAlign w:val="bottom"/>
            <w:tcBorders>
              <w:left w:val="single" w:sz="8" w:color="CCEEFF"/>
            </w:tcBorders>
            <w:gridSpan w:val="2"/>
            <w:vMerge w:val="restart"/>
            <w:shd w:val="clear" w:color="auto" w:fill="CCEEFF"/>
          </w:tcPr>
          <w:p>
            <w:pPr>
              <w:ind w:left="180"/>
              <w:spacing w:after="0"/>
              <w:rPr>
                <w:sz w:val="20"/>
                <w:szCs w:val="20"/>
                <w:color w:val="auto"/>
              </w:rPr>
            </w:pPr>
            <w:r>
              <w:rPr>
                <w:rFonts w:ascii="Arial" w:cs="Arial" w:eastAsia="Arial" w:hAnsi="Arial"/>
                <w:sz w:val="14"/>
                <w:szCs w:val="14"/>
                <w:color w:val="auto"/>
              </w:rPr>
              <w:t>$</w:t>
            </w:r>
          </w:p>
        </w:tc>
        <w:tc>
          <w:tcPr>
            <w:tcW w:w="4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0.2</w:t>
            </w:r>
          </w:p>
        </w:tc>
        <w:tc>
          <w:tcPr>
            <w:tcW w:w="40" w:type="dxa"/>
            <w:vAlign w:val="bottom"/>
            <w:tcBorders>
              <w:left w:val="single" w:sz="8" w:color="CCEEFF"/>
            </w:tcBorders>
            <w:shd w:val="clear" w:color="auto" w:fill="CCEEFF"/>
          </w:tcPr>
          <w:p>
            <w:pPr>
              <w:spacing w:after="0"/>
              <w:rPr>
                <w:sz w:val="11"/>
                <w:szCs w:val="11"/>
                <w:color w:val="auto"/>
              </w:rPr>
            </w:pPr>
          </w:p>
        </w:tc>
        <w:tc>
          <w:tcPr>
            <w:tcW w:w="200" w:type="dxa"/>
            <w:vAlign w:val="bottom"/>
            <w:gridSpan w:val="2"/>
            <w:vMerge w:val="restart"/>
            <w:shd w:val="clear" w:color="auto" w:fill="CCEEFF"/>
          </w:tcPr>
          <w:p>
            <w:pPr>
              <w:ind w:left="120"/>
              <w:spacing w:after="0"/>
              <w:rPr>
                <w:sz w:val="20"/>
                <w:szCs w:val="20"/>
                <w:color w:val="auto"/>
              </w:rPr>
            </w:pPr>
            <w:r>
              <w:rPr>
                <w:rFonts w:ascii="Arial" w:cs="Arial" w:eastAsia="Arial" w:hAnsi="Arial"/>
                <w:sz w:val="14"/>
                <w:szCs w:val="14"/>
                <w:color w:val="auto"/>
                <w:w w:val="76"/>
              </w:rPr>
              <w:t>$</w:t>
            </w:r>
          </w:p>
        </w:tc>
        <w:tc>
          <w:tcPr>
            <w:tcW w:w="620" w:type="dxa"/>
            <w:vAlign w:val="bottom"/>
            <w:gridSpan w:val="2"/>
            <w:vMerge w:val="restart"/>
            <w:shd w:val="clear" w:color="auto" w:fill="CCEEFF"/>
          </w:tcPr>
          <w:p>
            <w:pPr>
              <w:jc w:val="right"/>
              <w:ind w:right="60"/>
              <w:spacing w:after="0"/>
              <w:rPr>
                <w:sz w:val="20"/>
                <w:szCs w:val="20"/>
                <w:color w:val="auto"/>
              </w:rPr>
            </w:pPr>
            <w:r>
              <w:rPr>
                <w:rFonts w:ascii="Arial" w:cs="Arial" w:eastAsia="Arial" w:hAnsi="Arial"/>
                <w:sz w:val="14"/>
                <w:szCs w:val="14"/>
                <w:color w:val="auto"/>
              </w:rPr>
              <w:t>—</w:t>
            </w:r>
          </w:p>
        </w:tc>
        <w:tc>
          <w:tcPr>
            <w:tcW w:w="220" w:type="dxa"/>
            <w:vAlign w:val="bottom"/>
            <w:gridSpan w:val="2"/>
            <w:vMerge w:val="restart"/>
            <w:shd w:val="clear" w:color="auto" w:fill="CCEEFF"/>
          </w:tcPr>
          <w:p>
            <w:pPr>
              <w:ind w:left="140"/>
              <w:spacing w:after="0"/>
              <w:rPr>
                <w:sz w:val="20"/>
                <w:szCs w:val="20"/>
                <w:color w:val="auto"/>
              </w:rPr>
            </w:pPr>
            <w:r>
              <w:rPr>
                <w:rFonts w:ascii="Arial" w:cs="Arial" w:eastAsia="Arial" w:hAnsi="Arial"/>
                <w:sz w:val="14"/>
                <w:szCs w:val="14"/>
                <w:color w:val="auto"/>
                <w:w w:val="76"/>
              </w:rPr>
              <w:t>$</w:t>
            </w:r>
          </w:p>
        </w:tc>
        <w:tc>
          <w:tcPr>
            <w:tcW w:w="860" w:type="dxa"/>
            <w:vAlign w:val="bottom"/>
            <w:tcBorders>
              <w:right w:val="single" w:sz="8" w:color="CCEEFF"/>
            </w:tcBorders>
            <w:gridSpan w:val="2"/>
            <w:vMerge w:val="restart"/>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80" w:type="dxa"/>
            <w:vAlign w:val="bottom"/>
            <w:vMerge w:val="restart"/>
            <w:shd w:val="clear" w:color="auto" w:fill="CCEEFF"/>
          </w:tcPr>
          <w:p>
            <w:pPr>
              <w:spacing w:after="0"/>
              <w:rPr>
                <w:sz w:val="20"/>
                <w:szCs w:val="20"/>
                <w:color w:val="auto"/>
              </w:rPr>
            </w:pPr>
            <w:r>
              <w:rPr>
                <w:rFonts w:ascii="Arial" w:cs="Arial" w:eastAsia="Arial" w:hAnsi="Arial"/>
                <w:sz w:val="14"/>
                <w:szCs w:val="14"/>
                <w:color w:val="auto"/>
                <w:w w:val="76"/>
              </w:rPr>
              <w:t>$</w:t>
            </w:r>
          </w:p>
        </w:tc>
        <w:tc>
          <w:tcPr>
            <w:tcW w:w="940" w:type="dxa"/>
            <w:vAlign w:val="bottom"/>
            <w:tcBorders>
              <w:right w:val="single" w:sz="8" w:color="CCEEFF"/>
            </w:tcBorders>
            <w:gridSpan w:val="2"/>
            <w:vMerge w:val="restart"/>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00" w:type="dxa"/>
            <w:vAlign w:val="bottom"/>
            <w:vMerge w:val="restart"/>
            <w:shd w:val="clear" w:color="auto" w:fill="CCEEFF"/>
          </w:tcPr>
          <w:p>
            <w:pPr>
              <w:spacing w:after="0"/>
              <w:rPr>
                <w:sz w:val="20"/>
                <w:szCs w:val="20"/>
                <w:color w:val="auto"/>
              </w:rPr>
            </w:pPr>
            <w:r>
              <w:rPr>
                <w:rFonts w:ascii="Arial" w:cs="Arial" w:eastAsia="Arial" w:hAnsi="Arial"/>
                <w:sz w:val="14"/>
                <w:szCs w:val="14"/>
                <w:color w:val="auto"/>
              </w:rPr>
              <w:t>$</w:t>
            </w:r>
          </w:p>
        </w:tc>
        <w:tc>
          <w:tcPr>
            <w:tcW w:w="5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280" w:type="dxa"/>
            <w:vAlign w:val="bottom"/>
            <w:tcBorders>
              <w:left w:val="single" w:sz="8" w:color="CCEEFF"/>
            </w:tcBorders>
            <w:gridSpan w:val="2"/>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3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0.2</w:t>
            </w: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2200" w:type="dxa"/>
            <w:vAlign w:val="bottom"/>
            <w:shd w:val="clear" w:color="auto" w:fill="CCEEFF"/>
          </w:tcPr>
          <w:p>
            <w:pPr>
              <w:ind w:left="120"/>
              <w:spacing w:after="0" w:line="154" w:lineRule="exact"/>
              <w:rPr>
                <w:sz w:val="20"/>
                <w:szCs w:val="20"/>
                <w:color w:val="auto"/>
              </w:rPr>
            </w:pPr>
            <w:r>
              <w:rPr>
                <w:rFonts w:ascii="Arial" w:cs="Arial" w:eastAsia="Arial" w:hAnsi="Arial"/>
                <w:sz w:val="14"/>
                <w:szCs w:val="14"/>
                <w:color w:val="auto"/>
              </w:rPr>
              <w:t>investment income</w:t>
            </w:r>
          </w:p>
        </w:tc>
        <w:tc>
          <w:tcPr>
            <w:tcW w:w="260" w:type="dxa"/>
            <w:vAlign w:val="bottom"/>
            <w:gridSpan w:val="2"/>
            <w:vMerge w:val="continue"/>
            <w:shd w:val="clear" w:color="auto" w:fill="CCEEFF"/>
          </w:tcPr>
          <w:p>
            <w:pPr>
              <w:spacing w:after="0"/>
              <w:rPr>
                <w:sz w:val="13"/>
                <w:szCs w:val="13"/>
                <w:color w:val="auto"/>
              </w:rPr>
            </w:pPr>
          </w:p>
        </w:tc>
        <w:tc>
          <w:tcPr>
            <w:tcW w:w="760" w:type="dxa"/>
            <w:vAlign w:val="bottom"/>
            <w:tcBorders>
              <w:right w:val="single" w:sz="8" w:color="CCEEFF"/>
            </w:tcBorders>
            <w:gridSpan w:val="2"/>
            <w:vMerge w:val="continue"/>
            <w:shd w:val="clear" w:color="auto" w:fill="CCEEFF"/>
          </w:tcPr>
          <w:p>
            <w:pPr>
              <w:spacing w:after="0"/>
              <w:rPr>
                <w:sz w:val="13"/>
                <w:szCs w:val="13"/>
                <w:color w:val="auto"/>
              </w:rPr>
            </w:pPr>
          </w:p>
        </w:tc>
        <w:tc>
          <w:tcPr>
            <w:tcW w:w="80" w:type="dxa"/>
            <w:vAlign w:val="bottom"/>
            <w:vMerge w:val="continue"/>
            <w:shd w:val="clear" w:color="auto" w:fill="CCEEFF"/>
          </w:tcPr>
          <w:p>
            <w:pPr>
              <w:spacing w:after="0"/>
              <w:rPr>
                <w:sz w:val="13"/>
                <w:szCs w:val="13"/>
                <w:color w:val="auto"/>
              </w:rPr>
            </w:pPr>
          </w:p>
        </w:tc>
        <w:tc>
          <w:tcPr>
            <w:tcW w:w="860" w:type="dxa"/>
            <w:vAlign w:val="bottom"/>
            <w:tcBorders>
              <w:right w:val="single" w:sz="8" w:color="CCEEFF"/>
            </w:tcBorders>
            <w:gridSpan w:val="2"/>
            <w:vMerge w:val="continue"/>
            <w:shd w:val="clear" w:color="auto" w:fill="CCEEFF"/>
          </w:tcPr>
          <w:p>
            <w:pPr>
              <w:spacing w:after="0"/>
              <w:rPr>
                <w:sz w:val="13"/>
                <w:szCs w:val="13"/>
                <w:color w:val="auto"/>
              </w:rPr>
            </w:pPr>
          </w:p>
        </w:tc>
        <w:tc>
          <w:tcPr>
            <w:tcW w:w="80" w:type="dxa"/>
            <w:vAlign w:val="bottom"/>
            <w:vMerge w:val="continue"/>
            <w:shd w:val="clear" w:color="auto" w:fill="CCEEFF"/>
          </w:tcPr>
          <w:p>
            <w:pPr>
              <w:spacing w:after="0"/>
              <w:rPr>
                <w:sz w:val="13"/>
                <w:szCs w:val="13"/>
                <w:color w:val="auto"/>
              </w:rPr>
            </w:pPr>
          </w:p>
        </w:tc>
        <w:tc>
          <w:tcPr>
            <w:tcW w:w="640" w:type="dxa"/>
            <w:vAlign w:val="bottom"/>
            <w:vMerge w:val="continue"/>
            <w:shd w:val="clear" w:color="auto" w:fill="CCEEFF"/>
          </w:tcPr>
          <w:p>
            <w:pPr>
              <w:spacing w:after="0"/>
              <w:rPr>
                <w:sz w:val="13"/>
                <w:szCs w:val="13"/>
                <w:color w:val="auto"/>
              </w:rPr>
            </w:pPr>
          </w:p>
        </w:tc>
        <w:tc>
          <w:tcPr>
            <w:tcW w:w="380" w:type="dxa"/>
            <w:vAlign w:val="bottom"/>
            <w:tcBorders>
              <w:left w:val="single" w:sz="8" w:color="CCEEFF"/>
            </w:tcBorders>
            <w:gridSpan w:val="2"/>
            <w:vMerge w:val="continue"/>
            <w:shd w:val="clear" w:color="auto" w:fill="CCEEFF"/>
          </w:tcPr>
          <w:p>
            <w:pPr>
              <w:spacing w:after="0"/>
              <w:rPr>
                <w:sz w:val="13"/>
                <w:szCs w:val="13"/>
                <w:color w:val="auto"/>
              </w:rPr>
            </w:pPr>
          </w:p>
        </w:tc>
        <w:tc>
          <w:tcPr>
            <w:tcW w:w="420" w:type="dxa"/>
            <w:vAlign w:val="bottom"/>
            <w:vMerge w:val="continue"/>
            <w:shd w:val="clear" w:color="auto" w:fill="CCEEFF"/>
          </w:tcPr>
          <w:p>
            <w:pPr>
              <w:spacing w:after="0"/>
              <w:rPr>
                <w:sz w:val="13"/>
                <w:szCs w:val="13"/>
                <w:color w:val="auto"/>
              </w:rPr>
            </w:pPr>
          </w:p>
        </w:tc>
        <w:tc>
          <w:tcPr>
            <w:tcW w:w="40" w:type="dxa"/>
            <w:vAlign w:val="bottom"/>
            <w:tcBorders>
              <w:left w:val="single" w:sz="8" w:color="CCEEFF"/>
            </w:tcBorders>
            <w:shd w:val="clear" w:color="auto" w:fill="CCEEFF"/>
          </w:tcPr>
          <w:p>
            <w:pPr>
              <w:spacing w:after="0"/>
              <w:rPr>
                <w:sz w:val="13"/>
                <w:szCs w:val="13"/>
                <w:color w:val="auto"/>
              </w:rPr>
            </w:pPr>
          </w:p>
        </w:tc>
        <w:tc>
          <w:tcPr>
            <w:tcW w:w="200" w:type="dxa"/>
            <w:vAlign w:val="bottom"/>
            <w:gridSpan w:val="2"/>
            <w:vMerge w:val="continue"/>
            <w:shd w:val="clear" w:color="auto" w:fill="CCEEFF"/>
          </w:tcPr>
          <w:p>
            <w:pPr>
              <w:spacing w:after="0"/>
              <w:rPr>
                <w:sz w:val="13"/>
                <w:szCs w:val="13"/>
                <w:color w:val="auto"/>
              </w:rPr>
            </w:pPr>
          </w:p>
        </w:tc>
        <w:tc>
          <w:tcPr>
            <w:tcW w:w="620" w:type="dxa"/>
            <w:vAlign w:val="bottom"/>
            <w:gridSpan w:val="2"/>
            <w:vMerge w:val="continue"/>
            <w:shd w:val="clear" w:color="auto" w:fill="CCEEFF"/>
          </w:tcPr>
          <w:p>
            <w:pPr>
              <w:spacing w:after="0"/>
              <w:rPr>
                <w:sz w:val="13"/>
                <w:szCs w:val="13"/>
                <w:color w:val="auto"/>
              </w:rPr>
            </w:pPr>
          </w:p>
        </w:tc>
        <w:tc>
          <w:tcPr>
            <w:tcW w:w="220" w:type="dxa"/>
            <w:vAlign w:val="bottom"/>
            <w:gridSpan w:val="2"/>
            <w:vMerge w:val="continue"/>
            <w:shd w:val="clear" w:color="auto" w:fill="CCEEFF"/>
          </w:tcPr>
          <w:p>
            <w:pPr>
              <w:spacing w:after="0"/>
              <w:rPr>
                <w:sz w:val="13"/>
                <w:szCs w:val="13"/>
                <w:color w:val="auto"/>
              </w:rPr>
            </w:pPr>
          </w:p>
        </w:tc>
        <w:tc>
          <w:tcPr>
            <w:tcW w:w="860" w:type="dxa"/>
            <w:vAlign w:val="bottom"/>
            <w:tcBorders>
              <w:right w:val="single" w:sz="8" w:color="CCEEFF"/>
            </w:tcBorders>
            <w:gridSpan w:val="2"/>
            <w:vMerge w:val="continue"/>
            <w:shd w:val="clear" w:color="auto" w:fill="CCEEFF"/>
          </w:tcPr>
          <w:p>
            <w:pPr>
              <w:spacing w:after="0"/>
              <w:rPr>
                <w:sz w:val="13"/>
                <w:szCs w:val="13"/>
                <w:color w:val="auto"/>
              </w:rPr>
            </w:pPr>
          </w:p>
        </w:tc>
        <w:tc>
          <w:tcPr>
            <w:tcW w:w="80" w:type="dxa"/>
            <w:vAlign w:val="bottom"/>
            <w:vMerge w:val="continue"/>
            <w:shd w:val="clear" w:color="auto" w:fill="CCEEFF"/>
          </w:tcPr>
          <w:p>
            <w:pPr>
              <w:spacing w:after="0"/>
              <w:rPr>
                <w:sz w:val="13"/>
                <w:szCs w:val="13"/>
                <w:color w:val="auto"/>
              </w:rPr>
            </w:pPr>
          </w:p>
        </w:tc>
        <w:tc>
          <w:tcPr>
            <w:tcW w:w="940" w:type="dxa"/>
            <w:vAlign w:val="bottom"/>
            <w:tcBorders>
              <w:right w:val="single" w:sz="8" w:color="CCEEFF"/>
            </w:tcBorders>
            <w:gridSpan w:val="2"/>
            <w:vMerge w:val="continue"/>
            <w:shd w:val="clear" w:color="auto" w:fill="CCEEFF"/>
          </w:tcPr>
          <w:p>
            <w:pPr>
              <w:spacing w:after="0"/>
              <w:rPr>
                <w:sz w:val="13"/>
                <w:szCs w:val="13"/>
                <w:color w:val="auto"/>
              </w:rPr>
            </w:pPr>
          </w:p>
        </w:tc>
        <w:tc>
          <w:tcPr>
            <w:tcW w:w="100" w:type="dxa"/>
            <w:vAlign w:val="bottom"/>
            <w:vMerge w:val="continue"/>
            <w:shd w:val="clear" w:color="auto" w:fill="CCEEFF"/>
          </w:tcPr>
          <w:p>
            <w:pPr>
              <w:spacing w:after="0"/>
              <w:rPr>
                <w:sz w:val="13"/>
                <w:szCs w:val="13"/>
                <w:color w:val="auto"/>
              </w:rPr>
            </w:pPr>
          </w:p>
        </w:tc>
        <w:tc>
          <w:tcPr>
            <w:tcW w:w="580" w:type="dxa"/>
            <w:vAlign w:val="bottom"/>
            <w:vMerge w:val="continue"/>
            <w:shd w:val="clear" w:color="auto" w:fill="CCEEFF"/>
          </w:tcPr>
          <w:p>
            <w:pPr>
              <w:spacing w:after="0"/>
              <w:rPr>
                <w:sz w:val="13"/>
                <w:szCs w:val="13"/>
                <w:color w:val="auto"/>
              </w:rPr>
            </w:pPr>
          </w:p>
        </w:tc>
        <w:tc>
          <w:tcPr>
            <w:tcW w:w="280" w:type="dxa"/>
            <w:vAlign w:val="bottom"/>
            <w:tcBorders>
              <w:left w:val="single" w:sz="8" w:color="CCEEFF"/>
            </w:tcBorders>
            <w:gridSpan w:val="2"/>
            <w:vMerge w:val="continue"/>
            <w:shd w:val="clear" w:color="auto" w:fill="CCEEFF"/>
          </w:tcPr>
          <w:p>
            <w:pPr>
              <w:spacing w:after="0"/>
              <w:rPr>
                <w:sz w:val="13"/>
                <w:szCs w:val="13"/>
                <w:color w:val="auto"/>
              </w:rPr>
            </w:pPr>
          </w:p>
        </w:tc>
        <w:tc>
          <w:tcPr>
            <w:tcW w:w="300" w:type="dxa"/>
            <w:vAlign w:val="bottom"/>
            <w:vMerge w:val="continue"/>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20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2200" w:type="dxa"/>
            <w:vAlign w:val="bottom"/>
            <w:tcBorders>
              <w:bottom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180" w:type="dxa"/>
            <w:vAlign w:val="bottom"/>
            <w:tcBorders>
              <w:bottom w:val="single" w:sz="8" w:color="auto"/>
            </w:tcBorders>
          </w:tcPr>
          <w:p>
            <w:pPr>
              <w:spacing w:after="0"/>
              <w:rPr>
                <w:sz w:val="7"/>
                <w:szCs w:val="7"/>
                <w:color w:val="auto"/>
              </w:rPr>
            </w:pPr>
          </w:p>
        </w:tc>
        <w:tc>
          <w:tcPr>
            <w:tcW w:w="580" w:type="dxa"/>
            <w:vAlign w:val="bottom"/>
          </w:tcPr>
          <w:p>
            <w:pPr>
              <w:spacing w:after="0"/>
              <w:rPr>
                <w:sz w:val="7"/>
                <w:szCs w:val="7"/>
                <w:color w:val="auto"/>
              </w:rPr>
            </w:pPr>
          </w:p>
        </w:tc>
        <w:tc>
          <w:tcPr>
            <w:tcW w:w="180" w:type="dxa"/>
            <w:vAlign w:val="bottom"/>
          </w:tcPr>
          <w:p>
            <w:pPr>
              <w:spacing w:after="0"/>
              <w:rPr>
                <w:sz w:val="7"/>
                <w:szCs w:val="7"/>
                <w:color w:val="auto"/>
              </w:rPr>
            </w:pPr>
          </w:p>
        </w:tc>
        <w:tc>
          <w:tcPr>
            <w:tcW w:w="80" w:type="dxa"/>
            <w:vAlign w:val="bottom"/>
          </w:tcPr>
          <w:p>
            <w:pPr>
              <w:spacing w:after="0"/>
              <w:rPr>
                <w:sz w:val="7"/>
                <w:szCs w:val="7"/>
                <w:color w:val="auto"/>
              </w:rPr>
            </w:pPr>
          </w:p>
        </w:tc>
        <w:tc>
          <w:tcPr>
            <w:tcW w:w="680" w:type="dxa"/>
            <w:vAlign w:val="bottom"/>
          </w:tcPr>
          <w:p>
            <w:pPr>
              <w:spacing w:after="0"/>
              <w:rPr>
                <w:sz w:val="7"/>
                <w:szCs w:val="7"/>
                <w:color w:val="auto"/>
              </w:rPr>
            </w:pPr>
          </w:p>
        </w:tc>
        <w:tc>
          <w:tcPr>
            <w:tcW w:w="18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tcPr>
          <w:p>
            <w:pPr>
              <w:spacing w:after="0"/>
              <w:rPr>
                <w:sz w:val="7"/>
                <w:szCs w:val="7"/>
                <w:color w:val="auto"/>
              </w:rPr>
            </w:pPr>
          </w:p>
        </w:tc>
        <w:tc>
          <w:tcPr>
            <w:tcW w:w="180" w:type="dxa"/>
            <w:vAlign w:val="bottom"/>
          </w:tcPr>
          <w:p>
            <w:pPr>
              <w:spacing w:after="0"/>
              <w:rPr>
                <w:sz w:val="7"/>
                <w:szCs w:val="7"/>
                <w:color w:val="auto"/>
              </w:rPr>
            </w:pPr>
          </w:p>
        </w:tc>
        <w:tc>
          <w:tcPr>
            <w:tcW w:w="200" w:type="dxa"/>
            <w:vAlign w:val="bottom"/>
          </w:tcPr>
          <w:p>
            <w:pPr>
              <w:spacing w:after="0"/>
              <w:rPr>
                <w:sz w:val="7"/>
                <w:szCs w:val="7"/>
                <w:color w:val="auto"/>
              </w:rPr>
            </w:pPr>
          </w:p>
        </w:tc>
        <w:tc>
          <w:tcPr>
            <w:tcW w:w="420" w:type="dxa"/>
            <w:vAlign w:val="bottom"/>
          </w:tcPr>
          <w:p>
            <w:pPr>
              <w:spacing w:after="0"/>
              <w:rPr>
                <w:sz w:val="7"/>
                <w:szCs w:val="7"/>
                <w:color w:val="auto"/>
              </w:rPr>
            </w:pPr>
          </w:p>
        </w:tc>
        <w:tc>
          <w:tcPr>
            <w:tcW w:w="40" w:type="dxa"/>
            <w:vAlign w:val="bottom"/>
          </w:tcPr>
          <w:p>
            <w:pPr>
              <w:spacing w:after="0"/>
              <w:rPr>
                <w:sz w:val="7"/>
                <w:szCs w:val="7"/>
                <w:color w:val="auto"/>
              </w:rPr>
            </w:pPr>
          </w:p>
        </w:tc>
        <w:tc>
          <w:tcPr>
            <w:tcW w:w="120" w:type="dxa"/>
            <w:vAlign w:val="bottom"/>
          </w:tcPr>
          <w:p>
            <w:pPr>
              <w:spacing w:after="0"/>
              <w:rPr>
                <w:sz w:val="7"/>
                <w:szCs w:val="7"/>
                <w:color w:val="auto"/>
              </w:rPr>
            </w:pPr>
          </w:p>
        </w:tc>
        <w:tc>
          <w:tcPr>
            <w:tcW w:w="80" w:type="dxa"/>
            <w:vAlign w:val="bottom"/>
          </w:tcPr>
          <w:p>
            <w:pPr>
              <w:spacing w:after="0"/>
              <w:rPr>
                <w:sz w:val="7"/>
                <w:szCs w:val="7"/>
                <w:color w:val="auto"/>
              </w:rPr>
            </w:pPr>
          </w:p>
        </w:tc>
        <w:tc>
          <w:tcPr>
            <w:tcW w:w="580" w:type="dxa"/>
            <w:vAlign w:val="bottom"/>
          </w:tcPr>
          <w:p>
            <w:pPr>
              <w:spacing w:after="0"/>
              <w:rPr>
                <w:sz w:val="7"/>
                <w:szCs w:val="7"/>
                <w:color w:val="auto"/>
              </w:rPr>
            </w:pPr>
          </w:p>
        </w:tc>
        <w:tc>
          <w:tcPr>
            <w:tcW w:w="40" w:type="dxa"/>
            <w:vAlign w:val="bottom"/>
          </w:tcPr>
          <w:p>
            <w:pPr>
              <w:spacing w:after="0"/>
              <w:rPr>
                <w:sz w:val="7"/>
                <w:szCs w:val="7"/>
                <w:color w:val="auto"/>
              </w:rPr>
            </w:pPr>
          </w:p>
        </w:tc>
        <w:tc>
          <w:tcPr>
            <w:tcW w:w="140" w:type="dxa"/>
            <w:vAlign w:val="bottom"/>
          </w:tcPr>
          <w:p>
            <w:pPr>
              <w:spacing w:after="0"/>
              <w:rPr>
                <w:sz w:val="7"/>
                <w:szCs w:val="7"/>
                <w:color w:val="auto"/>
              </w:rPr>
            </w:pPr>
          </w:p>
        </w:tc>
        <w:tc>
          <w:tcPr>
            <w:tcW w:w="80" w:type="dxa"/>
            <w:vAlign w:val="bottom"/>
          </w:tcPr>
          <w:p>
            <w:pPr>
              <w:spacing w:after="0"/>
              <w:rPr>
                <w:sz w:val="7"/>
                <w:szCs w:val="7"/>
                <w:color w:val="auto"/>
              </w:rPr>
            </w:pPr>
          </w:p>
        </w:tc>
        <w:tc>
          <w:tcPr>
            <w:tcW w:w="680" w:type="dxa"/>
            <w:vAlign w:val="bottom"/>
          </w:tcPr>
          <w:p>
            <w:pPr>
              <w:spacing w:after="0"/>
              <w:rPr>
                <w:sz w:val="7"/>
                <w:szCs w:val="7"/>
                <w:color w:val="auto"/>
              </w:rPr>
            </w:pPr>
          </w:p>
        </w:tc>
        <w:tc>
          <w:tcPr>
            <w:tcW w:w="180" w:type="dxa"/>
            <w:vAlign w:val="bottom"/>
          </w:tcPr>
          <w:p>
            <w:pPr>
              <w:spacing w:after="0"/>
              <w:rPr>
                <w:sz w:val="7"/>
                <w:szCs w:val="7"/>
                <w:color w:val="auto"/>
              </w:rPr>
            </w:pPr>
          </w:p>
        </w:tc>
        <w:tc>
          <w:tcPr>
            <w:tcW w:w="80" w:type="dxa"/>
            <w:vAlign w:val="bottom"/>
          </w:tcPr>
          <w:p>
            <w:pPr>
              <w:spacing w:after="0"/>
              <w:rPr>
                <w:sz w:val="7"/>
                <w:szCs w:val="7"/>
                <w:color w:val="auto"/>
              </w:rPr>
            </w:pPr>
          </w:p>
        </w:tc>
        <w:tc>
          <w:tcPr>
            <w:tcW w:w="760" w:type="dxa"/>
            <w:vAlign w:val="bottom"/>
          </w:tcPr>
          <w:p>
            <w:pPr>
              <w:spacing w:after="0"/>
              <w:rPr>
                <w:sz w:val="7"/>
                <w:szCs w:val="7"/>
                <w:color w:val="auto"/>
              </w:rPr>
            </w:pPr>
          </w:p>
        </w:tc>
        <w:tc>
          <w:tcPr>
            <w:tcW w:w="180" w:type="dxa"/>
            <w:vAlign w:val="bottom"/>
          </w:tcPr>
          <w:p>
            <w:pPr>
              <w:spacing w:after="0"/>
              <w:rPr>
                <w:sz w:val="7"/>
                <w:szCs w:val="7"/>
                <w:color w:val="auto"/>
              </w:rPr>
            </w:pPr>
          </w:p>
        </w:tc>
        <w:tc>
          <w:tcPr>
            <w:tcW w:w="100" w:type="dxa"/>
            <w:vAlign w:val="bottom"/>
          </w:tcPr>
          <w:p>
            <w:pPr>
              <w:spacing w:after="0"/>
              <w:rPr>
                <w:sz w:val="7"/>
                <w:szCs w:val="7"/>
                <w:color w:val="auto"/>
              </w:rPr>
            </w:pPr>
          </w:p>
        </w:tc>
        <w:tc>
          <w:tcPr>
            <w:tcW w:w="580" w:type="dxa"/>
            <w:vAlign w:val="bottom"/>
          </w:tcPr>
          <w:p>
            <w:pPr>
              <w:spacing w:after="0"/>
              <w:rPr>
                <w:sz w:val="7"/>
                <w:szCs w:val="7"/>
                <w:color w:val="auto"/>
              </w:rPr>
            </w:pPr>
          </w:p>
        </w:tc>
        <w:tc>
          <w:tcPr>
            <w:tcW w:w="180" w:type="dxa"/>
            <w:vAlign w:val="bottom"/>
          </w:tcPr>
          <w:p>
            <w:pPr>
              <w:spacing w:after="0"/>
              <w:rPr>
                <w:sz w:val="7"/>
                <w:szCs w:val="7"/>
                <w:color w:val="auto"/>
              </w:rPr>
            </w:pPr>
          </w:p>
        </w:tc>
        <w:tc>
          <w:tcPr>
            <w:tcW w:w="100" w:type="dxa"/>
            <w:vAlign w:val="bottom"/>
          </w:tcPr>
          <w:p>
            <w:pPr>
              <w:spacing w:after="0"/>
              <w:rPr>
                <w:sz w:val="7"/>
                <w:szCs w:val="7"/>
                <w:color w:val="auto"/>
              </w:rPr>
            </w:pPr>
          </w:p>
        </w:tc>
        <w:tc>
          <w:tcPr>
            <w:tcW w:w="30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80" w:lineRule="exact"/>
        <w:rPr>
          <w:sz w:val="20"/>
          <w:szCs w:val="20"/>
          <w:color w:val="auto"/>
        </w:rPr>
      </w:pPr>
    </w:p>
    <w:p>
      <w:pPr>
        <w:ind w:left="340" w:right="3320" w:hanging="332"/>
        <w:spacing w:after="0" w:line="623" w:lineRule="auto"/>
        <w:tabs>
          <w:tab w:leader="none" w:pos="340" w:val="left"/>
        </w:tabs>
        <w:numPr>
          <w:ilvl w:val="0"/>
          <w:numId w:val="11"/>
        </w:numPr>
        <w:rPr>
          <w:rFonts w:ascii="Arial" w:cs="Arial" w:eastAsia="Arial" w:hAnsi="Arial"/>
          <w:sz w:val="16"/>
          <w:szCs w:val="16"/>
          <w:color w:val="auto"/>
        </w:rPr>
      </w:pPr>
      <w:r>
        <w:rPr>
          <w:rFonts w:ascii="Arial" w:cs="Arial" w:eastAsia="Arial" w:hAnsi="Arial"/>
          <w:sz w:val="16"/>
          <w:szCs w:val="16"/>
          <w:color w:val="auto"/>
        </w:rPr>
        <w:t>Primarily consists of collateralized loan obligations backed by secured corporate loans. During 2022, we did not write off any accrued interest to net investment income.</w:t>
      </w:r>
    </w:p>
    <w:p>
      <w:pPr>
        <w:spacing w:after="0" w:line="1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540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24" w:name="page25"/>
    <w:bookmarkEnd w:id="24"/>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Available-for-Sale Securities in Unrealized Loss Positions Without an Allowance for Credit Loss</w:t>
      </w:r>
    </w:p>
    <w:p>
      <w:pPr>
        <w:spacing w:after="0" w:line="229" w:lineRule="exact"/>
        <w:rPr>
          <w:sz w:val="20"/>
          <w:szCs w:val="20"/>
          <w:color w:val="auto"/>
        </w:rPr>
      </w:pPr>
    </w:p>
    <w:p>
      <w:pPr>
        <w:ind w:right="240" w:firstLine="648"/>
        <w:spacing w:after="0" w:line="263" w:lineRule="auto"/>
        <w:rPr>
          <w:sz w:val="20"/>
          <w:szCs w:val="20"/>
          <w:color w:val="auto"/>
        </w:rPr>
      </w:pPr>
      <w:r>
        <w:rPr>
          <w:rFonts w:ascii="Arial" w:cs="Arial" w:eastAsia="Arial" w:hAnsi="Arial"/>
          <w:sz w:val="18"/>
          <w:szCs w:val="18"/>
          <w:color w:val="auto"/>
        </w:rPr>
        <w:t>For available-for-sale securities with unrealized losses for which an allowance for credit loss has not been recorded, the gross unrealized losses and fair value, aggregated by investment category and length of time that individual securities have been in a continuous unrealized loss position were as follows:</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48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2000" w:type="dxa"/>
            <w:vAlign w:val="bottom"/>
            <w:tcBorders>
              <w:bottom w:val="single" w:sz="8" w:color="auto"/>
            </w:tcBorders>
            <w:gridSpan w:val="5"/>
          </w:tcPr>
          <w:p>
            <w:pPr>
              <w:jc w:val="center"/>
              <w:ind w:right="340"/>
              <w:spacing w:after="0"/>
              <w:rPr>
                <w:sz w:val="20"/>
                <w:szCs w:val="20"/>
                <w:color w:val="auto"/>
              </w:rPr>
            </w:pPr>
            <w:r>
              <w:rPr>
                <w:rFonts w:ascii="Arial" w:cs="Arial" w:eastAsia="Arial" w:hAnsi="Arial"/>
                <w:sz w:val="14"/>
                <w:szCs w:val="14"/>
                <w:b w:val="1"/>
                <w:bCs w:val="1"/>
                <w:color w:val="auto"/>
                <w:w w:val="90"/>
              </w:rPr>
              <w:t>June 30, 2022</w:t>
            </w:r>
          </w:p>
        </w:tc>
        <w:tc>
          <w:tcPr>
            <w:tcW w:w="16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4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040" w:type="dxa"/>
            <w:vAlign w:val="bottom"/>
            <w:gridSpan w:val="5"/>
          </w:tcPr>
          <w:p>
            <w:pPr>
              <w:jc w:val="center"/>
              <w:ind w:right="340"/>
              <w:spacing w:after="0" w:line="119" w:lineRule="exact"/>
              <w:rPr>
                <w:sz w:val="20"/>
                <w:szCs w:val="20"/>
                <w:color w:val="auto"/>
              </w:rPr>
            </w:pPr>
            <w:r>
              <w:rPr>
                <w:rFonts w:ascii="Arial" w:cs="Arial" w:eastAsia="Arial" w:hAnsi="Arial"/>
                <w:sz w:val="13"/>
                <w:szCs w:val="13"/>
                <w:b w:val="1"/>
                <w:bCs w:val="1"/>
                <w:color w:val="auto"/>
                <w:w w:val="95"/>
              </w:rPr>
              <w:t>Less than</w:t>
            </w:r>
          </w:p>
        </w:tc>
        <w:tc>
          <w:tcPr>
            <w:tcW w:w="180" w:type="dxa"/>
            <w:vAlign w:val="bottom"/>
          </w:tcPr>
          <w:p>
            <w:pPr>
              <w:spacing w:after="0"/>
              <w:rPr>
                <w:sz w:val="10"/>
                <w:szCs w:val="10"/>
                <w:color w:val="auto"/>
              </w:rPr>
            </w:pPr>
          </w:p>
        </w:tc>
        <w:tc>
          <w:tcPr>
            <w:tcW w:w="2000" w:type="dxa"/>
            <w:vAlign w:val="bottom"/>
            <w:gridSpan w:val="5"/>
          </w:tcPr>
          <w:p>
            <w:pPr>
              <w:jc w:val="center"/>
              <w:ind w:right="380"/>
              <w:spacing w:after="0" w:line="119" w:lineRule="exact"/>
              <w:rPr>
                <w:sz w:val="20"/>
                <w:szCs w:val="20"/>
                <w:color w:val="auto"/>
              </w:rPr>
            </w:pPr>
            <w:r>
              <w:rPr>
                <w:rFonts w:ascii="Arial" w:cs="Arial" w:eastAsia="Arial" w:hAnsi="Arial"/>
                <w:sz w:val="13"/>
                <w:szCs w:val="13"/>
                <w:b w:val="1"/>
                <w:bCs w:val="1"/>
                <w:color w:val="auto"/>
              </w:rPr>
              <w:t>Greater than or</w:t>
            </w:r>
          </w:p>
        </w:tc>
        <w:tc>
          <w:tcPr>
            <w:tcW w:w="16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360" w:type="dxa"/>
            <w:vAlign w:val="bottom"/>
            <w:gridSpan w:val="3"/>
            <w:vMerge w:val="restart"/>
          </w:tcPr>
          <w:p>
            <w:pPr>
              <w:jc w:val="right"/>
              <w:spacing w:after="0"/>
              <w:rPr>
                <w:sz w:val="20"/>
                <w:szCs w:val="20"/>
                <w:color w:val="auto"/>
              </w:rPr>
            </w:pPr>
            <w:r>
              <w:rPr>
                <w:rFonts w:ascii="Arial" w:cs="Arial" w:eastAsia="Arial" w:hAnsi="Arial"/>
                <w:sz w:val="14"/>
                <w:szCs w:val="14"/>
                <w:b w:val="1"/>
                <w:bCs w:val="1"/>
                <w:color w:val="auto"/>
                <w:w w:val="89"/>
              </w:rPr>
              <w:t>Total</w:t>
            </w:r>
          </w:p>
        </w:tc>
        <w:tc>
          <w:tcPr>
            <w:tcW w:w="8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248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040" w:type="dxa"/>
            <w:vAlign w:val="bottom"/>
            <w:gridSpan w:val="5"/>
          </w:tcPr>
          <w:p>
            <w:pPr>
              <w:jc w:val="center"/>
              <w:ind w:right="360"/>
              <w:spacing w:after="0"/>
              <w:rPr>
                <w:sz w:val="20"/>
                <w:szCs w:val="20"/>
                <w:color w:val="auto"/>
              </w:rPr>
            </w:pPr>
            <w:r>
              <w:rPr>
                <w:rFonts w:ascii="Arial" w:cs="Arial" w:eastAsia="Arial" w:hAnsi="Arial"/>
                <w:sz w:val="14"/>
                <w:szCs w:val="14"/>
                <w:b w:val="1"/>
                <w:bCs w:val="1"/>
                <w:color w:val="auto"/>
                <w:w w:val="90"/>
              </w:rPr>
              <w:t>twelve months</w:t>
            </w:r>
          </w:p>
        </w:tc>
        <w:tc>
          <w:tcPr>
            <w:tcW w:w="180" w:type="dxa"/>
            <w:vAlign w:val="bottom"/>
          </w:tcPr>
          <w:p>
            <w:pPr>
              <w:spacing w:after="0"/>
              <w:rPr>
                <w:sz w:val="14"/>
                <w:szCs w:val="14"/>
                <w:color w:val="auto"/>
              </w:rPr>
            </w:pPr>
          </w:p>
        </w:tc>
        <w:tc>
          <w:tcPr>
            <w:tcW w:w="2000" w:type="dxa"/>
            <w:vAlign w:val="bottom"/>
            <w:gridSpan w:val="5"/>
          </w:tcPr>
          <w:p>
            <w:pPr>
              <w:jc w:val="center"/>
              <w:ind w:right="380"/>
              <w:spacing w:after="0"/>
              <w:rPr>
                <w:sz w:val="20"/>
                <w:szCs w:val="20"/>
                <w:color w:val="auto"/>
              </w:rPr>
            </w:pPr>
            <w:r>
              <w:rPr>
                <w:rFonts w:ascii="Arial" w:cs="Arial" w:eastAsia="Arial" w:hAnsi="Arial"/>
                <w:sz w:val="14"/>
                <w:szCs w:val="14"/>
                <w:b w:val="1"/>
                <w:bCs w:val="1"/>
                <w:color w:val="auto"/>
                <w:w w:val="91"/>
              </w:rPr>
              <w:t>equal to twelve months</w:t>
            </w:r>
          </w:p>
        </w:tc>
        <w:tc>
          <w:tcPr>
            <w:tcW w:w="1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360" w:type="dxa"/>
            <w:vAlign w:val="bottom"/>
            <w:gridSpan w:val="3"/>
            <w:vMerge w:val="continue"/>
          </w:tcPr>
          <w:p>
            <w:pPr>
              <w:spacing w:after="0"/>
              <w:rPr>
                <w:sz w:val="14"/>
                <w:szCs w:val="14"/>
                <w:color w:val="auto"/>
              </w:rPr>
            </w:pPr>
          </w:p>
        </w:tc>
        <w:tc>
          <w:tcPr>
            <w:tcW w:w="8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4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760" w:type="dxa"/>
            <w:vAlign w:val="bottom"/>
            <w:tcBorders>
              <w:top w:val="single" w:sz="8" w:color="auto"/>
            </w:tcBorders>
            <w:vMerge w:val="restart"/>
          </w:tcPr>
          <w:p>
            <w:pPr>
              <w:jc w:val="right"/>
              <w:ind w:right="236"/>
              <w:spacing w:after="0"/>
              <w:rPr>
                <w:sz w:val="20"/>
                <w:szCs w:val="20"/>
                <w:color w:val="auto"/>
              </w:rPr>
            </w:pPr>
            <w:r>
              <w:rPr>
                <w:rFonts w:ascii="Arial" w:cs="Arial" w:eastAsia="Arial" w:hAnsi="Arial"/>
                <w:sz w:val="14"/>
                <w:szCs w:val="14"/>
                <w:b w:val="1"/>
                <w:bCs w:val="1"/>
                <w:color w:val="auto"/>
              </w:rPr>
              <w:t>Fair</w:t>
            </w:r>
          </w:p>
        </w:tc>
        <w:tc>
          <w:tcPr>
            <w:tcW w:w="18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800" w:type="dxa"/>
            <w:vAlign w:val="bottom"/>
            <w:tcBorders>
              <w:top w:val="single" w:sz="8" w:color="auto"/>
            </w:tcBorders>
          </w:tcPr>
          <w:p>
            <w:pPr>
              <w:jc w:val="center"/>
              <w:spacing w:after="0" w:line="119" w:lineRule="exact"/>
              <w:rPr>
                <w:sz w:val="20"/>
                <w:szCs w:val="20"/>
                <w:color w:val="auto"/>
              </w:rPr>
            </w:pPr>
            <w:r>
              <w:rPr>
                <w:rFonts w:ascii="Arial" w:cs="Arial" w:eastAsia="Arial" w:hAnsi="Arial"/>
                <w:sz w:val="13"/>
                <w:szCs w:val="13"/>
                <w:b w:val="1"/>
                <w:bCs w:val="1"/>
                <w:color w:val="auto"/>
                <w:w w:val="95"/>
              </w:rPr>
              <w:t>Gross</w:t>
            </w:r>
          </w:p>
        </w:tc>
        <w:tc>
          <w:tcPr>
            <w:tcW w:w="200" w:type="dxa"/>
            <w:vAlign w:val="bottom"/>
          </w:tcPr>
          <w:p>
            <w:pPr>
              <w:spacing w:after="0"/>
              <w:rPr>
                <w:sz w:val="10"/>
                <w:szCs w:val="10"/>
                <w:color w:val="auto"/>
              </w:rPr>
            </w:pPr>
          </w:p>
        </w:tc>
        <w:tc>
          <w:tcPr>
            <w:tcW w:w="180" w:type="dxa"/>
            <w:vAlign w:val="bottom"/>
            <w:tcBorders>
              <w:top w:val="single" w:sz="8" w:color="auto"/>
            </w:tcBorders>
          </w:tcPr>
          <w:p>
            <w:pPr>
              <w:spacing w:after="0"/>
              <w:rPr>
                <w:sz w:val="10"/>
                <w:szCs w:val="10"/>
                <w:color w:val="auto"/>
              </w:rPr>
            </w:pPr>
          </w:p>
        </w:tc>
        <w:tc>
          <w:tcPr>
            <w:tcW w:w="720" w:type="dxa"/>
            <w:vAlign w:val="bottom"/>
            <w:tcBorders>
              <w:top w:val="single" w:sz="8" w:color="auto"/>
            </w:tcBorders>
            <w:vMerge w:val="restart"/>
          </w:tcPr>
          <w:p>
            <w:pPr>
              <w:jc w:val="right"/>
              <w:ind w:right="238"/>
              <w:spacing w:after="0"/>
              <w:rPr>
                <w:sz w:val="20"/>
                <w:szCs w:val="20"/>
                <w:color w:val="auto"/>
              </w:rPr>
            </w:pPr>
            <w:r>
              <w:rPr>
                <w:rFonts w:ascii="Arial" w:cs="Arial" w:eastAsia="Arial" w:hAnsi="Arial"/>
                <w:sz w:val="14"/>
                <w:szCs w:val="14"/>
                <w:b w:val="1"/>
                <w:bCs w:val="1"/>
                <w:color w:val="auto"/>
              </w:rPr>
              <w:t>Fair</w:t>
            </w:r>
          </w:p>
        </w:tc>
        <w:tc>
          <w:tcPr>
            <w:tcW w:w="180" w:type="dxa"/>
            <w:vAlign w:val="bottom"/>
            <w:tcBorders>
              <w:top w:val="single" w:sz="8" w:color="auto"/>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800" w:type="dxa"/>
            <w:vAlign w:val="bottom"/>
            <w:tcBorders>
              <w:top w:val="single" w:sz="8" w:color="auto"/>
            </w:tcBorders>
          </w:tcPr>
          <w:p>
            <w:pPr>
              <w:jc w:val="center"/>
              <w:ind w:right="35"/>
              <w:spacing w:after="0" w:line="119" w:lineRule="exact"/>
              <w:rPr>
                <w:sz w:val="20"/>
                <w:szCs w:val="20"/>
                <w:color w:val="auto"/>
              </w:rPr>
            </w:pPr>
            <w:r>
              <w:rPr>
                <w:rFonts w:ascii="Arial" w:cs="Arial" w:eastAsia="Arial" w:hAnsi="Arial"/>
                <w:sz w:val="13"/>
                <w:szCs w:val="13"/>
                <w:b w:val="1"/>
                <w:bCs w:val="1"/>
                <w:color w:val="auto"/>
                <w:w w:val="95"/>
              </w:rPr>
              <w:t>Gross</w:t>
            </w:r>
          </w:p>
        </w:tc>
        <w:tc>
          <w:tcPr>
            <w:tcW w:w="180" w:type="dxa"/>
            <w:vAlign w:val="bottom"/>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700" w:type="dxa"/>
            <w:vAlign w:val="bottom"/>
            <w:tcBorders>
              <w:top w:val="single" w:sz="8" w:color="auto"/>
            </w:tcBorders>
            <w:vMerge w:val="restart"/>
          </w:tcPr>
          <w:p>
            <w:pPr>
              <w:jc w:val="right"/>
              <w:ind w:right="173"/>
              <w:spacing w:after="0"/>
              <w:rPr>
                <w:sz w:val="20"/>
                <w:szCs w:val="20"/>
                <w:color w:val="auto"/>
              </w:rPr>
            </w:pPr>
            <w:r>
              <w:rPr>
                <w:rFonts w:ascii="Arial" w:cs="Arial" w:eastAsia="Arial" w:hAnsi="Arial"/>
                <w:sz w:val="14"/>
                <w:szCs w:val="14"/>
                <w:b w:val="1"/>
                <w:bCs w:val="1"/>
                <w:color w:val="auto"/>
              </w:rPr>
              <w:t>Fair</w:t>
            </w:r>
          </w:p>
        </w:tc>
        <w:tc>
          <w:tcPr>
            <w:tcW w:w="60" w:type="dxa"/>
            <w:vAlign w:val="bottom"/>
            <w:tcBorders>
              <w:top w:val="single" w:sz="8" w:color="auto"/>
            </w:tcBorders>
          </w:tcPr>
          <w:p>
            <w:pPr>
              <w:spacing w:after="0"/>
              <w:rPr>
                <w:sz w:val="10"/>
                <w:szCs w:val="10"/>
                <w:color w:val="auto"/>
              </w:rPr>
            </w:pPr>
          </w:p>
        </w:tc>
        <w:tc>
          <w:tcPr>
            <w:tcW w:w="180" w:type="dxa"/>
            <w:vAlign w:val="bottom"/>
            <w:tcBorders>
              <w:top w:val="single" w:sz="8" w:color="auto"/>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820" w:type="dxa"/>
            <w:vAlign w:val="bottom"/>
            <w:tcBorders>
              <w:top w:val="single" w:sz="8" w:color="auto"/>
            </w:tcBorders>
          </w:tcPr>
          <w:p>
            <w:pPr>
              <w:jc w:val="center"/>
              <w:ind w:right="15"/>
              <w:spacing w:after="0" w:line="119" w:lineRule="exact"/>
              <w:rPr>
                <w:sz w:val="20"/>
                <w:szCs w:val="20"/>
                <w:color w:val="auto"/>
              </w:rPr>
            </w:pPr>
            <w:r>
              <w:rPr>
                <w:rFonts w:ascii="Arial" w:cs="Arial" w:eastAsia="Arial" w:hAnsi="Arial"/>
                <w:sz w:val="13"/>
                <w:szCs w:val="13"/>
                <w:b w:val="1"/>
                <w:bCs w:val="1"/>
                <w:color w:val="auto"/>
                <w:w w:val="95"/>
              </w:rPr>
              <w:t>Gross</w:t>
            </w:r>
          </w:p>
        </w:tc>
        <w:tc>
          <w:tcPr>
            <w:tcW w:w="0" w:type="dxa"/>
            <w:vAlign w:val="bottom"/>
          </w:tcPr>
          <w:p>
            <w:pPr>
              <w:spacing w:after="0"/>
              <w:rPr>
                <w:sz w:val="1"/>
                <w:szCs w:val="1"/>
                <w:color w:val="auto"/>
              </w:rPr>
            </w:pPr>
          </w:p>
        </w:tc>
      </w:tr>
      <w:tr>
        <w:trPr>
          <w:trHeight w:val="149"/>
        </w:trPr>
        <w:tc>
          <w:tcPr>
            <w:tcW w:w="24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60" w:type="dxa"/>
            <w:vAlign w:val="bottom"/>
            <w:vMerge w:val="continue"/>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5"/>
              </w:rPr>
              <w:t>unrealized</w:t>
            </w:r>
          </w:p>
        </w:tc>
        <w:tc>
          <w:tcPr>
            <w:tcW w:w="180" w:type="dxa"/>
            <w:vAlign w:val="bottom"/>
          </w:tcPr>
          <w:p>
            <w:pPr>
              <w:spacing w:after="0"/>
              <w:rPr>
                <w:sz w:val="12"/>
                <w:szCs w:val="12"/>
                <w:color w:val="auto"/>
              </w:rPr>
            </w:pPr>
          </w:p>
        </w:tc>
        <w:tc>
          <w:tcPr>
            <w:tcW w:w="720" w:type="dxa"/>
            <w:vAlign w:val="bottom"/>
            <w:vMerge w:val="continue"/>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8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2"/>
              </w:rPr>
              <w:t>unrealized</w:t>
            </w:r>
          </w:p>
        </w:tc>
        <w:tc>
          <w:tcPr>
            <w:tcW w:w="160" w:type="dxa"/>
            <w:vAlign w:val="bottom"/>
          </w:tcPr>
          <w:p>
            <w:pPr>
              <w:spacing w:after="0"/>
              <w:rPr>
                <w:sz w:val="12"/>
                <w:szCs w:val="12"/>
                <w:color w:val="auto"/>
              </w:rPr>
            </w:pPr>
          </w:p>
        </w:tc>
        <w:tc>
          <w:tcPr>
            <w:tcW w:w="700" w:type="dxa"/>
            <w:vAlign w:val="bottom"/>
            <w:vMerge w:val="continue"/>
          </w:tcPr>
          <w:p>
            <w:pPr>
              <w:spacing w:after="0"/>
              <w:rPr>
                <w:sz w:val="12"/>
                <w:szCs w:val="12"/>
                <w:color w:val="auto"/>
              </w:rPr>
            </w:pPr>
          </w:p>
        </w:tc>
        <w:tc>
          <w:tcPr>
            <w:tcW w:w="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20" w:type="dxa"/>
            <w:vAlign w:val="bottom"/>
          </w:tcPr>
          <w:p>
            <w:pPr>
              <w:jc w:val="center"/>
              <w:ind w:right="15"/>
              <w:spacing w:after="0" w:line="149" w:lineRule="exact"/>
              <w:rPr>
                <w:sz w:val="20"/>
                <w:szCs w:val="20"/>
                <w:color w:val="auto"/>
              </w:rPr>
            </w:pPr>
            <w:r>
              <w:rPr>
                <w:rFonts w:ascii="Arial" w:cs="Arial" w:eastAsia="Arial" w:hAnsi="Arial"/>
                <w:sz w:val="14"/>
                <w:szCs w:val="14"/>
                <w:b w:val="1"/>
                <w:bCs w:val="1"/>
                <w:color w:val="auto"/>
                <w:w w:val="92"/>
              </w:rPr>
              <w:t>unrealized</w:t>
            </w:r>
          </w:p>
        </w:tc>
        <w:tc>
          <w:tcPr>
            <w:tcW w:w="0" w:type="dxa"/>
            <w:vAlign w:val="bottom"/>
          </w:tcPr>
          <w:p>
            <w:pPr>
              <w:spacing w:after="0"/>
              <w:rPr>
                <w:sz w:val="1"/>
                <w:szCs w:val="1"/>
                <w:color w:val="auto"/>
              </w:rPr>
            </w:pPr>
          </w:p>
        </w:tc>
      </w:tr>
      <w:tr>
        <w:trPr>
          <w:trHeight w:val="171"/>
        </w:trPr>
        <w:tc>
          <w:tcPr>
            <w:tcW w:w="248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216"/>
              <w:spacing w:after="0"/>
              <w:rPr>
                <w:sz w:val="20"/>
                <w:szCs w:val="20"/>
                <w:color w:val="auto"/>
              </w:rPr>
            </w:pPr>
            <w:r>
              <w:rPr>
                <w:rFonts w:ascii="Arial" w:cs="Arial" w:eastAsia="Arial" w:hAnsi="Arial"/>
                <w:sz w:val="14"/>
                <w:szCs w:val="14"/>
                <w:b w:val="1"/>
                <w:bCs w:val="1"/>
                <w:color w:val="auto"/>
              </w:rPr>
              <w:t>value</w:t>
            </w:r>
          </w:p>
        </w:tc>
        <w:tc>
          <w:tcPr>
            <w:tcW w:w="1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center"/>
              <w:ind w:right="15"/>
              <w:spacing w:after="0"/>
              <w:rPr>
                <w:sz w:val="20"/>
                <w:szCs w:val="20"/>
                <w:color w:val="auto"/>
              </w:rPr>
            </w:pPr>
            <w:r>
              <w:rPr>
                <w:rFonts w:ascii="Arial" w:cs="Arial" w:eastAsia="Arial" w:hAnsi="Arial"/>
                <w:sz w:val="14"/>
                <w:szCs w:val="14"/>
                <w:b w:val="1"/>
                <w:bCs w:val="1"/>
                <w:color w:val="auto"/>
                <w:w w:val="77"/>
              </w:rPr>
              <w:t>losses</w:t>
            </w:r>
          </w:p>
        </w:tc>
        <w:tc>
          <w:tcPr>
            <w:tcW w:w="20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218"/>
              <w:spacing w:after="0"/>
              <w:rPr>
                <w:sz w:val="20"/>
                <w:szCs w:val="20"/>
                <w:color w:val="auto"/>
              </w:rPr>
            </w:pPr>
            <w:r>
              <w:rPr>
                <w:rFonts w:ascii="Arial" w:cs="Arial" w:eastAsia="Arial" w:hAnsi="Arial"/>
                <w:sz w:val="14"/>
                <w:szCs w:val="14"/>
                <w:b w:val="1"/>
                <w:bCs w:val="1"/>
                <w:color w:val="auto"/>
              </w:rPr>
              <w:t>value</w:t>
            </w:r>
          </w:p>
        </w:tc>
        <w:tc>
          <w:tcPr>
            <w:tcW w:w="1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center"/>
              <w:ind w:right="35"/>
              <w:spacing w:after="0"/>
              <w:rPr>
                <w:sz w:val="20"/>
                <w:szCs w:val="20"/>
                <w:color w:val="auto"/>
              </w:rPr>
            </w:pPr>
            <w:r>
              <w:rPr>
                <w:rFonts w:ascii="Arial" w:cs="Arial" w:eastAsia="Arial" w:hAnsi="Arial"/>
                <w:sz w:val="14"/>
                <w:szCs w:val="14"/>
                <w:b w:val="1"/>
                <w:bCs w:val="1"/>
                <w:color w:val="auto"/>
                <w:w w:val="82"/>
              </w:rPr>
              <w:t>losses</w:t>
            </w:r>
          </w:p>
        </w:tc>
        <w:tc>
          <w:tcPr>
            <w:tcW w:w="18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153"/>
              <w:spacing w:after="0"/>
              <w:rPr>
                <w:sz w:val="20"/>
                <w:szCs w:val="20"/>
                <w:color w:val="auto"/>
              </w:rPr>
            </w:pPr>
            <w:r>
              <w:rPr>
                <w:rFonts w:ascii="Arial" w:cs="Arial" w:eastAsia="Arial" w:hAnsi="Arial"/>
                <w:sz w:val="14"/>
                <w:szCs w:val="14"/>
                <w:b w:val="1"/>
                <w:bCs w:val="1"/>
                <w:color w:val="auto"/>
              </w:rPr>
              <w:t>value</w:t>
            </w:r>
          </w:p>
        </w:tc>
        <w:tc>
          <w:tcPr>
            <w:tcW w:w="60" w:type="dxa"/>
            <w:vAlign w:val="bottom"/>
            <w:tcBorders>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jc w:val="center"/>
              <w:ind w:right="35"/>
              <w:spacing w:after="0"/>
              <w:rPr>
                <w:sz w:val="20"/>
                <w:szCs w:val="20"/>
                <w:color w:val="auto"/>
              </w:rPr>
            </w:pPr>
            <w:r>
              <w:rPr>
                <w:rFonts w:ascii="Arial" w:cs="Arial" w:eastAsia="Arial" w:hAnsi="Arial"/>
                <w:sz w:val="14"/>
                <w:szCs w:val="14"/>
                <w:b w:val="1"/>
                <w:bCs w:val="1"/>
                <w:color w:val="auto"/>
                <w:w w:val="77"/>
              </w:rPr>
              <w:t>losses</w:t>
            </w:r>
          </w:p>
        </w:tc>
        <w:tc>
          <w:tcPr>
            <w:tcW w:w="0" w:type="dxa"/>
            <w:vAlign w:val="bottom"/>
          </w:tcPr>
          <w:p>
            <w:pPr>
              <w:spacing w:after="0"/>
              <w:rPr>
                <w:sz w:val="1"/>
                <w:szCs w:val="1"/>
                <w:color w:val="auto"/>
              </w:rPr>
            </w:pPr>
          </w:p>
        </w:tc>
      </w:tr>
      <w:tr>
        <w:trPr>
          <w:trHeight w:val="128"/>
        </w:trPr>
        <w:tc>
          <w:tcPr>
            <w:tcW w:w="24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820" w:type="dxa"/>
            <w:vAlign w:val="bottom"/>
            <w:gridSpan w:val="4"/>
          </w:tcPr>
          <w:p>
            <w:pPr>
              <w:jc w:val="center"/>
              <w:ind w:right="75"/>
              <w:spacing w:after="0" w:line="129" w:lineRule="exact"/>
              <w:rPr>
                <w:sz w:val="20"/>
                <w:szCs w:val="20"/>
                <w:color w:val="auto"/>
              </w:rPr>
            </w:pPr>
            <w:r>
              <w:rPr>
                <w:rFonts w:ascii="Arial" w:cs="Arial" w:eastAsia="Arial" w:hAnsi="Arial"/>
                <w:sz w:val="14"/>
                <w:szCs w:val="14"/>
                <w:i w:val="1"/>
                <w:iCs w:val="1"/>
                <w:color w:val="auto"/>
                <w:w w:val="98"/>
              </w:rPr>
              <w:t>(in millions)</w:t>
            </w:r>
          </w:p>
        </w:tc>
        <w:tc>
          <w:tcPr>
            <w:tcW w:w="1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35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Fixed maturities, available-for-sale (1):</w:t>
            </w: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500" w:type="dxa"/>
            <w:vAlign w:val="bottom"/>
            <w:gridSpan w:val="2"/>
          </w:tcPr>
          <w:p>
            <w:pPr>
              <w:ind w:left="120"/>
              <w:spacing w:after="0"/>
              <w:rPr>
                <w:sz w:val="20"/>
                <w:szCs w:val="20"/>
                <w:color w:val="auto"/>
              </w:rPr>
            </w:pPr>
            <w:r>
              <w:rPr>
                <w:rFonts w:ascii="Arial" w:cs="Arial" w:eastAsia="Arial" w:hAnsi="Arial"/>
                <w:sz w:val="18"/>
                <w:szCs w:val="18"/>
                <w:color w:val="auto"/>
              </w:rPr>
              <w:t>U.S. government and agencies</w:t>
            </w:r>
          </w:p>
        </w:tc>
        <w:tc>
          <w:tcPr>
            <w:tcW w:w="16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2,018.2</w:t>
            </w:r>
          </w:p>
        </w:tc>
        <w:tc>
          <w:tcPr>
            <w:tcW w:w="28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800" w:type="dxa"/>
            <w:vAlign w:val="bottom"/>
          </w:tcPr>
          <w:p>
            <w:pPr>
              <w:jc w:val="right"/>
              <w:spacing w:after="0"/>
              <w:rPr>
                <w:sz w:val="20"/>
                <w:szCs w:val="20"/>
                <w:color w:val="auto"/>
              </w:rPr>
            </w:pPr>
            <w:r>
              <w:rPr>
                <w:rFonts w:ascii="Arial" w:cs="Arial" w:eastAsia="Arial" w:hAnsi="Arial"/>
                <w:sz w:val="18"/>
                <w:szCs w:val="18"/>
                <w:b w:val="1"/>
                <w:bCs w:val="1"/>
                <w:color w:val="auto"/>
              </w:rPr>
              <w:t>135.2</w:t>
            </w:r>
          </w:p>
        </w:tc>
        <w:tc>
          <w:tcPr>
            <w:tcW w:w="200" w:type="dxa"/>
            <w:vAlign w:val="bottom"/>
          </w:tcPr>
          <w:p>
            <w:pPr>
              <w:spacing w:after="0"/>
              <w:rPr>
                <w:sz w:val="18"/>
                <w:szCs w:val="18"/>
                <w:color w:val="auto"/>
              </w:rPr>
            </w:pPr>
          </w:p>
        </w:tc>
        <w:tc>
          <w:tcPr>
            <w:tcW w:w="180" w:type="dxa"/>
            <w:vAlign w:val="bottom"/>
          </w:tcPr>
          <w:p>
            <w:pPr>
              <w:jc w:val="right"/>
              <w:ind w:right="27"/>
              <w:spacing w:after="0"/>
              <w:rPr>
                <w:sz w:val="20"/>
                <w:szCs w:val="20"/>
                <w:color w:val="auto"/>
              </w:rPr>
            </w:pPr>
            <w:r>
              <w:rPr>
                <w:rFonts w:ascii="Arial" w:cs="Arial" w:eastAsia="Arial" w:hAnsi="Arial"/>
                <w:sz w:val="15"/>
                <w:szCs w:val="15"/>
                <w:b w:val="1"/>
                <w:bCs w:val="1"/>
                <w:color w:val="auto"/>
                <w:w w:val="71"/>
              </w:rPr>
              <w:t>$</w:t>
            </w: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rPr>
              <w:t>122.6</w:t>
            </w:r>
          </w:p>
        </w:tc>
        <w:tc>
          <w:tcPr>
            <w:tcW w:w="30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800" w:type="dxa"/>
            <w:vAlign w:val="bottom"/>
          </w:tcPr>
          <w:p>
            <w:pPr>
              <w:jc w:val="right"/>
              <w:spacing w:after="0"/>
              <w:rPr>
                <w:sz w:val="20"/>
                <w:szCs w:val="20"/>
                <w:color w:val="auto"/>
              </w:rPr>
            </w:pPr>
            <w:r>
              <w:rPr>
                <w:rFonts w:ascii="Arial" w:cs="Arial" w:eastAsia="Arial" w:hAnsi="Arial"/>
                <w:sz w:val="18"/>
                <w:szCs w:val="18"/>
                <w:b w:val="1"/>
                <w:bCs w:val="1"/>
                <w:color w:val="auto"/>
              </w:rPr>
              <w:t>29.9</w:t>
            </w:r>
          </w:p>
        </w:tc>
        <w:tc>
          <w:tcPr>
            <w:tcW w:w="18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700" w:type="dxa"/>
            <w:vAlign w:val="bottom"/>
          </w:tcPr>
          <w:p>
            <w:pPr>
              <w:jc w:val="right"/>
              <w:spacing w:after="0"/>
              <w:rPr>
                <w:sz w:val="20"/>
                <w:szCs w:val="20"/>
                <w:color w:val="auto"/>
              </w:rPr>
            </w:pPr>
            <w:r>
              <w:rPr>
                <w:rFonts w:ascii="Arial" w:cs="Arial" w:eastAsia="Arial" w:hAnsi="Arial"/>
                <w:sz w:val="18"/>
                <w:szCs w:val="18"/>
                <w:b w:val="1"/>
                <w:bCs w:val="1"/>
                <w:color w:val="auto"/>
              </w:rPr>
              <w:t>2,140.8</w:t>
            </w:r>
          </w:p>
        </w:tc>
        <w:tc>
          <w:tcPr>
            <w:tcW w:w="360" w:type="dxa"/>
            <w:vAlign w:val="bottom"/>
            <w:gridSpan w:val="3"/>
          </w:tcPr>
          <w:p>
            <w:pPr>
              <w:jc w:val="right"/>
              <w:spacing w:after="0"/>
              <w:rPr>
                <w:sz w:val="20"/>
                <w:szCs w:val="20"/>
                <w:color w:val="auto"/>
              </w:rPr>
            </w:pPr>
            <w:r>
              <w:rPr>
                <w:rFonts w:ascii="Arial" w:cs="Arial" w:eastAsia="Arial" w:hAnsi="Arial"/>
                <w:sz w:val="18"/>
                <w:szCs w:val="18"/>
                <w:b w:val="1"/>
                <w:bCs w:val="1"/>
                <w:color w:val="auto"/>
              </w:rPr>
              <w:t>$</w:t>
            </w:r>
          </w:p>
        </w:tc>
        <w:tc>
          <w:tcPr>
            <w:tcW w:w="820" w:type="dxa"/>
            <w:vAlign w:val="bottom"/>
          </w:tcPr>
          <w:p>
            <w:pPr>
              <w:jc w:val="right"/>
              <w:spacing w:after="0"/>
              <w:rPr>
                <w:sz w:val="20"/>
                <w:szCs w:val="20"/>
                <w:color w:val="auto"/>
              </w:rPr>
            </w:pPr>
            <w:r>
              <w:rPr>
                <w:rFonts w:ascii="Arial" w:cs="Arial" w:eastAsia="Arial" w:hAnsi="Arial"/>
                <w:sz w:val="18"/>
                <w:szCs w:val="18"/>
                <w:b w:val="1"/>
                <w:bCs w:val="1"/>
                <w:color w:val="auto"/>
              </w:rPr>
              <w:t>165.1</w:t>
            </w:r>
          </w:p>
        </w:tc>
        <w:tc>
          <w:tcPr>
            <w:tcW w:w="0" w:type="dxa"/>
            <w:vAlign w:val="bottom"/>
          </w:tcPr>
          <w:p>
            <w:pPr>
              <w:spacing w:after="0"/>
              <w:rPr>
                <w:sz w:val="1"/>
                <w:szCs w:val="1"/>
                <w:color w:val="auto"/>
              </w:rPr>
            </w:pPr>
          </w:p>
        </w:tc>
      </w:tr>
      <w:tr>
        <w:trPr>
          <w:trHeight w:val="216"/>
        </w:trPr>
        <w:tc>
          <w:tcPr>
            <w:tcW w:w="350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Non-U.S. governments</w:t>
            </w: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401.5</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50.3</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2.9</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1.2</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404.4</w:t>
            </w: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51.5</w:t>
            </w:r>
          </w:p>
        </w:tc>
        <w:tc>
          <w:tcPr>
            <w:tcW w:w="0" w:type="dxa"/>
            <w:vAlign w:val="bottom"/>
          </w:tcPr>
          <w:p>
            <w:pPr>
              <w:spacing w:after="0"/>
              <w:rPr>
                <w:sz w:val="1"/>
                <w:szCs w:val="1"/>
                <w:color w:val="auto"/>
              </w:rPr>
            </w:pPr>
          </w:p>
        </w:tc>
      </w:tr>
      <w:tr>
        <w:trPr>
          <w:trHeight w:val="216"/>
        </w:trPr>
        <w:tc>
          <w:tcPr>
            <w:tcW w:w="3500" w:type="dxa"/>
            <w:vAlign w:val="bottom"/>
            <w:gridSpan w:val="2"/>
          </w:tcPr>
          <w:p>
            <w:pPr>
              <w:ind w:left="120"/>
              <w:spacing w:after="0"/>
              <w:rPr>
                <w:sz w:val="20"/>
                <w:szCs w:val="20"/>
                <w:color w:val="auto"/>
              </w:rPr>
            </w:pPr>
            <w:r>
              <w:rPr>
                <w:rFonts w:ascii="Arial" w:cs="Arial" w:eastAsia="Arial" w:hAnsi="Arial"/>
                <w:sz w:val="18"/>
                <w:szCs w:val="18"/>
                <w:color w:val="auto"/>
              </w:rPr>
              <w:t>States and political subdivisions</w:t>
            </w:r>
          </w:p>
        </w:tc>
        <w:tc>
          <w:tcPr>
            <w:tcW w:w="16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5,715.1</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b w:val="1"/>
                <w:bCs w:val="1"/>
                <w:color w:val="auto"/>
              </w:rPr>
              <w:t>689.6</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rPr>
              <w:t>112.0</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b w:val="1"/>
                <w:bCs w:val="1"/>
                <w:color w:val="auto"/>
              </w:rPr>
              <w:t>25.6</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b w:val="1"/>
                <w:bCs w:val="1"/>
                <w:color w:val="auto"/>
              </w:rPr>
              <w:t>5,827.1</w:t>
            </w: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b w:val="1"/>
                <w:bCs w:val="1"/>
                <w:color w:val="auto"/>
              </w:rPr>
              <w:t>715.2</w:t>
            </w:r>
          </w:p>
        </w:tc>
        <w:tc>
          <w:tcPr>
            <w:tcW w:w="0" w:type="dxa"/>
            <w:vAlign w:val="bottom"/>
          </w:tcPr>
          <w:p>
            <w:pPr>
              <w:spacing w:after="0"/>
              <w:rPr>
                <w:sz w:val="1"/>
                <w:szCs w:val="1"/>
                <w:color w:val="auto"/>
              </w:rPr>
            </w:pPr>
          </w:p>
        </w:tc>
      </w:tr>
      <w:tr>
        <w:trPr>
          <w:trHeight w:val="216"/>
        </w:trPr>
        <w:tc>
          <w:tcPr>
            <w:tcW w:w="350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Corporate</w:t>
            </w: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6"/>
              </w:rPr>
              <w:t>30,279.2</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3,345.4</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1,310.8</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271.7</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6"/>
              </w:rPr>
              <w:t>31,590.0</w:t>
            </w: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3,617.1</w:t>
            </w:r>
          </w:p>
        </w:tc>
        <w:tc>
          <w:tcPr>
            <w:tcW w:w="0" w:type="dxa"/>
            <w:vAlign w:val="bottom"/>
          </w:tcPr>
          <w:p>
            <w:pPr>
              <w:spacing w:after="0"/>
              <w:rPr>
                <w:sz w:val="1"/>
                <w:szCs w:val="1"/>
                <w:color w:val="auto"/>
              </w:rPr>
            </w:pPr>
          </w:p>
        </w:tc>
      </w:tr>
      <w:tr>
        <w:trPr>
          <w:trHeight w:val="202"/>
        </w:trPr>
        <w:tc>
          <w:tcPr>
            <w:tcW w:w="3500" w:type="dxa"/>
            <w:vAlign w:val="bottom"/>
            <w:gridSpan w:val="2"/>
          </w:tcPr>
          <w:p>
            <w:pPr>
              <w:ind w:left="120"/>
              <w:spacing w:after="0" w:line="201" w:lineRule="exact"/>
              <w:rPr>
                <w:sz w:val="20"/>
                <w:szCs w:val="20"/>
                <w:color w:val="auto"/>
              </w:rPr>
            </w:pPr>
            <w:r>
              <w:rPr>
                <w:rFonts w:ascii="Arial" w:cs="Arial" w:eastAsia="Arial" w:hAnsi="Arial"/>
                <w:sz w:val="18"/>
                <w:szCs w:val="18"/>
                <w:color w:val="auto"/>
                <w:w w:val="97"/>
              </w:rPr>
              <w:t>Residential mortgage-backed pass-through</w:t>
            </w:r>
          </w:p>
        </w:tc>
        <w:tc>
          <w:tcPr>
            <w:tcW w:w="160" w:type="dxa"/>
            <w:vAlign w:val="bottom"/>
          </w:tcPr>
          <w:p>
            <w:pPr>
              <w:spacing w:after="0"/>
              <w:rPr>
                <w:sz w:val="17"/>
                <w:szCs w:val="17"/>
                <w:color w:val="auto"/>
              </w:rPr>
            </w:pPr>
          </w:p>
        </w:tc>
        <w:tc>
          <w:tcPr>
            <w:tcW w:w="76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1,636.0</w:t>
            </w: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123.6</w:t>
            </w:r>
          </w:p>
        </w:tc>
        <w:tc>
          <w:tcPr>
            <w:tcW w:w="2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2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112.9</w:t>
            </w: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20.2</w:t>
            </w:r>
          </w:p>
        </w:tc>
        <w:tc>
          <w:tcPr>
            <w:tcW w:w="1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0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1,748.9</w:t>
            </w:r>
          </w:p>
        </w:tc>
        <w:tc>
          <w:tcPr>
            <w:tcW w:w="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143.8</w:t>
            </w:r>
          </w:p>
        </w:tc>
        <w:tc>
          <w:tcPr>
            <w:tcW w:w="0" w:type="dxa"/>
            <w:vAlign w:val="bottom"/>
          </w:tcPr>
          <w:p>
            <w:pPr>
              <w:spacing w:after="0"/>
              <w:rPr>
                <w:sz w:val="1"/>
                <w:szCs w:val="1"/>
                <w:color w:val="auto"/>
              </w:rPr>
            </w:pPr>
          </w:p>
        </w:tc>
      </w:tr>
      <w:tr>
        <w:trPr>
          <w:trHeight w:val="230"/>
        </w:trPr>
        <w:tc>
          <w:tcPr>
            <w:tcW w:w="3500" w:type="dxa"/>
            <w:vAlign w:val="bottom"/>
            <w:gridSpan w:val="2"/>
          </w:tcPr>
          <w:p>
            <w:pPr>
              <w:ind w:left="240"/>
              <w:spacing w:after="0"/>
              <w:rPr>
                <w:sz w:val="20"/>
                <w:szCs w:val="20"/>
                <w:color w:val="auto"/>
              </w:rPr>
            </w:pPr>
            <w:r>
              <w:rPr>
                <w:rFonts w:ascii="Arial" w:cs="Arial" w:eastAsia="Arial" w:hAnsi="Arial"/>
                <w:sz w:val="18"/>
                <w:szCs w:val="18"/>
                <w:color w:val="auto"/>
              </w:rPr>
              <w:t>securities</w:t>
            </w:r>
          </w:p>
        </w:tc>
        <w:tc>
          <w:tcPr>
            <w:tcW w:w="160" w:type="dxa"/>
            <w:vAlign w:val="bottom"/>
          </w:tcPr>
          <w:p>
            <w:pPr>
              <w:spacing w:after="0"/>
              <w:rPr>
                <w:sz w:val="20"/>
                <w:szCs w:val="20"/>
                <w:color w:val="auto"/>
              </w:rPr>
            </w:pPr>
          </w:p>
        </w:tc>
        <w:tc>
          <w:tcPr>
            <w:tcW w:w="760" w:type="dxa"/>
            <w:vAlign w:val="bottom"/>
            <w:vMerge w:val="continue"/>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0" w:type="dxa"/>
            <w:vAlign w:val="bottom"/>
            <w:vMerge w:val="continue"/>
          </w:tcPr>
          <w:p>
            <w:pPr>
              <w:spacing w:after="0"/>
              <w:rPr>
                <w:sz w:val="20"/>
                <w:szCs w:val="20"/>
                <w:color w:val="auto"/>
              </w:rPr>
            </w:pPr>
          </w:p>
        </w:tc>
        <w:tc>
          <w:tcPr>
            <w:tcW w:w="2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20" w:type="dxa"/>
            <w:vAlign w:val="bottom"/>
            <w:vMerge w:val="continue"/>
          </w:tcPr>
          <w:p>
            <w:pPr>
              <w:spacing w:after="0"/>
              <w:rPr>
                <w:sz w:val="20"/>
                <w:szCs w:val="20"/>
                <w:color w:val="auto"/>
              </w:rPr>
            </w:pPr>
          </w:p>
        </w:tc>
        <w:tc>
          <w:tcPr>
            <w:tcW w:w="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0" w:type="dxa"/>
            <w:vAlign w:val="bottom"/>
            <w:vMerge w:val="continue"/>
          </w:tcPr>
          <w:p>
            <w:pPr>
              <w:spacing w:after="0"/>
              <w:rPr>
                <w:sz w:val="20"/>
                <w:szCs w:val="20"/>
                <w:color w:val="auto"/>
              </w:rPr>
            </w:pPr>
          </w:p>
        </w:tc>
        <w:tc>
          <w:tcPr>
            <w:tcW w:w="1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00" w:type="dxa"/>
            <w:vAlign w:val="bottom"/>
            <w:vMerge w:val="continue"/>
          </w:tcPr>
          <w:p>
            <w:pPr>
              <w:spacing w:after="0"/>
              <w:rPr>
                <w:sz w:val="20"/>
                <w:szCs w:val="20"/>
                <w:color w:val="auto"/>
              </w:rPr>
            </w:pPr>
          </w:p>
        </w:tc>
        <w:tc>
          <w:tcPr>
            <w:tcW w:w="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2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350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Commercial mortgage-backed securities</w:t>
            </w: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4,846.6</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413.0</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312.1</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40.3</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5,158.7</w:t>
            </w: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453.3</w:t>
            </w:r>
          </w:p>
        </w:tc>
        <w:tc>
          <w:tcPr>
            <w:tcW w:w="0" w:type="dxa"/>
            <w:vAlign w:val="bottom"/>
          </w:tcPr>
          <w:p>
            <w:pPr>
              <w:spacing w:after="0"/>
              <w:rPr>
                <w:sz w:val="1"/>
                <w:szCs w:val="1"/>
                <w:color w:val="auto"/>
              </w:rPr>
            </w:pPr>
          </w:p>
        </w:tc>
      </w:tr>
      <w:tr>
        <w:trPr>
          <w:trHeight w:val="216"/>
        </w:trPr>
        <w:tc>
          <w:tcPr>
            <w:tcW w:w="3500" w:type="dxa"/>
            <w:vAlign w:val="bottom"/>
            <w:gridSpan w:val="2"/>
          </w:tcPr>
          <w:p>
            <w:pPr>
              <w:ind w:left="120"/>
              <w:spacing w:after="0"/>
              <w:rPr>
                <w:sz w:val="20"/>
                <w:szCs w:val="20"/>
                <w:color w:val="auto"/>
              </w:rPr>
            </w:pPr>
            <w:r>
              <w:rPr>
                <w:rFonts w:ascii="Arial" w:cs="Arial" w:eastAsia="Arial" w:hAnsi="Arial"/>
                <w:sz w:val="18"/>
                <w:szCs w:val="18"/>
                <w:color w:val="auto"/>
              </w:rPr>
              <w:t>Collateralized debt obligations (2)</w:t>
            </w:r>
          </w:p>
        </w:tc>
        <w:tc>
          <w:tcPr>
            <w:tcW w:w="16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2,940.2</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b w:val="1"/>
                <w:bCs w:val="1"/>
                <w:color w:val="auto"/>
              </w:rPr>
              <w:t>89.9</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rPr>
              <w:t>651.9</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b w:val="1"/>
                <w:bCs w:val="1"/>
                <w:color w:val="auto"/>
              </w:rPr>
              <w:t>21.5</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b w:val="1"/>
                <w:bCs w:val="1"/>
                <w:color w:val="auto"/>
              </w:rPr>
              <w:t>3,592.1</w:t>
            </w: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b w:val="1"/>
                <w:bCs w:val="1"/>
                <w:color w:val="auto"/>
              </w:rPr>
              <w:t>111.4</w:t>
            </w:r>
          </w:p>
        </w:tc>
        <w:tc>
          <w:tcPr>
            <w:tcW w:w="0" w:type="dxa"/>
            <w:vAlign w:val="bottom"/>
          </w:tcPr>
          <w:p>
            <w:pPr>
              <w:spacing w:after="0"/>
              <w:rPr>
                <w:sz w:val="1"/>
                <w:szCs w:val="1"/>
                <w:color w:val="auto"/>
              </w:rPr>
            </w:pPr>
          </w:p>
        </w:tc>
      </w:tr>
      <w:tr>
        <w:trPr>
          <w:trHeight w:val="216"/>
        </w:trPr>
        <w:tc>
          <w:tcPr>
            <w:tcW w:w="350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Other debt obligations</w:t>
            </w:r>
          </w:p>
        </w:tc>
        <w:tc>
          <w:tcPr>
            <w:tcW w:w="16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5,744.0</w:t>
            </w:r>
          </w:p>
        </w:tc>
        <w:tc>
          <w:tcPr>
            <w:tcW w:w="1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435.4</w:t>
            </w:r>
          </w:p>
        </w:tc>
        <w:tc>
          <w:tcPr>
            <w:tcW w:w="20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381.7</w:t>
            </w:r>
          </w:p>
        </w:tc>
        <w:tc>
          <w:tcPr>
            <w:tcW w:w="18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62.8</w:t>
            </w:r>
          </w:p>
        </w:tc>
        <w:tc>
          <w:tcPr>
            <w:tcW w:w="18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6,125.7</w:t>
            </w:r>
          </w:p>
        </w:tc>
        <w:tc>
          <w:tcPr>
            <w:tcW w:w="60" w:type="dxa"/>
            <w:vAlign w:val="bottom"/>
            <w:tcBorders>
              <w:bottom w:val="single" w:sz="8" w:color="auto"/>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498.2</w:t>
            </w:r>
          </w:p>
        </w:tc>
        <w:tc>
          <w:tcPr>
            <w:tcW w:w="0" w:type="dxa"/>
            <w:vAlign w:val="bottom"/>
          </w:tcPr>
          <w:p>
            <w:pPr>
              <w:spacing w:after="0"/>
              <w:rPr>
                <w:sz w:val="1"/>
                <w:szCs w:val="1"/>
                <w:color w:val="auto"/>
              </w:rPr>
            </w:pPr>
          </w:p>
        </w:tc>
      </w:tr>
      <w:tr>
        <w:trPr>
          <w:trHeight w:val="209"/>
        </w:trPr>
        <w:tc>
          <w:tcPr>
            <w:tcW w:w="3500" w:type="dxa"/>
            <w:vAlign w:val="bottom"/>
            <w:gridSpan w:val="2"/>
          </w:tcPr>
          <w:p>
            <w:pPr>
              <w:spacing w:after="0"/>
              <w:rPr>
                <w:sz w:val="20"/>
                <w:szCs w:val="20"/>
                <w:color w:val="auto"/>
              </w:rPr>
            </w:pPr>
            <w:r>
              <w:rPr>
                <w:rFonts w:ascii="Arial" w:cs="Arial" w:eastAsia="Arial" w:hAnsi="Arial"/>
                <w:sz w:val="18"/>
                <w:szCs w:val="18"/>
                <w:color w:val="auto"/>
              </w:rPr>
              <w:t>Total fixed maturities, available-for-sale</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96"/>
              </w:rPr>
              <w:t>53,580.8</w:t>
            </w:r>
          </w:p>
        </w:tc>
        <w:tc>
          <w:tcPr>
            <w:tcW w:w="180" w:type="dxa"/>
            <w:vAlign w:val="bottom"/>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5,282.4</w:t>
            </w:r>
          </w:p>
        </w:tc>
        <w:tc>
          <w:tcPr>
            <w:tcW w:w="200" w:type="dxa"/>
            <w:vAlign w:val="bottom"/>
          </w:tcPr>
          <w:p>
            <w:pPr>
              <w:spacing w:after="0"/>
              <w:rPr>
                <w:sz w:val="18"/>
                <w:szCs w:val="18"/>
                <w:color w:val="auto"/>
              </w:rPr>
            </w:pPr>
          </w:p>
        </w:tc>
        <w:tc>
          <w:tcPr>
            <w:tcW w:w="180" w:type="dxa"/>
            <w:vAlign w:val="bottom"/>
            <w:tcBorders>
              <w:bottom w:val="single" w:sz="8" w:color="auto"/>
            </w:tcBorders>
          </w:tcPr>
          <w:p>
            <w:pPr>
              <w:jc w:val="right"/>
              <w:ind w:right="27"/>
              <w:spacing w:after="0"/>
              <w:rPr>
                <w:sz w:val="20"/>
                <w:szCs w:val="20"/>
                <w:color w:val="auto"/>
              </w:rPr>
            </w:pPr>
            <w:r>
              <w:rPr>
                <w:rFonts w:ascii="Arial" w:cs="Arial" w:eastAsia="Arial" w:hAnsi="Arial"/>
                <w:sz w:val="15"/>
                <w:szCs w:val="15"/>
                <w:b w:val="1"/>
                <w:bCs w:val="1"/>
                <w:color w:val="auto"/>
                <w:w w:val="71"/>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3,006.9</w:t>
            </w:r>
          </w:p>
        </w:tc>
        <w:tc>
          <w:tcPr>
            <w:tcW w:w="180" w:type="dxa"/>
            <w:vAlign w:val="bottom"/>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473.2</w:t>
            </w:r>
          </w:p>
        </w:tc>
        <w:tc>
          <w:tcPr>
            <w:tcW w:w="180" w:type="dxa"/>
            <w:vAlign w:val="bottom"/>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96"/>
              </w:rPr>
              <w:t>56,587.7</w:t>
            </w:r>
          </w:p>
        </w:tc>
        <w:tc>
          <w:tcPr>
            <w:tcW w:w="60" w:type="dxa"/>
            <w:vAlign w:val="bottom"/>
            <w:tcBorders>
              <w:bottom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5,755.6</w:t>
            </w:r>
          </w:p>
        </w:tc>
        <w:tc>
          <w:tcPr>
            <w:tcW w:w="0" w:type="dxa"/>
            <w:vAlign w:val="bottom"/>
          </w:tcPr>
          <w:p>
            <w:pPr>
              <w:spacing w:after="0"/>
              <w:rPr>
                <w:sz w:val="1"/>
                <w:szCs w:val="1"/>
                <w:color w:val="auto"/>
              </w:rPr>
            </w:pPr>
          </w:p>
        </w:tc>
      </w:tr>
      <w:tr>
        <w:trPr>
          <w:trHeight w:val="20"/>
        </w:trPr>
        <w:tc>
          <w:tcPr>
            <w:tcW w:w="248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2480" w:type="dxa"/>
            <w:vAlign w:val="bottom"/>
            <w:tcBorders>
              <w:bottom w:val="single" w:sz="8" w:color="auto"/>
            </w:tcBorders>
          </w:tcPr>
          <w:p>
            <w:pPr>
              <w:spacing w:after="0"/>
              <w:rPr>
                <w:sz w:val="7"/>
                <w:szCs w:val="7"/>
                <w:color w:val="auto"/>
              </w:rPr>
            </w:pPr>
          </w:p>
        </w:tc>
        <w:tc>
          <w:tcPr>
            <w:tcW w:w="1020" w:type="dxa"/>
            <w:vAlign w:val="bottom"/>
          </w:tcPr>
          <w:p>
            <w:pPr>
              <w:spacing w:after="0"/>
              <w:rPr>
                <w:sz w:val="7"/>
                <w:szCs w:val="7"/>
                <w:color w:val="auto"/>
              </w:rPr>
            </w:pPr>
          </w:p>
        </w:tc>
        <w:tc>
          <w:tcPr>
            <w:tcW w:w="160" w:type="dxa"/>
            <w:vAlign w:val="bottom"/>
          </w:tcPr>
          <w:p>
            <w:pPr>
              <w:spacing w:after="0"/>
              <w:rPr>
                <w:sz w:val="7"/>
                <w:szCs w:val="7"/>
                <w:color w:val="auto"/>
              </w:rPr>
            </w:pPr>
          </w:p>
        </w:tc>
        <w:tc>
          <w:tcPr>
            <w:tcW w:w="760" w:type="dxa"/>
            <w:vAlign w:val="bottom"/>
          </w:tcPr>
          <w:p>
            <w:pPr>
              <w:spacing w:after="0"/>
              <w:rPr>
                <w:sz w:val="7"/>
                <w:szCs w:val="7"/>
                <w:color w:val="auto"/>
              </w:rPr>
            </w:pPr>
          </w:p>
        </w:tc>
        <w:tc>
          <w:tcPr>
            <w:tcW w:w="180" w:type="dxa"/>
            <w:vAlign w:val="bottom"/>
          </w:tcPr>
          <w:p>
            <w:pPr>
              <w:spacing w:after="0"/>
              <w:rPr>
                <w:sz w:val="7"/>
                <w:szCs w:val="7"/>
                <w:color w:val="auto"/>
              </w:rPr>
            </w:pPr>
          </w:p>
        </w:tc>
        <w:tc>
          <w:tcPr>
            <w:tcW w:w="100" w:type="dxa"/>
            <w:vAlign w:val="bottom"/>
          </w:tcPr>
          <w:p>
            <w:pPr>
              <w:spacing w:after="0"/>
              <w:rPr>
                <w:sz w:val="7"/>
                <w:szCs w:val="7"/>
                <w:color w:val="auto"/>
              </w:rPr>
            </w:pPr>
          </w:p>
        </w:tc>
        <w:tc>
          <w:tcPr>
            <w:tcW w:w="800" w:type="dxa"/>
            <w:vAlign w:val="bottom"/>
          </w:tcPr>
          <w:p>
            <w:pPr>
              <w:spacing w:after="0"/>
              <w:rPr>
                <w:sz w:val="7"/>
                <w:szCs w:val="7"/>
                <w:color w:val="auto"/>
              </w:rPr>
            </w:pPr>
          </w:p>
        </w:tc>
        <w:tc>
          <w:tcPr>
            <w:tcW w:w="200" w:type="dxa"/>
            <w:vAlign w:val="bottom"/>
          </w:tcPr>
          <w:p>
            <w:pPr>
              <w:spacing w:after="0"/>
              <w:rPr>
                <w:sz w:val="7"/>
                <w:szCs w:val="7"/>
                <w:color w:val="auto"/>
              </w:rPr>
            </w:pPr>
          </w:p>
        </w:tc>
        <w:tc>
          <w:tcPr>
            <w:tcW w:w="180" w:type="dxa"/>
            <w:vAlign w:val="bottom"/>
          </w:tcPr>
          <w:p>
            <w:pPr>
              <w:spacing w:after="0"/>
              <w:rPr>
                <w:sz w:val="7"/>
                <w:szCs w:val="7"/>
                <w:color w:val="auto"/>
              </w:rPr>
            </w:pPr>
          </w:p>
        </w:tc>
        <w:tc>
          <w:tcPr>
            <w:tcW w:w="720" w:type="dxa"/>
            <w:vAlign w:val="bottom"/>
          </w:tcPr>
          <w:p>
            <w:pPr>
              <w:spacing w:after="0"/>
              <w:rPr>
                <w:sz w:val="7"/>
                <w:szCs w:val="7"/>
                <w:color w:val="auto"/>
              </w:rPr>
            </w:pPr>
          </w:p>
        </w:tc>
        <w:tc>
          <w:tcPr>
            <w:tcW w:w="180" w:type="dxa"/>
            <w:vAlign w:val="bottom"/>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80" w:type="dxa"/>
            <w:vAlign w:val="bottom"/>
          </w:tcPr>
          <w:p>
            <w:pPr>
              <w:spacing w:after="0"/>
              <w:rPr>
                <w:sz w:val="7"/>
                <w:szCs w:val="7"/>
                <w:color w:val="auto"/>
              </w:rPr>
            </w:pPr>
          </w:p>
        </w:tc>
        <w:tc>
          <w:tcPr>
            <w:tcW w:w="160" w:type="dxa"/>
            <w:vAlign w:val="bottom"/>
          </w:tcPr>
          <w:p>
            <w:pPr>
              <w:spacing w:after="0"/>
              <w:rPr>
                <w:sz w:val="7"/>
                <w:szCs w:val="7"/>
                <w:color w:val="auto"/>
              </w:rPr>
            </w:pPr>
          </w:p>
        </w:tc>
        <w:tc>
          <w:tcPr>
            <w:tcW w:w="700" w:type="dxa"/>
            <w:vAlign w:val="bottom"/>
          </w:tcPr>
          <w:p>
            <w:pPr>
              <w:spacing w:after="0"/>
              <w:rPr>
                <w:sz w:val="7"/>
                <w:szCs w:val="7"/>
                <w:color w:val="auto"/>
              </w:rPr>
            </w:pPr>
          </w:p>
        </w:tc>
        <w:tc>
          <w:tcPr>
            <w:tcW w:w="60" w:type="dxa"/>
            <w:vAlign w:val="bottom"/>
          </w:tcPr>
          <w:p>
            <w:pPr>
              <w:spacing w:after="0"/>
              <w:rPr>
                <w:sz w:val="7"/>
                <w:szCs w:val="7"/>
                <w:color w:val="auto"/>
              </w:rPr>
            </w:pPr>
          </w:p>
        </w:tc>
        <w:tc>
          <w:tcPr>
            <w:tcW w:w="180" w:type="dxa"/>
            <w:vAlign w:val="bottom"/>
          </w:tcPr>
          <w:p>
            <w:pPr>
              <w:spacing w:after="0"/>
              <w:rPr>
                <w:sz w:val="7"/>
                <w:szCs w:val="7"/>
                <w:color w:val="auto"/>
              </w:rPr>
            </w:pPr>
          </w:p>
        </w:tc>
        <w:tc>
          <w:tcPr>
            <w:tcW w:w="120" w:type="dxa"/>
            <w:vAlign w:val="bottom"/>
          </w:tcPr>
          <w:p>
            <w:pPr>
              <w:spacing w:after="0"/>
              <w:rPr>
                <w:sz w:val="7"/>
                <w:szCs w:val="7"/>
                <w:color w:val="auto"/>
              </w:rPr>
            </w:pPr>
          </w:p>
        </w:tc>
        <w:tc>
          <w:tcPr>
            <w:tcW w:w="82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80" w:lineRule="exact"/>
        <w:rPr>
          <w:sz w:val="20"/>
          <w:szCs w:val="20"/>
          <w:color w:val="auto"/>
        </w:rPr>
      </w:pPr>
    </w:p>
    <w:p>
      <w:pPr>
        <w:ind w:left="340" w:right="200" w:hanging="332"/>
        <w:spacing w:after="0" w:line="258" w:lineRule="auto"/>
        <w:tabs>
          <w:tab w:leader="none" w:pos="3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Fair value and gross unrealized losses are excluded for available-for-sale securities for which an allowance for credit loss has been recorded.</w:t>
      </w:r>
    </w:p>
    <w:p>
      <w:pPr>
        <w:spacing w:after="0" w:line="1" w:lineRule="exact"/>
        <w:rPr>
          <w:rFonts w:ascii="Arial" w:cs="Arial" w:eastAsia="Arial" w:hAnsi="Arial"/>
          <w:sz w:val="18"/>
          <w:szCs w:val="18"/>
          <w:color w:val="auto"/>
        </w:rPr>
      </w:pPr>
    </w:p>
    <w:p>
      <w:pPr>
        <w:ind w:left="340" w:hanging="332"/>
        <w:spacing w:after="0"/>
        <w:tabs>
          <w:tab w:leader="none" w:pos="3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Primarily consists of collateralized loan obligations backed by secured corporate loans.</w:t>
      </w:r>
    </w:p>
    <w:p>
      <w:pPr>
        <w:spacing w:after="0" w:line="211" w:lineRule="exact"/>
        <w:rPr>
          <w:sz w:val="20"/>
          <w:szCs w:val="20"/>
          <w:color w:val="auto"/>
        </w:rPr>
      </w:pPr>
    </w:p>
    <w:p>
      <w:pPr>
        <w:ind w:right="60" w:firstLine="648"/>
        <w:spacing w:after="0" w:line="296" w:lineRule="auto"/>
        <w:rPr>
          <w:sz w:val="20"/>
          <w:szCs w:val="20"/>
          <w:color w:val="auto"/>
        </w:rPr>
      </w:pPr>
      <w:r>
        <w:rPr>
          <w:rFonts w:ascii="Arial" w:cs="Arial" w:eastAsia="Arial" w:hAnsi="Arial"/>
          <w:sz w:val="16"/>
          <w:szCs w:val="16"/>
          <w:color w:val="auto"/>
        </w:rPr>
        <w:t>Of the total amounts, Principal Life Insurance Company’s (“Principal Life”) consolidated portfolio represented $55,110.9 million in available-for-sale fixed maturities with gross unrealized losses of $5,637.3 million. Of the available-for-sale fixed maturities within Principal Life’s consolidated portfolio in a gross unrealized loss position, 95% were investment grade (rated AAA through BBB-) with an average price of 91 (carrying value/amortized cost) as of June 30, 2022. Gross unrealized losses in our fixed maturities portfolio increased during the six months ended June 30, 2022, primarily due to an increase in interest rates and a widening of credit spreads.</w:t>
      </w:r>
    </w:p>
    <w:p>
      <w:pPr>
        <w:spacing w:after="0" w:line="161" w:lineRule="exact"/>
        <w:rPr>
          <w:sz w:val="20"/>
          <w:szCs w:val="20"/>
          <w:color w:val="auto"/>
        </w:rPr>
      </w:pPr>
    </w:p>
    <w:p>
      <w:pPr>
        <w:ind w:right="60" w:firstLine="648"/>
        <w:spacing w:after="0" w:line="275" w:lineRule="auto"/>
        <w:rPr>
          <w:sz w:val="20"/>
          <w:szCs w:val="20"/>
          <w:color w:val="auto"/>
        </w:rPr>
      </w:pPr>
      <w:r>
        <w:rPr>
          <w:rFonts w:ascii="Arial" w:cs="Arial" w:eastAsia="Arial" w:hAnsi="Arial"/>
          <w:sz w:val="17"/>
          <w:szCs w:val="17"/>
          <w:color w:val="auto"/>
        </w:rPr>
        <w:t>For those securities that had been in a continuous unrealized loss position for less than twelve months, Principal Life’s consolidated portfolio held 7,710 securities with a carrying value of $52,512.8 million and unrealized losses of $5,220.4 million reflecting an average price of 91 as of June 30, 2022. Of this portfolio, 95% was investment grade (rated AAA through BBB-) as of June 30, 2022, with associated unrealized losses of $4,953.9 million. The unrealized losses on these securities can primarily be attributed to changes in market interest rates and changes in credit spreads since the securities were acquired.</w:t>
      </w:r>
    </w:p>
    <w:p>
      <w:pPr>
        <w:spacing w:after="0" w:line="176" w:lineRule="exact"/>
        <w:rPr>
          <w:sz w:val="20"/>
          <w:szCs w:val="20"/>
          <w:color w:val="auto"/>
        </w:rPr>
      </w:pPr>
    </w:p>
    <w:p>
      <w:pPr>
        <w:ind w:right="60" w:firstLine="648"/>
        <w:spacing w:after="0" w:line="270" w:lineRule="auto"/>
        <w:rPr>
          <w:sz w:val="20"/>
          <w:szCs w:val="20"/>
          <w:color w:val="auto"/>
        </w:rPr>
      </w:pPr>
      <w:r>
        <w:rPr>
          <w:rFonts w:ascii="Arial" w:cs="Arial" w:eastAsia="Arial" w:hAnsi="Arial"/>
          <w:sz w:val="17"/>
          <w:szCs w:val="17"/>
          <w:color w:val="auto"/>
        </w:rPr>
        <w:t>For those securities that had been in a continuous unrealized loss position greater than or equal to twelve months, Principal Life’s consolidated portfolio held 585 securities with a carrying value of $2,598.1 million and unrealized losses of $416.9 million as of June 30, 2022. The average credit rating of this portfolio was A+ with an average price of 86 as of June 30, 2022. Of the $416.9 million in unrealized losses, the corporate sector accounts for $224.3 million in unrealized losses with an average price of 81 and an average credit rating of BBB. Furthermore, unrealized losses include $39.4 million within the CMBS sector with an average price of 80 and an average credit rating of AAA; $39.2 million within the collateralized mortgage obligation security sector with an average price of 86 and an average credit rating of AAA; and $29.9 million within the U.S. government and agency security sector with an average price of 88 and an average credit rating of AA+. The unrealized losses on these securities can primarily be attributed to changes in market interest rates and changes in credit spreads since the securities were acquired.</w:t>
      </w:r>
    </w:p>
    <w:p>
      <w:pPr>
        <w:spacing w:after="0" w:line="3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540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25" w:name="page26"/>
    <w:bookmarkEnd w:id="25"/>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right="60" w:firstLine="648"/>
        <w:spacing w:after="0" w:line="259" w:lineRule="auto"/>
        <w:rPr>
          <w:sz w:val="20"/>
          <w:szCs w:val="20"/>
          <w:color w:val="auto"/>
        </w:rPr>
      </w:pPr>
      <w:r>
        <w:rPr>
          <w:rFonts w:ascii="Arial" w:cs="Arial" w:eastAsia="Arial" w:hAnsi="Arial"/>
          <w:sz w:val="18"/>
          <w:szCs w:val="18"/>
          <w:color w:val="auto"/>
        </w:rPr>
        <w:t>Because we expected to recover our amortized cost, we did not record an allowance for credit loss on these securities as of June 30, 2022. Because it was not our intent to sell the fixed maturity available-for-sale securities with unrealized losses and it was not more likely than not that we would be required to sell these securities before recovery of the amortized cost, which may be at maturity, we did not write down these investments to fair value.</w:t>
      </w:r>
    </w:p>
    <w:p>
      <w:pPr>
        <w:spacing w:after="0" w:line="192"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48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2000" w:type="dxa"/>
            <w:vAlign w:val="bottom"/>
            <w:tcBorders>
              <w:bottom w:val="single" w:sz="8" w:color="auto"/>
            </w:tcBorders>
            <w:gridSpan w:val="5"/>
          </w:tcPr>
          <w:p>
            <w:pPr>
              <w:jc w:val="center"/>
              <w:ind w:right="320"/>
              <w:spacing w:after="0"/>
              <w:rPr>
                <w:sz w:val="20"/>
                <w:szCs w:val="20"/>
                <w:color w:val="auto"/>
              </w:rPr>
            </w:pPr>
            <w:r>
              <w:rPr>
                <w:rFonts w:ascii="Arial" w:cs="Arial" w:eastAsia="Arial" w:hAnsi="Arial"/>
                <w:sz w:val="14"/>
                <w:szCs w:val="14"/>
                <w:b w:val="1"/>
                <w:bCs w:val="1"/>
                <w:color w:val="auto"/>
                <w:w w:val="91"/>
              </w:rPr>
              <w:t>December 31, 2021</w:t>
            </w:r>
          </w:p>
        </w:tc>
        <w:tc>
          <w:tcPr>
            <w:tcW w:w="16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4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040" w:type="dxa"/>
            <w:vAlign w:val="bottom"/>
            <w:gridSpan w:val="5"/>
          </w:tcPr>
          <w:p>
            <w:pPr>
              <w:jc w:val="center"/>
              <w:ind w:right="340"/>
              <w:spacing w:after="0" w:line="119" w:lineRule="exact"/>
              <w:rPr>
                <w:sz w:val="20"/>
                <w:szCs w:val="20"/>
                <w:color w:val="auto"/>
              </w:rPr>
            </w:pPr>
            <w:r>
              <w:rPr>
                <w:rFonts w:ascii="Arial" w:cs="Arial" w:eastAsia="Arial" w:hAnsi="Arial"/>
                <w:sz w:val="13"/>
                <w:szCs w:val="13"/>
                <w:b w:val="1"/>
                <w:bCs w:val="1"/>
                <w:color w:val="auto"/>
                <w:w w:val="95"/>
              </w:rPr>
              <w:t>Less than</w:t>
            </w:r>
          </w:p>
        </w:tc>
        <w:tc>
          <w:tcPr>
            <w:tcW w:w="180" w:type="dxa"/>
            <w:vAlign w:val="bottom"/>
          </w:tcPr>
          <w:p>
            <w:pPr>
              <w:spacing w:after="0"/>
              <w:rPr>
                <w:sz w:val="10"/>
                <w:szCs w:val="10"/>
                <w:color w:val="auto"/>
              </w:rPr>
            </w:pPr>
          </w:p>
        </w:tc>
        <w:tc>
          <w:tcPr>
            <w:tcW w:w="2000" w:type="dxa"/>
            <w:vAlign w:val="bottom"/>
            <w:gridSpan w:val="5"/>
          </w:tcPr>
          <w:p>
            <w:pPr>
              <w:jc w:val="center"/>
              <w:ind w:right="380"/>
              <w:spacing w:after="0" w:line="119" w:lineRule="exact"/>
              <w:rPr>
                <w:sz w:val="20"/>
                <w:szCs w:val="20"/>
                <w:color w:val="auto"/>
              </w:rPr>
            </w:pPr>
            <w:r>
              <w:rPr>
                <w:rFonts w:ascii="Arial" w:cs="Arial" w:eastAsia="Arial" w:hAnsi="Arial"/>
                <w:sz w:val="13"/>
                <w:szCs w:val="13"/>
                <w:b w:val="1"/>
                <w:bCs w:val="1"/>
                <w:color w:val="auto"/>
              </w:rPr>
              <w:t>Greater than or</w:t>
            </w:r>
          </w:p>
        </w:tc>
        <w:tc>
          <w:tcPr>
            <w:tcW w:w="16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360" w:type="dxa"/>
            <w:vAlign w:val="bottom"/>
            <w:gridSpan w:val="3"/>
            <w:vMerge w:val="restart"/>
          </w:tcPr>
          <w:p>
            <w:pPr>
              <w:jc w:val="right"/>
              <w:spacing w:after="0"/>
              <w:rPr>
                <w:sz w:val="20"/>
                <w:szCs w:val="20"/>
                <w:color w:val="auto"/>
              </w:rPr>
            </w:pPr>
            <w:r>
              <w:rPr>
                <w:rFonts w:ascii="Arial" w:cs="Arial" w:eastAsia="Arial" w:hAnsi="Arial"/>
                <w:sz w:val="14"/>
                <w:szCs w:val="14"/>
                <w:b w:val="1"/>
                <w:bCs w:val="1"/>
                <w:color w:val="auto"/>
                <w:w w:val="89"/>
              </w:rPr>
              <w:t>Total</w:t>
            </w:r>
          </w:p>
        </w:tc>
        <w:tc>
          <w:tcPr>
            <w:tcW w:w="8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248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040" w:type="dxa"/>
            <w:vAlign w:val="bottom"/>
            <w:gridSpan w:val="5"/>
          </w:tcPr>
          <w:p>
            <w:pPr>
              <w:jc w:val="center"/>
              <w:ind w:right="360"/>
              <w:spacing w:after="0"/>
              <w:rPr>
                <w:sz w:val="20"/>
                <w:szCs w:val="20"/>
                <w:color w:val="auto"/>
              </w:rPr>
            </w:pPr>
            <w:r>
              <w:rPr>
                <w:rFonts w:ascii="Arial" w:cs="Arial" w:eastAsia="Arial" w:hAnsi="Arial"/>
                <w:sz w:val="14"/>
                <w:szCs w:val="14"/>
                <w:b w:val="1"/>
                <w:bCs w:val="1"/>
                <w:color w:val="auto"/>
                <w:w w:val="90"/>
              </w:rPr>
              <w:t>twelve months</w:t>
            </w:r>
          </w:p>
        </w:tc>
        <w:tc>
          <w:tcPr>
            <w:tcW w:w="180" w:type="dxa"/>
            <w:vAlign w:val="bottom"/>
          </w:tcPr>
          <w:p>
            <w:pPr>
              <w:spacing w:after="0"/>
              <w:rPr>
                <w:sz w:val="14"/>
                <w:szCs w:val="14"/>
                <w:color w:val="auto"/>
              </w:rPr>
            </w:pPr>
          </w:p>
        </w:tc>
        <w:tc>
          <w:tcPr>
            <w:tcW w:w="2000" w:type="dxa"/>
            <w:vAlign w:val="bottom"/>
            <w:gridSpan w:val="5"/>
          </w:tcPr>
          <w:p>
            <w:pPr>
              <w:jc w:val="center"/>
              <w:ind w:right="380"/>
              <w:spacing w:after="0"/>
              <w:rPr>
                <w:sz w:val="20"/>
                <w:szCs w:val="20"/>
                <w:color w:val="auto"/>
              </w:rPr>
            </w:pPr>
            <w:r>
              <w:rPr>
                <w:rFonts w:ascii="Arial" w:cs="Arial" w:eastAsia="Arial" w:hAnsi="Arial"/>
                <w:sz w:val="14"/>
                <w:szCs w:val="14"/>
                <w:b w:val="1"/>
                <w:bCs w:val="1"/>
                <w:color w:val="auto"/>
                <w:w w:val="91"/>
              </w:rPr>
              <w:t>equal to twelve months</w:t>
            </w:r>
          </w:p>
        </w:tc>
        <w:tc>
          <w:tcPr>
            <w:tcW w:w="1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360" w:type="dxa"/>
            <w:vAlign w:val="bottom"/>
            <w:gridSpan w:val="3"/>
            <w:vMerge w:val="continue"/>
          </w:tcPr>
          <w:p>
            <w:pPr>
              <w:spacing w:after="0"/>
              <w:rPr>
                <w:sz w:val="14"/>
                <w:szCs w:val="14"/>
                <w:color w:val="auto"/>
              </w:rPr>
            </w:pPr>
          </w:p>
        </w:tc>
        <w:tc>
          <w:tcPr>
            <w:tcW w:w="8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4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760" w:type="dxa"/>
            <w:vAlign w:val="bottom"/>
            <w:tcBorders>
              <w:top w:val="single" w:sz="8" w:color="auto"/>
            </w:tcBorders>
            <w:vMerge w:val="restart"/>
          </w:tcPr>
          <w:p>
            <w:pPr>
              <w:jc w:val="right"/>
              <w:ind w:right="236"/>
              <w:spacing w:after="0"/>
              <w:rPr>
                <w:sz w:val="20"/>
                <w:szCs w:val="20"/>
                <w:color w:val="auto"/>
              </w:rPr>
            </w:pPr>
            <w:r>
              <w:rPr>
                <w:rFonts w:ascii="Arial" w:cs="Arial" w:eastAsia="Arial" w:hAnsi="Arial"/>
                <w:sz w:val="14"/>
                <w:szCs w:val="14"/>
                <w:b w:val="1"/>
                <w:bCs w:val="1"/>
                <w:color w:val="auto"/>
              </w:rPr>
              <w:t>Fair</w:t>
            </w:r>
          </w:p>
        </w:tc>
        <w:tc>
          <w:tcPr>
            <w:tcW w:w="18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800" w:type="dxa"/>
            <w:vAlign w:val="bottom"/>
            <w:tcBorders>
              <w:top w:val="single" w:sz="8" w:color="auto"/>
            </w:tcBorders>
          </w:tcPr>
          <w:p>
            <w:pPr>
              <w:jc w:val="center"/>
              <w:spacing w:after="0" w:line="119" w:lineRule="exact"/>
              <w:rPr>
                <w:sz w:val="20"/>
                <w:szCs w:val="20"/>
                <w:color w:val="auto"/>
              </w:rPr>
            </w:pPr>
            <w:r>
              <w:rPr>
                <w:rFonts w:ascii="Arial" w:cs="Arial" w:eastAsia="Arial" w:hAnsi="Arial"/>
                <w:sz w:val="13"/>
                <w:szCs w:val="13"/>
                <w:b w:val="1"/>
                <w:bCs w:val="1"/>
                <w:color w:val="auto"/>
                <w:w w:val="95"/>
              </w:rPr>
              <w:t>Gross</w:t>
            </w:r>
          </w:p>
        </w:tc>
        <w:tc>
          <w:tcPr>
            <w:tcW w:w="200" w:type="dxa"/>
            <w:vAlign w:val="bottom"/>
          </w:tcPr>
          <w:p>
            <w:pPr>
              <w:spacing w:after="0"/>
              <w:rPr>
                <w:sz w:val="10"/>
                <w:szCs w:val="10"/>
                <w:color w:val="auto"/>
              </w:rPr>
            </w:pPr>
          </w:p>
        </w:tc>
        <w:tc>
          <w:tcPr>
            <w:tcW w:w="180" w:type="dxa"/>
            <w:vAlign w:val="bottom"/>
            <w:tcBorders>
              <w:top w:val="single" w:sz="8" w:color="auto"/>
            </w:tcBorders>
          </w:tcPr>
          <w:p>
            <w:pPr>
              <w:spacing w:after="0"/>
              <w:rPr>
                <w:sz w:val="10"/>
                <w:szCs w:val="10"/>
                <w:color w:val="auto"/>
              </w:rPr>
            </w:pPr>
          </w:p>
        </w:tc>
        <w:tc>
          <w:tcPr>
            <w:tcW w:w="720" w:type="dxa"/>
            <w:vAlign w:val="bottom"/>
            <w:tcBorders>
              <w:top w:val="single" w:sz="8" w:color="auto"/>
            </w:tcBorders>
            <w:vMerge w:val="restart"/>
          </w:tcPr>
          <w:p>
            <w:pPr>
              <w:jc w:val="right"/>
              <w:ind w:right="238"/>
              <w:spacing w:after="0"/>
              <w:rPr>
                <w:sz w:val="20"/>
                <w:szCs w:val="20"/>
                <w:color w:val="auto"/>
              </w:rPr>
            </w:pPr>
            <w:r>
              <w:rPr>
                <w:rFonts w:ascii="Arial" w:cs="Arial" w:eastAsia="Arial" w:hAnsi="Arial"/>
                <w:sz w:val="14"/>
                <w:szCs w:val="14"/>
                <w:b w:val="1"/>
                <w:bCs w:val="1"/>
                <w:color w:val="auto"/>
              </w:rPr>
              <w:t>Fair</w:t>
            </w:r>
          </w:p>
        </w:tc>
        <w:tc>
          <w:tcPr>
            <w:tcW w:w="180" w:type="dxa"/>
            <w:vAlign w:val="bottom"/>
            <w:tcBorders>
              <w:top w:val="single" w:sz="8" w:color="auto"/>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800" w:type="dxa"/>
            <w:vAlign w:val="bottom"/>
            <w:tcBorders>
              <w:top w:val="single" w:sz="8" w:color="auto"/>
            </w:tcBorders>
          </w:tcPr>
          <w:p>
            <w:pPr>
              <w:jc w:val="center"/>
              <w:ind w:right="35"/>
              <w:spacing w:after="0" w:line="119" w:lineRule="exact"/>
              <w:rPr>
                <w:sz w:val="20"/>
                <w:szCs w:val="20"/>
                <w:color w:val="auto"/>
              </w:rPr>
            </w:pPr>
            <w:r>
              <w:rPr>
                <w:rFonts w:ascii="Arial" w:cs="Arial" w:eastAsia="Arial" w:hAnsi="Arial"/>
                <w:sz w:val="13"/>
                <w:szCs w:val="13"/>
                <w:b w:val="1"/>
                <w:bCs w:val="1"/>
                <w:color w:val="auto"/>
                <w:w w:val="95"/>
              </w:rPr>
              <w:t>Gross</w:t>
            </w:r>
          </w:p>
        </w:tc>
        <w:tc>
          <w:tcPr>
            <w:tcW w:w="180" w:type="dxa"/>
            <w:vAlign w:val="bottom"/>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700" w:type="dxa"/>
            <w:vAlign w:val="bottom"/>
            <w:tcBorders>
              <w:top w:val="single" w:sz="8" w:color="auto"/>
            </w:tcBorders>
            <w:vMerge w:val="restart"/>
          </w:tcPr>
          <w:p>
            <w:pPr>
              <w:jc w:val="right"/>
              <w:ind w:right="173"/>
              <w:spacing w:after="0"/>
              <w:rPr>
                <w:sz w:val="20"/>
                <w:szCs w:val="20"/>
                <w:color w:val="auto"/>
              </w:rPr>
            </w:pPr>
            <w:r>
              <w:rPr>
                <w:rFonts w:ascii="Arial" w:cs="Arial" w:eastAsia="Arial" w:hAnsi="Arial"/>
                <w:sz w:val="14"/>
                <w:szCs w:val="14"/>
                <w:b w:val="1"/>
                <w:bCs w:val="1"/>
                <w:color w:val="auto"/>
              </w:rPr>
              <w:t>Fair</w:t>
            </w:r>
          </w:p>
        </w:tc>
        <w:tc>
          <w:tcPr>
            <w:tcW w:w="60" w:type="dxa"/>
            <w:vAlign w:val="bottom"/>
            <w:tcBorders>
              <w:top w:val="single" w:sz="8" w:color="auto"/>
            </w:tcBorders>
          </w:tcPr>
          <w:p>
            <w:pPr>
              <w:spacing w:after="0"/>
              <w:rPr>
                <w:sz w:val="10"/>
                <w:szCs w:val="10"/>
                <w:color w:val="auto"/>
              </w:rPr>
            </w:pPr>
          </w:p>
        </w:tc>
        <w:tc>
          <w:tcPr>
            <w:tcW w:w="180" w:type="dxa"/>
            <w:vAlign w:val="bottom"/>
            <w:tcBorders>
              <w:top w:val="single" w:sz="8" w:color="auto"/>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820" w:type="dxa"/>
            <w:vAlign w:val="bottom"/>
            <w:tcBorders>
              <w:top w:val="single" w:sz="8" w:color="auto"/>
            </w:tcBorders>
          </w:tcPr>
          <w:p>
            <w:pPr>
              <w:jc w:val="center"/>
              <w:ind w:right="15"/>
              <w:spacing w:after="0" w:line="119" w:lineRule="exact"/>
              <w:rPr>
                <w:sz w:val="20"/>
                <w:szCs w:val="20"/>
                <w:color w:val="auto"/>
              </w:rPr>
            </w:pPr>
            <w:r>
              <w:rPr>
                <w:rFonts w:ascii="Arial" w:cs="Arial" w:eastAsia="Arial" w:hAnsi="Arial"/>
                <w:sz w:val="13"/>
                <w:szCs w:val="13"/>
                <w:b w:val="1"/>
                <w:bCs w:val="1"/>
                <w:color w:val="auto"/>
                <w:w w:val="95"/>
              </w:rPr>
              <w:t>Gross</w:t>
            </w:r>
          </w:p>
        </w:tc>
        <w:tc>
          <w:tcPr>
            <w:tcW w:w="0" w:type="dxa"/>
            <w:vAlign w:val="bottom"/>
          </w:tcPr>
          <w:p>
            <w:pPr>
              <w:spacing w:after="0"/>
              <w:rPr>
                <w:sz w:val="1"/>
                <w:szCs w:val="1"/>
                <w:color w:val="auto"/>
              </w:rPr>
            </w:pPr>
          </w:p>
        </w:tc>
      </w:tr>
      <w:tr>
        <w:trPr>
          <w:trHeight w:val="148"/>
        </w:trPr>
        <w:tc>
          <w:tcPr>
            <w:tcW w:w="24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60" w:type="dxa"/>
            <w:vAlign w:val="bottom"/>
            <w:vMerge w:val="continue"/>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5"/>
              </w:rPr>
              <w:t>unrealized</w:t>
            </w:r>
          </w:p>
        </w:tc>
        <w:tc>
          <w:tcPr>
            <w:tcW w:w="180" w:type="dxa"/>
            <w:vAlign w:val="bottom"/>
          </w:tcPr>
          <w:p>
            <w:pPr>
              <w:spacing w:after="0"/>
              <w:rPr>
                <w:sz w:val="12"/>
                <w:szCs w:val="12"/>
                <w:color w:val="auto"/>
              </w:rPr>
            </w:pPr>
          </w:p>
        </w:tc>
        <w:tc>
          <w:tcPr>
            <w:tcW w:w="720" w:type="dxa"/>
            <w:vAlign w:val="bottom"/>
            <w:vMerge w:val="continue"/>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8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2"/>
              </w:rPr>
              <w:t>unrealized</w:t>
            </w:r>
          </w:p>
        </w:tc>
        <w:tc>
          <w:tcPr>
            <w:tcW w:w="160" w:type="dxa"/>
            <w:vAlign w:val="bottom"/>
          </w:tcPr>
          <w:p>
            <w:pPr>
              <w:spacing w:after="0"/>
              <w:rPr>
                <w:sz w:val="12"/>
                <w:szCs w:val="12"/>
                <w:color w:val="auto"/>
              </w:rPr>
            </w:pPr>
          </w:p>
        </w:tc>
        <w:tc>
          <w:tcPr>
            <w:tcW w:w="700" w:type="dxa"/>
            <w:vAlign w:val="bottom"/>
            <w:vMerge w:val="continue"/>
          </w:tcPr>
          <w:p>
            <w:pPr>
              <w:spacing w:after="0"/>
              <w:rPr>
                <w:sz w:val="12"/>
                <w:szCs w:val="12"/>
                <w:color w:val="auto"/>
              </w:rPr>
            </w:pPr>
          </w:p>
        </w:tc>
        <w:tc>
          <w:tcPr>
            <w:tcW w:w="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20" w:type="dxa"/>
            <w:vAlign w:val="bottom"/>
          </w:tcPr>
          <w:p>
            <w:pPr>
              <w:jc w:val="center"/>
              <w:ind w:right="15"/>
              <w:spacing w:after="0" w:line="149" w:lineRule="exact"/>
              <w:rPr>
                <w:sz w:val="20"/>
                <w:szCs w:val="20"/>
                <w:color w:val="auto"/>
              </w:rPr>
            </w:pPr>
            <w:r>
              <w:rPr>
                <w:rFonts w:ascii="Arial" w:cs="Arial" w:eastAsia="Arial" w:hAnsi="Arial"/>
                <w:sz w:val="14"/>
                <w:szCs w:val="14"/>
                <w:b w:val="1"/>
                <w:bCs w:val="1"/>
                <w:color w:val="auto"/>
                <w:w w:val="92"/>
              </w:rPr>
              <w:t>unrealized</w:t>
            </w:r>
          </w:p>
        </w:tc>
        <w:tc>
          <w:tcPr>
            <w:tcW w:w="0" w:type="dxa"/>
            <w:vAlign w:val="bottom"/>
          </w:tcPr>
          <w:p>
            <w:pPr>
              <w:spacing w:after="0"/>
              <w:rPr>
                <w:sz w:val="1"/>
                <w:szCs w:val="1"/>
                <w:color w:val="auto"/>
              </w:rPr>
            </w:pPr>
          </w:p>
        </w:tc>
      </w:tr>
      <w:tr>
        <w:trPr>
          <w:trHeight w:val="171"/>
        </w:trPr>
        <w:tc>
          <w:tcPr>
            <w:tcW w:w="248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216"/>
              <w:spacing w:after="0"/>
              <w:rPr>
                <w:sz w:val="20"/>
                <w:szCs w:val="20"/>
                <w:color w:val="auto"/>
              </w:rPr>
            </w:pPr>
            <w:r>
              <w:rPr>
                <w:rFonts w:ascii="Arial" w:cs="Arial" w:eastAsia="Arial" w:hAnsi="Arial"/>
                <w:sz w:val="14"/>
                <w:szCs w:val="14"/>
                <w:b w:val="1"/>
                <w:bCs w:val="1"/>
                <w:color w:val="auto"/>
              </w:rPr>
              <w:t>value</w:t>
            </w:r>
          </w:p>
        </w:tc>
        <w:tc>
          <w:tcPr>
            <w:tcW w:w="1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center"/>
              <w:ind w:right="15"/>
              <w:spacing w:after="0"/>
              <w:rPr>
                <w:sz w:val="20"/>
                <w:szCs w:val="20"/>
                <w:color w:val="auto"/>
              </w:rPr>
            </w:pPr>
            <w:r>
              <w:rPr>
                <w:rFonts w:ascii="Arial" w:cs="Arial" w:eastAsia="Arial" w:hAnsi="Arial"/>
                <w:sz w:val="14"/>
                <w:szCs w:val="14"/>
                <w:b w:val="1"/>
                <w:bCs w:val="1"/>
                <w:color w:val="auto"/>
                <w:w w:val="77"/>
              </w:rPr>
              <w:t>losses</w:t>
            </w:r>
          </w:p>
        </w:tc>
        <w:tc>
          <w:tcPr>
            <w:tcW w:w="20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218"/>
              <w:spacing w:after="0"/>
              <w:rPr>
                <w:sz w:val="20"/>
                <w:szCs w:val="20"/>
                <w:color w:val="auto"/>
              </w:rPr>
            </w:pPr>
            <w:r>
              <w:rPr>
                <w:rFonts w:ascii="Arial" w:cs="Arial" w:eastAsia="Arial" w:hAnsi="Arial"/>
                <w:sz w:val="14"/>
                <w:szCs w:val="14"/>
                <w:b w:val="1"/>
                <w:bCs w:val="1"/>
                <w:color w:val="auto"/>
              </w:rPr>
              <w:t>value</w:t>
            </w:r>
          </w:p>
        </w:tc>
        <w:tc>
          <w:tcPr>
            <w:tcW w:w="1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center"/>
              <w:ind w:right="35"/>
              <w:spacing w:after="0"/>
              <w:rPr>
                <w:sz w:val="20"/>
                <w:szCs w:val="20"/>
                <w:color w:val="auto"/>
              </w:rPr>
            </w:pPr>
            <w:r>
              <w:rPr>
                <w:rFonts w:ascii="Arial" w:cs="Arial" w:eastAsia="Arial" w:hAnsi="Arial"/>
                <w:sz w:val="14"/>
                <w:szCs w:val="14"/>
                <w:b w:val="1"/>
                <w:bCs w:val="1"/>
                <w:color w:val="auto"/>
                <w:w w:val="82"/>
              </w:rPr>
              <w:t>losses</w:t>
            </w:r>
          </w:p>
        </w:tc>
        <w:tc>
          <w:tcPr>
            <w:tcW w:w="18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153"/>
              <w:spacing w:after="0"/>
              <w:rPr>
                <w:sz w:val="20"/>
                <w:szCs w:val="20"/>
                <w:color w:val="auto"/>
              </w:rPr>
            </w:pPr>
            <w:r>
              <w:rPr>
                <w:rFonts w:ascii="Arial" w:cs="Arial" w:eastAsia="Arial" w:hAnsi="Arial"/>
                <w:sz w:val="14"/>
                <w:szCs w:val="14"/>
                <w:b w:val="1"/>
                <w:bCs w:val="1"/>
                <w:color w:val="auto"/>
              </w:rPr>
              <w:t>value</w:t>
            </w:r>
          </w:p>
        </w:tc>
        <w:tc>
          <w:tcPr>
            <w:tcW w:w="60" w:type="dxa"/>
            <w:vAlign w:val="bottom"/>
            <w:tcBorders>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jc w:val="center"/>
              <w:ind w:right="35"/>
              <w:spacing w:after="0"/>
              <w:rPr>
                <w:sz w:val="20"/>
                <w:szCs w:val="20"/>
                <w:color w:val="auto"/>
              </w:rPr>
            </w:pPr>
            <w:r>
              <w:rPr>
                <w:rFonts w:ascii="Arial" w:cs="Arial" w:eastAsia="Arial" w:hAnsi="Arial"/>
                <w:sz w:val="14"/>
                <w:szCs w:val="14"/>
                <w:b w:val="1"/>
                <w:bCs w:val="1"/>
                <w:color w:val="auto"/>
                <w:w w:val="77"/>
              </w:rPr>
              <w:t>losses</w:t>
            </w:r>
          </w:p>
        </w:tc>
        <w:tc>
          <w:tcPr>
            <w:tcW w:w="0" w:type="dxa"/>
            <w:vAlign w:val="bottom"/>
          </w:tcPr>
          <w:p>
            <w:pPr>
              <w:spacing w:after="0"/>
              <w:rPr>
                <w:sz w:val="1"/>
                <w:szCs w:val="1"/>
                <w:color w:val="auto"/>
              </w:rPr>
            </w:pPr>
          </w:p>
        </w:tc>
      </w:tr>
      <w:tr>
        <w:trPr>
          <w:trHeight w:val="128"/>
        </w:trPr>
        <w:tc>
          <w:tcPr>
            <w:tcW w:w="24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820" w:type="dxa"/>
            <w:vAlign w:val="bottom"/>
            <w:gridSpan w:val="4"/>
          </w:tcPr>
          <w:p>
            <w:pPr>
              <w:jc w:val="center"/>
              <w:ind w:right="75"/>
              <w:spacing w:after="0" w:line="129" w:lineRule="exact"/>
              <w:rPr>
                <w:sz w:val="20"/>
                <w:szCs w:val="20"/>
                <w:color w:val="auto"/>
              </w:rPr>
            </w:pPr>
            <w:r>
              <w:rPr>
                <w:rFonts w:ascii="Arial" w:cs="Arial" w:eastAsia="Arial" w:hAnsi="Arial"/>
                <w:sz w:val="14"/>
                <w:szCs w:val="14"/>
                <w:i w:val="1"/>
                <w:iCs w:val="1"/>
                <w:color w:val="auto"/>
                <w:w w:val="98"/>
              </w:rPr>
              <w:t>(in millions)</w:t>
            </w:r>
          </w:p>
        </w:tc>
        <w:tc>
          <w:tcPr>
            <w:tcW w:w="1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35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Fixed maturities, available-for-sale (1):</w:t>
            </w: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500" w:type="dxa"/>
            <w:vAlign w:val="bottom"/>
            <w:gridSpan w:val="2"/>
          </w:tcPr>
          <w:p>
            <w:pPr>
              <w:ind w:left="120"/>
              <w:spacing w:after="0"/>
              <w:rPr>
                <w:sz w:val="20"/>
                <w:szCs w:val="20"/>
                <w:color w:val="auto"/>
              </w:rPr>
            </w:pPr>
            <w:r>
              <w:rPr>
                <w:rFonts w:ascii="Arial" w:cs="Arial" w:eastAsia="Arial" w:hAnsi="Arial"/>
                <w:sz w:val="18"/>
                <w:szCs w:val="18"/>
                <w:color w:val="auto"/>
              </w:rPr>
              <w:t>U.S. government and agencies</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129.3</w:t>
            </w:r>
          </w:p>
        </w:tc>
        <w:tc>
          <w:tcPr>
            <w:tcW w:w="2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3.4</w:t>
            </w:r>
          </w:p>
        </w:tc>
        <w:tc>
          <w:tcPr>
            <w:tcW w:w="200" w:type="dxa"/>
            <w:vAlign w:val="bottom"/>
          </w:tcPr>
          <w:p>
            <w:pPr>
              <w:spacing w:after="0"/>
              <w:rPr>
                <w:sz w:val="18"/>
                <w:szCs w:val="18"/>
                <w:color w:val="auto"/>
              </w:rPr>
            </w:pPr>
          </w:p>
        </w:tc>
        <w:tc>
          <w:tcPr>
            <w:tcW w:w="180" w:type="dxa"/>
            <w:vAlign w:val="bottom"/>
          </w:tcPr>
          <w:p>
            <w:pPr>
              <w:jc w:val="right"/>
              <w:ind w:right="27"/>
              <w:spacing w:after="0"/>
              <w:rPr>
                <w:sz w:val="20"/>
                <w:szCs w:val="20"/>
                <w:color w:val="auto"/>
              </w:rPr>
            </w:pPr>
            <w:r>
              <w:rPr>
                <w:rFonts w:ascii="Arial" w:cs="Arial" w:eastAsia="Arial" w:hAnsi="Arial"/>
                <w:sz w:val="15"/>
                <w:szCs w:val="15"/>
                <w:color w:val="auto"/>
                <w:w w:val="71"/>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482.9</w:t>
            </w: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34.0</w:t>
            </w:r>
          </w:p>
        </w:tc>
        <w:tc>
          <w:tcPr>
            <w:tcW w:w="18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612.2</w:t>
            </w:r>
          </w:p>
        </w:tc>
        <w:tc>
          <w:tcPr>
            <w:tcW w:w="36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37.4</w:t>
            </w:r>
          </w:p>
        </w:tc>
        <w:tc>
          <w:tcPr>
            <w:tcW w:w="0" w:type="dxa"/>
            <w:vAlign w:val="bottom"/>
          </w:tcPr>
          <w:p>
            <w:pPr>
              <w:spacing w:after="0"/>
              <w:rPr>
                <w:sz w:val="1"/>
                <w:szCs w:val="1"/>
                <w:color w:val="auto"/>
              </w:rPr>
            </w:pPr>
          </w:p>
        </w:tc>
      </w:tr>
      <w:tr>
        <w:trPr>
          <w:trHeight w:val="216"/>
        </w:trPr>
        <w:tc>
          <w:tcPr>
            <w:tcW w:w="350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Non-U.S. governments</w:t>
            </w: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57.8</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57.8</w:t>
            </w: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16"/>
        </w:trPr>
        <w:tc>
          <w:tcPr>
            <w:tcW w:w="3500" w:type="dxa"/>
            <w:vAlign w:val="bottom"/>
            <w:gridSpan w:val="2"/>
          </w:tcPr>
          <w:p>
            <w:pPr>
              <w:ind w:left="120"/>
              <w:spacing w:after="0"/>
              <w:rPr>
                <w:sz w:val="20"/>
                <w:szCs w:val="20"/>
                <w:color w:val="auto"/>
              </w:rPr>
            </w:pPr>
            <w:r>
              <w:rPr>
                <w:rFonts w:ascii="Arial" w:cs="Arial" w:eastAsia="Arial" w:hAnsi="Arial"/>
                <w:sz w:val="18"/>
                <w:szCs w:val="18"/>
                <w:color w:val="auto"/>
              </w:rPr>
              <w:t>States and political subdivisions</w:t>
            </w:r>
          </w:p>
        </w:tc>
        <w:tc>
          <w:tcPr>
            <w:tcW w:w="16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690.2</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10.5</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102.3</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6.1</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792.5</w:t>
            </w: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16.6</w:t>
            </w:r>
          </w:p>
        </w:tc>
        <w:tc>
          <w:tcPr>
            <w:tcW w:w="0" w:type="dxa"/>
            <w:vAlign w:val="bottom"/>
          </w:tcPr>
          <w:p>
            <w:pPr>
              <w:spacing w:after="0"/>
              <w:rPr>
                <w:sz w:val="1"/>
                <w:szCs w:val="1"/>
                <w:color w:val="auto"/>
              </w:rPr>
            </w:pPr>
          </w:p>
        </w:tc>
      </w:tr>
      <w:tr>
        <w:trPr>
          <w:trHeight w:val="216"/>
        </w:trPr>
        <w:tc>
          <w:tcPr>
            <w:tcW w:w="350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Corporate</w:t>
            </w: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5,281.6</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121.2</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1,327.5</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101.5</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6,609.1</w:t>
            </w: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222.7</w:t>
            </w:r>
          </w:p>
        </w:tc>
        <w:tc>
          <w:tcPr>
            <w:tcW w:w="0" w:type="dxa"/>
            <w:vAlign w:val="bottom"/>
          </w:tcPr>
          <w:p>
            <w:pPr>
              <w:spacing w:after="0"/>
              <w:rPr>
                <w:sz w:val="1"/>
                <w:szCs w:val="1"/>
                <w:color w:val="auto"/>
              </w:rPr>
            </w:pPr>
          </w:p>
        </w:tc>
      </w:tr>
      <w:tr>
        <w:trPr>
          <w:trHeight w:val="202"/>
        </w:trPr>
        <w:tc>
          <w:tcPr>
            <w:tcW w:w="3500" w:type="dxa"/>
            <w:vAlign w:val="bottom"/>
            <w:gridSpan w:val="2"/>
          </w:tcPr>
          <w:p>
            <w:pPr>
              <w:ind w:left="120"/>
              <w:spacing w:after="0" w:line="201" w:lineRule="exact"/>
              <w:rPr>
                <w:sz w:val="20"/>
                <w:szCs w:val="20"/>
                <w:color w:val="auto"/>
              </w:rPr>
            </w:pPr>
            <w:r>
              <w:rPr>
                <w:rFonts w:ascii="Arial" w:cs="Arial" w:eastAsia="Arial" w:hAnsi="Arial"/>
                <w:sz w:val="18"/>
                <w:szCs w:val="18"/>
                <w:color w:val="auto"/>
                <w:w w:val="97"/>
              </w:rPr>
              <w:t>Residential mortgage-backed pass-through</w:t>
            </w:r>
          </w:p>
        </w:tc>
        <w:tc>
          <w:tcPr>
            <w:tcW w:w="16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500" w:type="dxa"/>
            <w:vAlign w:val="bottom"/>
            <w:gridSpan w:val="2"/>
          </w:tcPr>
          <w:p>
            <w:pPr>
              <w:ind w:left="240"/>
              <w:spacing w:after="0"/>
              <w:rPr>
                <w:sz w:val="20"/>
                <w:szCs w:val="20"/>
                <w:color w:val="auto"/>
              </w:rPr>
            </w:pPr>
            <w:r>
              <w:rPr>
                <w:rFonts w:ascii="Arial" w:cs="Arial" w:eastAsia="Arial" w:hAnsi="Arial"/>
                <w:sz w:val="18"/>
                <w:szCs w:val="18"/>
                <w:color w:val="auto"/>
              </w:rPr>
              <w:t>securities</w:t>
            </w:r>
          </w:p>
        </w:tc>
        <w:tc>
          <w:tcPr>
            <w:tcW w:w="16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1,562.6</w:t>
            </w: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22.2</w:t>
            </w:r>
          </w:p>
        </w:tc>
        <w:tc>
          <w:tcPr>
            <w:tcW w:w="2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194.9</w:t>
            </w:r>
          </w:p>
        </w:tc>
        <w:tc>
          <w:tcPr>
            <w:tcW w:w="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6.3</w:t>
            </w:r>
          </w:p>
        </w:tc>
        <w:tc>
          <w:tcPr>
            <w:tcW w:w="1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1,757.5</w:t>
            </w:r>
          </w:p>
        </w:tc>
        <w:tc>
          <w:tcPr>
            <w:tcW w:w="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28.5</w:t>
            </w:r>
          </w:p>
        </w:tc>
        <w:tc>
          <w:tcPr>
            <w:tcW w:w="0" w:type="dxa"/>
            <w:vAlign w:val="bottom"/>
          </w:tcPr>
          <w:p>
            <w:pPr>
              <w:spacing w:after="0"/>
              <w:rPr>
                <w:sz w:val="1"/>
                <w:szCs w:val="1"/>
                <w:color w:val="auto"/>
              </w:rPr>
            </w:pPr>
          </w:p>
        </w:tc>
      </w:tr>
      <w:tr>
        <w:trPr>
          <w:trHeight w:val="216"/>
        </w:trPr>
        <w:tc>
          <w:tcPr>
            <w:tcW w:w="350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Commercial mortgage-backed securities</w:t>
            </w: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1,297.4</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15.6</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299.6</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15.7</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1,597.0</w:t>
            </w: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31.3</w:t>
            </w:r>
          </w:p>
        </w:tc>
        <w:tc>
          <w:tcPr>
            <w:tcW w:w="0" w:type="dxa"/>
            <w:vAlign w:val="bottom"/>
          </w:tcPr>
          <w:p>
            <w:pPr>
              <w:spacing w:after="0"/>
              <w:rPr>
                <w:sz w:val="1"/>
                <w:szCs w:val="1"/>
                <w:color w:val="auto"/>
              </w:rPr>
            </w:pPr>
          </w:p>
        </w:tc>
      </w:tr>
      <w:tr>
        <w:trPr>
          <w:trHeight w:val="216"/>
        </w:trPr>
        <w:tc>
          <w:tcPr>
            <w:tcW w:w="3500" w:type="dxa"/>
            <w:vAlign w:val="bottom"/>
            <w:gridSpan w:val="2"/>
          </w:tcPr>
          <w:p>
            <w:pPr>
              <w:ind w:left="120"/>
              <w:spacing w:after="0"/>
              <w:rPr>
                <w:sz w:val="20"/>
                <w:szCs w:val="20"/>
                <w:color w:val="auto"/>
              </w:rPr>
            </w:pPr>
            <w:r>
              <w:rPr>
                <w:rFonts w:ascii="Arial" w:cs="Arial" w:eastAsia="Arial" w:hAnsi="Arial"/>
                <w:sz w:val="18"/>
                <w:szCs w:val="18"/>
                <w:color w:val="auto"/>
              </w:rPr>
              <w:t>Collateralized debt obligations (2)</w:t>
            </w:r>
          </w:p>
        </w:tc>
        <w:tc>
          <w:tcPr>
            <w:tcW w:w="16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1,592.5</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2.8</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424.4</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6.7</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2,016.9</w:t>
            </w: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9.5</w:t>
            </w:r>
          </w:p>
        </w:tc>
        <w:tc>
          <w:tcPr>
            <w:tcW w:w="0" w:type="dxa"/>
            <w:vAlign w:val="bottom"/>
          </w:tcPr>
          <w:p>
            <w:pPr>
              <w:spacing w:after="0"/>
              <w:rPr>
                <w:sz w:val="1"/>
                <w:szCs w:val="1"/>
                <w:color w:val="auto"/>
              </w:rPr>
            </w:pPr>
          </w:p>
        </w:tc>
      </w:tr>
      <w:tr>
        <w:trPr>
          <w:trHeight w:val="216"/>
        </w:trPr>
        <w:tc>
          <w:tcPr>
            <w:tcW w:w="350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Other debt obligations</w:t>
            </w:r>
          </w:p>
        </w:tc>
        <w:tc>
          <w:tcPr>
            <w:tcW w:w="16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3,949.9</w:t>
            </w:r>
          </w:p>
        </w:tc>
        <w:tc>
          <w:tcPr>
            <w:tcW w:w="1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49.4</w:t>
            </w:r>
          </w:p>
        </w:tc>
        <w:tc>
          <w:tcPr>
            <w:tcW w:w="20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211.0</w:t>
            </w:r>
          </w:p>
        </w:tc>
        <w:tc>
          <w:tcPr>
            <w:tcW w:w="18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9.0</w:t>
            </w:r>
          </w:p>
        </w:tc>
        <w:tc>
          <w:tcPr>
            <w:tcW w:w="18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4,160.9</w:t>
            </w:r>
          </w:p>
        </w:tc>
        <w:tc>
          <w:tcPr>
            <w:tcW w:w="60" w:type="dxa"/>
            <w:vAlign w:val="bottom"/>
            <w:tcBorders>
              <w:bottom w:val="single" w:sz="8" w:color="auto"/>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58.4</w:t>
            </w:r>
          </w:p>
        </w:tc>
        <w:tc>
          <w:tcPr>
            <w:tcW w:w="0" w:type="dxa"/>
            <w:vAlign w:val="bottom"/>
          </w:tcPr>
          <w:p>
            <w:pPr>
              <w:spacing w:after="0"/>
              <w:rPr>
                <w:sz w:val="1"/>
                <w:szCs w:val="1"/>
                <w:color w:val="auto"/>
              </w:rPr>
            </w:pPr>
          </w:p>
        </w:tc>
      </w:tr>
      <w:tr>
        <w:trPr>
          <w:trHeight w:val="209"/>
        </w:trPr>
        <w:tc>
          <w:tcPr>
            <w:tcW w:w="3500" w:type="dxa"/>
            <w:vAlign w:val="bottom"/>
            <w:gridSpan w:val="2"/>
          </w:tcPr>
          <w:p>
            <w:pPr>
              <w:spacing w:after="0"/>
              <w:rPr>
                <w:sz w:val="20"/>
                <w:szCs w:val="20"/>
                <w:color w:val="auto"/>
              </w:rPr>
            </w:pPr>
            <w:r>
              <w:rPr>
                <w:rFonts w:ascii="Arial" w:cs="Arial" w:eastAsia="Arial" w:hAnsi="Arial"/>
                <w:sz w:val="18"/>
                <w:szCs w:val="18"/>
                <w:color w:val="auto"/>
              </w:rPr>
              <w:t>Total fixed maturities, available-for-sale</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6"/>
              </w:rPr>
              <w:t>14,561.3</w:t>
            </w:r>
          </w:p>
        </w:tc>
        <w:tc>
          <w:tcPr>
            <w:tcW w:w="180" w:type="dxa"/>
            <w:vAlign w:val="bottom"/>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227.1</w:t>
            </w:r>
          </w:p>
        </w:tc>
        <w:tc>
          <w:tcPr>
            <w:tcW w:w="200" w:type="dxa"/>
            <w:vAlign w:val="bottom"/>
          </w:tcPr>
          <w:p>
            <w:pPr>
              <w:spacing w:after="0"/>
              <w:rPr>
                <w:sz w:val="18"/>
                <w:szCs w:val="18"/>
                <w:color w:val="auto"/>
              </w:rPr>
            </w:pPr>
          </w:p>
        </w:tc>
        <w:tc>
          <w:tcPr>
            <w:tcW w:w="180" w:type="dxa"/>
            <w:vAlign w:val="bottom"/>
            <w:tcBorders>
              <w:bottom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3,042.6</w:t>
            </w:r>
          </w:p>
        </w:tc>
        <w:tc>
          <w:tcPr>
            <w:tcW w:w="180" w:type="dxa"/>
            <w:vAlign w:val="bottom"/>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179.3</w:t>
            </w:r>
          </w:p>
        </w:tc>
        <w:tc>
          <w:tcPr>
            <w:tcW w:w="180" w:type="dxa"/>
            <w:vAlign w:val="bottom"/>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6"/>
              </w:rPr>
              <w:t>17,603.9</w:t>
            </w:r>
          </w:p>
        </w:tc>
        <w:tc>
          <w:tcPr>
            <w:tcW w:w="60" w:type="dxa"/>
            <w:vAlign w:val="bottom"/>
            <w:tcBorders>
              <w:bottom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406.4</w:t>
            </w:r>
          </w:p>
        </w:tc>
        <w:tc>
          <w:tcPr>
            <w:tcW w:w="0" w:type="dxa"/>
            <w:vAlign w:val="bottom"/>
          </w:tcPr>
          <w:p>
            <w:pPr>
              <w:spacing w:after="0"/>
              <w:rPr>
                <w:sz w:val="1"/>
                <w:szCs w:val="1"/>
                <w:color w:val="auto"/>
              </w:rPr>
            </w:pPr>
          </w:p>
        </w:tc>
      </w:tr>
      <w:tr>
        <w:trPr>
          <w:trHeight w:val="20"/>
        </w:trPr>
        <w:tc>
          <w:tcPr>
            <w:tcW w:w="248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8"/>
        </w:trPr>
        <w:tc>
          <w:tcPr>
            <w:tcW w:w="2480" w:type="dxa"/>
            <w:vAlign w:val="bottom"/>
            <w:tcBorders>
              <w:bottom w:val="single" w:sz="8" w:color="auto"/>
            </w:tcBorders>
          </w:tcPr>
          <w:p>
            <w:pPr>
              <w:spacing w:after="0"/>
              <w:rPr>
                <w:sz w:val="7"/>
                <w:szCs w:val="7"/>
                <w:color w:val="auto"/>
              </w:rPr>
            </w:pPr>
          </w:p>
        </w:tc>
        <w:tc>
          <w:tcPr>
            <w:tcW w:w="1020" w:type="dxa"/>
            <w:vAlign w:val="bottom"/>
          </w:tcPr>
          <w:p>
            <w:pPr>
              <w:spacing w:after="0"/>
              <w:rPr>
                <w:sz w:val="7"/>
                <w:szCs w:val="7"/>
                <w:color w:val="auto"/>
              </w:rPr>
            </w:pPr>
          </w:p>
        </w:tc>
        <w:tc>
          <w:tcPr>
            <w:tcW w:w="160" w:type="dxa"/>
            <w:vAlign w:val="bottom"/>
          </w:tcPr>
          <w:p>
            <w:pPr>
              <w:spacing w:after="0"/>
              <w:rPr>
                <w:sz w:val="7"/>
                <w:szCs w:val="7"/>
                <w:color w:val="auto"/>
              </w:rPr>
            </w:pPr>
          </w:p>
        </w:tc>
        <w:tc>
          <w:tcPr>
            <w:tcW w:w="760" w:type="dxa"/>
            <w:vAlign w:val="bottom"/>
          </w:tcPr>
          <w:p>
            <w:pPr>
              <w:spacing w:after="0"/>
              <w:rPr>
                <w:sz w:val="7"/>
                <w:szCs w:val="7"/>
                <w:color w:val="auto"/>
              </w:rPr>
            </w:pPr>
          </w:p>
        </w:tc>
        <w:tc>
          <w:tcPr>
            <w:tcW w:w="180" w:type="dxa"/>
            <w:vAlign w:val="bottom"/>
          </w:tcPr>
          <w:p>
            <w:pPr>
              <w:spacing w:after="0"/>
              <w:rPr>
                <w:sz w:val="7"/>
                <w:szCs w:val="7"/>
                <w:color w:val="auto"/>
              </w:rPr>
            </w:pPr>
          </w:p>
        </w:tc>
        <w:tc>
          <w:tcPr>
            <w:tcW w:w="100" w:type="dxa"/>
            <w:vAlign w:val="bottom"/>
          </w:tcPr>
          <w:p>
            <w:pPr>
              <w:spacing w:after="0"/>
              <w:rPr>
                <w:sz w:val="7"/>
                <w:szCs w:val="7"/>
                <w:color w:val="auto"/>
              </w:rPr>
            </w:pPr>
          </w:p>
        </w:tc>
        <w:tc>
          <w:tcPr>
            <w:tcW w:w="800" w:type="dxa"/>
            <w:vAlign w:val="bottom"/>
          </w:tcPr>
          <w:p>
            <w:pPr>
              <w:spacing w:after="0"/>
              <w:rPr>
                <w:sz w:val="7"/>
                <w:szCs w:val="7"/>
                <w:color w:val="auto"/>
              </w:rPr>
            </w:pPr>
          </w:p>
        </w:tc>
        <w:tc>
          <w:tcPr>
            <w:tcW w:w="200" w:type="dxa"/>
            <w:vAlign w:val="bottom"/>
          </w:tcPr>
          <w:p>
            <w:pPr>
              <w:spacing w:after="0"/>
              <w:rPr>
                <w:sz w:val="7"/>
                <w:szCs w:val="7"/>
                <w:color w:val="auto"/>
              </w:rPr>
            </w:pPr>
          </w:p>
        </w:tc>
        <w:tc>
          <w:tcPr>
            <w:tcW w:w="180" w:type="dxa"/>
            <w:vAlign w:val="bottom"/>
          </w:tcPr>
          <w:p>
            <w:pPr>
              <w:spacing w:after="0"/>
              <w:rPr>
                <w:sz w:val="7"/>
                <w:szCs w:val="7"/>
                <w:color w:val="auto"/>
              </w:rPr>
            </w:pPr>
          </w:p>
        </w:tc>
        <w:tc>
          <w:tcPr>
            <w:tcW w:w="720" w:type="dxa"/>
            <w:vAlign w:val="bottom"/>
          </w:tcPr>
          <w:p>
            <w:pPr>
              <w:spacing w:after="0"/>
              <w:rPr>
                <w:sz w:val="7"/>
                <w:szCs w:val="7"/>
                <w:color w:val="auto"/>
              </w:rPr>
            </w:pPr>
          </w:p>
        </w:tc>
        <w:tc>
          <w:tcPr>
            <w:tcW w:w="180" w:type="dxa"/>
            <w:vAlign w:val="bottom"/>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80" w:type="dxa"/>
            <w:vAlign w:val="bottom"/>
          </w:tcPr>
          <w:p>
            <w:pPr>
              <w:spacing w:after="0"/>
              <w:rPr>
                <w:sz w:val="7"/>
                <w:szCs w:val="7"/>
                <w:color w:val="auto"/>
              </w:rPr>
            </w:pPr>
          </w:p>
        </w:tc>
        <w:tc>
          <w:tcPr>
            <w:tcW w:w="160" w:type="dxa"/>
            <w:vAlign w:val="bottom"/>
          </w:tcPr>
          <w:p>
            <w:pPr>
              <w:spacing w:after="0"/>
              <w:rPr>
                <w:sz w:val="7"/>
                <w:szCs w:val="7"/>
                <w:color w:val="auto"/>
              </w:rPr>
            </w:pPr>
          </w:p>
        </w:tc>
        <w:tc>
          <w:tcPr>
            <w:tcW w:w="700" w:type="dxa"/>
            <w:vAlign w:val="bottom"/>
          </w:tcPr>
          <w:p>
            <w:pPr>
              <w:spacing w:after="0"/>
              <w:rPr>
                <w:sz w:val="7"/>
                <w:szCs w:val="7"/>
                <w:color w:val="auto"/>
              </w:rPr>
            </w:pPr>
          </w:p>
        </w:tc>
        <w:tc>
          <w:tcPr>
            <w:tcW w:w="60" w:type="dxa"/>
            <w:vAlign w:val="bottom"/>
          </w:tcPr>
          <w:p>
            <w:pPr>
              <w:spacing w:after="0"/>
              <w:rPr>
                <w:sz w:val="7"/>
                <w:szCs w:val="7"/>
                <w:color w:val="auto"/>
              </w:rPr>
            </w:pPr>
          </w:p>
        </w:tc>
        <w:tc>
          <w:tcPr>
            <w:tcW w:w="180" w:type="dxa"/>
            <w:vAlign w:val="bottom"/>
          </w:tcPr>
          <w:p>
            <w:pPr>
              <w:spacing w:after="0"/>
              <w:rPr>
                <w:sz w:val="7"/>
                <w:szCs w:val="7"/>
                <w:color w:val="auto"/>
              </w:rPr>
            </w:pPr>
          </w:p>
        </w:tc>
        <w:tc>
          <w:tcPr>
            <w:tcW w:w="120" w:type="dxa"/>
            <w:vAlign w:val="bottom"/>
          </w:tcPr>
          <w:p>
            <w:pPr>
              <w:spacing w:after="0"/>
              <w:rPr>
                <w:sz w:val="7"/>
                <w:szCs w:val="7"/>
                <w:color w:val="auto"/>
              </w:rPr>
            </w:pPr>
          </w:p>
        </w:tc>
        <w:tc>
          <w:tcPr>
            <w:tcW w:w="82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80" w:lineRule="exact"/>
        <w:rPr>
          <w:sz w:val="20"/>
          <w:szCs w:val="20"/>
          <w:color w:val="auto"/>
        </w:rPr>
      </w:pPr>
    </w:p>
    <w:p>
      <w:pPr>
        <w:ind w:left="340" w:right="200" w:hanging="332"/>
        <w:spacing w:after="0" w:line="258" w:lineRule="auto"/>
        <w:tabs>
          <w:tab w:leader="none" w:pos="3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Fair value and gross unrealized losses are excluded for available-for-sale securities for which an allowance for credit loss has been recorded.</w:t>
      </w:r>
    </w:p>
    <w:p>
      <w:pPr>
        <w:spacing w:after="0" w:line="1" w:lineRule="exact"/>
        <w:rPr>
          <w:rFonts w:ascii="Arial" w:cs="Arial" w:eastAsia="Arial" w:hAnsi="Arial"/>
          <w:sz w:val="18"/>
          <w:szCs w:val="18"/>
          <w:color w:val="auto"/>
        </w:rPr>
      </w:pPr>
    </w:p>
    <w:p>
      <w:pPr>
        <w:ind w:left="340" w:hanging="332"/>
        <w:spacing w:after="0"/>
        <w:tabs>
          <w:tab w:leader="none" w:pos="3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Primarily consists of collateralized loan obligations backed by secured corporate loans.</w:t>
      </w:r>
    </w:p>
    <w:p>
      <w:pPr>
        <w:spacing w:after="0" w:line="211" w:lineRule="exact"/>
        <w:rPr>
          <w:sz w:val="20"/>
          <w:szCs w:val="20"/>
          <w:color w:val="auto"/>
        </w:rPr>
      </w:pPr>
    </w:p>
    <w:p>
      <w:pPr>
        <w:ind w:right="80" w:firstLine="648"/>
        <w:spacing w:after="0" w:line="296" w:lineRule="auto"/>
        <w:rPr>
          <w:sz w:val="20"/>
          <w:szCs w:val="20"/>
          <w:color w:val="auto"/>
        </w:rPr>
      </w:pPr>
      <w:r>
        <w:rPr>
          <w:rFonts w:ascii="Arial" w:cs="Arial" w:eastAsia="Arial" w:hAnsi="Arial"/>
          <w:sz w:val="16"/>
          <w:szCs w:val="16"/>
          <w:color w:val="auto"/>
        </w:rPr>
        <w:t>Of the total amounts, Principal Life’s consolidated portfolio represented $15,792.6 million in available-for-sale fixed maturities with gross unrealized losses of $288.0 million. Of the available-for-sale fixed maturities within Principal Life’s consolidated portfolio in a gross unrealized loss position, 91% were investment grade (rated AAA through BBB-) with an average price of 98 (carrying value/amortized cost) as of December 31, 2021. Gross unrealized losses in our fixed maturities portfolio increased during the year ended December 31, 2021, primarily due to an increase in interest rates, partially offset by tightening of credit spreads.</w:t>
      </w:r>
    </w:p>
    <w:p>
      <w:pPr>
        <w:spacing w:after="0" w:line="161" w:lineRule="exact"/>
        <w:rPr>
          <w:sz w:val="20"/>
          <w:szCs w:val="20"/>
          <w:color w:val="auto"/>
        </w:rPr>
      </w:pPr>
    </w:p>
    <w:p>
      <w:pPr>
        <w:ind w:right="100" w:firstLine="648"/>
        <w:spacing w:after="0" w:line="275" w:lineRule="auto"/>
        <w:rPr>
          <w:sz w:val="20"/>
          <w:szCs w:val="20"/>
          <w:color w:val="auto"/>
        </w:rPr>
      </w:pPr>
      <w:r>
        <w:rPr>
          <w:rFonts w:ascii="Arial" w:cs="Arial" w:eastAsia="Arial" w:hAnsi="Arial"/>
          <w:sz w:val="17"/>
          <w:szCs w:val="17"/>
          <w:color w:val="auto"/>
        </w:rPr>
        <w:t>For those securities that had been in a continuous unrealized loss position for less than twelve months, Principal Life’s consolidated portfolio held 1,805 securities with a carrying value of $13,052.3 million and unrealized losses of $150.9 million reflecting an average price of 99 as of December 31, 2021. Of this portfolio, 90% was investment grade (rated AAA through BBB-) as of December 31, 2021, with associated unrealized losses of $138.9 million. The unrealized losses on these securities can primarily be attributed to changes in market interest rates and changes in credit spreads since the securities were acquired.</w:t>
      </w:r>
    </w:p>
    <w:p>
      <w:pPr>
        <w:spacing w:after="0" w:line="176" w:lineRule="exact"/>
        <w:rPr>
          <w:sz w:val="20"/>
          <w:szCs w:val="20"/>
          <w:color w:val="auto"/>
        </w:rPr>
      </w:pPr>
    </w:p>
    <w:p>
      <w:pPr>
        <w:ind w:left="660"/>
        <w:spacing w:after="0"/>
        <w:rPr>
          <w:sz w:val="20"/>
          <w:szCs w:val="20"/>
          <w:color w:val="auto"/>
        </w:rPr>
      </w:pPr>
      <w:r>
        <w:rPr>
          <w:rFonts w:ascii="Arial" w:cs="Arial" w:eastAsia="Arial" w:hAnsi="Arial"/>
          <w:sz w:val="16"/>
          <w:szCs w:val="16"/>
          <w:color w:val="auto"/>
        </w:rPr>
        <w:t>For those securities that had been in a continuous unrealized loss position greater than or equal to twelve months, Principal</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Life’s consolidated portfolio held 459 securities with a carrying value of $2,740.3 million and unrealized losses of $137.1 million as of</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December 31, 2021. The average credit rating of this portfolio was A+ with an average price of 95 as of December 31, 2021. Of the</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$137.1 million in unrealized losses, the corporate sector accounts for $67.1 million in unrealized losses with an average price of 95 and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an average credit rating of BBB+. Furthermore, unrealized losses include $30.9 million within the U.S. government and agency security</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sector with an average price of 93 and an average credit rating of AAA, $15.3 million within the commercial mortgage-backed security</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sector with an average price of 95 and an average credit rating of AAA and $6.7 million within the collateralized debt obligation sector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with an average price of 98 and an average credit rating of AA+. The unrealized losses on these securities can primarily be attributed to</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changes in market interest rates and changes in credit spreads since the securities were acquired.</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60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26" w:name="page27"/>
    <w:bookmarkEnd w:id="26"/>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right="80" w:firstLine="648"/>
        <w:spacing w:after="0" w:line="259" w:lineRule="auto"/>
        <w:rPr>
          <w:sz w:val="20"/>
          <w:szCs w:val="20"/>
          <w:color w:val="auto"/>
        </w:rPr>
      </w:pPr>
      <w:r>
        <w:rPr>
          <w:rFonts w:ascii="Arial" w:cs="Arial" w:eastAsia="Arial" w:hAnsi="Arial"/>
          <w:sz w:val="18"/>
          <w:szCs w:val="18"/>
          <w:color w:val="auto"/>
        </w:rPr>
        <w:t>Because we expected to recover our amortized cost, we did not record an allowance for credit loss on these securities as of December 31, 2021. Because it was not our intent to sell the fixed maturity available-for-sale securities with unrealized losses and it was not more likely than not that we would be required to sell these securities before recovery of the amortized cost, which may be at maturity, we did not write down these investments to fair value.</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Net Unrealized Gains and Losses on Available-for-Sale Securities and Derivative Instruments</w:t>
      </w:r>
    </w:p>
    <w:p>
      <w:pPr>
        <w:spacing w:after="0" w:line="229" w:lineRule="exact"/>
        <w:rPr>
          <w:sz w:val="20"/>
          <w:szCs w:val="20"/>
          <w:color w:val="auto"/>
        </w:rPr>
      </w:pPr>
    </w:p>
    <w:p>
      <w:pPr>
        <w:ind w:right="20" w:firstLine="648"/>
        <w:spacing w:after="0" w:line="257" w:lineRule="auto"/>
        <w:rPr>
          <w:sz w:val="20"/>
          <w:szCs w:val="20"/>
          <w:color w:val="auto"/>
        </w:rPr>
      </w:pPr>
      <w:r>
        <w:rPr>
          <w:rFonts w:ascii="Arial" w:cs="Arial" w:eastAsia="Arial" w:hAnsi="Arial"/>
          <w:sz w:val="18"/>
          <w:szCs w:val="18"/>
          <w:color w:val="auto"/>
        </w:rPr>
        <w:t>The net unrealized gains and losses on investments in available-for-sale securities and the net unrealized gains and losses on derivative instruments in cash flow hedge relationships are reported as separate components of stockholders’ equity. The cumulative amount of net unrealized gains and losses on available-for-sale securities and derivative instruments in cash flow hedge relationships net of adjustments related to DAC and related actuarial balances, policyholder liabilities, noncontrolling interest and applicable income taxes was as follows:</w:t>
      </w:r>
    </w:p>
    <w:p>
      <w:pPr>
        <w:spacing w:after="0" w:line="193"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480" w:type="dxa"/>
            <w:vAlign w:val="bottom"/>
          </w:tcPr>
          <w:p>
            <w:pPr>
              <w:spacing w:after="0"/>
              <w:rPr>
                <w:sz w:val="14"/>
                <w:szCs w:val="14"/>
                <w:color w:val="auto"/>
              </w:rPr>
            </w:pPr>
          </w:p>
        </w:tc>
        <w:tc>
          <w:tcPr>
            <w:tcW w:w="42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tcPr>
          <w:p>
            <w:pPr>
              <w:jc w:val="right"/>
              <w:ind w:right="154"/>
              <w:spacing w:after="0"/>
              <w:rPr>
                <w:sz w:val="20"/>
                <w:szCs w:val="20"/>
                <w:color w:val="auto"/>
              </w:rPr>
            </w:pPr>
            <w:r>
              <w:rPr>
                <w:rFonts w:ascii="Arial" w:cs="Arial" w:eastAsia="Arial" w:hAnsi="Arial"/>
                <w:sz w:val="14"/>
                <w:szCs w:val="14"/>
                <w:b w:val="1"/>
                <w:bCs w:val="1"/>
                <w:color w:val="auto"/>
                <w:w w:val="96"/>
              </w:rPr>
              <w:t>June 30, 2022</w:t>
            </w:r>
          </w:p>
        </w:tc>
        <w:tc>
          <w:tcPr>
            <w:tcW w:w="2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0"/>
              </w:rPr>
              <w:t>December 31, 2021</w:t>
            </w:r>
          </w:p>
        </w:tc>
        <w:tc>
          <w:tcPr>
            <w:tcW w:w="20" w:type="dxa"/>
            <w:vAlign w:val="bottom"/>
          </w:tcPr>
          <w:p>
            <w:pPr>
              <w:spacing w:after="0"/>
              <w:rPr>
                <w:sz w:val="14"/>
                <w:szCs w:val="14"/>
                <w:color w:val="auto"/>
              </w:rPr>
            </w:pPr>
          </w:p>
        </w:tc>
      </w:tr>
      <w:tr>
        <w:trPr>
          <w:trHeight w:val="128"/>
        </w:trPr>
        <w:tc>
          <w:tcPr>
            <w:tcW w:w="2480" w:type="dxa"/>
            <w:vAlign w:val="bottom"/>
          </w:tcPr>
          <w:p>
            <w:pPr>
              <w:spacing w:after="0"/>
              <w:rPr>
                <w:sz w:val="11"/>
                <w:szCs w:val="11"/>
                <w:color w:val="auto"/>
              </w:rPr>
            </w:pPr>
          </w:p>
        </w:tc>
        <w:tc>
          <w:tcPr>
            <w:tcW w:w="4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700" w:type="dxa"/>
            <w:vAlign w:val="bottom"/>
            <w:gridSpan w:val="4"/>
          </w:tcPr>
          <w:p>
            <w:pPr>
              <w:jc w:val="right"/>
              <w:ind w:right="992"/>
              <w:spacing w:after="0" w:line="129" w:lineRule="exact"/>
              <w:rPr>
                <w:sz w:val="20"/>
                <w:szCs w:val="20"/>
                <w:color w:val="auto"/>
              </w:rPr>
            </w:pPr>
            <w:r>
              <w:rPr>
                <w:rFonts w:ascii="Arial" w:cs="Arial" w:eastAsia="Arial" w:hAnsi="Arial"/>
                <w:sz w:val="14"/>
                <w:szCs w:val="14"/>
                <w:i w:val="1"/>
                <w:iCs w:val="1"/>
                <w:color w:val="auto"/>
              </w:rPr>
              <w:t>(in millions)</w:t>
            </w:r>
          </w:p>
        </w:tc>
        <w:tc>
          <w:tcPr>
            <w:tcW w:w="20" w:type="dxa"/>
            <w:vAlign w:val="bottom"/>
          </w:tcPr>
          <w:p>
            <w:pPr>
              <w:spacing w:after="0"/>
              <w:rPr>
                <w:sz w:val="11"/>
                <w:szCs w:val="11"/>
                <w:color w:val="auto"/>
              </w:rPr>
            </w:pPr>
          </w:p>
        </w:tc>
      </w:tr>
      <w:tr>
        <w:trPr>
          <w:trHeight w:val="216"/>
        </w:trPr>
        <w:tc>
          <w:tcPr>
            <w:tcW w:w="66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unrealized gains (losses) on fixed maturities, available-for-sale (1)</w:t>
            </w:r>
          </w:p>
        </w:tc>
        <w:tc>
          <w:tcPr>
            <w:tcW w:w="540" w:type="dxa"/>
            <w:vAlign w:val="bottom"/>
            <w:gridSpan w:val="2"/>
            <w:shd w:val="clear" w:color="auto" w:fill="CCEEFF"/>
          </w:tcPr>
          <w:p>
            <w:pPr>
              <w:jc w:val="right"/>
              <w:ind w:right="7"/>
              <w:spacing w:after="0"/>
              <w:rPr>
                <w:sz w:val="20"/>
                <w:szCs w:val="20"/>
                <w:color w:val="auto"/>
              </w:rPr>
            </w:pPr>
            <w:r>
              <w:rPr>
                <w:rFonts w:ascii="Arial" w:cs="Arial" w:eastAsia="Arial" w:hAnsi="Arial"/>
                <w:sz w:val="18"/>
                <w:szCs w:val="18"/>
                <w:b w:val="1"/>
                <w:bCs w:val="1"/>
                <w:color w:val="auto"/>
              </w:rPr>
              <w:t>$</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(5,091.3)</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5,289.9</w:t>
            </w:r>
          </w:p>
        </w:tc>
        <w:tc>
          <w:tcPr>
            <w:tcW w:w="20" w:type="dxa"/>
            <w:vAlign w:val="bottom"/>
          </w:tcPr>
          <w:p>
            <w:pPr>
              <w:spacing w:after="0"/>
              <w:rPr>
                <w:sz w:val="18"/>
                <w:szCs w:val="18"/>
                <w:color w:val="auto"/>
              </w:rPr>
            </w:pPr>
          </w:p>
        </w:tc>
      </w:tr>
      <w:tr>
        <w:trPr>
          <w:trHeight w:val="216"/>
        </w:trPr>
        <w:tc>
          <w:tcPr>
            <w:tcW w:w="6680" w:type="dxa"/>
            <w:vAlign w:val="bottom"/>
            <w:gridSpan w:val="2"/>
          </w:tcPr>
          <w:p>
            <w:pPr>
              <w:spacing w:after="0"/>
              <w:rPr>
                <w:sz w:val="20"/>
                <w:szCs w:val="20"/>
                <w:color w:val="auto"/>
              </w:rPr>
            </w:pPr>
            <w:r>
              <w:rPr>
                <w:rFonts w:ascii="Arial" w:cs="Arial" w:eastAsia="Arial" w:hAnsi="Arial"/>
                <w:sz w:val="18"/>
                <w:szCs w:val="18"/>
                <w:color w:val="auto"/>
              </w:rPr>
              <w:t>Net unrealized gains on derivative instruments</w:t>
            </w:r>
          </w:p>
        </w:tc>
        <w:tc>
          <w:tcPr>
            <w:tcW w:w="3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42.3</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80.1</w:t>
            </w:r>
          </w:p>
        </w:tc>
        <w:tc>
          <w:tcPr>
            <w:tcW w:w="20" w:type="dxa"/>
            <w:vAlign w:val="bottom"/>
          </w:tcPr>
          <w:p>
            <w:pPr>
              <w:spacing w:after="0"/>
              <w:rPr>
                <w:sz w:val="18"/>
                <w:szCs w:val="18"/>
                <w:color w:val="auto"/>
              </w:rPr>
            </w:pPr>
          </w:p>
        </w:tc>
      </w:tr>
      <w:tr>
        <w:trPr>
          <w:trHeight w:val="216"/>
        </w:trPr>
        <w:tc>
          <w:tcPr>
            <w:tcW w:w="66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Adjustments for assumed changes in amortization patterns</w:t>
            </w:r>
          </w:p>
        </w:tc>
        <w:tc>
          <w:tcPr>
            <w:tcW w:w="3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468.8</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(266.1)</w:t>
            </w:r>
          </w:p>
        </w:tc>
        <w:tc>
          <w:tcPr>
            <w:tcW w:w="20" w:type="dxa"/>
            <w:vAlign w:val="bottom"/>
          </w:tcPr>
          <w:p>
            <w:pPr>
              <w:spacing w:after="0"/>
              <w:rPr>
                <w:sz w:val="18"/>
                <w:szCs w:val="18"/>
                <w:color w:val="auto"/>
              </w:rPr>
            </w:pPr>
          </w:p>
        </w:tc>
      </w:tr>
      <w:tr>
        <w:trPr>
          <w:trHeight w:val="216"/>
        </w:trPr>
        <w:tc>
          <w:tcPr>
            <w:tcW w:w="6680" w:type="dxa"/>
            <w:vAlign w:val="bottom"/>
            <w:gridSpan w:val="2"/>
          </w:tcPr>
          <w:p>
            <w:pPr>
              <w:spacing w:after="0"/>
              <w:rPr>
                <w:sz w:val="20"/>
                <w:szCs w:val="20"/>
                <w:color w:val="auto"/>
              </w:rPr>
            </w:pPr>
            <w:r>
              <w:rPr>
                <w:rFonts w:ascii="Arial" w:cs="Arial" w:eastAsia="Arial" w:hAnsi="Arial"/>
                <w:sz w:val="18"/>
                <w:szCs w:val="18"/>
                <w:color w:val="auto"/>
              </w:rPr>
              <w:t>Adjustments for assumed changes in policyholder liabilities</w:t>
            </w:r>
          </w:p>
        </w:tc>
        <w:tc>
          <w:tcPr>
            <w:tcW w:w="3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(55.0)</w:t>
            </w:r>
          </w:p>
        </w:tc>
        <w:tc>
          <w:tcPr>
            <w:tcW w:w="10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(689.2)</w:t>
            </w:r>
          </w:p>
        </w:tc>
        <w:tc>
          <w:tcPr>
            <w:tcW w:w="20" w:type="dxa"/>
            <w:vAlign w:val="bottom"/>
          </w:tcPr>
          <w:p>
            <w:pPr>
              <w:spacing w:after="0"/>
              <w:rPr>
                <w:sz w:val="18"/>
                <w:szCs w:val="18"/>
                <w:color w:val="auto"/>
              </w:rPr>
            </w:pPr>
          </w:p>
        </w:tc>
      </w:tr>
      <w:tr>
        <w:trPr>
          <w:trHeight w:val="216"/>
        </w:trPr>
        <w:tc>
          <w:tcPr>
            <w:tcW w:w="66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unrealized gains on other investments and noncontrolling interest adjustments</w:t>
            </w:r>
          </w:p>
        </w:tc>
        <w:tc>
          <w:tcPr>
            <w:tcW w:w="3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35.5</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40.5</w:t>
            </w:r>
          </w:p>
        </w:tc>
        <w:tc>
          <w:tcPr>
            <w:tcW w:w="20" w:type="dxa"/>
            <w:vAlign w:val="bottom"/>
          </w:tcPr>
          <w:p>
            <w:pPr>
              <w:spacing w:after="0"/>
              <w:rPr>
                <w:sz w:val="18"/>
                <w:szCs w:val="18"/>
                <w:color w:val="auto"/>
              </w:rPr>
            </w:pPr>
          </w:p>
        </w:tc>
      </w:tr>
      <w:tr>
        <w:trPr>
          <w:trHeight w:val="216"/>
        </w:trPr>
        <w:tc>
          <w:tcPr>
            <w:tcW w:w="6680" w:type="dxa"/>
            <w:vAlign w:val="bottom"/>
            <w:tcBorders>
              <w:bottom w:val="single" w:sz="8" w:color="CCEEFF"/>
            </w:tcBorders>
            <w:gridSpan w:val="2"/>
          </w:tcPr>
          <w:p>
            <w:pPr>
              <w:spacing w:after="0"/>
              <w:rPr>
                <w:sz w:val="20"/>
                <w:szCs w:val="20"/>
                <w:color w:val="auto"/>
              </w:rPr>
            </w:pPr>
            <w:r>
              <w:rPr>
                <w:rFonts w:ascii="Arial" w:cs="Arial" w:eastAsia="Arial" w:hAnsi="Arial"/>
                <w:sz w:val="18"/>
                <w:szCs w:val="18"/>
                <w:color w:val="auto"/>
              </w:rPr>
              <w:t>Provision for deferred income tax benefits (taxes)</w:t>
            </w:r>
          </w:p>
        </w:tc>
        <w:tc>
          <w:tcPr>
            <w:tcW w:w="38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981.5</w:t>
            </w:r>
          </w:p>
        </w:tc>
        <w:tc>
          <w:tcPr>
            <w:tcW w:w="22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(936.0)</w:t>
            </w:r>
          </w:p>
        </w:tc>
        <w:tc>
          <w:tcPr>
            <w:tcW w:w="20" w:type="dxa"/>
            <w:vAlign w:val="bottom"/>
          </w:tcPr>
          <w:p>
            <w:pPr>
              <w:spacing w:after="0"/>
              <w:rPr>
                <w:sz w:val="18"/>
                <w:szCs w:val="18"/>
                <w:color w:val="auto"/>
              </w:rPr>
            </w:pPr>
          </w:p>
        </w:tc>
      </w:tr>
      <w:tr>
        <w:trPr>
          <w:trHeight w:val="210"/>
        </w:trPr>
        <w:tc>
          <w:tcPr>
            <w:tcW w:w="668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w w:val="95"/>
              </w:rPr>
              <w:t>Net unrealized gains (losses) on available-for-sale securities and derivative instruments</w:t>
            </w:r>
          </w:p>
        </w:tc>
        <w:tc>
          <w:tcPr>
            <w:tcW w:w="38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jc w:val="right"/>
              <w:ind w:right="7"/>
              <w:spacing w:after="0"/>
              <w:rPr>
                <w:sz w:val="20"/>
                <w:szCs w:val="20"/>
                <w:color w:val="auto"/>
              </w:rPr>
            </w:pPr>
            <w:r>
              <w:rPr>
                <w:rFonts w:ascii="Arial" w:cs="Arial" w:eastAsia="Arial" w:hAnsi="Arial"/>
                <w:sz w:val="15"/>
                <w:szCs w:val="15"/>
                <w:b w:val="1"/>
                <w:bCs w:val="1"/>
                <w:color w:val="auto"/>
                <w:w w:val="71"/>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(3,618.2)</w:t>
            </w:r>
          </w:p>
        </w:tc>
        <w:tc>
          <w:tcPr>
            <w:tcW w:w="22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3,519.2</w:t>
            </w:r>
          </w:p>
        </w:tc>
        <w:tc>
          <w:tcPr>
            <w:tcW w:w="20" w:type="dxa"/>
            <w:vAlign w:val="bottom"/>
          </w:tcPr>
          <w:p>
            <w:pPr>
              <w:spacing w:after="0"/>
              <w:rPr>
                <w:sz w:val="18"/>
                <w:szCs w:val="18"/>
                <w:color w:val="auto"/>
              </w:rPr>
            </w:pPr>
          </w:p>
        </w:tc>
      </w:tr>
      <w:tr>
        <w:trPr>
          <w:trHeight w:val="20"/>
        </w:trPr>
        <w:tc>
          <w:tcPr>
            <w:tcW w:w="2480" w:type="dxa"/>
            <w:vAlign w:val="bottom"/>
          </w:tcPr>
          <w:p>
            <w:pPr>
              <w:spacing w:after="0" w:line="20" w:lineRule="exact"/>
              <w:rPr>
                <w:sz w:val="1"/>
                <w:szCs w:val="1"/>
                <w:color w:val="auto"/>
              </w:rPr>
            </w:pPr>
          </w:p>
        </w:tc>
        <w:tc>
          <w:tcPr>
            <w:tcW w:w="42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88"/>
        </w:trPr>
        <w:tc>
          <w:tcPr>
            <w:tcW w:w="2480" w:type="dxa"/>
            <w:vAlign w:val="bottom"/>
            <w:tcBorders>
              <w:bottom w:val="single" w:sz="8" w:color="auto"/>
            </w:tcBorders>
          </w:tcPr>
          <w:p>
            <w:pPr>
              <w:spacing w:after="0"/>
              <w:rPr>
                <w:sz w:val="7"/>
                <w:szCs w:val="7"/>
                <w:color w:val="auto"/>
              </w:rPr>
            </w:pPr>
          </w:p>
        </w:tc>
        <w:tc>
          <w:tcPr>
            <w:tcW w:w="4200" w:type="dxa"/>
            <w:vAlign w:val="bottom"/>
          </w:tcPr>
          <w:p>
            <w:pPr>
              <w:spacing w:after="0"/>
              <w:rPr>
                <w:sz w:val="7"/>
                <w:szCs w:val="7"/>
                <w:color w:val="auto"/>
              </w:rPr>
            </w:pPr>
          </w:p>
        </w:tc>
        <w:tc>
          <w:tcPr>
            <w:tcW w:w="380" w:type="dxa"/>
            <w:vAlign w:val="bottom"/>
          </w:tcPr>
          <w:p>
            <w:pPr>
              <w:spacing w:after="0"/>
              <w:rPr>
                <w:sz w:val="7"/>
                <w:szCs w:val="7"/>
                <w:color w:val="auto"/>
              </w:rPr>
            </w:pPr>
          </w:p>
        </w:tc>
        <w:tc>
          <w:tcPr>
            <w:tcW w:w="160" w:type="dxa"/>
            <w:vAlign w:val="bottom"/>
          </w:tcPr>
          <w:p>
            <w:pPr>
              <w:spacing w:after="0"/>
              <w:rPr>
                <w:sz w:val="7"/>
                <w:szCs w:val="7"/>
                <w:color w:val="auto"/>
              </w:rPr>
            </w:pPr>
          </w:p>
        </w:tc>
        <w:tc>
          <w:tcPr>
            <w:tcW w:w="1140" w:type="dxa"/>
            <w:vAlign w:val="bottom"/>
          </w:tcPr>
          <w:p>
            <w:pPr>
              <w:spacing w:after="0"/>
              <w:rPr>
                <w:sz w:val="7"/>
                <w:szCs w:val="7"/>
                <w:color w:val="auto"/>
              </w:rPr>
            </w:pPr>
          </w:p>
        </w:tc>
        <w:tc>
          <w:tcPr>
            <w:tcW w:w="2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40" w:type="dxa"/>
            <w:vAlign w:val="bottom"/>
          </w:tcPr>
          <w:p>
            <w:pPr>
              <w:spacing w:after="0"/>
              <w:rPr>
                <w:sz w:val="7"/>
                <w:szCs w:val="7"/>
                <w:color w:val="auto"/>
              </w:rPr>
            </w:pPr>
          </w:p>
        </w:tc>
        <w:tc>
          <w:tcPr>
            <w:tcW w:w="20" w:type="dxa"/>
            <w:vAlign w:val="bottom"/>
          </w:tcPr>
          <w:p>
            <w:pPr>
              <w:spacing w:after="0"/>
              <w:rPr>
                <w:sz w:val="7"/>
                <w:szCs w:val="7"/>
                <w:color w:val="auto"/>
              </w:rPr>
            </w:pPr>
          </w:p>
        </w:tc>
      </w:tr>
    </w:tbl>
    <w:p>
      <w:pPr>
        <w:spacing w:after="0" w:line="80" w:lineRule="exact"/>
        <w:rPr>
          <w:sz w:val="20"/>
          <w:szCs w:val="20"/>
          <w:color w:val="auto"/>
        </w:rPr>
      </w:pPr>
    </w:p>
    <w:p>
      <w:pPr>
        <w:spacing w:after="0"/>
        <w:rPr>
          <w:sz w:val="20"/>
          <w:szCs w:val="20"/>
          <w:color w:val="auto"/>
        </w:rPr>
      </w:pPr>
      <w:r>
        <w:rPr>
          <w:rFonts w:ascii="Arial" w:cs="Arial" w:eastAsia="Arial" w:hAnsi="Arial"/>
          <w:sz w:val="18"/>
          <w:szCs w:val="18"/>
          <w:color w:val="auto"/>
        </w:rPr>
        <w:t>(1) Excludes net unrealized gains (losses) on fixed maturities, available-for-sale included in fair value hedging relationships.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Financing Receivables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Mortgage Loans</w:t>
      </w:r>
    </w:p>
    <w:p>
      <w:pPr>
        <w:spacing w:after="0" w:line="225" w:lineRule="exact"/>
        <w:rPr>
          <w:sz w:val="20"/>
          <w:szCs w:val="20"/>
          <w:color w:val="auto"/>
        </w:rPr>
      </w:pPr>
    </w:p>
    <w:p>
      <w:pPr>
        <w:ind w:right="60" w:firstLine="648"/>
        <w:spacing w:after="0" w:line="263" w:lineRule="auto"/>
        <w:rPr>
          <w:sz w:val="20"/>
          <w:szCs w:val="20"/>
          <w:color w:val="auto"/>
        </w:rPr>
      </w:pPr>
      <w:r>
        <w:rPr>
          <w:rFonts w:ascii="Arial" w:cs="Arial" w:eastAsia="Arial" w:hAnsi="Arial"/>
          <w:sz w:val="18"/>
          <w:szCs w:val="18"/>
          <w:color w:val="auto"/>
        </w:rPr>
        <w:t>Mortgage loans consist of commercial and residential mortgage loans. Our commercial mortgage loan portfolio consists primarily of non-recourse, fixed rate mortgages on stabilized properties. Our residential mortgage loan portfolio is composed of first lien and home equity mortgages concentrated in Chile and the United States.</w:t>
      </w:r>
    </w:p>
    <w:p>
      <w:pPr>
        <w:spacing w:after="0" w:line="184" w:lineRule="exact"/>
        <w:rPr>
          <w:sz w:val="20"/>
          <w:szCs w:val="20"/>
          <w:color w:val="auto"/>
        </w:rPr>
      </w:pPr>
    </w:p>
    <w:p>
      <w:pPr>
        <w:ind w:right="120" w:firstLine="648"/>
        <w:spacing w:after="0" w:line="254" w:lineRule="auto"/>
        <w:rPr>
          <w:sz w:val="20"/>
          <w:szCs w:val="20"/>
          <w:color w:val="auto"/>
        </w:rPr>
      </w:pPr>
      <w:r>
        <w:rPr>
          <w:rFonts w:ascii="Arial" w:cs="Arial" w:eastAsia="Arial" w:hAnsi="Arial"/>
          <w:sz w:val="18"/>
          <w:szCs w:val="18"/>
          <w:color w:val="auto"/>
        </w:rPr>
        <w:t>Commercial and residential mortgage loans are generally reported at cost adjusted for amortization of premiums and accrual of discounts, computed using the interest method and net of valuation allowances. Amortized cost excludes accrued interest receivable. Interest income is accrued on the principal amount of the loan based on the loan’s contractual interest rate. Interest income, as well as prepayment of fees and the amortization of the related premium or discount, is reported in net investment income on the consolidated statements of operations. Accrued interest receivable is reported in accrued investment income on the consolidated statements of financial position. Any changes in the loan valuation allowances are reported in net realized capital gains (losses) on the consolidated statements of operations. Further details relating to our valuation allowance are included under the caption “Financing Receivables Valuation Allowance.”</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Direct Financing Leases</w:t>
      </w:r>
    </w:p>
    <w:p>
      <w:pPr>
        <w:spacing w:after="0" w:line="225" w:lineRule="exact"/>
        <w:rPr>
          <w:sz w:val="20"/>
          <w:szCs w:val="20"/>
          <w:color w:val="auto"/>
        </w:rPr>
      </w:pPr>
    </w:p>
    <w:p>
      <w:pPr>
        <w:ind w:right="100" w:firstLine="648"/>
        <w:spacing w:after="0" w:line="301" w:lineRule="auto"/>
        <w:rPr>
          <w:sz w:val="20"/>
          <w:szCs w:val="20"/>
          <w:color w:val="auto"/>
        </w:rPr>
      </w:pPr>
      <w:r>
        <w:rPr>
          <w:rFonts w:ascii="Arial" w:cs="Arial" w:eastAsia="Arial" w:hAnsi="Arial"/>
          <w:sz w:val="16"/>
          <w:szCs w:val="16"/>
          <w:color w:val="auto"/>
        </w:rPr>
        <w:t>Our direct financing leases are concentrated in Chile. Our Chilean operations enter into private placement contracts for commercial, industrial and office space properties whereby our Chilean operations purchase the real estate and/or building from the seller-lessee but then lease the property back to the seller-lessee. Ownership of the property is transferred to the lessee by the end of the lease term. Direct financing leases are reported as a component of other investments in the consolidated statements of financial position.</w:t>
      </w: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540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27" w:name="page28"/>
    <w:bookmarkEnd w:id="27"/>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Reinsurance Recoverable and Deposit Receivable</w:t>
      </w:r>
    </w:p>
    <w:p>
      <w:pPr>
        <w:spacing w:after="0" w:line="225" w:lineRule="exact"/>
        <w:rPr>
          <w:sz w:val="20"/>
          <w:szCs w:val="20"/>
          <w:color w:val="auto"/>
        </w:rPr>
      </w:pPr>
    </w:p>
    <w:p>
      <w:pPr>
        <w:ind w:right="20" w:firstLine="648"/>
        <w:spacing w:after="0" w:line="279" w:lineRule="auto"/>
        <w:rPr>
          <w:sz w:val="20"/>
          <w:szCs w:val="20"/>
          <w:color w:val="auto"/>
        </w:rPr>
      </w:pPr>
      <w:r>
        <w:rPr>
          <w:rFonts w:ascii="Arial" w:cs="Arial" w:eastAsia="Arial" w:hAnsi="Arial"/>
          <w:sz w:val="17"/>
          <w:szCs w:val="17"/>
          <w:color w:val="auto"/>
        </w:rPr>
        <w:t>Our reinsurance recoverables include amounts due from reinsurers for paid or unpaid claims, claims incurred but not reported or policy benefits. We cede life, disability, medical and long-term care insurance and fixed annuity contracts with significant life insurance risk to other insurance companies through reinsurance. Deposit receivables include amounts due from the reinsurer for fixed annuity contracts without significant life insurance risk recorded using the deposit method of accounting.</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Credit Quality Information for Financing Receivables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amortized cost of our financing receivables by credit risk and vintage was as follows:</w:t>
      </w: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32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gridSpan w:val="6"/>
          </w:tcPr>
          <w:p>
            <w:pPr>
              <w:jc w:val="right"/>
              <w:spacing w:after="0"/>
              <w:rPr>
                <w:sz w:val="20"/>
                <w:szCs w:val="20"/>
                <w:color w:val="auto"/>
              </w:rPr>
            </w:pPr>
            <w:r>
              <w:rPr>
                <w:rFonts w:ascii="Arial" w:cs="Arial" w:eastAsia="Arial" w:hAnsi="Arial"/>
                <w:sz w:val="14"/>
                <w:szCs w:val="14"/>
                <w:b w:val="1"/>
                <w:bCs w:val="1"/>
                <w:color w:val="auto"/>
                <w:w w:val="90"/>
              </w:rPr>
              <w:t>As of June 30, 2022</w:t>
            </w:r>
          </w:p>
        </w:tc>
        <w:tc>
          <w:tcPr>
            <w:tcW w:w="6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2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20" w:type="dxa"/>
            <w:vAlign w:val="bottom"/>
          </w:tcPr>
          <w:p>
            <w:pPr>
              <w:jc w:val="right"/>
              <w:ind w:right="151"/>
              <w:spacing w:after="0" w:line="142" w:lineRule="exact"/>
              <w:rPr>
                <w:sz w:val="20"/>
                <w:szCs w:val="20"/>
                <w:color w:val="auto"/>
              </w:rPr>
            </w:pPr>
            <w:r>
              <w:rPr>
                <w:rFonts w:ascii="Arial" w:cs="Arial" w:eastAsia="Arial" w:hAnsi="Arial"/>
                <w:sz w:val="14"/>
                <w:szCs w:val="14"/>
                <w:b w:val="1"/>
                <w:bCs w:val="1"/>
                <w:color w:val="auto"/>
              </w:rPr>
              <w:t>2022</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60" w:type="dxa"/>
            <w:vAlign w:val="bottom"/>
          </w:tcPr>
          <w:p>
            <w:pPr>
              <w:jc w:val="right"/>
              <w:ind w:right="171"/>
              <w:spacing w:after="0" w:line="142" w:lineRule="exact"/>
              <w:rPr>
                <w:sz w:val="20"/>
                <w:szCs w:val="20"/>
                <w:color w:val="auto"/>
              </w:rPr>
            </w:pPr>
            <w:r>
              <w:rPr>
                <w:rFonts w:ascii="Arial" w:cs="Arial" w:eastAsia="Arial" w:hAnsi="Arial"/>
                <w:sz w:val="14"/>
                <w:szCs w:val="14"/>
                <w:b w:val="1"/>
                <w:bCs w:val="1"/>
                <w:color w:val="auto"/>
              </w:rPr>
              <w:t>2021</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60" w:type="dxa"/>
            <w:vAlign w:val="bottom"/>
          </w:tcPr>
          <w:p>
            <w:pPr>
              <w:jc w:val="right"/>
              <w:ind w:right="171"/>
              <w:spacing w:after="0" w:line="142" w:lineRule="exact"/>
              <w:rPr>
                <w:sz w:val="20"/>
                <w:szCs w:val="20"/>
                <w:color w:val="auto"/>
              </w:rPr>
            </w:pPr>
            <w:r>
              <w:rPr>
                <w:rFonts w:ascii="Arial" w:cs="Arial" w:eastAsia="Arial" w:hAnsi="Arial"/>
                <w:sz w:val="14"/>
                <w:szCs w:val="14"/>
                <w:b w:val="1"/>
                <w:bCs w:val="1"/>
                <w:color w:val="auto"/>
              </w:rPr>
              <w:t>2020</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jc w:val="right"/>
              <w:ind w:right="172"/>
              <w:spacing w:after="0" w:line="142" w:lineRule="exact"/>
              <w:rPr>
                <w:sz w:val="20"/>
                <w:szCs w:val="20"/>
                <w:color w:val="auto"/>
              </w:rPr>
            </w:pPr>
            <w:r>
              <w:rPr>
                <w:rFonts w:ascii="Arial" w:cs="Arial" w:eastAsia="Arial" w:hAnsi="Arial"/>
                <w:sz w:val="14"/>
                <w:szCs w:val="14"/>
                <w:b w:val="1"/>
                <w:bCs w:val="1"/>
                <w:color w:val="auto"/>
              </w:rPr>
              <w:t>2019</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60" w:type="dxa"/>
            <w:vAlign w:val="bottom"/>
          </w:tcPr>
          <w:p>
            <w:pPr>
              <w:jc w:val="right"/>
              <w:ind w:right="171"/>
              <w:spacing w:after="0" w:line="142" w:lineRule="exact"/>
              <w:rPr>
                <w:sz w:val="20"/>
                <w:szCs w:val="20"/>
                <w:color w:val="auto"/>
              </w:rPr>
            </w:pPr>
            <w:r>
              <w:rPr>
                <w:rFonts w:ascii="Arial" w:cs="Arial" w:eastAsia="Arial" w:hAnsi="Arial"/>
                <w:sz w:val="14"/>
                <w:szCs w:val="14"/>
                <w:b w:val="1"/>
                <w:bCs w:val="1"/>
                <w:color w:val="auto"/>
              </w:rPr>
              <w:t>2018</w:t>
            </w: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20" w:type="dxa"/>
            <w:vAlign w:val="bottom"/>
            <w:gridSpan w:val="2"/>
          </w:tcPr>
          <w:p>
            <w:pPr>
              <w:ind w:left="100"/>
              <w:spacing w:after="0" w:line="142" w:lineRule="exact"/>
              <w:rPr>
                <w:sz w:val="20"/>
                <w:szCs w:val="20"/>
                <w:color w:val="auto"/>
              </w:rPr>
            </w:pPr>
            <w:r>
              <w:rPr>
                <w:rFonts w:ascii="Arial" w:cs="Arial" w:eastAsia="Arial" w:hAnsi="Arial"/>
                <w:sz w:val="14"/>
                <w:szCs w:val="14"/>
                <w:b w:val="1"/>
                <w:bCs w:val="1"/>
                <w:color w:val="auto"/>
              </w:rPr>
              <w:t>Prior</w:t>
            </w:r>
          </w:p>
        </w:tc>
        <w:tc>
          <w:tcPr>
            <w:tcW w:w="140" w:type="dxa"/>
            <w:vAlign w:val="bottom"/>
          </w:tcPr>
          <w:p>
            <w:pPr>
              <w:spacing w:after="0"/>
              <w:rPr>
                <w:sz w:val="12"/>
                <w:szCs w:val="12"/>
                <w:color w:val="auto"/>
              </w:rPr>
            </w:pPr>
          </w:p>
        </w:tc>
        <w:tc>
          <w:tcPr>
            <w:tcW w:w="740" w:type="dxa"/>
            <w:vAlign w:val="bottom"/>
          </w:tcPr>
          <w:p>
            <w:pPr>
              <w:jc w:val="right"/>
              <w:ind w:right="191"/>
              <w:spacing w:after="0" w:line="142" w:lineRule="exact"/>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3260" w:type="dxa"/>
            <w:vAlign w:val="bottom"/>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62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660" w:type="dxa"/>
            <w:vAlign w:val="bottom"/>
            <w:tcBorders>
              <w:top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66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700" w:type="dxa"/>
            <w:vAlign w:val="bottom"/>
            <w:tcBorders>
              <w:top w:val="single" w:sz="8" w:color="auto"/>
            </w:tcBorders>
          </w:tcPr>
          <w:p>
            <w:pPr>
              <w:jc w:val="right"/>
              <w:spacing w:after="0" w:line="129" w:lineRule="exact"/>
              <w:rPr>
                <w:sz w:val="20"/>
                <w:szCs w:val="20"/>
                <w:color w:val="auto"/>
              </w:rPr>
            </w:pPr>
            <w:r>
              <w:rPr>
                <w:rFonts w:ascii="Arial" w:cs="Arial" w:eastAsia="Arial" w:hAnsi="Arial"/>
                <w:sz w:val="14"/>
                <w:szCs w:val="14"/>
                <w:i w:val="1"/>
                <w:iCs w:val="1"/>
                <w:color w:val="auto"/>
                <w:w w:val="96"/>
              </w:rPr>
              <w:t>(in millions)</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66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68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740" w:type="dxa"/>
            <w:vAlign w:val="bottom"/>
            <w:tcBorders>
              <w:top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60" w:type="dxa"/>
            <w:vAlign w:val="bottom"/>
            <w:shd w:val="clear" w:color="auto" w:fill="CCEEFF"/>
          </w:tcPr>
          <w:p>
            <w:pPr>
              <w:spacing w:after="0"/>
              <w:rPr>
                <w:sz w:val="20"/>
                <w:szCs w:val="20"/>
                <w:color w:val="auto"/>
              </w:rPr>
            </w:pPr>
            <w:r>
              <w:rPr>
                <w:rFonts w:ascii="Arial" w:cs="Arial" w:eastAsia="Arial" w:hAnsi="Arial"/>
                <w:sz w:val="18"/>
                <w:szCs w:val="18"/>
                <w:color w:val="auto"/>
              </w:rPr>
              <w:t>Commercial mortgage loans:</w:t>
            </w:r>
          </w:p>
        </w:tc>
        <w:tc>
          <w:tcPr>
            <w:tcW w:w="1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60" w:type="dxa"/>
            <w:vAlign w:val="bottom"/>
          </w:tcPr>
          <w:p>
            <w:pPr>
              <w:ind w:left="100"/>
              <w:spacing w:after="0"/>
              <w:rPr>
                <w:sz w:val="20"/>
                <w:szCs w:val="20"/>
                <w:color w:val="auto"/>
              </w:rPr>
            </w:pPr>
            <w:r>
              <w:rPr>
                <w:rFonts w:ascii="Arial" w:cs="Arial" w:eastAsia="Arial" w:hAnsi="Arial"/>
                <w:sz w:val="18"/>
                <w:szCs w:val="18"/>
                <w:color w:val="auto"/>
              </w:rPr>
              <w:t>A- and above</w:t>
            </w:r>
          </w:p>
        </w:tc>
        <w:tc>
          <w:tcPr>
            <w:tcW w:w="18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620" w:type="dxa"/>
            <w:vAlign w:val="bottom"/>
          </w:tcPr>
          <w:p>
            <w:pPr>
              <w:jc w:val="right"/>
              <w:spacing w:after="0"/>
              <w:rPr>
                <w:sz w:val="20"/>
                <w:szCs w:val="20"/>
                <w:color w:val="auto"/>
              </w:rPr>
            </w:pPr>
            <w:r>
              <w:rPr>
                <w:rFonts w:ascii="Arial" w:cs="Arial" w:eastAsia="Arial" w:hAnsi="Arial"/>
                <w:sz w:val="18"/>
                <w:szCs w:val="18"/>
                <w:b w:val="1"/>
                <w:bCs w:val="1"/>
                <w:color w:val="auto"/>
              </w:rPr>
              <w:t>918.5</w:t>
            </w:r>
          </w:p>
        </w:tc>
        <w:tc>
          <w:tcPr>
            <w:tcW w:w="16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660" w:type="dxa"/>
            <w:vAlign w:val="bottom"/>
          </w:tcPr>
          <w:p>
            <w:pPr>
              <w:jc w:val="right"/>
              <w:spacing w:after="0"/>
              <w:rPr>
                <w:sz w:val="20"/>
                <w:szCs w:val="20"/>
                <w:color w:val="auto"/>
              </w:rPr>
            </w:pPr>
            <w:r>
              <w:rPr>
                <w:rFonts w:ascii="Arial" w:cs="Arial" w:eastAsia="Arial" w:hAnsi="Arial"/>
                <w:sz w:val="18"/>
                <w:szCs w:val="18"/>
                <w:b w:val="1"/>
                <w:bCs w:val="1"/>
                <w:color w:val="auto"/>
                <w:w w:val="99"/>
              </w:rPr>
              <w:t>2,285.2</w:t>
            </w:r>
          </w:p>
        </w:tc>
        <w:tc>
          <w:tcPr>
            <w:tcW w:w="80" w:type="dxa"/>
            <w:vAlign w:val="bottom"/>
          </w:tcPr>
          <w:p>
            <w:pPr>
              <w:spacing w:after="0"/>
              <w:rPr>
                <w:sz w:val="18"/>
                <w:szCs w:val="18"/>
                <w:color w:val="auto"/>
              </w:rPr>
            </w:pPr>
          </w:p>
        </w:tc>
        <w:tc>
          <w:tcPr>
            <w:tcW w:w="22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660" w:type="dxa"/>
            <w:vAlign w:val="bottom"/>
          </w:tcPr>
          <w:p>
            <w:pPr>
              <w:jc w:val="right"/>
              <w:spacing w:after="0"/>
              <w:rPr>
                <w:sz w:val="20"/>
                <w:szCs w:val="20"/>
                <w:color w:val="auto"/>
              </w:rPr>
            </w:pPr>
            <w:r>
              <w:rPr>
                <w:rFonts w:ascii="Arial" w:cs="Arial" w:eastAsia="Arial" w:hAnsi="Arial"/>
                <w:sz w:val="18"/>
                <w:szCs w:val="18"/>
                <w:b w:val="1"/>
                <w:bCs w:val="1"/>
                <w:color w:val="auto"/>
                <w:w w:val="96"/>
              </w:rPr>
              <w:t>1,787.5</w:t>
            </w:r>
          </w:p>
        </w:tc>
        <w:tc>
          <w:tcPr>
            <w:tcW w:w="26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700" w:type="dxa"/>
            <w:vAlign w:val="bottom"/>
          </w:tcPr>
          <w:p>
            <w:pPr>
              <w:jc w:val="right"/>
              <w:spacing w:after="0"/>
              <w:rPr>
                <w:sz w:val="20"/>
                <w:szCs w:val="20"/>
                <w:color w:val="auto"/>
              </w:rPr>
            </w:pPr>
            <w:r>
              <w:rPr>
                <w:rFonts w:ascii="Arial" w:cs="Arial" w:eastAsia="Arial" w:hAnsi="Arial"/>
                <w:sz w:val="18"/>
                <w:szCs w:val="18"/>
                <w:b w:val="1"/>
                <w:bCs w:val="1"/>
                <w:color w:val="auto"/>
              </w:rPr>
              <w:t>2,369.2</w:t>
            </w:r>
          </w:p>
        </w:tc>
        <w:tc>
          <w:tcPr>
            <w:tcW w:w="100" w:type="dxa"/>
            <w:vAlign w:val="bottom"/>
          </w:tcPr>
          <w:p>
            <w:pPr>
              <w:spacing w:after="0"/>
              <w:rPr>
                <w:sz w:val="18"/>
                <w:szCs w:val="18"/>
                <w:color w:val="auto"/>
              </w:rPr>
            </w:pPr>
          </w:p>
        </w:tc>
        <w:tc>
          <w:tcPr>
            <w:tcW w:w="20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660" w:type="dxa"/>
            <w:vAlign w:val="bottom"/>
          </w:tcPr>
          <w:p>
            <w:pPr>
              <w:jc w:val="right"/>
              <w:spacing w:after="0"/>
              <w:rPr>
                <w:sz w:val="20"/>
                <w:szCs w:val="20"/>
                <w:color w:val="auto"/>
              </w:rPr>
            </w:pPr>
            <w:r>
              <w:rPr>
                <w:rFonts w:ascii="Arial" w:cs="Arial" w:eastAsia="Arial" w:hAnsi="Arial"/>
                <w:sz w:val="18"/>
                <w:szCs w:val="18"/>
                <w:b w:val="1"/>
                <w:bCs w:val="1"/>
                <w:color w:val="auto"/>
                <w:w w:val="96"/>
              </w:rPr>
              <w:t>2,265.1</w:t>
            </w:r>
          </w:p>
        </w:tc>
        <w:tc>
          <w:tcPr>
            <w:tcW w:w="14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680" w:type="dxa"/>
            <w:vAlign w:val="bottom"/>
          </w:tcPr>
          <w:p>
            <w:pPr>
              <w:jc w:val="right"/>
              <w:spacing w:after="0"/>
              <w:rPr>
                <w:sz w:val="20"/>
                <w:szCs w:val="20"/>
                <w:color w:val="auto"/>
              </w:rPr>
            </w:pPr>
            <w:r>
              <w:rPr>
                <w:rFonts w:ascii="Arial" w:cs="Arial" w:eastAsia="Arial" w:hAnsi="Arial"/>
                <w:sz w:val="18"/>
                <w:szCs w:val="18"/>
                <w:b w:val="1"/>
                <w:bCs w:val="1"/>
                <w:color w:val="auto"/>
                <w:w w:val="99"/>
              </w:rPr>
              <w:t>5,211.7</w:t>
            </w:r>
          </w:p>
        </w:tc>
        <w:tc>
          <w:tcPr>
            <w:tcW w:w="14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740" w:type="dxa"/>
            <w:vAlign w:val="bottom"/>
          </w:tcPr>
          <w:p>
            <w:pPr>
              <w:jc w:val="right"/>
              <w:spacing w:after="0"/>
              <w:rPr>
                <w:sz w:val="20"/>
                <w:szCs w:val="20"/>
                <w:color w:val="auto"/>
              </w:rPr>
            </w:pPr>
            <w:r>
              <w:rPr>
                <w:rFonts w:ascii="Arial" w:cs="Arial" w:eastAsia="Arial" w:hAnsi="Arial"/>
                <w:sz w:val="18"/>
                <w:szCs w:val="18"/>
                <w:b w:val="1"/>
                <w:bCs w:val="1"/>
                <w:color w:val="auto"/>
                <w:w w:val="94"/>
              </w:rPr>
              <w:t>14,837.2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60" w:type="dxa"/>
            <w:vAlign w:val="bottom"/>
            <w:shd w:val="clear" w:color="auto" w:fill="CCEEFF"/>
          </w:tcPr>
          <w:p>
            <w:pPr>
              <w:ind w:left="100"/>
              <w:spacing w:after="0"/>
              <w:rPr>
                <w:sz w:val="20"/>
                <w:szCs w:val="20"/>
                <w:color w:val="auto"/>
              </w:rPr>
            </w:pPr>
            <w:r>
              <w:rPr>
                <w:rFonts w:ascii="Arial" w:cs="Arial" w:eastAsia="Arial" w:hAnsi="Arial"/>
                <w:sz w:val="18"/>
                <w:szCs w:val="18"/>
                <w:color w:val="auto"/>
              </w:rPr>
              <w:t>BBB+ thru BBB-</w:t>
            </w:r>
          </w:p>
        </w:tc>
        <w:tc>
          <w:tcPr>
            <w:tcW w:w="18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39.4</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345.8</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206.5</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266.3</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199.6</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569.0</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1,626.6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60" w:type="dxa"/>
            <w:vAlign w:val="bottom"/>
          </w:tcPr>
          <w:p>
            <w:pPr>
              <w:ind w:left="100"/>
              <w:spacing w:after="0"/>
              <w:rPr>
                <w:sz w:val="20"/>
                <w:szCs w:val="20"/>
                <w:color w:val="auto"/>
              </w:rPr>
            </w:pPr>
            <w:r>
              <w:rPr>
                <w:rFonts w:ascii="Arial" w:cs="Arial" w:eastAsia="Arial" w:hAnsi="Arial"/>
                <w:sz w:val="18"/>
                <w:szCs w:val="18"/>
                <w:color w:val="auto"/>
              </w:rPr>
              <w:t>BB+ thru BB-</w:t>
            </w:r>
          </w:p>
        </w:tc>
        <w:tc>
          <w:tcPr>
            <w:tcW w:w="180" w:type="dxa"/>
            <w:vAlign w:val="bottom"/>
          </w:tcPr>
          <w:p>
            <w:pPr>
              <w:spacing w:after="0"/>
              <w:rPr>
                <w:sz w:val="18"/>
                <w:szCs w:val="18"/>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b w:val="1"/>
                <w:bCs w:val="1"/>
                <w:color w:val="auto"/>
              </w:rPr>
              <w:t>47.2</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b w:val="1"/>
                <w:bCs w:val="1"/>
                <w:color w:val="auto"/>
              </w:rPr>
              <w:t>5.1</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w:t>
            </w:r>
          </w:p>
        </w:tc>
        <w:tc>
          <w:tcPr>
            <w:tcW w:w="16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b w:val="1"/>
                <w:bCs w:val="1"/>
                <w:color w:val="auto"/>
              </w:rPr>
              <w:t>44.6</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b w:val="1"/>
                <w:bCs w:val="1"/>
                <w:color w:val="auto"/>
              </w:rPr>
              <w:t>96.9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60" w:type="dxa"/>
            <w:vAlign w:val="bottom"/>
            <w:shd w:val="clear" w:color="auto" w:fill="CCEEFF"/>
          </w:tcPr>
          <w:p>
            <w:pPr>
              <w:ind w:left="100"/>
              <w:spacing w:after="0"/>
              <w:rPr>
                <w:sz w:val="20"/>
                <w:szCs w:val="20"/>
                <w:color w:val="auto"/>
              </w:rPr>
            </w:pPr>
            <w:r>
              <w:rPr>
                <w:rFonts w:ascii="Arial" w:cs="Arial" w:eastAsia="Arial" w:hAnsi="Arial"/>
                <w:sz w:val="18"/>
                <w:szCs w:val="18"/>
                <w:color w:val="auto"/>
              </w:rPr>
              <w:t>B+ and below</w:t>
            </w:r>
          </w:p>
        </w:tc>
        <w:tc>
          <w:tcPr>
            <w:tcW w:w="18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w:t>
            </w:r>
          </w:p>
        </w:tc>
        <w:tc>
          <w:tcPr>
            <w:tcW w:w="14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8.6</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38.6</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47.2</w:t>
            </w: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3260" w:type="dxa"/>
            <w:vAlign w:val="bottom"/>
            <w:tcBorders>
              <w:bottom w:val="single" w:sz="8" w:color="CCEEFF"/>
            </w:tcBorders>
          </w:tcPr>
          <w:p>
            <w:pPr>
              <w:ind w:left="100"/>
              <w:spacing w:after="0"/>
              <w:rPr>
                <w:sz w:val="20"/>
                <w:szCs w:val="20"/>
                <w:color w:val="auto"/>
              </w:rPr>
            </w:pPr>
            <w:r>
              <w:rPr>
                <w:rFonts w:ascii="Arial" w:cs="Arial" w:eastAsia="Arial" w:hAnsi="Arial"/>
                <w:sz w:val="18"/>
                <w:szCs w:val="18"/>
                <w:color w:val="auto"/>
              </w:rPr>
              <w:t>Total</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957.9</w:t>
            </w:r>
          </w:p>
        </w:tc>
        <w:tc>
          <w:tcPr>
            <w:tcW w:w="160" w:type="dxa"/>
            <w:vAlign w:val="bottom"/>
            <w:tcBorders>
              <w:bottom w:val="single" w:sz="8" w:color="CCEEFF"/>
            </w:tcBorders>
          </w:tcPr>
          <w:p>
            <w:pPr>
              <w:spacing w:after="0"/>
              <w:rPr>
                <w:sz w:val="21"/>
                <w:szCs w:val="21"/>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99"/>
              </w:rPr>
              <w:t>2,678.2</w:t>
            </w:r>
          </w:p>
        </w:tc>
        <w:tc>
          <w:tcPr>
            <w:tcW w:w="80" w:type="dxa"/>
            <w:vAlign w:val="bottom"/>
            <w:tcBorders>
              <w:bottom w:val="single" w:sz="8" w:color="CCEEFF"/>
            </w:tcBorders>
          </w:tcPr>
          <w:p>
            <w:pPr>
              <w:spacing w:after="0"/>
              <w:rPr>
                <w:sz w:val="21"/>
                <w:szCs w:val="21"/>
                <w:color w:val="auto"/>
              </w:rPr>
            </w:pPr>
          </w:p>
        </w:tc>
        <w:tc>
          <w:tcPr>
            <w:tcW w:w="80" w:type="dxa"/>
            <w:vAlign w:val="bottom"/>
            <w:tcBorders>
              <w:bottom w:val="single" w:sz="8" w:color="CCEEFF"/>
            </w:tcBorders>
          </w:tcPr>
          <w:p>
            <w:pPr>
              <w:spacing w:after="0"/>
              <w:rPr>
                <w:sz w:val="21"/>
                <w:szCs w:val="21"/>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96"/>
              </w:rPr>
              <w:t>1,999.1</w:t>
            </w:r>
          </w:p>
        </w:tc>
        <w:tc>
          <w:tcPr>
            <w:tcW w:w="160" w:type="dxa"/>
            <w:vAlign w:val="bottom"/>
            <w:tcBorders>
              <w:bottom w:val="single" w:sz="8" w:color="CCEEFF"/>
            </w:tcBorders>
          </w:tcPr>
          <w:p>
            <w:pPr>
              <w:spacing w:after="0"/>
              <w:rPr>
                <w:sz w:val="21"/>
                <w:szCs w:val="21"/>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2,635.5</w:t>
            </w:r>
          </w:p>
        </w:tc>
        <w:tc>
          <w:tcPr>
            <w:tcW w:w="100" w:type="dxa"/>
            <w:vAlign w:val="bottom"/>
            <w:tcBorders>
              <w:bottom w:val="single" w:sz="8" w:color="CCEEFF"/>
            </w:tcBorders>
          </w:tcPr>
          <w:p>
            <w:pPr>
              <w:spacing w:after="0"/>
              <w:rPr>
                <w:sz w:val="21"/>
                <w:szCs w:val="21"/>
                <w:color w:val="auto"/>
              </w:rPr>
            </w:pPr>
          </w:p>
        </w:tc>
        <w:tc>
          <w:tcPr>
            <w:tcW w:w="60" w:type="dxa"/>
            <w:vAlign w:val="bottom"/>
            <w:tcBorders>
              <w:bottom w:val="single" w:sz="8" w:color="CCEEFF"/>
            </w:tcBorders>
          </w:tcPr>
          <w:p>
            <w:pPr>
              <w:spacing w:after="0"/>
              <w:rPr>
                <w:sz w:val="21"/>
                <w:szCs w:val="21"/>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96"/>
              </w:rPr>
              <w:t>2,473.3</w:t>
            </w:r>
          </w:p>
        </w:tc>
        <w:tc>
          <w:tcPr>
            <w:tcW w:w="140" w:type="dxa"/>
            <w:vAlign w:val="bottom"/>
            <w:tcBorders>
              <w:bottom w:val="single" w:sz="8" w:color="CCEEFF"/>
            </w:tcBorders>
          </w:tcPr>
          <w:p>
            <w:pPr>
              <w:spacing w:after="0"/>
              <w:rPr>
                <w:sz w:val="21"/>
                <w:szCs w:val="21"/>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99"/>
              </w:rPr>
              <w:t>5,863.9</w:t>
            </w:r>
          </w:p>
        </w:tc>
        <w:tc>
          <w:tcPr>
            <w:tcW w:w="140" w:type="dxa"/>
            <w:vAlign w:val="bottom"/>
            <w:tcBorders>
              <w:bottom w:val="single" w:sz="8" w:color="CCEEFF"/>
            </w:tcBorders>
          </w:tcPr>
          <w:p>
            <w:pPr>
              <w:spacing w:after="0"/>
              <w:rPr>
                <w:sz w:val="21"/>
                <w:szCs w:val="21"/>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94"/>
              </w:rPr>
              <w:t>16,607.9</w:t>
            </w:r>
          </w:p>
        </w:tc>
        <w:tc>
          <w:tcPr>
            <w:tcW w:w="0" w:type="dxa"/>
            <w:vAlign w:val="bottom"/>
          </w:tcPr>
          <w:p>
            <w:pPr>
              <w:spacing w:after="0"/>
              <w:rPr>
                <w:sz w:val="1"/>
                <w:szCs w:val="1"/>
                <w:color w:val="auto"/>
              </w:rPr>
            </w:pPr>
          </w:p>
        </w:tc>
      </w:tr>
      <w:tr>
        <w:trPr>
          <w:trHeight w:val="196"/>
        </w:trPr>
        <w:tc>
          <w:tcPr>
            <w:tcW w:w="20" w:type="dxa"/>
            <w:vAlign w:val="bottom"/>
            <w:vMerge w:val="restart"/>
          </w:tcPr>
          <w:p>
            <w:pPr>
              <w:spacing w:after="0"/>
              <w:rPr>
                <w:sz w:val="17"/>
                <w:szCs w:val="17"/>
                <w:color w:val="auto"/>
              </w:rPr>
            </w:pPr>
          </w:p>
        </w:tc>
        <w:tc>
          <w:tcPr>
            <w:tcW w:w="32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260" w:type="dxa"/>
            <w:vAlign w:val="bottom"/>
          </w:tcPr>
          <w:p>
            <w:pPr>
              <w:spacing w:after="0"/>
              <w:rPr>
                <w:sz w:val="20"/>
                <w:szCs w:val="20"/>
                <w:color w:val="auto"/>
              </w:rPr>
            </w:pPr>
            <w:r>
              <w:rPr>
                <w:rFonts w:ascii="Arial" w:cs="Arial" w:eastAsia="Arial" w:hAnsi="Arial"/>
                <w:sz w:val="18"/>
                <w:szCs w:val="18"/>
                <w:color w:val="auto"/>
              </w:rPr>
              <w:t>Direct financing leases:</w:t>
            </w: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60" w:type="dxa"/>
            <w:vAlign w:val="bottom"/>
            <w:shd w:val="clear" w:color="auto" w:fill="CCEEFF"/>
          </w:tcPr>
          <w:p>
            <w:pPr>
              <w:ind w:left="100"/>
              <w:spacing w:after="0"/>
              <w:rPr>
                <w:sz w:val="20"/>
                <w:szCs w:val="20"/>
                <w:color w:val="auto"/>
              </w:rPr>
            </w:pPr>
            <w:r>
              <w:rPr>
                <w:rFonts w:ascii="Arial" w:cs="Arial" w:eastAsia="Arial" w:hAnsi="Arial"/>
                <w:sz w:val="18"/>
                <w:szCs w:val="18"/>
                <w:color w:val="auto"/>
              </w:rPr>
              <w:t>A- and above</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89.9</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11.3</w:t>
            </w:r>
          </w:p>
        </w:tc>
        <w:tc>
          <w:tcPr>
            <w:tcW w:w="8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39.9</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1.3</w:t>
            </w:r>
          </w:p>
        </w:tc>
        <w:tc>
          <w:tcPr>
            <w:tcW w:w="10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37.6</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153.3</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333.3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60" w:type="dxa"/>
            <w:vAlign w:val="bottom"/>
          </w:tcPr>
          <w:p>
            <w:pPr>
              <w:ind w:left="100"/>
              <w:spacing w:after="0"/>
              <w:rPr>
                <w:sz w:val="20"/>
                <w:szCs w:val="20"/>
                <w:color w:val="auto"/>
              </w:rPr>
            </w:pPr>
            <w:r>
              <w:rPr>
                <w:rFonts w:ascii="Arial" w:cs="Arial" w:eastAsia="Arial" w:hAnsi="Arial"/>
                <w:sz w:val="18"/>
                <w:szCs w:val="18"/>
                <w:color w:val="auto"/>
              </w:rPr>
              <w:t>BBB+ thru BBB-</w:t>
            </w:r>
          </w:p>
        </w:tc>
        <w:tc>
          <w:tcPr>
            <w:tcW w:w="18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b w:val="1"/>
                <w:bCs w:val="1"/>
                <w:color w:val="auto"/>
              </w:rPr>
              <w:t>24.4</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b w:val="1"/>
                <w:bCs w:val="1"/>
                <w:color w:val="auto"/>
              </w:rPr>
              <w:t>19.0</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b w:val="1"/>
                <w:bCs w:val="1"/>
                <w:color w:val="auto"/>
              </w:rPr>
              <w:t>55.3</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b w:val="1"/>
                <w:bCs w:val="1"/>
                <w:color w:val="auto"/>
              </w:rPr>
              <w:t>10.4</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b w:val="1"/>
                <w:bCs w:val="1"/>
                <w:color w:val="auto"/>
              </w:rPr>
              <w:t>10.1</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b w:val="1"/>
                <w:bCs w:val="1"/>
                <w:color w:val="auto"/>
              </w:rPr>
              <w:t>62.4</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b w:val="1"/>
                <w:bCs w:val="1"/>
                <w:color w:val="auto"/>
              </w:rPr>
              <w:t>181.6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60" w:type="dxa"/>
            <w:vAlign w:val="bottom"/>
            <w:shd w:val="clear" w:color="auto" w:fill="CCEEFF"/>
          </w:tcPr>
          <w:p>
            <w:pPr>
              <w:ind w:left="100"/>
              <w:spacing w:after="0"/>
              <w:rPr>
                <w:sz w:val="20"/>
                <w:szCs w:val="20"/>
                <w:color w:val="auto"/>
              </w:rPr>
            </w:pPr>
            <w:r>
              <w:rPr>
                <w:rFonts w:ascii="Arial" w:cs="Arial" w:eastAsia="Arial" w:hAnsi="Arial"/>
                <w:sz w:val="18"/>
                <w:szCs w:val="18"/>
                <w:color w:val="auto"/>
              </w:rPr>
              <w:t>BB+ thru BB-</w:t>
            </w:r>
          </w:p>
        </w:tc>
        <w:tc>
          <w:tcPr>
            <w:tcW w:w="18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w:t>
            </w: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49.3</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12.8</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1.7</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w:t>
            </w: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1.9</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65.7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60" w:type="dxa"/>
            <w:vAlign w:val="bottom"/>
          </w:tcPr>
          <w:p>
            <w:pPr>
              <w:ind w:left="100"/>
              <w:spacing w:after="0"/>
              <w:rPr>
                <w:sz w:val="20"/>
                <w:szCs w:val="20"/>
                <w:color w:val="auto"/>
              </w:rPr>
            </w:pPr>
            <w:r>
              <w:rPr>
                <w:rFonts w:ascii="Arial" w:cs="Arial" w:eastAsia="Arial" w:hAnsi="Arial"/>
                <w:sz w:val="18"/>
                <w:szCs w:val="18"/>
                <w:color w:val="auto"/>
              </w:rPr>
              <w:t>B+ and below</w:t>
            </w:r>
          </w:p>
        </w:tc>
        <w:tc>
          <w:tcPr>
            <w:tcW w:w="180" w:type="dxa"/>
            <w:vAlign w:val="bottom"/>
          </w:tcPr>
          <w:p>
            <w:pPr>
              <w:spacing w:after="0"/>
              <w:rPr>
                <w:sz w:val="18"/>
                <w:szCs w:val="18"/>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b w:val="1"/>
                <w:bCs w:val="1"/>
                <w:color w:val="auto"/>
              </w:rPr>
              <w:t>1.3</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w:t>
            </w:r>
          </w:p>
        </w:tc>
        <w:tc>
          <w:tcPr>
            <w:tcW w:w="160" w:type="dxa"/>
            <w:vAlign w:val="bottom"/>
          </w:tcPr>
          <w:p>
            <w:pPr>
              <w:spacing w:after="0"/>
              <w:rPr>
                <w:sz w:val="18"/>
                <w:szCs w:val="18"/>
                <w:color w:val="auto"/>
              </w:rPr>
            </w:pPr>
          </w:p>
        </w:tc>
        <w:tc>
          <w:tcPr>
            <w:tcW w:w="82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b w:val="1"/>
                <w:bCs w:val="1"/>
                <w:color w:val="auto"/>
              </w:rPr>
              <w:t>1.3</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260" w:type="dxa"/>
            <w:vAlign w:val="bottom"/>
            <w:tcBorders>
              <w:top w:val="single" w:sz="8" w:color="CCEEFF"/>
              <w:bottom w:val="single" w:sz="8" w:color="CCEEFF"/>
            </w:tcBorders>
            <w:shd w:val="clear" w:color="auto" w:fill="CCEEFF"/>
          </w:tcPr>
          <w:p>
            <w:pPr>
              <w:ind w:left="100"/>
              <w:spacing w:after="0"/>
              <w:rPr>
                <w:sz w:val="20"/>
                <w:szCs w:val="20"/>
                <w:color w:val="auto"/>
              </w:rPr>
            </w:pPr>
            <w:r>
              <w:rPr>
                <w:rFonts w:ascii="Arial" w:cs="Arial" w:eastAsia="Arial" w:hAnsi="Arial"/>
                <w:sz w:val="18"/>
                <w:szCs w:val="18"/>
                <w:color w:val="auto"/>
              </w:rPr>
              <w:t>Total</w:t>
            </w: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114.3</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80.9</w:t>
            </w: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108.0</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13.4</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6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47.7</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217.6</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581.9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2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32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260" w:type="dxa"/>
            <w:vAlign w:val="bottom"/>
            <w:shd w:val="clear" w:color="auto" w:fill="CCEEFF"/>
          </w:tcPr>
          <w:p>
            <w:pPr>
              <w:spacing w:after="0"/>
              <w:rPr>
                <w:sz w:val="20"/>
                <w:szCs w:val="20"/>
                <w:color w:val="auto"/>
              </w:rPr>
            </w:pPr>
            <w:r>
              <w:rPr>
                <w:rFonts w:ascii="Arial" w:cs="Arial" w:eastAsia="Arial" w:hAnsi="Arial"/>
                <w:sz w:val="18"/>
                <w:szCs w:val="18"/>
                <w:color w:val="auto"/>
              </w:rPr>
              <w:t>Residential mortgage loans:</w:t>
            </w:r>
          </w:p>
        </w:tc>
        <w:tc>
          <w:tcPr>
            <w:tcW w:w="1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60" w:type="dxa"/>
            <w:vAlign w:val="bottom"/>
          </w:tcPr>
          <w:p>
            <w:pPr>
              <w:ind w:left="100"/>
              <w:spacing w:after="0"/>
              <w:rPr>
                <w:sz w:val="20"/>
                <w:szCs w:val="20"/>
                <w:color w:val="auto"/>
              </w:rPr>
            </w:pPr>
            <w:r>
              <w:rPr>
                <w:rFonts w:ascii="Arial" w:cs="Arial" w:eastAsia="Arial" w:hAnsi="Arial"/>
                <w:sz w:val="18"/>
                <w:szCs w:val="18"/>
                <w:color w:val="auto"/>
              </w:rPr>
              <w:t>Performing</w:t>
            </w:r>
          </w:p>
        </w:tc>
        <w:tc>
          <w:tcPr>
            <w:tcW w:w="18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620" w:type="dxa"/>
            <w:vAlign w:val="bottom"/>
          </w:tcPr>
          <w:p>
            <w:pPr>
              <w:jc w:val="right"/>
              <w:spacing w:after="0"/>
              <w:rPr>
                <w:sz w:val="20"/>
                <w:szCs w:val="20"/>
                <w:color w:val="auto"/>
              </w:rPr>
            </w:pPr>
            <w:r>
              <w:rPr>
                <w:rFonts w:ascii="Arial" w:cs="Arial" w:eastAsia="Arial" w:hAnsi="Arial"/>
                <w:sz w:val="18"/>
                <w:szCs w:val="18"/>
                <w:b w:val="1"/>
                <w:bCs w:val="1"/>
                <w:color w:val="auto"/>
              </w:rPr>
              <w:t>521.7</w:t>
            </w:r>
          </w:p>
        </w:tc>
        <w:tc>
          <w:tcPr>
            <w:tcW w:w="16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660" w:type="dxa"/>
            <w:vAlign w:val="bottom"/>
          </w:tcPr>
          <w:p>
            <w:pPr>
              <w:jc w:val="right"/>
              <w:spacing w:after="0"/>
              <w:rPr>
                <w:sz w:val="20"/>
                <w:szCs w:val="20"/>
                <w:color w:val="auto"/>
              </w:rPr>
            </w:pPr>
            <w:r>
              <w:rPr>
                <w:rFonts w:ascii="Arial" w:cs="Arial" w:eastAsia="Arial" w:hAnsi="Arial"/>
                <w:sz w:val="18"/>
                <w:szCs w:val="18"/>
                <w:b w:val="1"/>
                <w:bCs w:val="1"/>
                <w:color w:val="auto"/>
                <w:w w:val="99"/>
              </w:rPr>
              <w:t>2,096.1</w:t>
            </w:r>
          </w:p>
        </w:tc>
        <w:tc>
          <w:tcPr>
            <w:tcW w:w="80" w:type="dxa"/>
            <w:vAlign w:val="bottom"/>
          </w:tcPr>
          <w:p>
            <w:pPr>
              <w:spacing w:after="0"/>
              <w:rPr>
                <w:sz w:val="18"/>
                <w:szCs w:val="18"/>
                <w:color w:val="auto"/>
              </w:rPr>
            </w:pPr>
          </w:p>
        </w:tc>
        <w:tc>
          <w:tcPr>
            <w:tcW w:w="22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660" w:type="dxa"/>
            <w:vAlign w:val="bottom"/>
          </w:tcPr>
          <w:p>
            <w:pPr>
              <w:jc w:val="right"/>
              <w:spacing w:after="0"/>
              <w:rPr>
                <w:sz w:val="20"/>
                <w:szCs w:val="20"/>
                <w:color w:val="auto"/>
              </w:rPr>
            </w:pPr>
            <w:r>
              <w:rPr>
                <w:rFonts w:ascii="Arial" w:cs="Arial" w:eastAsia="Arial" w:hAnsi="Arial"/>
                <w:sz w:val="18"/>
                <w:szCs w:val="18"/>
                <w:b w:val="1"/>
                <w:bCs w:val="1"/>
                <w:color w:val="auto"/>
              </w:rPr>
              <w:t>455.8</w:t>
            </w:r>
          </w:p>
        </w:tc>
        <w:tc>
          <w:tcPr>
            <w:tcW w:w="26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700" w:type="dxa"/>
            <w:vAlign w:val="bottom"/>
          </w:tcPr>
          <w:p>
            <w:pPr>
              <w:jc w:val="right"/>
              <w:spacing w:after="0"/>
              <w:rPr>
                <w:sz w:val="20"/>
                <w:szCs w:val="20"/>
                <w:color w:val="auto"/>
              </w:rPr>
            </w:pPr>
            <w:r>
              <w:rPr>
                <w:rFonts w:ascii="Arial" w:cs="Arial" w:eastAsia="Arial" w:hAnsi="Arial"/>
                <w:sz w:val="18"/>
                <w:szCs w:val="18"/>
                <w:b w:val="1"/>
                <w:bCs w:val="1"/>
                <w:color w:val="auto"/>
              </w:rPr>
              <w:t>136.1</w:t>
            </w:r>
          </w:p>
        </w:tc>
        <w:tc>
          <w:tcPr>
            <w:tcW w:w="100" w:type="dxa"/>
            <w:vAlign w:val="bottom"/>
          </w:tcPr>
          <w:p>
            <w:pPr>
              <w:spacing w:after="0"/>
              <w:rPr>
                <w:sz w:val="18"/>
                <w:szCs w:val="18"/>
                <w:color w:val="auto"/>
              </w:rPr>
            </w:pPr>
          </w:p>
        </w:tc>
        <w:tc>
          <w:tcPr>
            <w:tcW w:w="20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660" w:type="dxa"/>
            <w:vAlign w:val="bottom"/>
          </w:tcPr>
          <w:p>
            <w:pPr>
              <w:jc w:val="right"/>
              <w:spacing w:after="0"/>
              <w:rPr>
                <w:sz w:val="20"/>
                <w:szCs w:val="20"/>
                <w:color w:val="auto"/>
              </w:rPr>
            </w:pPr>
            <w:r>
              <w:rPr>
                <w:rFonts w:ascii="Arial" w:cs="Arial" w:eastAsia="Arial" w:hAnsi="Arial"/>
                <w:sz w:val="18"/>
                <w:szCs w:val="18"/>
                <w:b w:val="1"/>
                <w:bCs w:val="1"/>
                <w:color w:val="auto"/>
              </w:rPr>
              <w:t>74.0</w:t>
            </w:r>
          </w:p>
        </w:tc>
        <w:tc>
          <w:tcPr>
            <w:tcW w:w="14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680" w:type="dxa"/>
            <w:vAlign w:val="bottom"/>
          </w:tcPr>
          <w:p>
            <w:pPr>
              <w:jc w:val="right"/>
              <w:spacing w:after="0"/>
              <w:rPr>
                <w:sz w:val="20"/>
                <w:szCs w:val="20"/>
                <w:color w:val="auto"/>
              </w:rPr>
            </w:pPr>
            <w:r>
              <w:rPr>
                <w:rFonts w:ascii="Arial" w:cs="Arial" w:eastAsia="Arial" w:hAnsi="Arial"/>
                <w:sz w:val="18"/>
                <w:szCs w:val="18"/>
                <w:b w:val="1"/>
                <w:bCs w:val="1"/>
                <w:color w:val="auto"/>
              </w:rPr>
              <w:t>438.7</w:t>
            </w:r>
          </w:p>
        </w:tc>
        <w:tc>
          <w:tcPr>
            <w:tcW w:w="14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740" w:type="dxa"/>
            <w:vAlign w:val="bottom"/>
          </w:tcPr>
          <w:p>
            <w:pPr>
              <w:jc w:val="right"/>
              <w:spacing w:after="0"/>
              <w:rPr>
                <w:sz w:val="20"/>
                <w:szCs w:val="20"/>
                <w:color w:val="auto"/>
              </w:rPr>
            </w:pPr>
            <w:r>
              <w:rPr>
                <w:rFonts w:ascii="Arial" w:cs="Arial" w:eastAsia="Arial" w:hAnsi="Arial"/>
                <w:sz w:val="18"/>
                <w:szCs w:val="18"/>
                <w:b w:val="1"/>
                <w:bCs w:val="1"/>
                <w:color w:val="auto"/>
              </w:rPr>
              <w:t>3,722.4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60" w:type="dxa"/>
            <w:vAlign w:val="bottom"/>
            <w:shd w:val="clear" w:color="auto" w:fill="CCEEFF"/>
          </w:tcPr>
          <w:p>
            <w:pPr>
              <w:ind w:left="100"/>
              <w:spacing w:after="0"/>
              <w:rPr>
                <w:sz w:val="20"/>
                <w:szCs w:val="20"/>
                <w:color w:val="auto"/>
              </w:rPr>
            </w:pPr>
            <w:r>
              <w:rPr>
                <w:rFonts w:ascii="Arial" w:cs="Arial" w:eastAsia="Arial" w:hAnsi="Arial"/>
                <w:sz w:val="18"/>
                <w:szCs w:val="18"/>
                <w:color w:val="auto"/>
              </w:rPr>
              <w:t>Non-performing</w:t>
            </w:r>
          </w:p>
        </w:tc>
        <w:tc>
          <w:tcPr>
            <w:tcW w:w="18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w:t>
            </w: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2.7</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2.6</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1.0</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1.6</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4.3</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12.2</w:t>
            </w: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3260" w:type="dxa"/>
            <w:vAlign w:val="bottom"/>
            <w:tcBorders>
              <w:bottom w:val="single" w:sz="8" w:color="CCEEFF"/>
            </w:tcBorders>
          </w:tcPr>
          <w:p>
            <w:pPr>
              <w:ind w:left="100"/>
              <w:spacing w:after="0"/>
              <w:rPr>
                <w:sz w:val="20"/>
                <w:szCs w:val="20"/>
                <w:color w:val="auto"/>
              </w:rPr>
            </w:pPr>
            <w:r>
              <w:rPr>
                <w:rFonts w:ascii="Arial" w:cs="Arial" w:eastAsia="Arial" w:hAnsi="Arial"/>
                <w:sz w:val="18"/>
                <w:szCs w:val="18"/>
                <w:color w:val="auto"/>
              </w:rPr>
              <w:t>Total</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521.7</w:t>
            </w:r>
          </w:p>
        </w:tc>
        <w:tc>
          <w:tcPr>
            <w:tcW w:w="160" w:type="dxa"/>
            <w:vAlign w:val="bottom"/>
            <w:tcBorders>
              <w:bottom w:val="single" w:sz="8" w:color="CCEEFF"/>
            </w:tcBorders>
          </w:tcPr>
          <w:p>
            <w:pPr>
              <w:spacing w:after="0"/>
              <w:rPr>
                <w:sz w:val="21"/>
                <w:szCs w:val="21"/>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99"/>
              </w:rPr>
              <w:t>2,098.8</w:t>
            </w:r>
          </w:p>
        </w:tc>
        <w:tc>
          <w:tcPr>
            <w:tcW w:w="80" w:type="dxa"/>
            <w:vAlign w:val="bottom"/>
            <w:tcBorders>
              <w:bottom w:val="single" w:sz="8" w:color="CCEEFF"/>
            </w:tcBorders>
          </w:tcPr>
          <w:p>
            <w:pPr>
              <w:spacing w:after="0"/>
              <w:rPr>
                <w:sz w:val="21"/>
                <w:szCs w:val="21"/>
                <w:color w:val="auto"/>
              </w:rPr>
            </w:pPr>
          </w:p>
        </w:tc>
        <w:tc>
          <w:tcPr>
            <w:tcW w:w="80" w:type="dxa"/>
            <w:vAlign w:val="bottom"/>
            <w:tcBorders>
              <w:bottom w:val="single" w:sz="8" w:color="CCEEFF"/>
            </w:tcBorders>
          </w:tcPr>
          <w:p>
            <w:pPr>
              <w:spacing w:after="0"/>
              <w:rPr>
                <w:sz w:val="21"/>
                <w:szCs w:val="21"/>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458.4</w:t>
            </w:r>
          </w:p>
        </w:tc>
        <w:tc>
          <w:tcPr>
            <w:tcW w:w="160" w:type="dxa"/>
            <w:vAlign w:val="bottom"/>
            <w:tcBorders>
              <w:bottom w:val="single" w:sz="8" w:color="CCEEFF"/>
            </w:tcBorders>
          </w:tcPr>
          <w:p>
            <w:pPr>
              <w:spacing w:after="0"/>
              <w:rPr>
                <w:sz w:val="21"/>
                <w:szCs w:val="21"/>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137.1</w:t>
            </w:r>
          </w:p>
        </w:tc>
        <w:tc>
          <w:tcPr>
            <w:tcW w:w="100" w:type="dxa"/>
            <w:vAlign w:val="bottom"/>
            <w:tcBorders>
              <w:bottom w:val="single" w:sz="8" w:color="CCEEFF"/>
            </w:tcBorders>
          </w:tcPr>
          <w:p>
            <w:pPr>
              <w:spacing w:after="0"/>
              <w:rPr>
                <w:sz w:val="21"/>
                <w:szCs w:val="21"/>
                <w:color w:val="auto"/>
              </w:rPr>
            </w:pPr>
          </w:p>
        </w:tc>
        <w:tc>
          <w:tcPr>
            <w:tcW w:w="60" w:type="dxa"/>
            <w:vAlign w:val="bottom"/>
            <w:tcBorders>
              <w:bottom w:val="single" w:sz="8" w:color="CCEEFF"/>
            </w:tcBorders>
          </w:tcPr>
          <w:p>
            <w:pPr>
              <w:spacing w:after="0"/>
              <w:rPr>
                <w:sz w:val="21"/>
                <w:szCs w:val="21"/>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75.6</w:t>
            </w:r>
          </w:p>
        </w:tc>
        <w:tc>
          <w:tcPr>
            <w:tcW w:w="140" w:type="dxa"/>
            <w:vAlign w:val="bottom"/>
            <w:tcBorders>
              <w:bottom w:val="single" w:sz="8" w:color="CCEEFF"/>
            </w:tcBorders>
          </w:tcPr>
          <w:p>
            <w:pPr>
              <w:spacing w:after="0"/>
              <w:rPr>
                <w:sz w:val="21"/>
                <w:szCs w:val="21"/>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443.0</w:t>
            </w:r>
          </w:p>
        </w:tc>
        <w:tc>
          <w:tcPr>
            <w:tcW w:w="140" w:type="dxa"/>
            <w:vAlign w:val="bottom"/>
            <w:tcBorders>
              <w:bottom w:val="single" w:sz="8" w:color="CCEEFF"/>
            </w:tcBorders>
          </w:tcPr>
          <w:p>
            <w:pPr>
              <w:spacing w:after="0"/>
              <w:rPr>
                <w:sz w:val="21"/>
                <w:szCs w:val="21"/>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3,734.6</w:t>
            </w:r>
          </w:p>
        </w:tc>
        <w:tc>
          <w:tcPr>
            <w:tcW w:w="0" w:type="dxa"/>
            <w:vAlign w:val="bottom"/>
          </w:tcPr>
          <w:p>
            <w:pPr>
              <w:spacing w:after="0"/>
              <w:rPr>
                <w:sz w:val="1"/>
                <w:szCs w:val="1"/>
                <w:color w:val="auto"/>
              </w:rPr>
            </w:pPr>
          </w:p>
        </w:tc>
      </w:tr>
      <w:tr>
        <w:trPr>
          <w:trHeight w:val="196"/>
        </w:trPr>
        <w:tc>
          <w:tcPr>
            <w:tcW w:w="20" w:type="dxa"/>
            <w:vAlign w:val="bottom"/>
            <w:vMerge w:val="restart"/>
          </w:tcPr>
          <w:p>
            <w:pPr>
              <w:spacing w:after="0"/>
              <w:rPr>
                <w:sz w:val="17"/>
                <w:szCs w:val="17"/>
                <w:color w:val="auto"/>
              </w:rPr>
            </w:pPr>
          </w:p>
        </w:tc>
        <w:tc>
          <w:tcPr>
            <w:tcW w:w="32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2"/>
        </w:trPr>
        <w:tc>
          <w:tcPr>
            <w:tcW w:w="20" w:type="dxa"/>
            <w:vAlign w:val="bottom"/>
            <w:vMerge w:val="continue"/>
          </w:tcPr>
          <w:p>
            <w:pPr>
              <w:spacing w:after="0"/>
              <w:rPr>
                <w:sz w:val="17"/>
                <w:szCs w:val="17"/>
                <w:color w:val="auto"/>
              </w:rPr>
            </w:pPr>
          </w:p>
        </w:tc>
        <w:tc>
          <w:tcPr>
            <w:tcW w:w="3260" w:type="dxa"/>
            <w:vAlign w:val="bottom"/>
          </w:tcPr>
          <w:p>
            <w:pPr>
              <w:spacing w:after="0" w:line="201" w:lineRule="exact"/>
              <w:rPr>
                <w:sz w:val="20"/>
                <w:szCs w:val="20"/>
                <w:color w:val="auto"/>
              </w:rPr>
            </w:pPr>
            <w:r>
              <w:rPr>
                <w:rFonts w:ascii="Arial" w:cs="Arial" w:eastAsia="Arial" w:hAnsi="Arial"/>
                <w:sz w:val="18"/>
                <w:szCs w:val="18"/>
                <w:color w:val="auto"/>
              </w:rPr>
              <w:t>Reinsurance recoverable and deposit</w:t>
            </w:r>
          </w:p>
        </w:tc>
        <w:tc>
          <w:tcPr>
            <w:tcW w:w="1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vMerge w:val="restart"/>
          </w:tcPr>
          <w:p>
            <w:pPr>
              <w:jc w:val="right"/>
              <w:spacing w:after="0"/>
              <w:rPr>
                <w:sz w:val="20"/>
                <w:szCs w:val="20"/>
                <w:color w:val="auto"/>
              </w:rPr>
            </w:pPr>
            <w:r>
              <w:rPr>
                <w:rFonts w:ascii="Arial" w:cs="Arial" w:eastAsia="Arial" w:hAnsi="Arial"/>
                <w:sz w:val="18"/>
                <w:szCs w:val="18"/>
                <w:b w:val="1"/>
                <w:bCs w:val="1"/>
                <w:color w:val="auto"/>
                <w:w w:val="79"/>
              </w:rPr>
              <w:t>$</w:t>
            </w:r>
          </w:p>
        </w:tc>
        <w:tc>
          <w:tcPr>
            <w:tcW w:w="740" w:type="dxa"/>
            <w:vAlign w:val="bottom"/>
            <w:vMerge w:val="restart"/>
          </w:tcPr>
          <w:p>
            <w:pPr>
              <w:jc w:val="right"/>
              <w:spacing w:after="0"/>
              <w:rPr>
                <w:sz w:val="20"/>
                <w:szCs w:val="20"/>
                <w:color w:val="auto"/>
              </w:rPr>
            </w:pPr>
            <w:r>
              <w:rPr>
                <w:rFonts w:ascii="Arial" w:cs="Arial" w:eastAsia="Arial" w:hAnsi="Arial"/>
                <w:sz w:val="18"/>
                <w:szCs w:val="18"/>
                <w:b w:val="1"/>
                <w:bCs w:val="1"/>
                <w:color w:val="auto"/>
                <w:w w:val="94"/>
              </w:rPr>
              <w:t>23,603.7</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8"/>
                <w:szCs w:val="18"/>
                <w:color w:val="auto"/>
              </w:rPr>
            </w:pPr>
          </w:p>
        </w:tc>
        <w:tc>
          <w:tcPr>
            <w:tcW w:w="3260" w:type="dxa"/>
            <w:vAlign w:val="bottom"/>
          </w:tcPr>
          <w:p>
            <w:pPr>
              <w:ind w:left="120"/>
              <w:spacing w:after="0"/>
              <w:rPr>
                <w:sz w:val="20"/>
                <w:szCs w:val="20"/>
                <w:color w:val="auto"/>
              </w:rPr>
            </w:pPr>
            <w:r>
              <w:rPr>
                <w:rFonts w:ascii="Arial" w:cs="Arial" w:eastAsia="Arial" w:hAnsi="Arial"/>
                <w:sz w:val="18"/>
                <w:szCs w:val="18"/>
                <w:color w:val="auto"/>
              </w:rPr>
              <w:t>receivable</w:t>
            </w: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Borders>
              <w:bottom w:val="single" w:sz="8" w:color="auto"/>
            </w:tcBorders>
            <w:vMerge w:val="continue"/>
          </w:tcPr>
          <w:p>
            <w:pPr>
              <w:spacing w:after="0"/>
              <w:rPr>
                <w:sz w:val="18"/>
                <w:szCs w:val="18"/>
                <w:color w:val="auto"/>
              </w:rPr>
            </w:pPr>
          </w:p>
        </w:tc>
        <w:tc>
          <w:tcPr>
            <w:tcW w:w="740" w:type="dxa"/>
            <w:vAlign w:val="bottom"/>
            <w:tcBorders>
              <w:bottom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40" w:type="dxa"/>
            <w:vAlign w:val="bottom"/>
            <w:gridSpan w:val="2"/>
            <w:vMerge w:val="restart"/>
          </w:tcPr>
          <w:p>
            <w:pPr>
              <w:jc w:val="right"/>
              <w:ind w:right="60"/>
              <w:spacing w:after="0"/>
              <w:rPr>
                <w:sz w:val="20"/>
                <w:szCs w:val="20"/>
                <w:color w:val="auto"/>
              </w:rPr>
            </w:pPr>
            <w:r>
              <w:rPr>
                <w:rFonts w:ascii="Arial" w:cs="Arial" w:eastAsia="Arial" w:hAnsi="Arial"/>
                <w:sz w:val="18"/>
                <w:szCs w:val="18"/>
                <w:color w:val="auto"/>
              </w:rPr>
              <w:t>28</w:t>
            </w: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5"/>
        </w:trPr>
        <w:tc>
          <w:tcPr>
            <w:tcW w:w="20" w:type="dxa"/>
            <w:vAlign w:val="bottom"/>
          </w:tcPr>
          <w:p>
            <w:pPr>
              <w:spacing w:after="0"/>
              <w:rPr>
                <w:sz w:val="24"/>
                <w:szCs w:val="24"/>
                <w:color w:val="auto"/>
              </w:rPr>
            </w:pPr>
          </w:p>
        </w:tc>
        <w:tc>
          <w:tcPr>
            <w:tcW w:w="32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40" w:type="dxa"/>
            <w:vAlign w:val="bottom"/>
            <w:gridSpan w:val="2"/>
            <w:vMerge w:val="continue"/>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60"/>
        </w:trPr>
        <w:tc>
          <w:tcPr>
            <w:tcW w:w="20" w:type="dxa"/>
            <w:vAlign w:val="bottom"/>
          </w:tcPr>
          <w:p>
            <w:pPr>
              <w:spacing w:after="0"/>
              <w:rPr>
                <w:sz w:val="24"/>
                <w:szCs w:val="24"/>
                <w:color w:val="auto"/>
              </w:rPr>
            </w:pPr>
          </w:p>
        </w:tc>
        <w:tc>
          <w:tcPr>
            <w:tcW w:w="326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920"/>
          </w:cols>
          <w:pgMar w:left="980" w:top="665" w:right="999" w:bottom="1440" w:gutter="0" w:footer="0" w:header="0"/>
        </w:sectPr>
      </w:pPr>
    </w:p>
    <w:bookmarkStart w:id="28" w:name="page29"/>
    <w:bookmarkEnd w:id="28"/>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29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2580" w:type="dxa"/>
            <w:vAlign w:val="bottom"/>
            <w:tcBorders>
              <w:bottom w:val="single" w:sz="8" w:color="auto"/>
            </w:tcBorders>
            <w:gridSpan w:val="7"/>
          </w:tcPr>
          <w:p>
            <w:pPr>
              <w:jc w:val="right"/>
              <w:ind w:right="491"/>
              <w:spacing w:after="0"/>
              <w:rPr>
                <w:sz w:val="20"/>
                <w:szCs w:val="20"/>
                <w:color w:val="auto"/>
              </w:rPr>
            </w:pPr>
            <w:r>
              <w:rPr>
                <w:rFonts w:ascii="Arial" w:cs="Arial" w:eastAsia="Arial" w:hAnsi="Arial"/>
                <w:sz w:val="14"/>
                <w:szCs w:val="14"/>
                <w:b w:val="1"/>
                <w:bCs w:val="1"/>
                <w:color w:val="auto"/>
              </w:rPr>
              <w:t>As of December 31, 2021</w:t>
            </w:r>
          </w:p>
        </w:tc>
        <w:tc>
          <w:tcPr>
            <w:tcW w:w="1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9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60" w:type="dxa"/>
            <w:vAlign w:val="bottom"/>
          </w:tcPr>
          <w:p>
            <w:pPr>
              <w:jc w:val="right"/>
              <w:ind w:right="171"/>
              <w:spacing w:after="0" w:line="142" w:lineRule="exact"/>
              <w:rPr>
                <w:sz w:val="20"/>
                <w:szCs w:val="20"/>
                <w:color w:val="auto"/>
              </w:rPr>
            </w:pPr>
            <w:r>
              <w:rPr>
                <w:rFonts w:ascii="Arial" w:cs="Arial" w:eastAsia="Arial" w:hAnsi="Arial"/>
                <w:sz w:val="14"/>
                <w:szCs w:val="14"/>
                <w:b w:val="1"/>
                <w:bCs w:val="1"/>
                <w:color w:val="auto"/>
              </w:rPr>
              <w:t>2021</w:t>
            </w: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60" w:type="dxa"/>
            <w:vAlign w:val="bottom"/>
          </w:tcPr>
          <w:p>
            <w:pPr>
              <w:jc w:val="right"/>
              <w:ind w:right="171"/>
              <w:spacing w:after="0" w:line="142" w:lineRule="exact"/>
              <w:rPr>
                <w:sz w:val="20"/>
                <w:szCs w:val="20"/>
                <w:color w:val="auto"/>
              </w:rPr>
            </w:pPr>
            <w:r>
              <w:rPr>
                <w:rFonts w:ascii="Arial" w:cs="Arial" w:eastAsia="Arial" w:hAnsi="Arial"/>
                <w:sz w:val="14"/>
                <w:szCs w:val="14"/>
                <w:b w:val="1"/>
                <w:bCs w:val="1"/>
                <w:color w:val="auto"/>
              </w:rPr>
              <w:t>2020</w:t>
            </w: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60" w:type="dxa"/>
            <w:vAlign w:val="bottom"/>
          </w:tcPr>
          <w:p>
            <w:pPr>
              <w:jc w:val="right"/>
              <w:ind w:right="172"/>
              <w:spacing w:after="0" w:line="142" w:lineRule="exact"/>
              <w:rPr>
                <w:sz w:val="20"/>
                <w:szCs w:val="20"/>
                <w:color w:val="auto"/>
              </w:rPr>
            </w:pPr>
            <w:r>
              <w:rPr>
                <w:rFonts w:ascii="Arial" w:cs="Arial" w:eastAsia="Arial" w:hAnsi="Arial"/>
                <w:sz w:val="14"/>
                <w:szCs w:val="14"/>
                <w:b w:val="1"/>
                <w:bCs w:val="1"/>
                <w:color w:val="auto"/>
              </w:rPr>
              <w:t>2019</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tcPr>
          <w:p>
            <w:pPr>
              <w:jc w:val="right"/>
              <w:ind w:right="172"/>
              <w:spacing w:after="0" w:line="142" w:lineRule="exact"/>
              <w:rPr>
                <w:sz w:val="20"/>
                <w:szCs w:val="20"/>
                <w:color w:val="auto"/>
              </w:rPr>
            </w:pPr>
            <w:r>
              <w:rPr>
                <w:rFonts w:ascii="Arial" w:cs="Arial" w:eastAsia="Arial" w:hAnsi="Arial"/>
                <w:sz w:val="14"/>
                <w:szCs w:val="14"/>
                <w:b w:val="1"/>
                <w:bCs w:val="1"/>
                <w:color w:val="auto"/>
              </w:rPr>
              <w:t>2018</w:t>
            </w: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60" w:type="dxa"/>
            <w:vAlign w:val="bottom"/>
          </w:tcPr>
          <w:p>
            <w:pPr>
              <w:jc w:val="right"/>
              <w:ind w:right="171"/>
              <w:spacing w:after="0" w:line="142" w:lineRule="exact"/>
              <w:rPr>
                <w:sz w:val="20"/>
                <w:szCs w:val="20"/>
                <w:color w:val="auto"/>
              </w:rPr>
            </w:pPr>
            <w:r>
              <w:rPr>
                <w:rFonts w:ascii="Arial" w:cs="Arial" w:eastAsia="Arial" w:hAnsi="Arial"/>
                <w:sz w:val="14"/>
                <w:szCs w:val="14"/>
                <w:b w:val="1"/>
                <w:bCs w:val="1"/>
                <w:color w:val="auto"/>
              </w:rPr>
              <w:t>2017</w:t>
            </w: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gridSpan w:val="2"/>
          </w:tcPr>
          <w:p>
            <w:pPr>
              <w:ind w:left="80"/>
              <w:spacing w:after="0" w:line="142" w:lineRule="exact"/>
              <w:rPr>
                <w:sz w:val="20"/>
                <w:szCs w:val="20"/>
                <w:color w:val="auto"/>
              </w:rPr>
            </w:pPr>
            <w:r>
              <w:rPr>
                <w:rFonts w:ascii="Arial" w:cs="Arial" w:eastAsia="Arial" w:hAnsi="Arial"/>
                <w:sz w:val="14"/>
                <w:szCs w:val="14"/>
                <w:b w:val="1"/>
                <w:bCs w:val="1"/>
                <w:color w:val="auto"/>
              </w:rPr>
              <w:t>Prior</w:t>
            </w:r>
          </w:p>
        </w:tc>
        <w:tc>
          <w:tcPr>
            <w:tcW w:w="140" w:type="dxa"/>
            <w:vAlign w:val="bottom"/>
          </w:tcPr>
          <w:p>
            <w:pPr>
              <w:spacing w:after="0"/>
              <w:rPr>
                <w:sz w:val="12"/>
                <w:szCs w:val="12"/>
                <w:color w:val="auto"/>
              </w:rPr>
            </w:pPr>
          </w:p>
        </w:tc>
        <w:tc>
          <w:tcPr>
            <w:tcW w:w="740" w:type="dxa"/>
            <w:vAlign w:val="bottom"/>
          </w:tcPr>
          <w:p>
            <w:pPr>
              <w:jc w:val="right"/>
              <w:ind w:right="191"/>
              <w:spacing w:after="0" w:line="142" w:lineRule="exact"/>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29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66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66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66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720" w:type="dxa"/>
            <w:vAlign w:val="bottom"/>
            <w:tcBorders>
              <w:top w:val="single" w:sz="8" w:color="auto"/>
            </w:tcBorders>
          </w:tcPr>
          <w:p>
            <w:pPr>
              <w:jc w:val="right"/>
              <w:spacing w:after="0" w:line="129" w:lineRule="exact"/>
              <w:rPr>
                <w:sz w:val="20"/>
                <w:szCs w:val="20"/>
                <w:color w:val="auto"/>
              </w:rPr>
            </w:pPr>
            <w:r>
              <w:rPr>
                <w:rFonts w:ascii="Arial" w:cs="Arial" w:eastAsia="Arial" w:hAnsi="Arial"/>
                <w:sz w:val="14"/>
                <w:szCs w:val="14"/>
                <w:i w:val="1"/>
                <w:iCs w:val="1"/>
                <w:color w:val="auto"/>
                <w:w w:val="96"/>
              </w:rPr>
              <w:t>(in millions)</w:t>
            </w:r>
          </w:p>
        </w:tc>
        <w:tc>
          <w:tcPr>
            <w:tcW w:w="14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66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66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740" w:type="dxa"/>
            <w:vAlign w:val="bottom"/>
            <w:tcBorders>
              <w:top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60" w:type="dxa"/>
            <w:vAlign w:val="bottom"/>
            <w:shd w:val="clear" w:color="auto" w:fill="CCEEFF"/>
          </w:tcPr>
          <w:p>
            <w:pPr>
              <w:spacing w:after="0"/>
              <w:rPr>
                <w:sz w:val="20"/>
                <w:szCs w:val="20"/>
                <w:color w:val="auto"/>
              </w:rPr>
            </w:pPr>
            <w:r>
              <w:rPr>
                <w:rFonts w:ascii="Arial" w:cs="Arial" w:eastAsia="Arial" w:hAnsi="Arial"/>
                <w:sz w:val="18"/>
                <w:szCs w:val="18"/>
                <w:color w:val="auto"/>
              </w:rPr>
              <w:t>Commercial mortgage loans:</w:t>
            </w: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60" w:type="dxa"/>
            <w:vAlign w:val="bottom"/>
          </w:tcPr>
          <w:p>
            <w:pPr>
              <w:ind w:left="100"/>
              <w:spacing w:after="0"/>
              <w:rPr>
                <w:sz w:val="20"/>
                <w:szCs w:val="20"/>
                <w:color w:val="auto"/>
              </w:rPr>
            </w:pPr>
            <w:r>
              <w:rPr>
                <w:rFonts w:ascii="Arial" w:cs="Arial" w:eastAsia="Arial" w:hAnsi="Arial"/>
                <w:sz w:val="18"/>
                <w:szCs w:val="18"/>
                <w:color w:val="auto"/>
              </w:rPr>
              <w:t>A- and above</w:t>
            </w:r>
          </w:p>
        </w:tc>
        <w:tc>
          <w:tcPr>
            <w:tcW w:w="4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w w:val="96"/>
              </w:rPr>
              <w:t>2,275.9</w:t>
            </w: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w w:val="96"/>
              </w:rPr>
              <w:t>1,722.7</w:t>
            </w:r>
          </w:p>
        </w:tc>
        <w:tc>
          <w:tcPr>
            <w:tcW w:w="14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Pr>
          <w:p>
            <w:pPr>
              <w:jc w:val="right"/>
              <w:spacing w:after="0"/>
              <w:rPr>
                <w:sz w:val="20"/>
                <w:szCs w:val="20"/>
                <w:color w:val="auto"/>
              </w:rPr>
            </w:pPr>
            <w:r>
              <w:rPr>
                <w:rFonts w:ascii="Arial" w:cs="Arial" w:eastAsia="Arial" w:hAnsi="Arial"/>
                <w:sz w:val="18"/>
                <w:szCs w:val="18"/>
                <w:color w:val="auto"/>
                <w:w w:val="96"/>
              </w:rPr>
              <w:t>2,412.9</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2,383.3</w:t>
            </w:r>
          </w:p>
        </w:tc>
        <w:tc>
          <w:tcPr>
            <w:tcW w:w="14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Pr>
          <w:p>
            <w:pPr>
              <w:jc w:val="right"/>
              <w:spacing w:after="0"/>
              <w:rPr>
                <w:sz w:val="20"/>
                <w:szCs w:val="20"/>
                <w:color w:val="auto"/>
              </w:rPr>
            </w:pPr>
            <w:r>
              <w:rPr>
                <w:rFonts w:ascii="Arial" w:cs="Arial" w:eastAsia="Arial" w:hAnsi="Arial"/>
                <w:sz w:val="18"/>
                <w:szCs w:val="18"/>
                <w:color w:val="auto"/>
                <w:w w:val="96"/>
              </w:rPr>
              <w:t>1,437.2</w:t>
            </w: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w w:val="96"/>
              </w:rPr>
              <w:t>4,334.2</w:t>
            </w:r>
          </w:p>
        </w:tc>
        <w:tc>
          <w:tcPr>
            <w:tcW w:w="14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tcPr>
          <w:p>
            <w:pPr>
              <w:jc w:val="right"/>
              <w:spacing w:after="0"/>
              <w:rPr>
                <w:sz w:val="20"/>
                <w:szCs w:val="20"/>
                <w:color w:val="auto"/>
              </w:rPr>
            </w:pPr>
            <w:r>
              <w:rPr>
                <w:rFonts w:ascii="Arial" w:cs="Arial" w:eastAsia="Arial" w:hAnsi="Arial"/>
                <w:sz w:val="18"/>
                <w:szCs w:val="18"/>
                <w:color w:val="auto"/>
                <w:w w:val="94"/>
              </w:rPr>
              <w:t>14,566.2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60" w:type="dxa"/>
            <w:vAlign w:val="bottom"/>
            <w:shd w:val="clear" w:color="auto" w:fill="CCEEFF"/>
          </w:tcPr>
          <w:p>
            <w:pPr>
              <w:ind w:left="100"/>
              <w:spacing w:after="0"/>
              <w:rPr>
                <w:sz w:val="20"/>
                <w:szCs w:val="20"/>
                <w:color w:val="auto"/>
              </w:rPr>
            </w:pPr>
            <w:r>
              <w:rPr>
                <w:rFonts w:ascii="Arial" w:cs="Arial" w:eastAsia="Arial" w:hAnsi="Arial"/>
                <w:sz w:val="18"/>
                <w:szCs w:val="18"/>
                <w:color w:val="auto"/>
              </w:rPr>
              <w:t>BBB+ thru BBB-</w:t>
            </w: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278.6</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305.6</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294.0</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131.4</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302.1</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380.0</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1,691.7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60" w:type="dxa"/>
            <w:vAlign w:val="bottom"/>
          </w:tcPr>
          <w:p>
            <w:pPr>
              <w:ind w:left="100"/>
              <w:spacing w:after="0"/>
              <w:rPr>
                <w:sz w:val="20"/>
                <w:szCs w:val="20"/>
                <w:color w:val="auto"/>
              </w:rPr>
            </w:pPr>
            <w:r>
              <w:rPr>
                <w:rFonts w:ascii="Arial" w:cs="Arial" w:eastAsia="Arial" w:hAnsi="Arial"/>
                <w:sz w:val="18"/>
                <w:szCs w:val="18"/>
                <w:color w:val="auto"/>
              </w:rPr>
              <w:t>BB+ thru BB-</w:t>
            </w: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32.8</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5.3</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55.4</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93.5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60" w:type="dxa"/>
            <w:vAlign w:val="bottom"/>
            <w:shd w:val="clear" w:color="auto" w:fill="CCEEFF"/>
          </w:tcPr>
          <w:p>
            <w:pPr>
              <w:ind w:left="100"/>
              <w:spacing w:after="0"/>
              <w:rPr>
                <w:sz w:val="20"/>
                <w:szCs w:val="20"/>
                <w:color w:val="auto"/>
              </w:rPr>
            </w:pPr>
            <w:r>
              <w:rPr>
                <w:rFonts w:ascii="Arial" w:cs="Arial" w:eastAsia="Arial" w:hAnsi="Arial"/>
                <w:sz w:val="18"/>
                <w:szCs w:val="18"/>
                <w:color w:val="auto"/>
              </w:rPr>
              <w:t>B+ and below</w:t>
            </w: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8.8</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34.5</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43.3</w:t>
            </w:r>
          </w:p>
        </w:tc>
        <w:tc>
          <w:tcPr>
            <w:tcW w:w="0" w:type="dxa"/>
            <w:vAlign w:val="bottom"/>
          </w:tcPr>
          <w:p>
            <w:pPr>
              <w:spacing w:after="0"/>
              <w:rPr>
                <w:sz w:val="1"/>
                <w:szCs w:val="1"/>
                <w:color w:val="auto"/>
              </w:rPr>
            </w:pPr>
          </w:p>
        </w:tc>
      </w:tr>
      <w:tr>
        <w:trPr>
          <w:trHeight w:val="249"/>
        </w:trPr>
        <w:tc>
          <w:tcPr>
            <w:tcW w:w="20" w:type="dxa"/>
            <w:vAlign w:val="bottom"/>
          </w:tcPr>
          <w:p>
            <w:pPr>
              <w:spacing w:after="0"/>
              <w:rPr>
                <w:sz w:val="21"/>
                <w:szCs w:val="21"/>
                <w:color w:val="auto"/>
              </w:rPr>
            </w:pPr>
          </w:p>
        </w:tc>
        <w:tc>
          <w:tcPr>
            <w:tcW w:w="2960" w:type="dxa"/>
            <w:vAlign w:val="bottom"/>
            <w:tcBorders>
              <w:bottom w:val="single" w:sz="8" w:color="CCEEFF"/>
            </w:tcBorders>
          </w:tcPr>
          <w:p>
            <w:pPr>
              <w:ind w:left="100"/>
              <w:spacing w:after="0"/>
              <w:rPr>
                <w:sz w:val="20"/>
                <w:szCs w:val="20"/>
                <w:color w:val="auto"/>
              </w:rPr>
            </w:pPr>
            <w:r>
              <w:rPr>
                <w:rFonts w:ascii="Arial" w:cs="Arial" w:eastAsia="Arial" w:hAnsi="Arial"/>
                <w:sz w:val="18"/>
                <w:szCs w:val="18"/>
                <w:color w:val="auto"/>
              </w:rPr>
              <w:t>Total</w:t>
            </w:r>
          </w:p>
        </w:tc>
        <w:tc>
          <w:tcPr>
            <w:tcW w:w="320" w:type="dxa"/>
            <w:vAlign w:val="bottom"/>
            <w:tcBorders>
              <w:bottom w:val="single" w:sz="8" w:color="CCEEFF"/>
            </w:tcBorders>
          </w:tcPr>
          <w:p>
            <w:pPr>
              <w:spacing w:after="0"/>
              <w:rPr>
                <w:sz w:val="21"/>
                <w:szCs w:val="21"/>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6"/>
              </w:rPr>
              <w:t>2,587.3</w:t>
            </w:r>
          </w:p>
        </w:tc>
        <w:tc>
          <w:tcPr>
            <w:tcW w:w="140" w:type="dxa"/>
            <w:vAlign w:val="bottom"/>
            <w:tcBorders>
              <w:bottom w:val="single" w:sz="8" w:color="CCEEFF"/>
            </w:tcBorders>
          </w:tcPr>
          <w:p>
            <w:pPr>
              <w:spacing w:after="0"/>
              <w:rPr>
                <w:sz w:val="21"/>
                <w:szCs w:val="21"/>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6"/>
              </w:rPr>
              <w:t>2,033.6</w:t>
            </w:r>
          </w:p>
        </w:tc>
        <w:tc>
          <w:tcPr>
            <w:tcW w:w="140" w:type="dxa"/>
            <w:vAlign w:val="bottom"/>
            <w:tcBorders>
              <w:bottom w:val="single" w:sz="8" w:color="CCEEFF"/>
            </w:tcBorders>
          </w:tcPr>
          <w:p>
            <w:pPr>
              <w:spacing w:after="0"/>
              <w:rPr>
                <w:sz w:val="21"/>
                <w:szCs w:val="21"/>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6"/>
              </w:rPr>
              <w:t>2,706.9</w:t>
            </w:r>
          </w:p>
        </w:tc>
        <w:tc>
          <w:tcPr>
            <w:tcW w:w="140" w:type="dxa"/>
            <w:vAlign w:val="bottom"/>
            <w:tcBorders>
              <w:bottom w:val="single" w:sz="8" w:color="CCEEFF"/>
            </w:tcBorders>
          </w:tcPr>
          <w:p>
            <w:pPr>
              <w:spacing w:after="0"/>
              <w:rPr>
                <w:sz w:val="21"/>
                <w:szCs w:val="21"/>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2,523.5</w:t>
            </w:r>
          </w:p>
        </w:tc>
        <w:tc>
          <w:tcPr>
            <w:tcW w:w="140" w:type="dxa"/>
            <w:vAlign w:val="bottom"/>
            <w:tcBorders>
              <w:bottom w:val="single" w:sz="8" w:color="CCEEFF"/>
            </w:tcBorders>
          </w:tcPr>
          <w:p>
            <w:pPr>
              <w:spacing w:after="0"/>
              <w:rPr>
                <w:sz w:val="21"/>
                <w:szCs w:val="21"/>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6"/>
              </w:rPr>
              <w:t>1,739.3</w:t>
            </w:r>
          </w:p>
        </w:tc>
        <w:tc>
          <w:tcPr>
            <w:tcW w:w="140" w:type="dxa"/>
            <w:vAlign w:val="bottom"/>
            <w:tcBorders>
              <w:bottom w:val="single" w:sz="8" w:color="CCEEFF"/>
            </w:tcBorders>
          </w:tcPr>
          <w:p>
            <w:pPr>
              <w:spacing w:after="0"/>
              <w:rPr>
                <w:sz w:val="21"/>
                <w:szCs w:val="21"/>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6"/>
              </w:rPr>
              <w:t>4,804.1</w:t>
            </w:r>
          </w:p>
        </w:tc>
        <w:tc>
          <w:tcPr>
            <w:tcW w:w="140" w:type="dxa"/>
            <w:vAlign w:val="bottom"/>
            <w:tcBorders>
              <w:bottom w:val="single" w:sz="8" w:color="CCEEFF"/>
            </w:tcBorders>
          </w:tcPr>
          <w:p>
            <w:pPr>
              <w:spacing w:after="0"/>
              <w:rPr>
                <w:sz w:val="21"/>
                <w:szCs w:val="21"/>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4"/>
              </w:rPr>
              <w:t>16,394.7</w:t>
            </w:r>
          </w:p>
        </w:tc>
        <w:tc>
          <w:tcPr>
            <w:tcW w:w="0" w:type="dxa"/>
            <w:vAlign w:val="bottom"/>
          </w:tcPr>
          <w:p>
            <w:pPr>
              <w:spacing w:after="0"/>
              <w:rPr>
                <w:sz w:val="1"/>
                <w:szCs w:val="1"/>
                <w:color w:val="auto"/>
              </w:rPr>
            </w:pPr>
          </w:p>
        </w:tc>
      </w:tr>
      <w:tr>
        <w:trPr>
          <w:trHeight w:val="197"/>
        </w:trPr>
        <w:tc>
          <w:tcPr>
            <w:tcW w:w="20" w:type="dxa"/>
            <w:vAlign w:val="bottom"/>
            <w:vMerge w:val="restart"/>
          </w:tcPr>
          <w:p>
            <w:pPr>
              <w:spacing w:after="0"/>
              <w:rPr>
                <w:sz w:val="17"/>
                <w:szCs w:val="17"/>
                <w:color w:val="auto"/>
              </w:rPr>
            </w:pPr>
          </w:p>
        </w:tc>
        <w:tc>
          <w:tcPr>
            <w:tcW w:w="296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960" w:type="dxa"/>
            <w:vAlign w:val="bottom"/>
          </w:tcPr>
          <w:p>
            <w:pPr>
              <w:spacing w:after="0"/>
              <w:rPr>
                <w:sz w:val="20"/>
                <w:szCs w:val="20"/>
                <w:color w:val="auto"/>
              </w:rPr>
            </w:pPr>
            <w:r>
              <w:rPr>
                <w:rFonts w:ascii="Arial" w:cs="Arial" w:eastAsia="Arial" w:hAnsi="Arial"/>
                <w:sz w:val="18"/>
                <w:szCs w:val="18"/>
                <w:color w:val="auto"/>
              </w:rPr>
              <w:t>Direct financing leases:</w:t>
            </w: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60" w:type="dxa"/>
            <w:vAlign w:val="bottom"/>
            <w:shd w:val="clear" w:color="auto" w:fill="CCEEFF"/>
          </w:tcPr>
          <w:p>
            <w:pPr>
              <w:ind w:left="100"/>
              <w:spacing w:after="0"/>
              <w:rPr>
                <w:sz w:val="20"/>
                <w:szCs w:val="20"/>
                <w:color w:val="auto"/>
              </w:rPr>
            </w:pPr>
            <w:r>
              <w:rPr>
                <w:rFonts w:ascii="Arial" w:cs="Arial" w:eastAsia="Arial" w:hAnsi="Arial"/>
                <w:sz w:val="18"/>
                <w:szCs w:val="18"/>
                <w:color w:val="auto"/>
              </w:rPr>
              <w:t>A- and above</w:t>
            </w:r>
          </w:p>
        </w:tc>
        <w:tc>
          <w:tcPr>
            <w:tcW w:w="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11.7</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41.8</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39.4</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16.6</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235.6</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346.5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60" w:type="dxa"/>
            <w:vAlign w:val="bottom"/>
          </w:tcPr>
          <w:p>
            <w:pPr>
              <w:ind w:left="100"/>
              <w:spacing w:after="0"/>
              <w:rPr>
                <w:sz w:val="20"/>
                <w:szCs w:val="20"/>
                <w:color w:val="auto"/>
              </w:rPr>
            </w:pPr>
            <w:r>
              <w:rPr>
                <w:rFonts w:ascii="Arial" w:cs="Arial" w:eastAsia="Arial" w:hAnsi="Arial"/>
                <w:sz w:val="18"/>
                <w:szCs w:val="18"/>
                <w:color w:val="auto"/>
              </w:rPr>
              <w:t>BBB+ thru BBB-</w:t>
            </w: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30.2</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57.9</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22.0</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17.9</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15.5</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50.2</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193.7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60" w:type="dxa"/>
            <w:vAlign w:val="bottom"/>
            <w:shd w:val="clear" w:color="auto" w:fill="CCEEFF"/>
          </w:tcPr>
          <w:p>
            <w:pPr>
              <w:ind w:left="100"/>
              <w:spacing w:after="0"/>
              <w:rPr>
                <w:sz w:val="20"/>
                <w:szCs w:val="20"/>
                <w:color w:val="auto"/>
              </w:rPr>
            </w:pPr>
            <w:r>
              <w:rPr>
                <w:rFonts w:ascii="Arial" w:cs="Arial" w:eastAsia="Arial" w:hAnsi="Arial"/>
                <w:sz w:val="18"/>
                <w:szCs w:val="18"/>
                <w:color w:val="auto"/>
              </w:rPr>
              <w:t>BB+ thru BB-</w:t>
            </w: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50.8</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13.4</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60" w:type="dxa"/>
            <w:vAlign w:val="bottom"/>
          </w:tcPr>
          <w:p>
            <w:pPr>
              <w:ind w:left="100"/>
              <w:spacing w:after="0"/>
              <w:rPr>
                <w:sz w:val="20"/>
                <w:szCs w:val="20"/>
                <w:color w:val="auto"/>
              </w:rPr>
            </w:pPr>
            <w:r>
              <w:rPr>
                <w:rFonts w:ascii="Arial" w:cs="Arial" w:eastAsia="Arial" w:hAnsi="Arial"/>
                <w:sz w:val="18"/>
                <w:szCs w:val="18"/>
                <w:color w:val="auto"/>
              </w:rPr>
              <w:t>B+ and below</w:t>
            </w: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1.5</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1.5</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2960" w:type="dxa"/>
            <w:vAlign w:val="bottom"/>
            <w:tcBorders>
              <w:top w:val="single" w:sz="8" w:color="CCEEFF"/>
              <w:bottom w:val="single" w:sz="8" w:color="CCEEFF"/>
            </w:tcBorders>
            <w:shd w:val="clear" w:color="auto" w:fill="CCEEFF"/>
          </w:tcPr>
          <w:p>
            <w:pPr>
              <w:ind w:left="100"/>
              <w:spacing w:after="0"/>
              <w:rPr>
                <w:sz w:val="20"/>
                <w:szCs w:val="20"/>
                <w:color w:val="auto"/>
              </w:rPr>
            </w:pPr>
            <w:r>
              <w:rPr>
                <w:rFonts w:ascii="Arial" w:cs="Arial" w:eastAsia="Arial" w:hAnsi="Arial"/>
                <w:sz w:val="18"/>
                <w:szCs w:val="18"/>
                <w:color w:val="auto"/>
              </w:rPr>
              <w:t>Total</w:t>
            </w:r>
          </w:p>
        </w:tc>
        <w:tc>
          <w:tcPr>
            <w:tcW w:w="32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94.2</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113.1</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25.3</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57.3</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32.1</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287.9</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609.9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9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29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960" w:type="dxa"/>
            <w:vAlign w:val="bottom"/>
            <w:shd w:val="clear" w:color="auto" w:fill="CCEEFF"/>
          </w:tcPr>
          <w:p>
            <w:pPr>
              <w:spacing w:after="0"/>
              <w:rPr>
                <w:sz w:val="20"/>
                <w:szCs w:val="20"/>
                <w:color w:val="auto"/>
              </w:rPr>
            </w:pPr>
            <w:r>
              <w:rPr>
                <w:rFonts w:ascii="Arial" w:cs="Arial" w:eastAsia="Arial" w:hAnsi="Arial"/>
                <w:sz w:val="18"/>
                <w:szCs w:val="18"/>
                <w:color w:val="auto"/>
              </w:rPr>
              <w:t>Residential mortgage loans:</w:t>
            </w: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60" w:type="dxa"/>
            <w:vAlign w:val="bottom"/>
          </w:tcPr>
          <w:p>
            <w:pPr>
              <w:ind w:left="100"/>
              <w:spacing w:after="0"/>
              <w:rPr>
                <w:sz w:val="20"/>
                <w:szCs w:val="20"/>
                <w:color w:val="auto"/>
              </w:rPr>
            </w:pPr>
            <w:r>
              <w:rPr>
                <w:rFonts w:ascii="Arial" w:cs="Arial" w:eastAsia="Arial" w:hAnsi="Arial"/>
                <w:sz w:val="18"/>
                <w:szCs w:val="18"/>
                <w:color w:val="auto"/>
              </w:rPr>
              <w:t>Performing</w:t>
            </w:r>
          </w:p>
        </w:tc>
        <w:tc>
          <w:tcPr>
            <w:tcW w:w="4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w w:val="96"/>
              </w:rPr>
              <w:t>2,039.1</w:t>
            </w: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510.1</w:t>
            </w:r>
          </w:p>
        </w:tc>
        <w:tc>
          <w:tcPr>
            <w:tcW w:w="14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155.6</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91.2</w:t>
            </w:r>
          </w:p>
        </w:tc>
        <w:tc>
          <w:tcPr>
            <w:tcW w:w="14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102.4</w:t>
            </w: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415.6</w:t>
            </w:r>
          </w:p>
        </w:tc>
        <w:tc>
          <w:tcPr>
            <w:tcW w:w="14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3,314.0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60" w:type="dxa"/>
            <w:vAlign w:val="bottom"/>
            <w:shd w:val="clear" w:color="auto" w:fill="CCEEFF"/>
          </w:tcPr>
          <w:p>
            <w:pPr>
              <w:ind w:left="100"/>
              <w:spacing w:after="0"/>
              <w:rPr>
                <w:sz w:val="20"/>
                <w:szCs w:val="20"/>
                <w:color w:val="auto"/>
              </w:rPr>
            </w:pPr>
            <w:r>
              <w:rPr>
                <w:rFonts w:ascii="Arial" w:cs="Arial" w:eastAsia="Arial" w:hAnsi="Arial"/>
                <w:sz w:val="18"/>
                <w:szCs w:val="18"/>
                <w:color w:val="auto"/>
              </w:rPr>
              <w:t>Non-performing</w:t>
            </w: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0.6</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0.8</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w:t>
            </w:r>
          </w:p>
        </w:tc>
        <w:tc>
          <w:tcPr>
            <w:tcW w:w="0" w:type="dxa"/>
            <w:vAlign w:val="bottom"/>
          </w:tcPr>
          <w:p>
            <w:pPr>
              <w:spacing w:after="0"/>
              <w:rPr>
                <w:sz w:val="1"/>
                <w:szCs w:val="1"/>
                <w:color w:val="auto"/>
              </w:rPr>
            </w:pPr>
          </w:p>
        </w:tc>
      </w:tr>
      <w:tr>
        <w:trPr>
          <w:trHeight w:val="249"/>
        </w:trPr>
        <w:tc>
          <w:tcPr>
            <w:tcW w:w="20" w:type="dxa"/>
            <w:vAlign w:val="bottom"/>
          </w:tcPr>
          <w:p>
            <w:pPr>
              <w:spacing w:after="0"/>
              <w:rPr>
                <w:sz w:val="21"/>
                <w:szCs w:val="21"/>
                <w:color w:val="auto"/>
              </w:rPr>
            </w:pPr>
          </w:p>
        </w:tc>
        <w:tc>
          <w:tcPr>
            <w:tcW w:w="2960" w:type="dxa"/>
            <w:vAlign w:val="bottom"/>
            <w:tcBorders>
              <w:bottom w:val="single" w:sz="8" w:color="CCEEFF"/>
            </w:tcBorders>
          </w:tcPr>
          <w:p>
            <w:pPr>
              <w:ind w:left="100"/>
              <w:spacing w:after="0"/>
              <w:rPr>
                <w:sz w:val="20"/>
                <w:szCs w:val="20"/>
                <w:color w:val="auto"/>
              </w:rPr>
            </w:pPr>
            <w:r>
              <w:rPr>
                <w:rFonts w:ascii="Arial" w:cs="Arial" w:eastAsia="Arial" w:hAnsi="Arial"/>
                <w:sz w:val="18"/>
                <w:szCs w:val="18"/>
                <w:color w:val="auto"/>
              </w:rPr>
              <w:t>Total</w:t>
            </w:r>
          </w:p>
        </w:tc>
        <w:tc>
          <w:tcPr>
            <w:tcW w:w="320" w:type="dxa"/>
            <w:vAlign w:val="bottom"/>
            <w:tcBorders>
              <w:bottom w:val="single" w:sz="8" w:color="CCEEFF"/>
            </w:tcBorders>
          </w:tcPr>
          <w:p>
            <w:pPr>
              <w:spacing w:after="0"/>
              <w:rPr>
                <w:sz w:val="21"/>
                <w:szCs w:val="21"/>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6"/>
              </w:rPr>
              <w:t>2,039.1</w:t>
            </w:r>
          </w:p>
        </w:tc>
        <w:tc>
          <w:tcPr>
            <w:tcW w:w="140" w:type="dxa"/>
            <w:vAlign w:val="bottom"/>
            <w:tcBorders>
              <w:bottom w:val="single" w:sz="8" w:color="CCEEFF"/>
            </w:tcBorders>
          </w:tcPr>
          <w:p>
            <w:pPr>
              <w:spacing w:after="0"/>
              <w:rPr>
                <w:sz w:val="21"/>
                <w:szCs w:val="21"/>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511.9</w:t>
            </w:r>
          </w:p>
        </w:tc>
        <w:tc>
          <w:tcPr>
            <w:tcW w:w="140" w:type="dxa"/>
            <w:vAlign w:val="bottom"/>
            <w:tcBorders>
              <w:bottom w:val="single" w:sz="8" w:color="CCEEFF"/>
            </w:tcBorders>
          </w:tcPr>
          <w:p>
            <w:pPr>
              <w:spacing w:after="0"/>
              <w:rPr>
                <w:sz w:val="21"/>
                <w:szCs w:val="21"/>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156.2</w:t>
            </w:r>
          </w:p>
        </w:tc>
        <w:tc>
          <w:tcPr>
            <w:tcW w:w="140" w:type="dxa"/>
            <w:vAlign w:val="bottom"/>
            <w:tcBorders>
              <w:bottom w:val="single" w:sz="8" w:color="CCEEFF"/>
            </w:tcBorders>
          </w:tcPr>
          <w:p>
            <w:pPr>
              <w:spacing w:after="0"/>
              <w:rPr>
                <w:sz w:val="21"/>
                <w:szCs w:val="21"/>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91.2</w:t>
            </w:r>
          </w:p>
        </w:tc>
        <w:tc>
          <w:tcPr>
            <w:tcW w:w="140" w:type="dxa"/>
            <w:vAlign w:val="bottom"/>
            <w:tcBorders>
              <w:bottom w:val="single" w:sz="8" w:color="CCEEFF"/>
            </w:tcBorders>
          </w:tcPr>
          <w:p>
            <w:pPr>
              <w:spacing w:after="0"/>
              <w:rPr>
                <w:sz w:val="21"/>
                <w:szCs w:val="21"/>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103.2</w:t>
            </w:r>
          </w:p>
        </w:tc>
        <w:tc>
          <w:tcPr>
            <w:tcW w:w="140" w:type="dxa"/>
            <w:vAlign w:val="bottom"/>
            <w:tcBorders>
              <w:bottom w:val="single" w:sz="8" w:color="CCEEFF"/>
            </w:tcBorders>
          </w:tcPr>
          <w:p>
            <w:pPr>
              <w:spacing w:after="0"/>
              <w:rPr>
                <w:sz w:val="21"/>
                <w:szCs w:val="21"/>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418.3</w:t>
            </w:r>
          </w:p>
        </w:tc>
        <w:tc>
          <w:tcPr>
            <w:tcW w:w="140" w:type="dxa"/>
            <w:vAlign w:val="bottom"/>
            <w:tcBorders>
              <w:bottom w:val="single" w:sz="8" w:color="CCEEFF"/>
            </w:tcBorders>
          </w:tcPr>
          <w:p>
            <w:pPr>
              <w:spacing w:after="0"/>
              <w:rPr>
                <w:sz w:val="21"/>
                <w:szCs w:val="21"/>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3,319.9</w:t>
            </w:r>
          </w:p>
        </w:tc>
        <w:tc>
          <w:tcPr>
            <w:tcW w:w="0" w:type="dxa"/>
            <w:vAlign w:val="bottom"/>
          </w:tcPr>
          <w:p>
            <w:pPr>
              <w:spacing w:after="0"/>
              <w:rPr>
                <w:sz w:val="1"/>
                <w:szCs w:val="1"/>
                <w:color w:val="auto"/>
              </w:rPr>
            </w:pPr>
          </w:p>
        </w:tc>
      </w:tr>
      <w:tr>
        <w:trPr>
          <w:trHeight w:val="197"/>
        </w:trPr>
        <w:tc>
          <w:tcPr>
            <w:tcW w:w="20" w:type="dxa"/>
            <w:vAlign w:val="bottom"/>
            <w:vMerge w:val="restart"/>
          </w:tcPr>
          <w:p>
            <w:pPr>
              <w:spacing w:after="0"/>
              <w:rPr>
                <w:sz w:val="17"/>
                <w:szCs w:val="17"/>
                <w:color w:val="auto"/>
              </w:rPr>
            </w:pPr>
          </w:p>
        </w:tc>
        <w:tc>
          <w:tcPr>
            <w:tcW w:w="296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2"/>
        </w:trPr>
        <w:tc>
          <w:tcPr>
            <w:tcW w:w="20" w:type="dxa"/>
            <w:vAlign w:val="bottom"/>
            <w:vMerge w:val="continue"/>
          </w:tcPr>
          <w:p>
            <w:pPr>
              <w:spacing w:after="0"/>
              <w:rPr>
                <w:sz w:val="17"/>
                <w:szCs w:val="17"/>
                <w:color w:val="auto"/>
              </w:rPr>
            </w:pPr>
          </w:p>
        </w:tc>
        <w:tc>
          <w:tcPr>
            <w:tcW w:w="2960" w:type="dxa"/>
            <w:vAlign w:val="bottom"/>
          </w:tcPr>
          <w:p>
            <w:pPr>
              <w:spacing w:after="0" w:line="201" w:lineRule="exact"/>
              <w:rPr>
                <w:sz w:val="20"/>
                <w:szCs w:val="20"/>
                <w:color w:val="auto"/>
              </w:rPr>
            </w:pPr>
            <w:r>
              <w:rPr>
                <w:rFonts w:ascii="Arial" w:cs="Arial" w:eastAsia="Arial" w:hAnsi="Arial"/>
                <w:sz w:val="18"/>
                <w:szCs w:val="18"/>
                <w:color w:val="auto"/>
                <w:w w:val="98"/>
              </w:rPr>
              <w:t>Reinsurance recoverable and deposit</w:t>
            </w:r>
          </w:p>
        </w:tc>
        <w:tc>
          <w:tcPr>
            <w:tcW w:w="3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vMerge w:val="restart"/>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vMerge w:val="restart"/>
          </w:tcPr>
          <w:p>
            <w:pPr>
              <w:jc w:val="right"/>
              <w:ind w:right="11"/>
              <w:spacing w:after="0"/>
              <w:rPr>
                <w:sz w:val="20"/>
                <w:szCs w:val="20"/>
                <w:color w:val="auto"/>
              </w:rPr>
            </w:pPr>
            <w:r>
              <w:rPr>
                <w:rFonts w:ascii="Arial" w:cs="Arial" w:eastAsia="Arial" w:hAnsi="Arial"/>
                <w:sz w:val="18"/>
                <w:szCs w:val="18"/>
                <w:color w:val="auto"/>
              </w:rPr>
              <w:t>1,189.3</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8"/>
                <w:szCs w:val="18"/>
                <w:color w:val="auto"/>
              </w:rPr>
            </w:pPr>
          </w:p>
        </w:tc>
        <w:tc>
          <w:tcPr>
            <w:tcW w:w="2960" w:type="dxa"/>
            <w:vAlign w:val="bottom"/>
          </w:tcPr>
          <w:p>
            <w:pPr>
              <w:ind w:left="120"/>
              <w:spacing w:after="0"/>
              <w:rPr>
                <w:sz w:val="20"/>
                <w:szCs w:val="20"/>
                <w:color w:val="auto"/>
              </w:rPr>
            </w:pPr>
            <w:r>
              <w:rPr>
                <w:rFonts w:ascii="Arial" w:cs="Arial" w:eastAsia="Arial" w:hAnsi="Arial"/>
                <w:sz w:val="18"/>
                <w:szCs w:val="18"/>
                <w:color w:val="auto"/>
              </w:rPr>
              <w:t>receivable</w:t>
            </w: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Borders>
              <w:bottom w:val="single" w:sz="8" w:color="auto"/>
            </w:tcBorders>
            <w:vMerge w:val="continue"/>
          </w:tcPr>
          <w:p>
            <w:pPr>
              <w:spacing w:after="0"/>
              <w:rPr>
                <w:sz w:val="18"/>
                <w:szCs w:val="18"/>
                <w:color w:val="auto"/>
              </w:rPr>
            </w:pPr>
          </w:p>
        </w:tc>
        <w:tc>
          <w:tcPr>
            <w:tcW w:w="740" w:type="dxa"/>
            <w:vAlign w:val="bottom"/>
            <w:tcBorders>
              <w:bottom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9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right="20" w:firstLine="648"/>
        <w:spacing w:after="0" w:line="263" w:lineRule="auto"/>
        <w:rPr>
          <w:sz w:val="20"/>
          <w:szCs w:val="20"/>
          <w:color w:val="auto"/>
        </w:rPr>
      </w:pPr>
      <w:r>
        <w:rPr>
          <w:rFonts w:ascii="Arial" w:cs="Arial" w:eastAsia="Arial" w:hAnsi="Arial"/>
          <w:sz w:val="18"/>
          <w:szCs w:val="18"/>
          <w:color w:val="auto"/>
        </w:rPr>
        <w:t>The amortized cost of commercial mortgage loans, direct financing leases and residential mortgage loans excluded accrued interest receivable of $55.1 million, $1.0 million and $17.2 million, respectively, as of June 30, 2022, and $60.7 million, $1.2 million and $16.7 million, respectively, as of December 31, 2021.</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Financing Receivables Credit Monitoring</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Commercial Mortgage Loan Credit Risk Profile Based on Internal Rating</w:t>
      </w:r>
    </w:p>
    <w:p>
      <w:pPr>
        <w:spacing w:after="0" w:line="225" w:lineRule="exact"/>
        <w:rPr>
          <w:sz w:val="20"/>
          <w:szCs w:val="20"/>
          <w:color w:val="auto"/>
        </w:rPr>
      </w:pPr>
    </w:p>
    <w:p>
      <w:pPr>
        <w:ind w:right="20" w:firstLine="648"/>
        <w:spacing w:after="0" w:line="288" w:lineRule="auto"/>
        <w:rPr>
          <w:sz w:val="20"/>
          <w:szCs w:val="20"/>
          <w:color w:val="auto"/>
        </w:rPr>
      </w:pPr>
      <w:r>
        <w:rPr>
          <w:rFonts w:ascii="Arial" w:cs="Arial" w:eastAsia="Arial" w:hAnsi="Arial"/>
          <w:sz w:val="16"/>
          <w:szCs w:val="16"/>
          <w:color w:val="auto"/>
        </w:rPr>
        <w:t>We actively monitor and manage our commercial mortgage loan and direct financing lease portfolios. All commercial mortgage loans and direct financing leases are analyzed regularly and substantially all are internally rated, based on a proprietary risk rating cash flow model, in order to monitor the financial quality of these assets. The models stress expected cash flows at various levels and at different points in time depending on the durability of the income stream, which includes our assessment of factors such as location (macro and micro markets), tenant quality and lease expirations. Our internal rating analysis presents expected losses in terms of an S&amp;P Global (“S&amp;P”) bond equivalent rating for domestic commercial mortgage loans and Feller rate equivalent for Chilean commercial mortgage loans and direct financing leases. As the credit risk for commercial mortgage loans and direct financing leases increases, we adjust our internal ratings downward with loans in the category “B+ and below” having the highest risk for credit loss. Internal ratings on commercial mortgage loans and direct financing leases are updated at least annually and potentially more often for certain investments with material changes in collateral value or occupancy and for investments on an internal “watch list”.</w:t>
      </w:r>
    </w:p>
    <w:p>
      <w:pPr>
        <w:spacing w:after="0" w:line="168" w:lineRule="exact"/>
        <w:rPr>
          <w:sz w:val="20"/>
          <w:szCs w:val="20"/>
          <w:color w:val="auto"/>
        </w:rPr>
      </w:pPr>
    </w:p>
    <w:p>
      <w:pPr>
        <w:ind w:right="160" w:firstLine="648"/>
        <w:spacing w:after="0" w:line="259" w:lineRule="auto"/>
        <w:rPr>
          <w:sz w:val="20"/>
          <w:szCs w:val="20"/>
          <w:color w:val="auto"/>
        </w:rPr>
      </w:pPr>
      <w:r>
        <w:rPr>
          <w:rFonts w:ascii="Arial" w:cs="Arial" w:eastAsia="Arial" w:hAnsi="Arial"/>
          <w:sz w:val="18"/>
          <w:szCs w:val="18"/>
          <w:color w:val="auto"/>
        </w:rPr>
        <w:t>Commercial mortgage loans and direct financing leases that require more frequent and detailed attention are identified and placed on an internal “watch list”. Among the criteria that may indicate a potential problem are significant negative changes in ratios of loan to value or contract rents to debt service, major tenant vacancies or bankruptcies, borrower sponsorship problems, late payments, delinquent taxes and loan relief/restructuring requests.</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540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29" w:name="page30"/>
    <w:bookmarkEnd w:id="29"/>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Residential Mortgage Loan Credit Risk Profile Based on Performance Status</w:t>
      </w:r>
    </w:p>
    <w:p>
      <w:pPr>
        <w:spacing w:after="0" w:line="225" w:lineRule="exact"/>
        <w:rPr>
          <w:sz w:val="20"/>
          <w:szCs w:val="20"/>
          <w:color w:val="auto"/>
        </w:rPr>
      </w:pPr>
    </w:p>
    <w:p>
      <w:pPr>
        <w:ind w:right="20" w:firstLine="648"/>
        <w:spacing w:after="0" w:line="257" w:lineRule="auto"/>
        <w:rPr>
          <w:sz w:val="20"/>
          <w:szCs w:val="20"/>
          <w:color w:val="auto"/>
        </w:rPr>
      </w:pPr>
      <w:r>
        <w:rPr>
          <w:rFonts w:ascii="Arial" w:cs="Arial" w:eastAsia="Arial" w:hAnsi="Arial"/>
          <w:sz w:val="18"/>
          <w:szCs w:val="18"/>
          <w:color w:val="auto"/>
        </w:rPr>
        <w:t>Our residential mortgage loan portfolio is monitored based on performance of the loans. Monitoring on a residential mortgage loan increases when the loan is delinquent or earlier if there is an indication of potential impairment. We define non-performing domestic residential mortgage loans as loans 90 days or greater delinquent or on non-accrual status. We define non-performing residential first lien mortgages in the Chilean market as loans that have missed a specified number of coupon payments based on the nature of the loans and collection practices in that market.</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Non-Accrual Financing Receivables</w:t>
      </w:r>
    </w:p>
    <w:p>
      <w:pPr>
        <w:spacing w:after="0" w:line="229" w:lineRule="exact"/>
        <w:rPr>
          <w:sz w:val="20"/>
          <w:szCs w:val="20"/>
          <w:color w:val="auto"/>
        </w:rPr>
      </w:pPr>
    </w:p>
    <w:p>
      <w:pPr>
        <w:ind w:right="60" w:firstLine="648"/>
        <w:spacing w:after="0" w:line="289" w:lineRule="auto"/>
        <w:rPr>
          <w:sz w:val="20"/>
          <w:szCs w:val="20"/>
          <w:color w:val="auto"/>
        </w:rPr>
      </w:pPr>
      <w:r>
        <w:rPr>
          <w:rFonts w:ascii="Arial" w:cs="Arial" w:eastAsia="Arial" w:hAnsi="Arial"/>
          <w:sz w:val="16"/>
          <w:szCs w:val="16"/>
          <w:color w:val="auto"/>
        </w:rPr>
        <w:t>Financing receivables are placed on non-accrual status if we have concern regarding the collectability of future payments or if a financing receivable has matured without being paid off or extended. Factors considered may include conversations with the borrower, loss of major tenant, bankruptcy of borrower or major tenant, decreased property cash flow for commercial mortgage loans and direct financing leases or number of days past due and other circumstances for residential mortgage loans. Based on an assessment as to the collectability of the principal, a determination is made to apply any payments received either against the principal, against the valuation allowance or according to the contractual terms. When a financing receivable is placed on non-accrual status, the accrued unpaid interest receivable is reversed against interest income. Accrual of interest resumes after factors resulting in doubts about collectability have improved. Financing receivables in the Chilean market are carried on accrual for a longer period of delinquency than domestic financing receivables, as assessment of collectability is based on the nature of the financing receivables and collection practices in that market.</w:t>
      </w:r>
    </w:p>
    <w:p>
      <w:pPr>
        <w:spacing w:after="0" w:line="5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amortized cost of financing receivables on non-accrual status was as follows: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020" w:type="dxa"/>
            <w:vAlign w:val="bottom"/>
          </w:tcPr>
          <w:p>
            <w:pPr>
              <w:spacing w:after="0"/>
              <w:rPr>
                <w:sz w:val="14"/>
                <w:szCs w:val="14"/>
                <w:color w:val="auto"/>
              </w:rPr>
            </w:pPr>
          </w:p>
        </w:tc>
        <w:tc>
          <w:tcPr>
            <w:tcW w:w="19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280" w:type="dxa"/>
            <w:vAlign w:val="bottom"/>
            <w:tcBorders>
              <w:bottom w:val="single" w:sz="8" w:color="auto"/>
            </w:tcBorders>
            <w:gridSpan w:val="2"/>
          </w:tcPr>
          <w:p>
            <w:pPr>
              <w:ind w:left="140"/>
              <w:spacing w:after="0"/>
              <w:rPr>
                <w:sz w:val="20"/>
                <w:szCs w:val="20"/>
                <w:color w:val="auto"/>
              </w:rPr>
            </w:pPr>
            <w:r>
              <w:rPr>
                <w:rFonts w:ascii="Arial" w:cs="Arial" w:eastAsia="Arial" w:hAnsi="Arial"/>
                <w:sz w:val="14"/>
                <w:szCs w:val="14"/>
                <w:b w:val="1"/>
                <w:bCs w:val="1"/>
                <w:color w:val="auto"/>
              </w:rPr>
              <w:t>June 30, 2022</w:t>
            </w:r>
          </w:p>
        </w:tc>
        <w:tc>
          <w:tcPr>
            <w:tcW w:w="12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4020" w:type="dxa"/>
            <w:vAlign w:val="bottom"/>
          </w:tcPr>
          <w:p>
            <w:pPr>
              <w:spacing w:after="0"/>
              <w:rPr>
                <w:sz w:val="10"/>
                <w:szCs w:val="10"/>
                <w:color w:val="auto"/>
              </w:rPr>
            </w:pPr>
          </w:p>
        </w:tc>
        <w:tc>
          <w:tcPr>
            <w:tcW w:w="19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60" w:type="dxa"/>
            <w:vAlign w:val="bottom"/>
            <w:vMerge w:val="restart"/>
          </w:tcPr>
          <w:p>
            <w:pPr>
              <w:jc w:val="center"/>
              <w:ind w:right="40"/>
              <w:spacing w:after="0"/>
              <w:rPr>
                <w:sz w:val="20"/>
                <w:szCs w:val="20"/>
                <w:color w:val="auto"/>
              </w:rPr>
            </w:pPr>
            <w:r>
              <w:rPr>
                <w:rFonts w:ascii="Arial" w:cs="Arial" w:eastAsia="Arial" w:hAnsi="Arial"/>
                <w:sz w:val="14"/>
                <w:szCs w:val="14"/>
                <w:b w:val="1"/>
                <w:bCs w:val="1"/>
                <w:color w:val="auto"/>
                <w:w w:val="90"/>
              </w:rPr>
              <w:t>Beginning</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80" w:type="dxa"/>
            <w:vAlign w:val="bottom"/>
            <w:gridSpan w:val="2"/>
            <w:vMerge w:val="restart"/>
          </w:tcPr>
          <w:p>
            <w:pPr>
              <w:jc w:val="center"/>
              <w:ind w:right="320"/>
              <w:spacing w:after="0"/>
              <w:rPr>
                <w:sz w:val="20"/>
                <w:szCs w:val="20"/>
                <w:color w:val="auto"/>
              </w:rPr>
            </w:pPr>
            <w:r>
              <w:rPr>
                <w:rFonts w:ascii="Arial" w:cs="Arial" w:eastAsia="Arial" w:hAnsi="Arial"/>
                <w:sz w:val="14"/>
                <w:szCs w:val="14"/>
                <w:b w:val="1"/>
                <w:bCs w:val="1"/>
                <w:color w:val="auto"/>
                <w:w w:val="92"/>
              </w:rPr>
              <w:t>Ending</w:t>
            </w:r>
          </w:p>
        </w:tc>
        <w:tc>
          <w:tcPr>
            <w:tcW w:w="120" w:type="dxa"/>
            <w:vAlign w:val="bottom"/>
          </w:tcPr>
          <w:p>
            <w:pPr>
              <w:spacing w:after="0"/>
              <w:rPr>
                <w:sz w:val="10"/>
                <w:szCs w:val="10"/>
                <w:color w:val="auto"/>
              </w:rPr>
            </w:pPr>
          </w:p>
        </w:tc>
        <w:tc>
          <w:tcPr>
            <w:tcW w:w="1060" w:type="dxa"/>
            <w:vAlign w:val="bottom"/>
          </w:tcPr>
          <w:p>
            <w:pPr>
              <w:jc w:val="center"/>
              <w:ind w:right="42"/>
              <w:spacing w:after="0" w:line="119" w:lineRule="exact"/>
              <w:rPr>
                <w:sz w:val="20"/>
                <w:szCs w:val="20"/>
                <w:color w:val="auto"/>
              </w:rPr>
            </w:pPr>
            <w:r>
              <w:rPr>
                <w:rFonts w:ascii="Arial" w:cs="Arial" w:eastAsia="Arial" w:hAnsi="Arial"/>
                <w:sz w:val="13"/>
                <w:szCs w:val="13"/>
                <w:b w:val="1"/>
                <w:bCs w:val="1"/>
                <w:color w:val="auto"/>
              </w:rPr>
              <w:t>Amortized cost</w:t>
            </w:r>
          </w:p>
        </w:tc>
        <w:tc>
          <w:tcPr>
            <w:tcW w:w="0" w:type="dxa"/>
            <w:vAlign w:val="bottom"/>
          </w:tcPr>
          <w:p>
            <w:pPr>
              <w:spacing w:after="0"/>
              <w:rPr>
                <w:sz w:val="1"/>
                <w:szCs w:val="1"/>
                <w:color w:val="auto"/>
              </w:rPr>
            </w:pPr>
          </w:p>
        </w:tc>
      </w:tr>
      <w:tr>
        <w:trPr>
          <w:trHeight w:val="149"/>
        </w:trPr>
        <w:tc>
          <w:tcPr>
            <w:tcW w:w="4020" w:type="dxa"/>
            <w:vAlign w:val="bottom"/>
          </w:tcPr>
          <w:p>
            <w:pPr>
              <w:spacing w:after="0"/>
              <w:rPr>
                <w:sz w:val="12"/>
                <w:szCs w:val="12"/>
                <w:color w:val="auto"/>
              </w:rPr>
            </w:pPr>
          </w:p>
        </w:tc>
        <w:tc>
          <w:tcPr>
            <w:tcW w:w="1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60" w:type="dxa"/>
            <w:vAlign w:val="bottom"/>
            <w:vMerge w:val="continue"/>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8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1060" w:type="dxa"/>
            <w:vAlign w:val="bottom"/>
          </w:tcPr>
          <w:p>
            <w:pPr>
              <w:jc w:val="center"/>
              <w:ind w:right="42"/>
              <w:spacing w:after="0" w:line="149" w:lineRule="exact"/>
              <w:rPr>
                <w:sz w:val="20"/>
                <w:szCs w:val="20"/>
                <w:color w:val="auto"/>
              </w:rPr>
            </w:pPr>
            <w:r>
              <w:rPr>
                <w:rFonts w:ascii="Arial" w:cs="Arial" w:eastAsia="Arial" w:hAnsi="Arial"/>
                <w:sz w:val="14"/>
                <w:szCs w:val="14"/>
                <w:b w:val="1"/>
                <w:bCs w:val="1"/>
                <w:color w:val="auto"/>
                <w:w w:val="93"/>
              </w:rPr>
              <w:t>of nonaccrual</w:t>
            </w:r>
          </w:p>
        </w:tc>
        <w:tc>
          <w:tcPr>
            <w:tcW w:w="0" w:type="dxa"/>
            <w:vAlign w:val="bottom"/>
          </w:tcPr>
          <w:p>
            <w:pPr>
              <w:spacing w:after="0"/>
              <w:rPr>
                <w:sz w:val="1"/>
                <w:szCs w:val="1"/>
                <w:color w:val="auto"/>
              </w:rPr>
            </w:pPr>
          </w:p>
        </w:tc>
      </w:tr>
      <w:tr>
        <w:trPr>
          <w:trHeight w:val="148"/>
        </w:trPr>
        <w:tc>
          <w:tcPr>
            <w:tcW w:w="4020" w:type="dxa"/>
            <w:vAlign w:val="bottom"/>
          </w:tcPr>
          <w:p>
            <w:pPr>
              <w:spacing w:after="0"/>
              <w:rPr>
                <w:sz w:val="12"/>
                <w:szCs w:val="12"/>
                <w:color w:val="auto"/>
              </w:rPr>
            </w:pPr>
          </w:p>
        </w:tc>
        <w:tc>
          <w:tcPr>
            <w:tcW w:w="1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60" w:type="dxa"/>
            <w:vAlign w:val="bottom"/>
          </w:tcPr>
          <w:p>
            <w:pPr>
              <w:jc w:val="center"/>
              <w:ind w:right="40"/>
              <w:spacing w:after="0" w:line="149" w:lineRule="exact"/>
              <w:rPr>
                <w:sz w:val="20"/>
                <w:szCs w:val="20"/>
                <w:color w:val="auto"/>
              </w:rPr>
            </w:pPr>
            <w:r>
              <w:rPr>
                <w:rFonts w:ascii="Arial" w:cs="Arial" w:eastAsia="Arial" w:hAnsi="Arial"/>
                <w:sz w:val="14"/>
                <w:szCs w:val="14"/>
                <w:b w:val="1"/>
                <w:bCs w:val="1"/>
                <w:color w:val="auto"/>
                <w:w w:val="91"/>
              </w:rPr>
              <w:t>amortized cost</w:t>
            </w: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8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1"/>
              </w:rPr>
              <w:t>amortized cost</w:t>
            </w:r>
          </w:p>
        </w:tc>
        <w:tc>
          <w:tcPr>
            <w:tcW w:w="120" w:type="dxa"/>
            <w:vAlign w:val="bottom"/>
          </w:tcPr>
          <w:p>
            <w:pPr>
              <w:spacing w:after="0"/>
              <w:rPr>
                <w:sz w:val="12"/>
                <w:szCs w:val="12"/>
                <w:color w:val="auto"/>
              </w:rPr>
            </w:pPr>
          </w:p>
        </w:tc>
        <w:tc>
          <w:tcPr>
            <w:tcW w:w="1060" w:type="dxa"/>
            <w:vAlign w:val="bottom"/>
          </w:tcPr>
          <w:p>
            <w:pPr>
              <w:jc w:val="center"/>
              <w:ind w:right="42"/>
              <w:spacing w:after="0" w:line="149" w:lineRule="exact"/>
              <w:rPr>
                <w:sz w:val="20"/>
                <w:szCs w:val="20"/>
                <w:color w:val="auto"/>
              </w:rPr>
            </w:pPr>
            <w:r>
              <w:rPr>
                <w:rFonts w:ascii="Arial" w:cs="Arial" w:eastAsia="Arial" w:hAnsi="Arial"/>
                <w:sz w:val="14"/>
                <w:szCs w:val="14"/>
                <w:b w:val="1"/>
                <w:bCs w:val="1"/>
                <w:color w:val="auto"/>
                <w:w w:val="88"/>
              </w:rPr>
              <w:t>assets without</w:t>
            </w:r>
          </w:p>
        </w:tc>
        <w:tc>
          <w:tcPr>
            <w:tcW w:w="0" w:type="dxa"/>
            <w:vAlign w:val="bottom"/>
          </w:tcPr>
          <w:p>
            <w:pPr>
              <w:spacing w:after="0"/>
              <w:rPr>
                <w:sz w:val="1"/>
                <w:szCs w:val="1"/>
                <w:color w:val="auto"/>
              </w:rPr>
            </w:pPr>
          </w:p>
        </w:tc>
      </w:tr>
      <w:tr>
        <w:trPr>
          <w:trHeight w:val="149"/>
        </w:trPr>
        <w:tc>
          <w:tcPr>
            <w:tcW w:w="4020" w:type="dxa"/>
            <w:vAlign w:val="bottom"/>
          </w:tcPr>
          <w:p>
            <w:pPr>
              <w:spacing w:after="0"/>
              <w:rPr>
                <w:sz w:val="12"/>
                <w:szCs w:val="12"/>
                <w:color w:val="auto"/>
              </w:rPr>
            </w:pPr>
          </w:p>
        </w:tc>
        <w:tc>
          <w:tcPr>
            <w:tcW w:w="1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60" w:type="dxa"/>
            <w:vAlign w:val="bottom"/>
          </w:tcPr>
          <w:p>
            <w:pPr>
              <w:jc w:val="center"/>
              <w:ind w:right="20"/>
              <w:spacing w:after="0" w:line="149" w:lineRule="exact"/>
              <w:rPr>
                <w:sz w:val="20"/>
                <w:szCs w:val="20"/>
                <w:color w:val="auto"/>
              </w:rPr>
            </w:pPr>
            <w:r>
              <w:rPr>
                <w:rFonts w:ascii="Arial" w:cs="Arial" w:eastAsia="Arial" w:hAnsi="Arial"/>
                <w:sz w:val="14"/>
                <w:szCs w:val="14"/>
                <w:b w:val="1"/>
                <w:bCs w:val="1"/>
                <w:color w:val="auto"/>
                <w:w w:val="91"/>
              </w:rPr>
              <w:t>on nonaccrual</w:t>
            </w: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8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1"/>
              </w:rPr>
              <w:t>on nonaccrual</w:t>
            </w:r>
          </w:p>
        </w:tc>
        <w:tc>
          <w:tcPr>
            <w:tcW w:w="120" w:type="dxa"/>
            <w:vAlign w:val="bottom"/>
          </w:tcPr>
          <w:p>
            <w:pPr>
              <w:spacing w:after="0"/>
              <w:rPr>
                <w:sz w:val="12"/>
                <w:szCs w:val="12"/>
                <w:color w:val="auto"/>
              </w:rPr>
            </w:pPr>
          </w:p>
        </w:tc>
        <w:tc>
          <w:tcPr>
            <w:tcW w:w="1060" w:type="dxa"/>
            <w:vAlign w:val="bottom"/>
          </w:tcPr>
          <w:p>
            <w:pPr>
              <w:jc w:val="center"/>
              <w:ind w:right="42"/>
              <w:spacing w:after="0" w:line="149" w:lineRule="exact"/>
              <w:rPr>
                <w:sz w:val="20"/>
                <w:szCs w:val="20"/>
                <w:color w:val="auto"/>
              </w:rPr>
            </w:pPr>
            <w:r>
              <w:rPr>
                <w:rFonts w:ascii="Arial" w:cs="Arial" w:eastAsia="Arial" w:hAnsi="Arial"/>
                <w:sz w:val="14"/>
                <w:szCs w:val="14"/>
                <w:b w:val="1"/>
                <w:bCs w:val="1"/>
                <w:color w:val="auto"/>
                <w:w w:val="95"/>
              </w:rPr>
              <w:t>a valuation</w:t>
            </w:r>
          </w:p>
        </w:tc>
        <w:tc>
          <w:tcPr>
            <w:tcW w:w="0" w:type="dxa"/>
            <w:vAlign w:val="bottom"/>
          </w:tcPr>
          <w:p>
            <w:pPr>
              <w:spacing w:after="0"/>
              <w:rPr>
                <w:sz w:val="1"/>
                <w:szCs w:val="1"/>
                <w:color w:val="auto"/>
              </w:rPr>
            </w:pPr>
          </w:p>
        </w:tc>
      </w:tr>
      <w:tr>
        <w:trPr>
          <w:trHeight w:val="171"/>
        </w:trPr>
        <w:tc>
          <w:tcPr>
            <w:tcW w:w="4020" w:type="dxa"/>
            <w:vAlign w:val="bottom"/>
          </w:tcPr>
          <w:p>
            <w:pPr>
              <w:spacing w:after="0"/>
              <w:rPr>
                <w:sz w:val="14"/>
                <w:szCs w:val="14"/>
                <w:color w:val="auto"/>
              </w:rPr>
            </w:pPr>
          </w:p>
        </w:tc>
        <w:tc>
          <w:tcPr>
            <w:tcW w:w="1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60" w:type="dxa"/>
            <w:vAlign w:val="bottom"/>
          </w:tcPr>
          <w:p>
            <w:pPr>
              <w:jc w:val="center"/>
              <w:ind w:right="20"/>
              <w:spacing w:after="0"/>
              <w:rPr>
                <w:sz w:val="20"/>
                <w:szCs w:val="20"/>
                <w:color w:val="auto"/>
              </w:rPr>
            </w:pPr>
            <w:r>
              <w:rPr>
                <w:rFonts w:ascii="Arial" w:cs="Arial" w:eastAsia="Arial" w:hAnsi="Arial"/>
                <w:sz w:val="14"/>
                <w:szCs w:val="14"/>
                <w:b w:val="1"/>
                <w:bCs w:val="1"/>
                <w:color w:val="auto"/>
                <w:w w:val="87"/>
              </w:rPr>
              <w:t>status</w:t>
            </w: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8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87"/>
              </w:rPr>
              <w:t>status</w:t>
            </w:r>
          </w:p>
        </w:tc>
        <w:tc>
          <w:tcPr>
            <w:tcW w:w="120" w:type="dxa"/>
            <w:vAlign w:val="bottom"/>
          </w:tcPr>
          <w:p>
            <w:pPr>
              <w:spacing w:after="0"/>
              <w:rPr>
                <w:sz w:val="14"/>
                <w:szCs w:val="14"/>
                <w:color w:val="auto"/>
              </w:rPr>
            </w:pPr>
          </w:p>
        </w:tc>
        <w:tc>
          <w:tcPr>
            <w:tcW w:w="1060" w:type="dxa"/>
            <w:vAlign w:val="bottom"/>
          </w:tcPr>
          <w:p>
            <w:pPr>
              <w:jc w:val="center"/>
              <w:ind w:right="42"/>
              <w:spacing w:after="0"/>
              <w:rPr>
                <w:sz w:val="20"/>
                <w:szCs w:val="20"/>
                <w:color w:val="auto"/>
              </w:rPr>
            </w:pPr>
            <w:r>
              <w:rPr>
                <w:rFonts w:ascii="Arial" w:cs="Arial" w:eastAsia="Arial" w:hAnsi="Arial"/>
                <w:sz w:val="14"/>
                <w:szCs w:val="14"/>
                <w:b w:val="1"/>
                <w:bCs w:val="1"/>
                <w:color w:val="auto"/>
                <w:w w:val="92"/>
              </w:rPr>
              <w:t>allowance</w:t>
            </w:r>
          </w:p>
        </w:tc>
        <w:tc>
          <w:tcPr>
            <w:tcW w:w="0" w:type="dxa"/>
            <w:vAlign w:val="bottom"/>
          </w:tcPr>
          <w:p>
            <w:pPr>
              <w:spacing w:after="0"/>
              <w:rPr>
                <w:sz w:val="1"/>
                <w:szCs w:val="1"/>
                <w:color w:val="auto"/>
              </w:rPr>
            </w:pPr>
          </w:p>
        </w:tc>
      </w:tr>
      <w:tr>
        <w:trPr>
          <w:trHeight w:val="129"/>
        </w:trPr>
        <w:tc>
          <w:tcPr>
            <w:tcW w:w="4020" w:type="dxa"/>
            <w:vAlign w:val="bottom"/>
          </w:tcPr>
          <w:p>
            <w:pPr>
              <w:spacing w:after="0"/>
              <w:rPr>
                <w:sz w:val="11"/>
                <w:szCs w:val="11"/>
                <w:color w:val="auto"/>
              </w:rPr>
            </w:pPr>
          </w:p>
        </w:tc>
        <w:tc>
          <w:tcPr>
            <w:tcW w:w="196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060" w:type="dxa"/>
            <w:vAlign w:val="bottom"/>
            <w:tcBorders>
              <w:top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060" w:type="dxa"/>
            <w:vAlign w:val="bottom"/>
            <w:tcBorders>
              <w:top w:val="single" w:sz="8" w:color="auto"/>
            </w:tcBorders>
          </w:tcPr>
          <w:p>
            <w:pPr>
              <w:jc w:val="right"/>
              <w:ind w:right="82"/>
              <w:spacing w:after="0" w:line="129" w:lineRule="exact"/>
              <w:rPr>
                <w:sz w:val="20"/>
                <w:szCs w:val="20"/>
                <w:color w:val="auto"/>
              </w:rPr>
            </w:pPr>
            <w:r>
              <w:rPr>
                <w:rFonts w:ascii="Arial" w:cs="Arial" w:eastAsia="Arial" w:hAnsi="Arial"/>
                <w:sz w:val="14"/>
                <w:szCs w:val="14"/>
                <w:i w:val="1"/>
                <w:iCs w:val="1"/>
                <w:color w:val="auto"/>
              </w:rPr>
              <w:t>(in millions)</w:t>
            </w:r>
          </w:p>
        </w:tc>
        <w:tc>
          <w:tcPr>
            <w:tcW w:w="22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060" w:type="dxa"/>
            <w:vAlign w:val="bottom"/>
            <w:tcBorders>
              <w:top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4020" w:type="dxa"/>
            <w:vAlign w:val="bottom"/>
            <w:shd w:val="clear" w:color="auto" w:fill="CCEEFF"/>
          </w:tcPr>
          <w:p>
            <w:pPr>
              <w:spacing w:after="0"/>
              <w:rPr>
                <w:sz w:val="20"/>
                <w:szCs w:val="20"/>
                <w:color w:val="auto"/>
              </w:rPr>
            </w:pPr>
            <w:r>
              <w:rPr>
                <w:rFonts w:ascii="Arial" w:cs="Arial" w:eastAsia="Arial" w:hAnsi="Arial"/>
                <w:sz w:val="18"/>
                <w:szCs w:val="18"/>
                <w:color w:val="auto"/>
              </w:rPr>
              <w:t>Commercial mortgage loans</w:t>
            </w:r>
          </w:p>
        </w:tc>
        <w:tc>
          <w:tcPr>
            <w:tcW w:w="20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13.2</w:t>
            </w:r>
          </w:p>
        </w:tc>
        <w:tc>
          <w:tcPr>
            <w:tcW w:w="320" w:type="dxa"/>
            <w:vAlign w:val="bottom"/>
            <w:gridSpan w:val="2"/>
            <w:shd w:val="clear" w:color="auto" w:fill="CCEEFF"/>
          </w:tcPr>
          <w:p>
            <w:pPr>
              <w:ind w:left="220"/>
              <w:spacing w:after="0"/>
              <w:rPr>
                <w:sz w:val="20"/>
                <w:szCs w:val="20"/>
                <w:color w:val="auto"/>
              </w:rPr>
            </w:pPr>
            <w:r>
              <w:rPr>
                <w:rFonts w:ascii="Arial" w:cs="Arial" w:eastAsia="Arial" w:hAnsi="Arial"/>
                <w:sz w:val="18"/>
                <w:szCs w:val="18"/>
                <w:b w:val="1"/>
                <w:bCs w:val="1"/>
                <w:color w:val="auto"/>
                <w:w w:val="79"/>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49.7</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16"/>
        </w:trPr>
        <w:tc>
          <w:tcPr>
            <w:tcW w:w="40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Residential mortgage loans</w:t>
            </w:r>
          </w:p>
        </w:tc>
        <w:tc>
          <w:tcPr>
            <w:tcW w:w="196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4.0</w:t>
            </w:r>
          </w:p>
        </w:tc>
        <w:tc>
          <w:tcPr>
            <w:tcW w:w="22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5.3</w:t>
            </w:r>
          </w:p>
        </w:tc>
        <w:tc>
          <w:tcPr>
            <w:tcW w:w="22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0.7</w:t>
            </w:r>
          </w:p>
        </w:tc>
        <w:tc>
          <w:tcPr>
            <w:tcW w:w="0" w:type="dxa"/>
            <w:vAlign w:val="bottom"/>
          </w:tcPr>
          <w:p>
            <w:pPr>
              <w:spacing w:after="0"/>
              <w:rPr>
                <w:sz w:val="1"/>
                <w:szCs w:val="1"/>
                <w:color w:val="auto"/>
              </w:rPr>
            </w:pPr>
          </w:p>
        </w:tc>
      </w:tr>
      <w:tr>
        <w:trPr>
          <w:trHeight w:val="210"/>
        </w:trPr>
        <w:tc>
          <w:tcPr>
            <w:tcW w:w="40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w:t>
            </w:r>
          </w:p>
        </w:tc>
        <w:tc>
          <w:tcPr>
            <w:tcW w:w="196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17.2</w:t>
            </w:r>
          </w:p>
        </w:tc>
        <w:tc>
          <w:tcPr>
            <w:tcW w:w="22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w w:val="79"/>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55.0</w:t>
            </w:r>
          </w:p>
        </w:tc>
        <w:tc>
          <w:tcPr>
            <w:tcW w:w="22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0.7</w:t>
            </w:r>
          </w:p>
        </w:tc>
        <w:tc>
          <w:tcPr>
            <w:tcW w:w="0" w:type="dxa"/>
            <w:vAlign w:val="bottom"/>
          </w:tcPr>
          <w:p>
            <w:pPr>
              <w:spacing w:after="0"/>
              <w:rPr>
                <w:sz w:val="1"/>
                <w:szCs w:val="1"/>
                <w:color w:val="auto"/>
              </w:rPr>
            </w:pPr>
          </w:p>
        </w:tc>
      </w:tr>
      <w:tr>
        <w:trPr>
          <w:trHeight w:val="20"/>
        </w:trPr>
        <w:tc>
          <w:tcPr>
            <w:tcW w:w="4020" w:type="dxa"/>
            <w:vAlign w:val="bottom"/>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60" w:type="dxa"/>
            <w:vAlign w:val="bottom"/>
            <w:tcBorders>
              <w:bottom w:val="single" w:sz="8" w:color="auto"/>
            </w:tcBorders>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8"/>
        </w:trPr>
        <w:tc>
          <w:tcPr>
            <w:tcW w:w="4020" w:type="dxa"/>
            <w:vAlign w:val="bottom"/>
          </w:tcPr>
          <w:p>
            <w:pPr>
              <w:spacing w:after="0"/>
              <w:rPr>
                <w:sz w:val="24"/>
                <w:szCs w:val="24"/>
                <w:color w:val="auto"/>
              </w:rPr>
            </w:pPr>
          </w:p>
        </w:tc>
        <w:tc>
          <w:tcPr>
            <w:tcW w:w="196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gridSpan w:val="3"/>
          </w:tcPr>
          <w:p>
            <w:pPr>
              <w:spacing w:after="0"/>
              <w:rPr>
                <w:sz w:val="20"/>
                <w:szCs w:val="20"/>
                <w:color w:val="auto"/>
              </w:rPr>
            </w:pPr>
            <w:r>
              <w:rPr>
                <w:rFonts w:ascii="Arial" w:cs="Arial" w:eastAsia="Arial" w:hAnsi="Arial"/>
                <w:sz w:val="14"/>
                <w:szCs w:val="14"/>
                <w:b w:val="1"/>
                <w:bCs w:val="1"/>
                <w:color w:val="auto"/>
              </w:rPr>
              <w:t>December 31, 2021</w:t>
            </w:r>
          </w:p>
        </w:tc>
        <w:tc>
          <w:tcPr>
            <w:tcW w:w="12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4020" w:type="dxa"/>
            <w:vAlign w:val="bottom"/>
          </w:tcPr>
          <w:p>
            <w:pPr>
              <w:spacing w:after="0"/>
              <w:rPr>
                <w:sz w:val="10"/>
                <w:szCs w:val="10"/>
                <w:color w:val="auto"/>
              </w:rPr>
            </w:pPr>
          </w:p>
        </w:tc>
        <w:tc>
          <w:tcPr>
            <w:tcW w:w="19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60" w:type="dxa"/>
            <w:vAlign w:val="bottom"/>
            <w:vMerge w:val="restart"/>
          </w:tcPr>
          <w:p>
            <w:pPr>
              <w:jc w:val="center"/>
              <w:ind w:right="40"/>
              <w:spacing w:after="0"/>
              <w:rPr>
                <w:sz w:val="20"/>
                <w:szCs w:val="20"/>
                <w:color w:val="auto"/>
              </w:rPr>
            </w:pPr>
            <w:r>
              <w:rPr>
                <w:rFonts w:ascii="Arial" w:cs="Arial" w:eastAsia="Arial" w:hAnsi="Arial"/>
                <w:sz w:val="14"/>
                <w:szCs w:val="14"/>
                <w:b w:val="1"/>
                <w:bCs w:val="1"/>
                <w:color w:val="auto"/>
                <w:w w:val="90"/>
              </w:rPr>
              <w:t>Beginning</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80" w:type="dxa"/>
            <w:vAlign w:val="bottom"/>
            <w:gridSpan w:val="2"/>
            <w:vMerge w:val="restart"/>
          </w:tcPr>
          <w:p>
            <w:pPr>
              <w:jc w:val="center"/>
              <w:ind w:right="320"/>
              <w:spacing w:after="0"/>
              <w:rPr>
                <w:sz w:val="20"/>
                <w:szCs w:val="20"/>
                <w:color w:val="auto"/>
              </w:rPr>
            </w:pPr>
            <w:r>
              <w:rPr>
                <w:rFonts w:ascii="Arial" w:cs="Arial" w:eastAsia="Arial" w:hAnsi="Arial"/>
                <w:sz w:val="14"/>
                <w:szCs w:val="14"/>
                <w:b w:val="1"/>
                <w:bCs w:val="1"/>
                <w:color w:val="auto"/>
                <w:w w:val="92"/>
              </w:rPr>
              <w:t>Ending</w:t>
            </w:r>
          </w:p>
        </w:tc>
        <w:tc>
          <w:tcPr>
            <w:tcW w:w="120" w:type="dxa"/>
            <w:vAlign w:val="bottom"/>
          </w:tcPr>
          <w:p>
            <w:pPr>
              <w:spacing w:after="0"/>
              <w:rPr>
                <w:sz w:val="10"/>
                <w:szCs w:val="10"/>
                <w:color w:val="auto"/>
              </w:rPr>
            </w:pPr>
          </w:p>
        </w:tc>
        <w:tc>
          <w:tcPr>
            <w:tcW w:w="1060" w:type="dxa"/>
            <w:vAlign w:val="bottom"/>
          </w:tcPr>
          <w:p>
            <w:pPr>
              <w:jc w:val="center"/>
              <w:ind w:right="42"/>
              <w:spacing w:after="0" w:line="119" w:lineRule="exact"/>
              <w:rPr>
                <w:sz w:val="20"/>
                <w:szCs w:val="20"/>
                <w:color w:val="auto"/>
              </w:rPr>
            </w:pPr>
            <w:r>
              <w:rPr>
                <w:rFonts w:ascii="Arial" w:cs="Arial" w:eastAsia="Arial" w:hAnsi="Arial"/>
                <w:sz w:val="13"/>
                <w:szCs w:val="13"/>
                <w:b w:val="1"/>
                <w:bCs w:val="1"/>
                <w:color w:val="auto"/>
              </w:rPr>
              <w:t>Amortized cost</w:t>
            </w:r>
          </w:p>
        </w:tc>
        <w:tc>
          <w:tcPr>
            <w:tcW w:w="0" w:type="dxa"/>
            <w:vAlign w:val="bottom"/>
          </w:tcPr>
          <w:p>
            <w:pPr>
              <w:spacing w:after="0"/>
              <w:rPr>
                <w:sz w:val="1"/>
                <w:szCs w:val="1"/>
                <w:color w:val="auto"/>
              </w:rPr>
            </w:pPr>
          </w:p>
        </w:tc>
      </w:tr>
      <w:tr>
        <w:trPr>
          <w:trHeight w:val="148"/>
        </w:trPr>
        <w:tc>
          <w:tcPr>
            <w:tcW w:w="4020" w:type="dxa"/>
            <w:vAlign w:val="bottom"/>
          </w:tcPr>
          <w:p>
            <w:pPr>
              <w:spacing w:after="0"/>
              <w:rPr>
                <w:sz w:val="12"/>
                <w:szCs w:val="12"/>
                <w:color w:val="auto"/>
              </w:rPr>
            </w:pPr>
          </w:p>
        </w:tc>
        <w:tc>
          <w:tcPr>
            <w:tcW w:w="1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60" w:type="dxa"/>
            <w:vAlign w:val="bottom"/>
            <w:vMerge w:val="continue"/>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8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1060" w:type="dxa"/>
            <w:vAlign w:val="bottom"/>
          </w:tcPr>
          <w:p>
            <w:pPr>
              <w:jc w:val="center"/>
              <w:ind w:right="42"/>
              <w:spacing w:after="0" w:line="149" w:lineRule="exact"/>
              <w:rPr>
                <w:sz w:val="20"/>
                <w:szCs w:val="20"/>
                <w:color w:val="auto"/>
              </w:rPr>
            </w:pPr>
            <w:r>
              <w:rPr>
                <w:rFonts w:ascii="Arial" w:cs="Arial" w:eastAsia="Arial" w:hAnsi="Arial"/>
                <w:sz w:val="14"/>
                <w:szCs w:val="14"/>
                <w:b w:val="1"/>
                <w:bCs w:val="1"/>
                <w:color w:val="auto"/>
                <w:w w:val="93"/>
              </w:rPr>
              <w:t>of nonaccrual</w:t>
            </w:r>
          </w:p>
        </w:tc>
        <w:tc>
          <w:tcPr>
            <w:tcW w:w="0" w:type="dxa"/>
            <w:vAlign w:val="bottom"/>
          </w:tcPr>
          <w:p>
            <w:pPr>
              <w:spacing w:after="0"/>
              <w:rPr>
                <w:sz w:val="1"/>
                <w:szCs w:val="1"/>
                <w:color w:val="auto"/>
              </w:rPr>
            </w:pPr>
          </w:p>
        </w:tc>
      </w:tr>
      <w:tr>
        <w:trPr>
          <w:trHeight w:val="149"/>
        </w:trPr>
        <w:tc>
          <w:tcPr>
            <w:tcW w:w="4020" w:type="dxa"/>
            <w:vAlign w:val="bottom"/>
          </w:tcPr>
          <w:p>
            <w:pPr>
              <w:spacing w:after="0"/>
              <w:rPr>
                <w:sz w:val="12"/>
                <w:szCs w:val="12"/>
                <w:color w:val="auto"/>
              </w:rPr>
            </w:pPr>
          </w:p>
        </w:tc>
        <w:tc>
          <w:tcPr>
            <w:tcW w:w="1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60" w:type="dxa"/>
            <w:vAlign w:val="bottom"/>
          </w:tcPr>
          <w:p>
            <w:pPr>
              <w:jc w:val="center"/>
              <w:ind w:right="40"/>
              <w:spacing w:after="0" w:line="149" w:lineRule="exact"/>
              <w:rPr>
                <w:sz w:val="20"/>
                <w:szCs w:val="20"/>
                <w:color w:val="auto"/>
              </w:rPr>
            </w:pPr>
            <w:r>
              <w:rPr>
                <w:rFonts w:ascii="Arial" w:cs="Arial" w:eastAsia="Arial" w:hAnsi="Arial"/>
                <w:sz w:val="14"/>
                <w:szCs w:val="14"/>
                <w:b w:val="1"/>
                <w:bCs w:val="1"/>
                <w:color w:val="auto"/>
                <w:w w:val="91"/>
              </w:rPr>
              <w:t>amortized cost</w:t>
            </w: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8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1"/>
              </w:rPr>
              <w:t>amortized cost</w:t>
            </w:r>
          </w:p>
        </w:tc>
        <w:tc>
          <w:tcPr>
            <w:tcW w:w="120" w:type="dxa"/>
            <w:vAlign w:val="bottom"/>
          </w:tcPr>
          <w:p>
            <w:pPr>
              <w:spacing w:after="0"/>
              <w:rPr>
                <w:sz w:val="12"/>
                <w:szCs w:val="12"/>
                <w:color w:val="auto"/>
              </w:rPr>
            </w:pPr>
          </w:p>
        </w:tc>
        <w:tc>
          <w:tcPr>
            <w:tcW w:w="1060" w:type="dxa"/>
            <w:vAlign w:val="bottom"/>
          </w:tcPr>
          <w:p>
            <w:pPr>
              <w:jc w:val="center"/>
              <w:ind w:right="42"/>
              <w:spacing w:after="0" w:line="149" w:lineRule="exact"/>
              <w:rPr>
                <w:sz w:val="20"/>
                <w:szCs w:val="20"/>
                <w:color w:val="auto"/>
              </w:rPr>
            </w:pPr>
            <w:r>
              <w:rPr>
                <w:rFonts w:ascii="Arial" w:cs="Arial" w:eastAsia="Arial" w:hAnsi="Arial"/>
                <w:sz w:val="14"/>
                <w:szCs w:val="14"/>
                <w:b w:val="1"/>
                <w:bCs w:val="1"/>
                <w:color w:val="auto"/>
                <w:w w:val="88"/>
              </w:rPr>
              <w:t>assets without</w:t>
            </w:r>
          </w:p>
        </w:tc>
        <w:tc>
          <w:tcPr>
            <w:tcW w:w="0" w:type="dxa"/>
            <w:vAlign w:val="bottom"/>
          </w:tcPr>
          <w:p>
            <w:pPr>
              <w:spacing w:after="0"/>
              <w:rPr>
                <w:sz w:val="1"/>
                <w:szCs w:val="1"/>
                <w:color w:val="auto"/>
              </w:rPr>
            </w:pPr>
          </w:p>
        </w:tc>
      </w:tr>
      <w:tr>
        <w:trPr>
          <w:trHeight w:val="148"/>
        </w:trPr>
        <w:tc>
          <w:tcPr>
            <w:tcW w:w="4020" w:type="dxa"/>
            <w:vAlign w:val="bottom"/>
          </w:tcPr>
          <w:p>
            <w:pPr>
              <w:spacing w:after="0"/>
              <w:rPr>
                <w:sz w:val="12"/>
                <w:szCs w:val="12"/>
                <w:color w:val="auto"/>
              </w:rPr>
            </w:pPr>
          </w:p>
        </w:tc>
        <w:tc>
          <w:tcPr>
            <w:tcW w:w="1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60" w:type="dxa"/>
            <w:vAlign w:val="bottom"/>
          </w:tcPr>
          <w:p>
            <w:pPr>
              <w:jc w:val="center"/>
              <w:ind w:right="20"/>
              <w:spacing w:after="0" w:line="149" w:lineRule="exact"/>
              <w:rPr>
                <w:sz w:val="20"/>
                <w:szCs w:val="20"/>
                <w:color w:val="auto"/>
              </w:rPr>
            </w:pPr>
            <w:r>
              <w:rPr>
                <w:rFonts w:ascii="Arial" w:cs="Arial" w:eastAsia="Arial" w:hAnsi="Arial"/>
                <w:sz w:val="14"/>
                <w:szCs w:val="14"/>
                <w:b w:val="1"/>
                <w:bCs w:val="1"/>
                <w:color w:val="auto"/>
                <w:w w:val="91"/>
              </w:rPr>
              <w:t>on nonaccrual</w:t>
            </w: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8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1"/>
              </w:rPr>
              <w:t>on nonaccrual</w:t>
            </w:r>
          </w:p>
        </w:tc>
        <w:tc>
          <w:tcPr>
            <w:tcW w:w="120" w:type="dxa"/>
            <w:vAlign w:val="bottom"/>
          </w:tcPr>
          <w:p>
            <w:pPr>
              <w:spacing w:after="0"/>
              <w:rPr>
                <w:sz w:val="12"/>
                <w:szCs w:val="12"/>
                <w:color w:val="auto"/>
              </w:rPr>
            </w:pPr>
          </w:p>
        </w:tc>
        <w:tc>
          <w:tcPr>
            <w:tcW w:w="1060" w:type="dxa"/>
            <w:vAlign w:val="bottom"/>
          </w:tcPr>
          <w:p>
            <w:pPr>
              <w:jc w:val="center"/>
              <w:ind w:right="42"/>
              <w:spacing w:after="0" w:line="149" w:lineRule="exact"/>
              <w:rPr>
                <w:sz w:val="20"/>
                <w:szCs w:val="20"/>
                <w:color w:val="auto"/>
              </w:rPr>
            </w:pPr>
            <w:r>
              <w:rPr>
                <w:rFonts w:ascii="Arial" w:cs="Arial" w:eastAsia="Arial" w:hAnsi="Arial"/>
                <w:sz w:val="14"/>
                <w:szCs w:val="14"/>
                <w:b w:val="1"/>
                <w:bCs w:val="1"/>
                <w:color w:val="auto"/>
                <w:w w:val="95"/>
              </w:rPr>
              <w:t>a valuation</w:t>
            </w:r>
          </w:p>
        </w:tc>
        <w:tc>
          <w:tcPr>
            <w:tcW w:w="0" w:type="dxa"/>
            <w:vAlign w:val="bottom"/>
          </w:tcPr>
          <w:p>
            <w:pPr>
              <w:spacing w:after="0"/>
              <w:rPr>
                <w:sz w:val="1"/>
                <w:szCs w:val="1"/>
                <w:color w:val="auto"/>
              </w:rPr>
            </w:pPr>
          </w:p>
        </w:tc>
      </w:tr>
      <w:tr>
        <w:trPr>
          <w:trHeight w:val="171"/>
        </w:trPr>
        <w:tc>
          <w:tcPr>
            <w:tcW w:w="4020" w:type="dxa"/>
            <w:vAlign w:val="bottom"/>
          </w:tcPr>
          <w:p>
            <w:pPr>
              <w:spacing w:after="0"/>
              <w:rPr>
                <w:sz w:val="14"/>
                <w:szCs w:val="14"/>
                <w:color w:val="auto"/>
              </w:rPr>
            </w:pPr>
          </w:p>
        </w:tc>
        <w:tc>
          <w:tcPr>
            <w:tcW w:w="1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60" w:type="dxa"/>
            <w:vAlign w:val="bottom"/>
          </w:tcPr>
          <w:p>
            <w:pPr>
              <w:jc w:val="center"/>
              <w:ind w:right="20"/>
              <w:spacing w:after="0"/>
              <w:rPr>
                <w:sz w:val="20"/>
                <w:szCs w:val="20"/>
                <w:color w:val="auto"/>
              </w:rPr>
            </w:pPr>
            <w:r>
              <w:rPr>
                <w:rFonts w:ascii="Arial" w:cs="Arial" w:eastAsia="Arial" w:hAnsi="Arial"/>
                <w:sz w:val="14"/>
                <w:szCs w:val="14"/>
                <w:b w:val="1"/>
                <w:bCs w:val="1"/>
                <w:color w:val="auto"/>
                <w:w w:val="87"/>
              </w:rPr>
              <w:t>status</w:t>
            </w: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8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87"/>
              </w:rPr>
              <w:t>status</w:t>
            </w:r>
          </w:p>
        </w:tc>
        <w:tc>
          <w:tcPr>
            <w:tcW w:w="120" w:type="dxa"/>
            <w:vAlign w:val="bottom"/>
          </w:tcPr>
          <w:p>
            <w:pPr>
              <w:spacing w:after="0"/>
              <w:rPr>
                <w:sz w:val="14"/>
                <w:szCs w:val="14"/>
                <w:color w:val="auto"/>
              </w:rPr>
            </w:pPr>
          </w:p>
        </w:tc>
        <w:tc>
          <w:tcPr>
            <w:tcW w:w="1060" w:type="dxa"/>
            <w:vAlign w:val="bottom"/>
          </w:tcPr>
          <w:p>
            <w:pPr>
              <w:jc w:val="center"/>
              <w:ind w:right="42"/>
              <w:spacing w:after="0"/>
              <w:rPr>
                <w:sz w:val="20"/>
                <w:szCs w:val="20"/>
                <w:color w:val="auto"/>
              </w:rPr>
            </w:pPr>
            <w:r>
              <w:rPr>
                <w:rFonts w:ascii="Arial" w:cs="Arial" w:eastAsia="Arial" w:hAnsi="Arial"/>
                <w:sz w:val="14"/>
                <w:szCs w:val="14"/>
                <w:b w:val="1"/>
                <w:bCs w:val="1"/>
                <w:color w:val="auto"/>
                <w:w w:val="92"/>
              </w:rPr>
              <w:t>allowance</w:t>
            </w:r>
          </w:p>
        </w:tc>
        <w:tc>
          <w:tcPr>
            <w:tcW w:w="0" w:type="dxa"/>
            <w:vAlign w:val="bottom"/>
          </w:tcPr>
          <w:p>
            <w:pPr>
              <w:spacing w:after="0"/>
              <w:rPr>
                <w:sz w:val="1"/>
                <w:szCs w:val="1"/>
                <w:color w:val="auto"/>
              </w:rPr>
            </w:pPr>
          </w:p>
        </w:tc>
      </w:tr>
      <w:tr>
        <w:trPr>
          <w:trHeight w:val="128"/>
        </w:trPr>
        <w:tc>
          <w:tcPr>
            <w:tcW w:w="4020" w:type="dxa"/>
            <w:vAlign w:val="bottom"/>
          </w:tcPr>
          <w:p>
            <w:pPr>
              <w:spacing w:after="0"/>
              <w:rPr>
                <w:sz w:val="11"/>
                <w:szCs w:val="11"/>
                <w:color w:val="auto"/>
              </w:rPr>
            </w:pPr>
          </w:p>
        </w:tc>
        <w:tc>
          <w:tcPr>
            <w:tcW w:w="196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060" w:type="dxa"/>
            <w:vAlign w:val="bottom"/>
            <w:tcBorders>
              <w:top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060" w:type="dxa"/>
            <w:vAlign w:val="bottom"/>
            <w:tcBorders>
              <w:top w:val="single" w:sz="8" w:color="auto"/>
            </w:tcBorders>
          </w:tcPr>
          <w:p>
            <w:pPr>
              <w:jc w:val="right"/>
              <w:ind w:right="82"/>
              <w:spacing w:after="0" w:line="129" w:lineRule="exact"/>
              <w:rPr>
                <w:sz w:val="20"/>
                <w:szCs w:val="20"/>
                <w:color w:val="auto"/>
              </w:rPr>
            </w:pPr>
            <w:r>
              <w:rPr>
                <w:rFonts w:ascii="Arial" w:cs="Arial" w:eastAsia="Arial" w:hAnsi="Arial"/>
                <w:sz w:val="14"/>
                <w:szCs w:val="14"/>
                <w:i w:val="1"/>
                <w:iCs w:val="1"/>
                <w:color w:val="auto"/>
              </w:rPr>
              <w:t>(in millions)</w:t>
            </w:r>
          </w:p>
        </w:tc>
        <w:tc>
          <w:tcPr>
            <w:tcW w:w="22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060" w:type="dxa"/>
            <w:vAlign w:val="bottom"/>
            <w:tcBorders>
              <w:top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4020" w:type="dxa"/>
            <w:vAlign w:val="bottom"/>
            <w:shd w:val="clear" w:color="auto" w:fill="CCEEFF"/>
          </w:tcPr>
          <w:p>
            <w:pPr>
              <w:spacing w:after="0"/>
              <w:rPr>
                <w:sz w:val="20"/>
                <w:szCs w:val="20"/>
                <w:color w:val="auto"/>
              </w:rPr>
            </w:pPr>
            <w:r>
              <w:rPr>
                <w:rFonts w:ascii="Arial" w:cs="Arial" w:eastAsia="Arial" w:hAnsi="Arial"/>
                <w:sz w:val="18"/>
                <w:szCs w:val="18"/>
                <w:color w:val="auto"/>
              </w:rPr>
              <w:t>Commercial mortgage loans</w:t>
            </w:r>
          </w:p>
        </w:tc>
        <w:tc>
          <w:tcPr>
            <w:tcW w:w="20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10.7</w:t>
            </w:r>
          </w:p>
        </w:tc>
        <w:tc>
          <w:tcPr>
            <w:tcW w:w="32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w w:val="79"/>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13.2</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40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Residential mortgage loans</w:t>
            </w:r>
          </w:p>
        </w:tc>
        <w:tc>
          <w:tcPr>
            <w:tcW w:w="196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10.8</w:t>
            </w:r>
          </w:p>
        </w:tc>
        <w:tc>
          <w:tcPr>
            <w:tcW w:w="22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4.0</w:t>
            </w:r>
          </w:p>
        </w:tc>
        <w:tc>
          <w:tcPr>
            <w:tcW w:w="22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0.7</w:t>
            </w:r>
          </w:p>
        </w:tc>
        <w:tc>
          <w:tcPr>
            <w:tcW w:w="0" w:type="dxa"/>
            <w:vAlign w:val="bottom"/>
          </w:tcPr>
          <w:p>
            <w:pPr>
              <w:spacing w:after="0"/>
              <w:rPr>
                <w:sz w:val="1"/>
                <w:szCs w:val="1"/>
                <w:color w:val="auto"/>
              </w:rPr>
            </w:pPr>
          </w:p>
        </w:tc>
      </w:tr>
      <w:tr>
        <w:trPr>
          <w:trHeight w:val="209"/>
        </w:trPr>
        <w:tc>
          <w:tcPr>
            <w:tcW w:w="40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w:t>
            </w:r>
          </w:p>
        </w:tc>
        <w:tc>
          <w:tcPr>
            <w:tcW w:w="196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21.5</w:t>
            </w:r>
          </w:p>
        </w:tc>
        <w:tc>
          <w:tcPr>
            <w:tcW w:w="22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17.2</w:t>
            </w:r>
          </w:p>
        </w:tc>
        <w:tc>
          <w:tcPr>
            <w:tcW w:w="22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0.7</w:t>
            </w:r>
          </w:p>
        </w:tc>
        <w:tc>
          <w:tcPr>
            <w:tcW w:w="0" w:type="dxa"/>
            <w:vAlign w:val="bottom"/>
          </w:tcPr>
          <w:p>
            <w:pPr>
              <w:spacing w:after="0"/>
              <w:rPr>
                <w:sz w:val="1"/>
                <w:szCs w:val="1"/>
                <w:color w:val="auto"/>
              </w:rPr>
            </w:pPr>
          </w:p>
        </w:tc>
      </w:tr>
      <w:tr>
        <w:trPr>
          <w:trHeight w:val="20"/>
        </w:trPr>
        <w:tc>
          <w:tcPr>
            <w:tcW w:w="4020" w:type="dxa"/>
            <w:vAlign w:val="bottom"/>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Interest income recognized on non-accrual financing receivables was as follows:</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460" w:type="dxa"/>
            <w:vAlign w:val="bottom"/>
          </w:tcPr>
          <w:p>
            <w:pPr>
              <w:spacing w:after="0"/>
              <w:rPr>
                <w:sz w:val="14"/>
                <w:szCs w:val="14"/>
                <w:color w:val="auto"/>
              </w:rPr>
            </w:pPr>
          </w:p>
        </w:tc>
        <w:tc>
          <w:tcPr>
            <w:tcW w:w="2520" w:type="dxa"/>
            <w:vAlign w:val="bottom"/>
          </w:tcPr>
          <w:p>
            <w:pPr>
              <w:spacing w:after="0"/>
              <w:rPr>
                <w:sz w:val="14"/>
                <w:szCs w:val="14"/>
                <w:color w:val="auto"/>
              </w:rPr>
            </w:pPr>
          </w:p>
        </w:tc>
        <w:tc>
          <w:tcPr>
            <w:tcW w:w="1880" w:type="dxa"/>
            <w:vAlign w:val="bottom"/>
            <w:gridSpan w:val="5"/>
          </w:tcPr>
          <w:p>
            <w:pPr>
              <w:jc w:val="right"/>
              <w:ind w:right="19"/>
              <w:spacing w:after="0"/>
              <w:rPr>
                <w:sz w:val="20"/>
                <w:szCs w:val="20"/>
                <w:color w:val="auto"/>
              </w:rPr>
            </w:pPr>
            <w:r>
              <w:rPr>
                <w:rFonts w:ascii="Arial" w:cs="Arial" w:eastAsia="Arial" w:hAnsi="Arial"/>
                <w:sz w:val="14"/>
                <w:szCs w:val="14"/>
                <w:b w:val="1"/>
                <w:bCs w:val="1"/>
                <w:color w:val="auto"/>
                <w:w w:val="95"/>
              </w:rPr>
              <w:t>For the three months ended</w:t>
            </w: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760" w:type="dxa"/>
            <w:vAlign w:val="bottom"/>
            <w:gridSpan w:val="4"/>
          </w:tcPr>
          <w:p>
            <w:pPr>
              <w:jc w:val="right"/>
              <w:ind w:right="76"/>
              <w:spacing w:after="0"/>
              <w:rPr>
                <w:sz w:val="20"/>
                <w:szCs w:val="20"/>
                <w:color w:val="auto"/>
              </w:rPr>
            </w:pPr>
            <w:r>
              <w:rPr>
                <w:rFonts w:ascii="Arial" w:cs="Arial" w:eastAsia="Arial" w:hAnsi="Arial"/>
                <w:sz w:val="14"/>
                <w:szCs w:val="14"/>
                <w:b w:val="1"/>
                <w:bCs w:val="1"/>
                <w:color w:val="auto"/>
                <w:w w:val="92"/>
              </w:rPr>
              <w:t>For the six months ended</w:t>
            </w:r>
          </w:p>
        </w:tc>
        <w:tc>
          <w:tcPr>
            <w:tcW w:w="0" w:type="dxa"/>
            <w:vAlign w:val="bottom"/>
          </w:tcPr>
          <w:p>
            <w:pPr>
              <w:spacing w:after="0"/>
              <w:rPr>
                <w:sz w:val="1"/>
                <w:szCs w:val="1"/>
                <w:color w:val="auto"/>
              </w:rPr>
            </w:pPr>
          </w:p>
        </w:tc>
      </w:tr>
      <w:tr>
        <w:trPr>
          <w:trHeight w:val="171"/>
        </w:trPr>
        <w:tc>
          <w:tcPr>
            <w:tcW w:w="3460" w:type="dxa"/>
            <w:vAlign w:val="bottom"/>
          </w:tcPr>
          <w:p>
            <w:pPr>
              <w:spacing w:after="0"/>
              <w:rPr>
                <w:sz w:val="14"/>
                <w:szCs w:val="14"/>
                <w:color w:val="auto"/>
              </w:rPr>
            </w:pPr>
          </w:p>
        </w:tc>
        <w:tc>
          <w:tcPr>
            <w:tcW w:w="252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June 30,</w:t>
            </w:r>
          </w:p>
        </w:tc>
        <w:tc>
          <w:tcPr>
            <w:tcW w:w="620" w:type="dxa"/>
            <w:vAlign w:val="bottom"/>
            <w:tcBorders>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June 30,</w:t>
            </w:r>
          </w:p>
        </w:tc>
        <w:tc>
          <w:tcPr>
            <w:tcW w:w="62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3460" w:type="dxa"/>
            <w:vAlign w:val="bottom"/>
          </w:tcPr>
          <w:p>
            <w:pPr>
              <w:spacing w:after="0"/>
              <w:rPr>
                <w:sz w:val="12"/>
                <w:szCs w:val="12"/>
                <w:color w:val="auto"/>
              </w:rPr>
            </w:pPr>
          </w:p>
        </w:tc>
        <w:tc>
          <w:tcPr>
            <w:tcW w:w="2520" w:type="dxa"/>
            <w:vAlign w:val="bottom"/>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ind w:right="179"/>
              <w:spacing w:after="0" w:line="142" w:lineRule="exact"/>
              <w:rPr>
                <w:sz w:val="20"/>
                <w:szCs w:val="20"/>
                <w:color w:val="auto"/>
              </w:rPr>
            </w:pPr>
            <w:r>
              <w:rPr>
                <w:rFonts w:ascii="Arial" w:cs="Arial" w:eastAsia="Arial" w:hAnsi="Arial"/>
                <w:sz w:val="14"/>
                <w:szCs w:val="14"/>
                <w:b w:val="1"/>
                <w:bCs w:val="1"/>
                <w:color w:val="auto"/>
              </w:rPr>
              <w:t>2022</w:t>
            </w:r>
          </w:p>
        </w:tc>
        <w:tc>
          <w:tcPr>
            <w:tcW w:w="200" w:type="dxa"/>
            <w:vAlign w:val="bottom"/>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jc w:val="right"/>
              <w:ind w:right="199"/>
              <w:spacing w:after="0" w:line="142" w:lineRule="exact"/>
              <w:rPr>
                <w:sz w:val="20"/>
                <w:szCs w:val="20"/>
                <w:color w:val="auto"/>
              </w:rPr>
            </w:pPr>
            <w:r>
              <w:rPr>
                <w:rFonts w:ascii="Arial" w:cs="Arial" w:eastAsia="Arial" w:hAnsi="Arial"/>
                <w:sz w:val="14"/>
                <w:szCs w:val="14"/>
                <w:b w:val="1"/>
                <w:bCs w:val="1"/>
                <w:color w:val="auto"/>
              </w:rPr>
              <w:t>2021</w:t>
            </w:r>
          </w:p>
        </w:tc>
        <w:tc>
          <w:tcPr>
            <w:tcW w:w="18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tcPr>
          <w:p>
            <w:pPr>
              <w:jc w:val="right"/>
              <w:ind w:right="201"/>
              <w:spacing w:after="0" w:line="142" w:lineRule="exact"/>
              <w:rPr>
                <w:sz w:val="20"/>
                <w:szCs w:val="20"/>
                <w:color w:val="auto"/>
              </w:rPr>
            </w:pPr>
            <w:r>
              <w:rPr>
                <w:rFonts w:ascii="Arial" w:cs="Arial" w:eastAsia="Arial" w:hAnsi="Arial"/>
                <w:sz w:val="14"/>
                <w:szCs w:val="14"/>
                <w:b w:val="1"/>
                <w:bCs w:val="1"/>
                <w:color w:val="auto"/>
              </w:rPr>
              <w:t>2022</w:t>
            </w:r>
          </w:p>
        </w:tc>
        <w:tc>
          <w:tcPr>
            <w:tcW w:w="180" w:type="dxa"/>
            <w:vAlign w:val="bottom"/>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jc w:val="right"/>
              <w:ind w:right="196"/>
              <w:spacing w:after="0" w:line="142" w:lineRule="exact"/>
              <w:rPr>
                <w:sz w:val="20"/>
                <w:szCs w:val="20"/>
                <w:color w:val="auto"/>
              </w:rPr>
            </w:pPr>
            <w:r>
              <w:rPr>
                <w:rFonts w:ascii="Arial" w:cs="Arial" w:eastAsia="Arial" w:hAnsi="Arial"/>
                <w:sz w:val="14"/>
                <w:szCs w:val="14"/>
                <w:b w:val="1"/>
                <w:bCs w:val="1"/>
                <w:color w:val="auto"/>
              </w:rPr>
              <w:t>2021</w:t>
            </w:r>
          </w:p>
        </w:tc>
        <w:tc>
          <w:tcPr>
            <w:tcW w:w="0" w:type="dxa"/>
            <w:vAlign w:val="bottom"/>
          </w:tcPr>
          <w:p>
            <w:pPr>
              <w:spacing w:after="0"/>
              <w:rPr>
                <w:sz w:val="1"/>
                <w:szCs w:val="1"/>
                <w:color w:val="auto"/>
              </w:rPr>
            </w:pPr>
          </w:p>
        </w:tc>
      </w:tr>
      <w:tr>
        <w:trPr>
          <w:trHeight w:val="128"/>
        </w:trPr>
        <w:tc>
          <w:tcPr>
            <w:tcW w:w="3460" w:type="dxa"/>
            <w:vAlign w:val="bottom"/>
          </w:tcPr>
          <w:p>
            <w:pPr>
              <w:spacing w:after="0"/>
              <w:rPr>
                <w:sz w:val="11"/>
                <w:szCs w:val="11"/>
                <w:color w:val="auto"/>
              </w:rPr>
            </w:pPr>
          </w:p>
        </w:tc>
        <w:tc>
          <w:tcPr>
            <w:tcW w:w="25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40" w:type="dxa"/>
            <w:vAlign w:val="bottom"/>
            <w:gridSpan w:val="4"/>
          </w:tcPr>
          <w:p>
            <w:pPr>
              <w:ind w:left="360"/>
              <w:spacing w:after="0" w:line="129" w:lineRule="exact"/>
              <w:rPr>
                <w:sz w:val="20"/>
                <w:szCs w:val="20"/>
                <w:color w:val="auto"/>
              </w:rPr>
            </w:pPr>
            <w:r>
              <w:rPr>
                <w:rFonts w:ascii="Arial" w:cs="Arial" w:eastAsia="Arial" w:hAnsi="Arial"/>
                <w:sz w:val="14"/>
                <w:szCs w:val="14"/>
                <w:i w:val="1"/>
                <w:iCs w:val="1"/>
                <w:color w:val="auto"/>
              </w:rPr>
              <w:t>(in millions)</w:t>
            </w:r>
          </w:p>
        </w:tc>
        <w:tc>
          <w:tcPr>
            <w:tcW w:w="1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3460" w:type="dxa"/>
            <w:vAlign w:val="bottom"/>
            <w:shd w:val="clear" w:color="auto" w:fill="CCEEFF"/>
          </w:tcPr>
          <w:p>
            <w:pPr>
              <w:spacing w:after="0"/>
              <w:rPr>
                <w:sz w:val="20"/>
                <w:szCs w:val="20"/>
                <w:color w:val="auto"/>
              </w:rPr>
            </w:pPr>
            <w:r>
              <w:rPr>
                <w:rFonts w:ascii="Arial" w:cs="Arial" w:eastAsia="Arial" w:hAnsi="Arial"/>
                <w:sz w:val="18"/>
                <w:szCs w:val="18"/>
                <w:color w:val="auto"/>
              </w:rPr>
              <w:t>Commercial mortgage loans</w:t>
            </w:r>
          </w:p>
        </w:tc>
        <w:tc>
          <w:tcPr>
            <w:tcW w:w="2720" w:type="dxa"/>
            <w:vAlign w:val="bottom"/>
            <w:gridSpan w:val="2"/>
            <w:shd w:val="clear" w:color="auto" w:fill="CCEEFF"/>
          </w:tcPr>
          <w:p>
            <w:pPr>
              <w:jc w:val="right"/>
              <w:ind w:right="19"/>
              <w:spacing w:after="0"/>
              <w:rPr>
                <w:sz w:val="20"/>
                <w:szCs w:val="20"/>
                <w:color w:val="auto"/>
              </w:rPr>
            </w:pPr>
            <w:r>
              <w:rPr>
                <w:rFonts w:ascii="Arial" w:cs="Arial" w:eastAsia="Arial" w:hAnsi="Arial"/>
                <w:sz w:val="18"/>
                <w:szCs w:val="18"/>
                <w:b w:val="1"/>
                <w:bCs w:val="1"/>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0.5</w:t>
            </w:r>
          </w:p>
        </w:tc>
        <w:tc>
          <w:tcPr>
            <w:tcW w:w="420" w:type="dxa"/>
            <w:vAlign w:val="bottom"/>
            <w:gridSpan w:val="2"/>
            <w:shd w:val="clear" w:color="auto" w:fill="CCEEFF"/>
          </w:tcPr>
          <w:p>
            <w:pPr>
              <w:jc w:val="right"/>
              <w:ind w:right="67"/>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ind w:left="380"/>
              <w:spacing w:after="0"/>
              <w:rPr>
                <w:sz w:val="20"/>
                <w:szCs w:val="20"/>
                <w:color w:val="auto"/>
              </w:rPr>
            </w:pPr>
            <w:r>
              <w:rPr>
                <w:rFonts w:ascii="Arial" w:cs="Arial" w:eastAsia="Arial" w:hAnsi="Arial"/>
                <w:sz w:val="18"/>
                <w:szCs w:val="18"/>
                <w:color w:val="auto"/>
              </w:rPr>
              <w:t>—</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0.8</w:t>
            </w:r>
          </w:p>
        </w:tc>
        <w:tc>
          <w:tcPr>
            <w:tcW w:w="420" w:type="dxa"/>
            <w:vAlign w:val="bottom"/>
            <w:gridSpan w:val="2"/>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ind w:left="3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9"/>
        </w:trPr>
        <w:tc>
          <w:tcPr>
            <w:tcW w:w="3460" w:type="dxa"/>
            <w:vAlign w:val="bottom"/>
          </w:tcPr>
          <w:p>
            <w:pPr>
              <w:spacing w:after="0"/>
              <w:rPr>
                <w:sz w:val="20"/>
                <w:szCs w:val="20"/>
                <w:color w:val="auto"/>
              </w:rPr>
            </w:pPr>
            <w:r>
              <w:rPr>
                <w:rFonts w:ascii="Arial" w:cs="Arial" w:eastAsia="Arial" w:hAnsi="Arial"/>
                <w:sz w:val="18"/>
                <w:szCs w:val="18"/>
                <w:color w:val="auto"/>
              </w:rPr>
              <w:t>Total</w:t>
            </w:r>
          </w:p>
        </w:tc>
        <w:tc>
          <w:tcPr>
            <w:tcW w:w="2520" w:type="dxa"/>
            <w:vAlign w:val="bottom"/>
          </w:tcPr>
          <w:p>
            <w:pPr>
              <w:spacing w:after="0"/>
              <w:rPr>
                <w:sz w:val="18"/>
                <w:szCs w:val="18"/>
                <w:color w:val="auto"/>
              </w:rPr>
            </w:pPr>
          </w:p>
        </w:tc>
        <w:tc>
          <w:tcPr>
            <w:tcW w:w="20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8"/>
                <w:szCs w:val="18"/>
                <w:b w:val="1"/>
                <w:bCs w:val="1"/>
                <w:color w:val="auto"/>
                <w:w w:val="79"/>
              </w:rPr>
              <w:t>$</w:t>
            </w: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0.5</w:t>
            </w:r>
          </w:p>
        </w:tc>
        <w:tc>
          <w:tcPr>
            <w:tcW w:w="200" w:type="dxa"/>
            <w:vAlign w:val="bottom"/>
          </w:tcPr>
          <w:p>
            <w:pPr>
              <w:spacing w:after="0"/>
              <w:rPr>
                <w:sz w:val="18"/>
                <w:szCs w:val="18"/>
                <w:color w:val="auto"/>
              </w:rPr>
            </w:pPr>
          </w:p>
        </w:tc>
        <w:tc>
          <w:tcPr>
            <w:tcW w:w="220" w:type="dxa"/>
            <w:vAlign w:val="bottom"/>
            <w:tcBorders>
              <w:top w:val="single" w:sz="8" w:color="auto"/>
              <w:bottom w:val="single" w:sz="8" w:color="auto"/>
            </w:tcBorders>
          </w:tcPr>
          <w:p>
            <w:pPr>
              <w:jc w:val="right"/>
              <w:ind w:right="67"/>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bottom w:val="single" w:sz="8" w:color="auto"/>
            </w:tcBorders>
          </w:tcPr>
          <w:p>
            <w:pPr>
              <w:ind w:left="38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0.8</w:t>
            </w:r>
          </w:p>
        </w:tc>
        <w:tc>
          <w:tcPr>
            <w:tcW w:w="180" w:type="dxa"/>
            <w:vAlign w:val="bottom"/>
          </w:tcPr>
          <w:p>
            <w:pPr>
              <w:spacing w:after="0"/>
              <w:rPr>
                <w:sz w:val="18"/>
                <w:szCs w:val="18"/>
                <w:color w:val="auto"/>
              </w:rPr>
            </w:pPr>
          </w:p>
        </w:tc>
        <w:tc>
          <w:tcPr>
            <w:tcW w:w="24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620" w:type="dxa"/>
            <w:vAlign w:val="bottom"/>
            <w:tcBorders>
              <w:top w:val="single" w:sz="8" w:color="auto"/>
              <w:bottom w:val="single" w:sz="8" w:color="auto"/>
            </w:tcBorders>
          </w:tcPr>
          <w:p>
            <w:pPr>
              <w:ind w:left="3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3460" w:type="dxa"/>
            <w:vAlign w:val="bottom"/>
          </w:tcPr>
          <w:p>
            <w:pPr>
              <w:spacing w:after="0" w:line="20" w:lineRule="exact"/>
              <w:rPr>
                <w:sz w:val="1"/>
                <w:szCs w:val="1"/>
                <w:color w:val="auto"/>
              </w:rPr>
            </w:pPr>
          </w:p>
        </w:tc>
        <w:tc>
          <w:tcPr>
            <w:tcW w:w="2520" w:type="dxa"/>
            <w:vAlign w:val="bottom"/>
            <w:vMerge w:val="restart"/>
          </w:tcPr>
          <w:p>
            <w:pPr>
              <w:jc w:val="right"/>
              <w:ind w:right="830"/>
              <w:spacing w:after="0"/>
              <w:rPr>
                <w:sz w:val="20"/>
                <w:szCs w:val="20"/>
                <w:color w:val="auto"/>
              </w:rPr>
            </w:pPr>
            <w:r>
              <w:rPr>
                <w:rFonts w:ascii="Arial" w:cs="Arial" w:eastAsia="Arial" w:hAnsi="Arial"/>
                <w:sz w:val="18"/>
                <w:szCs w:val="18"/>
                <w:color w:val="auto"/>
              </w:rPr>
              <w:t>30</w:t>
            </w:r>
          </w:p>
        </w:tc>
        <w:tc>
          <w:tcPr>
            <w:tcW w:w="2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4"/>
        </w:trPr>
        <w:tc>
          <w:tcPr>
            <w:tcW w:w="3460" w:type="dxa"/>
            <w:vAlign w:val="bottom"/>
          </w:tcPr>
          <w:p>
            <w:pPr>
              <w:spacing w:after="0"/>
              <w:rPr>
                <w:sz w:val="24"/>
                <w:szCs w:val="24"/>
                <w:color w:val="auto"/>
              </w:rPr>
            </w:pPr>
          </w:p>
        </w:tc>
        <w:tc>
          <w:tcPr>
            <w:tcW w:w="2520" w:type="dxa"/>
            <w:vAlign w:val="bottom"/>
            <w:vMerge w:val="continue"/>
          </w:tcPr>
          <w:p>
            <w:pPr>
              <w:spacing w:after="0"/>
              <w:rPr>
                <w:sz w:val="24"/>
                <w:szCs w:val="24"/>
                <w:color w:val="auto"/>
              </w:rPr>
            </w:pPr>
          </w:p>
        </w:tc>
        <w:tc>
          <w:tcPr>
            <w:tcW w:w="2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61"/>
        </w:trPr>
        <w:tc>
          <w:tcPr>
            <w:tcW w:w="346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920"/>
          </w:cols>
          <w:pgMar w:left="980" w:top="665" w:right="999" w:bottom="1440" w:gutter="0" w:footer="0" w:header="0"/>
        </w:sectPr>
      </w:pPr>
    </w:p>
    <w:bookmarkStart w:id="30" w:name="page31"/>
    <w:bookmarkEnd w:id="30"/>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aging of our financing receivables, based on amortized cost, was as follows: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4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gridSpan w:val="3"/>
          </w:tcPr>
          <w:p>
            <w:pPr>
              <w:jc w:val="center"/>
              <w:ind w:right="20"/>
              <w:spacing w:after="0"/>
              <w:rPr>
                <w:sz w:val="20"/>
                <w:szCs w:val="20"/>
                <w:color w:val="auto"/>
              </w:rPr>
            </w:pPr>
            <w:r>
              <w:rPr>
                <w:rFonts w:ascii="Arial" w:cs="Arial" w:eastAsia="Arial" w:hAnsi="Arial"/>
                <w:sz w:val="14"/>
                <w:szCs w:val="14"/>
                <w:b w:val="1"/>
                <w:bCs w:val="1"/>
                <w:color w:val="auto"/>
                <w:w w:val="92"/>
              </w:rPr>
              <w:t>June 30, 2022</w:t>
            </w:r>
          </w:p>
        </w:tc>
        <w:tc>
          <w:tcPr>
            <w:tcW w:w="8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48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60" w:type="dxa"/>
            <w:vAlign w:val="bottom"/>
          </w:tcPr>
          <w:p>
            <w:pPr>
              <w:jc w:val="center"/>
              <w:ind w:right="21"/>
              <w:spacing w:after="0" w:line="119" w:lineRule="exact"/>
              <w:rPr>
                <w:sz w:val="20"/>
                <w:szCs w:val="20"/>
                <w:color w:val="auto"/>
              </w:rPr>
            </w:pPr>
            <w:r>
              <w:rPr>
                <w:rFonts w:ascii="Arial" w:cs="Arial" w:eastAsia="Arial" w:hAnsi="Arial"/>
                <w:sz w:val="13"/>
                <w:szCs w:val="13"/>
                <w:b w:val="1"/>
                <w:bCs w:val="1"/>
                <w:color w:val="auto"/>
              </w:rPr>
              <w:t>Amortized</w:t>
            </w:r>
          </w:p>
        </w:tc>
        <w:tc>
          <w:tcPr>
            <w:tcW w:w="0" w:type="dxa"/>
            <w:vAlign w:val="bottom"/>
          </w:tcPr>
          <w:p>
            <w:pPr>
              <w:spacing w:after="0"/>
              <w:rPr>
                <w:sz w:val="1"/>
                <w:szCs w:val="1"/>
                <w:color w:val="auto"/>
              </w:rPr>
            </w:pPr>
          </w:p>
        </w:tc>
      </w:tr>
      <w:tr>
        <w:trPr>
          <w:trHeight w:val="148"/>
        </w:trPr>
        <w:tc>
          <w:tcPr>
            <w:tcW w:w="24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9"/>
              </w:rPr>
              <w:t>90 days or</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jc w:val="center"/>
              <w:ind w:right="1"/>
              <w:spacing w:after="0" w:line="149" w:lineRule="exact"/>
              <w:rPr>
                <w:sz w:val="20"/>
                <w:szCs w:val="20"/>
                <w:color w:val="auto"/>
              </w:rPr>
            </w:pPr>
            <w:r>
              <w:rPr>
                <w:rFonts w:ascii="Arial" w:cs="Arial" w:eastAsia="Arial" w:hAnsi="Arial"/>
                <w:sz w:val="14"/>
                <w:szCs w:val="14"/>
                <w:b w:val="1"/>
                <w:bCs w:val="1"/>
                <w:color w:val="auto"/>
                <w:w w:val="83"/>
              </w:rPr>
              <w:t>cost</w:t>
            </w:r>
          </w:p>
        </w:tc>
        <w:tc>
          <w:tcPr>
            <w:tcW w:w="0" w:type="dxa"/>
            <w:vAlign w:val="bottom"/>
          </w:tcPr>
          <w:p>
            <w:pPr>
              <w:spacing w:after="0"/>
              <w:rPr>
                <w:sz w:val="1"/>
                <w:szCs w:val="1"/>
                <w:color w:val="auto"/>
              </w:rPr>
            </w:pPr>
          </w:p>
        </w:tc>
      </w:tr>
      <w:tr>
        <w:trPr>
          <w:trHeight w:val="149"/>
        </w:trPr>
        <w:tc>
          <w:tcPr>
            <w:tcW w:w="24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89"/>
              </w:rPr>
              <w:t>30-59 days</w:t>
            </w:r>
          </w:p>
        </w:tc>
        <w:tc>
          <w:tcPr>
            <w:tcW w:w="80" w:type="dxa"/>
            <w:vAlign w:val="bottom"/>
          </w:tcPr>
          <w:p>
            <w:pPr>
              <w:spacing w:after="0"/>
              <w:rPr>
                <w:sz w:val="12"/>
                <w:szCs w:val="12"/>
                <w:color w:val="auto"/>
              </w:rPr>
            </w:pPr>
          </w:p>
        </w:tc>
        <w:tc>
          <w:tcPr>
            <w:tcW w:w="76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9"/>
              </w:rPr>
              <w:t>60-89 days</w:t>
            </w: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vMerge w:val="continue"/>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4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Total past</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jc w:val="center"/>
              <w:ind w:right="21"/>
              <w:spacing w:after="0" w:line="149" w:lineRule="exact"/>
              <w:rPr>
                <w:sz w:val="20"/>
                <w:szCs w:val="20"/>
                <w:color w:val="auto"/>
              </w:rPr>
            </w:pPr>
            <w:r>
              <w:rPr>
                <w:rFonts w:ascii="Arial" w:cs="Arial" w:eastAsia="Arial" w:hAnsi="Arial"/>
                <w:sz w:val="14"/>
                <w:szCs w:val="14"/>
                <w:b w:val="1"/>
                <w:bCs w:val="1"/>
                <w:color w:val="auto"/>
                <w:w w:val="89"/>
              </w:rPr>
              <w:t>90 days or</w:t>
            </w:r>
          </w:p>
        </w:tc>
        <w:tc>
          <w:tcPr>
            <w:tcW w:w="0" w:type="dxa"/>
            <w:vAlign w:val="bottom"/>
          </w:tcPr>
          <w:p>
            <w:pPr>
              <w:spacing w:after="0"/>
              <w:rPr>
                <w:sz w:val="1"/>
                <w:szCs w:val="1"/>
                <w:color w:val="auto"/>
              </w:rPr>
            </w:pPr>
          </w:p>
        </w:tc>
      </w:tr>
      <w:tr>
        <w:trPr>
          <w:trHeight w:val="148"/>
        </w:trPr>
        <w:tc>
          <w:tcPr>
            <w:tcW w:w="24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vMerge w:val="continue"/>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more past</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4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0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Current</w:t>
            </w:r>
          </w:p>
        </w:tc>
        <w:tc>
          <w:tcPr>
            <w:tcW w:w="120" w:type="dxa"/>
            <w:vAlign w:val="bottom"/>
          </w:tcPr>
          <w:p>
            <w:pPr>
              <w:spacing w:after="0"/>
              <w:rPr>
                <w:sz w:val="12"/>
                <w:szCs w:val="12"/>
                <w:color w:val="auto"/>
              </w:rPr>
            </w:pPr>
          </w:p>
        </w:tc>
        <w:tc>
          <w:tcPr>
            <w:tcW w:w="92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Total (1)</w:t>
            </w:r>
          </w:p>
        </w:tc>
        <w:tc>
          <w:tcPr>
            <w:tcW w:w="100" w:type="dxa"/>
            <w:vAlign w:val="bottom"/>
          </w:tcPr>
          <w:p>
            <w:pPr>
              <w:spacing w:after="0"/>
              <w:rPr>
                <w:sz w:val="12"/>
                <w:szCs w:val="12"/>
                <w:color w:val="auto"/>
              </w:rPr>
            </w:pPr>
          </w:p>
        </w:tc>
        <w:tc>
          <w:tcPr>
            <w:tcW w:w="760" w:type="dxa"/>
            <w:vAlign w:val="bottom"/>
          </w:tcPr>
          <w:p>
            <w:pPr>
              <w:jc w:val="center"/>
              <w:ind w:right="21"/>
              <w:spacing w:after="0" w:line="149" w:lineRule="exact"/>
              <w:rPr>
                <w:sz w:val="20"/>
                <w:szCs w:val="20"/>
                <w:color w:val="auto"/>
              </w:rPr>
            </w:pPr>
            <w:r>
              <w:rPr>
                <w:rFonts w:ascii="Arial" w:cs="Arial" w:eastAsia="Arial" w:hAnsi="Arial"/>
                <w:sz w:val="14"/>
                <w:szCs w:val="14"/>
                <w:b w:val="1"/>
                <w:bCs w:val="1"/>
                <w:color w:val="auto"/>
                <w:w w:val="91"/>
              </w:rPr>
              <w:t>more and</w:t>
            </w:r>
          </w:p>
        </w:tc>
        <w:tc>
          <w:tcPr>
            <w:tcW w:w="0" w:type="dxa"/>
            <w:vAlign w:val="bottom"/>
          </w:tcPr>
          <w:p>
            <w:pPr>
              <w:spacing w:after="0"/>
              <w:rPr>
                <w:sz w:val="1"/>
                <w:szCs w:val="1"/>
                <w:color w:val="auto"/>
              </w:rPr>
            </w:pPr>
          </w:p>
        </w:tc>
      </w:tr>
      <w:tr>
        <w:trPr>
          <w:trHeight w:val="171"/>
        </w:trPr>
        <w:tc>
          <w:tcPr>
            <w:tcW w:w="24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0"/>
              </w:rPr>
              <w:t>past due</w:t>
            </w:r>
          </w:p>
        </w:tc>
        <w:tc>
          <w:tcPr>
            <w:tcW w:w="80" w:type="dxa"/>
            <w:vAlign w:val="bottom"/>
          </w:tcPr>
          <w:p>
            <w:pPr>
              <w:spacing w:after="0"/>
              <w:rPr>
                <w:sz w:val="14"/>
                <w:szCs w:val="14"/>
                <w:color w:val="auto"/>
              </w:rPr>
            </w:pPr>
          </w:p>
        </w:tc>
        <w:tc>
          <w:tcPr>
            <w:tcW w:w="760" w:type="dxa"/>
            <w:vAlign w:val="bottom"/>
          </w:tcPr>
          <w:p>
            <w:pPr>
              <w:jc w:val="center"/>
              <w:spacing w:after="0"/>
              <w:rPr>
                <w:sz w:val="20"/>
                <w:szCs w:val="20"/>
                <w:color w:val="auto"/>
              </w:rPr>
            </w:pPr>
            <w:r>
              <w:rPr>
                <w:rFonts w:ascii="Arial" w:cs="Arial" w:eastAsia="Arial" w:hAnsi="Arial"/>
                <w:sz w:val="14"/>
                <w:szCs w:val="14"/>
                <w:b w:val="1"/>
                <w:bCs w:val="1"/>
                <w:color w:val="auto"/>
                <w:w w:val="90"/>
              </w:rPr>
              <w:t>past due</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tcPr>
          <w:p>
            <w:pPr>
              <w:jc w:val="center"/>
              <w:spacing w:after="0"/>
              <w:rPr>
                <w:sz w:val="20"/>
                <w:szCs w:val="20"/>
                <w:color w:val="auto"/>
              </w:rPr>
            </w:pPr>
            <w:r>
              <w:rPr>
                <w:rFonts w:ascii="Arial" w:cs="Arial" w:eastAsia="Arial" w:hAnsi="Arial"/>
                <w:sz w:val="14"/>
                <w:szCs w:val="14"/>
                <w:b w:val="1"/>
                <w:bCs w:val="1"/>
                <w:color w:val="auto"/>
                <w:w w:val="88"/>
              </w:rPr>
              <w:t>due</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gridSpan w:val="2"/>
          </w:tcPr>
          <w:p>
            <w:pPr>
              <w:ind w:left="200"/>
              <w:spacing w:after="0"/>
              <w:rPr>
                <w:sz w:val="20"/>
                <w:szCs w:val="20"/>
                <w:color w:val="auto"/>
              </w:rPr>
            </w:pPr>
            <w:r>
              <w:rPr>
                <w:rFonts w:ascii="Arial" w:cs="Arial" w:eastAsia="Arial" w:hAnsi="Arial"/>
                <w:sz w:val="14"/>
                <w:szCs w:val="14"/>
                <w:b w:val="1"/>
                <w:bCs w:val="1"/>
                <w:color w:val="auto"/>
              </w:rPr>
              <w:t>due</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760" w:type="dxa"/>
            <w:vAlign w:val="bottom"/>
          </w:tcPr>
          <w:p>
            <w:pPr>
              <w:jc w:val="center"/>
              <w:ind w:right="21"/>
              <w:spacing w:after="0"/>
              <w:rPr>
                <w:sz w:val="20"/>
                <w:szCs w:val="20"/>
                <w:color w:val="auto"/>
              </w:rPr>
            </w:pPr>
            <w:r>
              <w:rPr>
                <w:rFonts w:ascii="Arial" w:cs="Arial" w:eastAsia="Arial" w:hAnsi="Arial"/>
                <w:sz w:val="14"/>
                <w:szCs w:val="14"/>
                <w:b w:val="1"/>
                <w:bCs w:val="1"/>
                <w:color w:val="auto"/>
                <w:w w:val="92"/>
              </w:rPr>
              <w:t>accruing</w:t>
            </w:r>
          </w:p>
        </w:tc>
        <w:tc>
          <w:tcPr>
            <w:tcW w:w="0" w:type="dxa"/>
            <w:vAlign w:val="bottom"/>
          </w:tcPr>
          <w:p>
            <w:pPr>
              <w:spacing w:after="0"/>
              <w:rPr>
                <w:sz w:val="1"/>
                <w:szCs w:val="1"/>
                <w:color w:val="auto"/>
              </w:rPr>
            </w:pPr>
          </w:p>
        </w:tc>
      </w:tr>
      <w:tr>
        <w:trPr>
          <w:trHeight w:val="128"/>
        </w:trPr>
        <w:tc>
          <w:tcPr>
            <w:tcW w:w="24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740" w:type="dxa"/>
            <w:vAlign w:val="bottom"/>
            <w:tcBorders>
              <w:top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760" w:type="dxa"/>
            <w:vAlign w:val="bottom"/>
            <w:tcBorders>
              <w:top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740" w:type="dxa"/>
            <w:vAlign w:val="bottom"/>
            <w:tcBorders>
              <w:top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740" w:type="dxa"/>
            <w:vAlign w:val="bottom"/>
            <w:tcBorders>
              <w:top w:val="single" w:sz="8" w:color="auto"/>
            </w:tcBorders>
          </w:tcPr>
          <w:p>
            <w:pPr>
              <w:spacing w:after="0" w:line="129" w:lineRule="exact"/>
              <w:rPr>
                <w:sz w:val="20"/>
                <w:szCs w:val="20"/>
                <w:color w:val="auto"/>
              </w:rPr>
            </w:pPr>
            <w:r>
              <w:rPr>
                <w:rFonts w:ascii="Arial" w:cs="Arial" w:eastAsia="Arial" w:hAnsi="Arial"/>
                <w:sz w:val="14"/>
                <w:szCs w:val="14"/>
                <w:i w:val="1"/>
                <w:iCs w:val="1"/>
                <w:color w:val="auto"/>
              </w:rPr>
              <w:t>(in millions)</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720" w:type="dxa"/>
            <w:vAlign w:val="bottom"/>
            <w:tcBorders>
              <w:top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76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760" w:type="dxa"/>
            <w:vAlign w:val="bottom"/>
            <w:tcBorders>
              <w:top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480" w:type="dxa"/>
            <w:vAlign w:val="bottom"/>
            <w:shd w:val="clear" w:color="auto" w:fill="CCEEFF"/>
          </w:tcPr>
          <w:p>
            <w:pPr>
              <w:spacing w:after="0"/>
              <w:rPr>
                <w:sz w:val="20"/>
                <w:szCs w:val="20"/>
                <w:color w:val="auto"/>
              </w:rPr>
            </w:pPr>
            <w:r>
              <w:rPr>
                <w:rFonts w:ascii="Arial" w:cs="Arial" w:eastAsia="Arial" w:hAnsi="Arial"/>
                <w:sz w:val="18"/>
                <w:szCs w:val="18"/>
                <w:color w:val="auto"/>
              </w:rPr>
              <w:t>Commercial mortgage loans</w:t>
            </w:r>
          </w:p>
        </w:tc>
        <w:tc>
          <w:tcPr>
            <w:tcW w:w="54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11.5</w:t>
            </w: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0.7</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15.3</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27.5</w:t>
            </w:r>
          </w:p>
        </w:tc>
        <w:tc>
          <w:tcPr>
            <w:tcW w:w="10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1"/>
              </w:rPr>
              <w:t>16,580.4</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6"/>
              </w:rPr>
              <w:t>16,607.9</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16"/>
        </w:trPr>
        <w:tc>
          <w:tcPr>
            <w:tcW w:w="2480" w:type="dxa"/>
            <w:vAlign w:val="bottom"/>
          </w:tcPr>
          <w:p>
            <w:pPr>
              <w:spacing w:after="0"/>
              <w:rPr>
                <w:sz w:val="20"/>
                <w:szCs w:val="20"/>
                <w:color w:val="auto"/>
              </w:rPr>
            </w:pPr>
            <w:r>
              <w:rPr>
                <w:rFonts w:ascii="Arial" w:cs="Arial" w:eastAsia="Arial" w:hAnsi="Arial"/>
                <w:sz w:val="18"/>
                <w:szCs w:val="18"/>
                <w:color w:val="auto"/>
              </w:rPr>
              <w:t>Direct financing leases</w:t>
            </w: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b w:val="1"/>
                <w:bCs w:val="1"/>
                <w:color w:val="auto"/>
              </w:rPr>
              <w:t>10.8</w:t>
            </w: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1.7</w:t>
            </w: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b w:val="1"/>
                <w:bCs w:val="1"/>
                <w:color w:val="auto"/>
              </w:rPr>
              <w:t>12.5</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rPr>
              <w:t>569.4</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581.9</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16"/>
        </w:trPr>
        <w:tc>
          <w:tcPr>
            <w:tcW w:w="2480" w:type="dxa"/>
            <w:vAlign w:val="bottom"/>
            <w:shd w:val="clear" w:color="auto" w:fill="CCEEFF"/>
          </w:tcPr>
          <w:p>
            <w:pPr>
              <w:spacing w:after="0"/>
              <w:rPr>
                <w:sz w:val="20"/>
                <w:szCs w:val="20"/>
                <w:color w:val="auto"/>
              </w:rPr>
            </w:pPr>
            <w:r>
              <w:rPr>
                <w:rFonts w:ascii="Arial" w:cs="Arial" w:eastAsia="Arial" w:hAnsi="Arial"/>
                <w:sz w:val="18"/>
                <w:szCs w:val="18"/>
                <w:color w:val="auto"/>
              </w:rPr>
              <w:t>Residential mortgage loans</w:t>
            </w:r>
          </w:p>
        </w:tc>
        <w:tc>
          <w:tcPr>
            <w:tcW w:w="4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55.5</w:t>
            </w:r>
          </w:p>
        </w:tc>
        <w:tc>
          <w:tcPr>
            <w:tcW w:w="18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8.6</w:t>
            </w:r>
          </w:p>
        </w:tc>
        <w:tc>
          <w:tcPr>
            <w:tcW w:w="18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11.1</w:t>
            </w:r>
          </w:p>
        </w:tc>
        <w:tc>
          <w:tcPr>
            <w:tcW w:w="1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75.2</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3,659.4</w:t>
            </w:r>
          </w:p>
        </w:tc>
        <w:tc>
          <w:tcPr>
            <w:tcW w:w="18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3,734.6</w:t>
            </w:r>
          </w:p>
        </w:tc>
        <w:tc>
          <w:tcPr>
            <w:tcW w:w="16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6.9</w:t>
            </w:r>
          </w:p>
        </w:tc>
        <w:tc>
          <w:tcPr>
            <w:tcW w:w="0" w:type="dxa"/>
            <w:vAlign w:val="bottom"/>
          </w:tcPr>
          <w:p>
            <w:pPr>
              <w:spacing w:after="0"/>
              <w:rPr>
                <w:sz w:val="1"/>
                <w:szCs w:val="1"/>
                <w:color w:val="auto"/>
              </w:rPr>
            </w:pPr>
          </w:p>
        </w:tc>
      </w:tr>
      <w:tr>
        <w:trPr>
          <w:trHeight w:val="209"/>
        </w:trPr>
        <w:tc>
          <w:tcPr>
            <w:tcW w:w="2480" w:type="dxa"/>
            <w:vAlign w:val="bottom"/>
          </w:tcPr>
          <w:p>
            <w:pPr>
              <w:spacing w:after="0"/>
              <w:rPr>
                <w:sz w:val="20"/>
                <w:szCs w:val="20"/>
                <w:color w:val="auto"/>
              </w:rPr>
            </w:pPr>
            <w:r>
              <w:rPr>
                <w:rFonts w:ascii="Arial" w:cs="Arial" w:eastAsia="Arial" w:hAnsi="Arial"/>
                <w:sz w:val="18"/>
                <w:szCs w:val="18"/>
                <w:color w:val="auto"/>
              </w:rPr>
              <w:t>Total</w:t>
            </w:r>
          </w:p>
        </w:tc>
        <w:tc>
          <w:tcPr>
            <w:tcW w:w="440" w:type="dxa"/>
            <w:vAlign w:val="bottom"/>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77.8</w:t>
            </w:r>
          </w:p>
        </w:tc>
        <w:tc>
          <w:tcPr>
            <w:tcW w:w="180" w:type="dxa"/>
            <w:vAlign w:val="bottom"/>
          </w:tcPr>
          <w:p>
            <w:pPr>
              <w:spacing w:after="0"/>
              <w:rPr>
                <w:sz w:val="18"/>
                <w:szCs w:val="18"/>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11.0</w:t>
            </w:r>
          </w:p>
        </w:tc>
        <w:tc>
          <w:tcPr>
            <w:tcW w:w="180" w:type="dxa"/>
            <w:vAlign w:val="bottom"/>
          </w:tcPr>
          <w:p>
            <w:pPr>
              <w:spacing w:after="0"/>
              <w:rPr>
                <w:sz w:val="18"/>
                <w:szCs w:val="18"/>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26.4</w:t>
            </w:r>
          </w:p>
        </w:tc>
        <w:tc>
          <w:tcPr>
            <w:tcW w:w="180" w:type="dxa"/>
            <w:vAlign w:val="bottom"/>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115.</w:t>
            </w:r>
            <w:r>
              <w:rPr>
                <w:rFonts w:ascii="Arial" w:cs="Arial" w:eastAsia="Arial" w:hAnsi="Arial"/>
                <w:sz w:val="18"/>
                <w:szCs w:val="18"/>
                <w:b w:val="1"/>
                <w:bCs w:val="1"/>
                <w:u w:val="single" w:color="auto"/>
                <w:color w:val="auto"/>
              </w:rPr>
              <w:t>2</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91"/>
              </w:rPr>
              <w:t>20,809.2</w:t>
            </w:r>
          </w:p>
        </w:tc>
        <w:tc>
          <w:tcPr>
            <w:tcW w:w="180" w:type="dxa"/>
            <w:vAlign w:val="bottom"/>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96"/>
              </w:rPr>
              <w:t>20,924.4</w:t>
            </w:r>
          </w:p>
        </w:tc>
        <w:tc>
          <w:tcPr>
            <w:tcW w:w="160" w:type="dxa"/>
            <w:vAlign w:val="bottom"/>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6.9</w:t>
            </w:r>
          </w:p>
        </w:tc>
        <w:tc>
          <w:tcPr>
            <w:tcW w:w="0" w:type="dxa"/>
            <w:vAlign w:val="bottom"/>
          </w:tcPr>
          <w:p>
            <w:pPr>
              <w:spacing w:after="0"/>
              <w:rPr>
                <w:sz w:val="1"/>
                <w:szCs w:val="1"/>
                <w:color w:val="auto"/>
              </w:rPr>
            </w:pPr>
          </w:p>
        </w:tc>
      </w:tr>
      <w:tr>
        <w:trPr>
          <w:trHeight w:val="20"/>
        </w:trPr>
        <w:tc>
          <w:tcPr>
            <w:tcW w:w="24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40" w:type="dxa"/>
            <w:vAlign w:val="bottom"/>
            <w:tcBorders>
              <w:bottom w:val="single" w:sz="8" w:color="auto"/>
            </w:tcBorders>
            <w:gridSpan w:val="2"/>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8"/>
        </w:trPr>
        <w:tc>
          <w:tcPr>
            <w:tcW w:w="24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gridSpan w:val="6"/>
          </w:tcPr>
          <w:p>
            <w:pPr>
              <w:jc w:val="center"/>
              <w:spacing w:after="0"/>
              <w:rPr>
                <w:sz w:val="20"/>
                <w:szCs w:val="20"/>
                <w:color w:val="auto"/>
              </w:rPr>
            </w:pPr>
            <w:r>
              <w:rPr>
                <w:rFonts w:ascii="Arial" w:cs="Arial" w:eastAsia="Arial" w:hAnsi="Arial"/>
                <w:sz w:val="14"/>
                <w:szCs w:val="14"/>
                <w:b w:val="1"/>
                <w:bCs w:val="1"/>
                <w:color w:val="auto"/>
                <w:w w:val="91"/>
              </w:rPr>
              <w:t>December 31, 2021</w:t>
            </w:r>
          </w:p>
        </w:tc>
        <w:tc>
          <w:tcPr>
            <w:tcW w:w="7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248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60" w:type="dxa"/>
            <w:vAlign w:val="bottom"/>
          </w:tcPr>
          <w:p>
            <w:pPr>
              <w:jc w:val="center"/>
              <w:ind w:right="21"/>
              <w:spacing w:after="0" w:line="119" w:lineRule="exact"/>
              <w:rPr>
                <w:sz w:val="20"/>
                <w:szCs w:val="20"/>
                <w:color w:val="auto"/>
              </w:rPr>
            </w:pPr>
            <w:r>
              <w:rPr>
                <w:rFonts w:ascii="Arial" w:cs="Arial" w:eastAsia="Arial" w:hAnsi="Arial"/>
                <w:sz w:val="13"/>
                <w:szCs w:val="13"/>
                <w:b w:val="1"/>
                <w:bCs w:val="1"/>
                <w:color w:val="auto"/>
              </w:rPr>
              <w:t>Amortized</w:t>
            </w:r>
          </w:p>
        </w:tc>
        <w:tc>
          <w:tcPr>
            <w:tcW w:w="0" w:type="dxa"/>
            <w:vAlign w:val="bottom"/>
          </w:tcPr>
          <w:p>
            <w:pPr>
              <w:spacing w:after="0"/>
              <w:rPr>
                <w:sz w:val="1"/>
                <w:szCs w:val="1"/>
                <w:color w:val="auto"/>
              </w:rPr>
            </w:pPr>
          </w:p>
        </w:tc>
      </w:tr>
      <w:tr>
        <w:trPr>
          <w:trHeight w:val="148"/>
        </w:trPr>
        <w:tc>
          <w:tcPr>
            <w:tcW w:w="24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9"/>
              </w:rPr>
              <w:t>90 days or</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jc w:val="center"/>
              <w:ind w:right="1"/>
              <w:spacing w:after="0" w:line="149" w:lineRule="exact"/>
              <w:rPr>
                <w:sz w:val="20"/>
                <w:szCs w:val="20"/>
                <w:color w:val="auto"/>
              </w:rPr>
            </w:pPr>
            <w:r>
              <w:rPr>
                <w:rFonts w:ascii="Arial" w:cs="Arial" w:eastAsia="Arial" w:hAnsi="Arial"/>
                <w:sz w:val="14"/>
                <w:szCs w:val="14"/>
                <w:b w:val="1"/>
                <w:bCs w:val="1"/>
                <w:color w:val="auto"/>
                <w:w w:val="83"/>
              </w:rPr>
              <w:t>cost</w:t>
            </w:r>
          </w:p>
        </w:tc>
        <w:tc>
          <w:tcPr>
            <w:tcW w:w="0" w:type="dxa"/>
            <w:vAlign w:val="bottom"/>
          </w:tcPr>
          <w:p>
            <w:pPr>
              <w:spacing w:after="0"/>
              <w:rPr>
                <w:sz w:val="1"/>
                <w:szCs w:val="1"/>
                <w:color w:val="auto"/>
              </w:rPr>
            </w:pPr>
          </w:p>
        </w:tc>
      </w:tr>
      <w:tr>
        <w:trPr>
          <w:trHeight w:val="148"/>
        </w:trPr>
        <w:tc>
          <w:tcPr>
            <w:tcW w:w="24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89"/>
              </w:rPr>
              <w:t>30-59 days</w:t>
            </w:r>
          </w:p>
        </w:tc>
        <w:tc>
          <w:tcPr>
            <w:tcW w:w="80" w:type="dxa"/>
            <w:vAlign w:val="bottom"/>
          </w:tcPr>
          <w:p>
            <w:pPr>
              <w:spacing w:after="0"/>
              <w:rPr>
                <w:sz w:val="12"/>
                <w:szCs w:val="12"/>
                <w:color w:val="auto"/>
              </w:rPr>
            </w:pPr>
          </w:p>
        </w:tc>
        <w:tc>
          <w:tcPr>
            <w:tcW w:w="76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9"/>
              </w:rPr>
              <w:t>60-89 days</w:t>
            </w: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vMerge w:val="continue"/>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4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Total past</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jc w:val="center"/>
              <w:ind w:right="21"/>
              <w:spacing w:after="0" w:line="149" w:lineRule="exact"/>
              <w:rPr>
                <w:sz w:val="20"/>
                <w:szCs w:val="20"/>
                <w:color w:val="auto"/>
              </w:rPr>
            </w:pPr>
            <w:r>
              <w:rPr>
                <w:rFonts w:ascii="Arial" w:cs="Arial" w:eastAsia="Arial" w:hAnsi="Arial"/>
                <w:sz w:val="14"/>
                <w:szCs w:val="14"/>
                <w:b w:val="1"/>
                <w:bCs w:val="1"/>
                <w:color w:val="auto"/>
                <w:w w:val="89"/>
              </w:rPr>
              <w:t>90 days or</w:t>
            </w:r>
          </w:p>
        </w:tc>
        <w:tc>
          <w:tcPr>
            <w:tcW w:w="0" w:type="dxa"/>
            <w:vAlign w:val="bottom"/>
          </w:tcPr>
          <w:p>
            <w:pPr>
              <w:spacing w:after="0"/>
              <w:rPr>
                <w:sz w:val="1"/>
                <w:szCs w:val="1"/>
                <w:color w:val="auto"/>
              </w:rPr>
            </w:pPr>
          </w:p>
        </w:tc>
      </w:tr>
      <w:tr>
        <w:trPr>
          <w:trHeight w:val="148"/>
        </w:trPr>
        <w:tc>
          <w:tcPr>
            <w:tcW w:w="24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vMerge w:val="continue"/>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more past</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4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0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Current</w:t>
            </w:r>
          </w:p>
        </w:tc>
        <w:tc>
          <w:tcPr>
            <w:tcW w:w="120" w:type="dxa"/>
            <w:vAlign w:val="bottom"/>
          </w:tcPr>
          <w:p>
            <w:pPr>
              <w:spacing w:after="0"/>
              <w:rPr>
                <w:sz w:val="12"/>
                <w:szCs w:val="12"/>
                <w:color w:val="auto"/>
              </w:rPr>
            </w:pPr>
          </w:p>
        </w:tc>
        <w:tc>
          <w:tcPr>
            <w:tcW w:w="92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Total (1)</w:t>
            </w:r>
          </w:p>
        </w:tc>
        <w:tc>
          <w:tcPr>
            <w:tcW w:w="100" w:type="dxa"/>
            <w:vAlign w:val="bottom"/>
          </w:tcPr>
          <w:p>
            <w:pPr>
              <w:spacing w:after="0"/>
              <w:rPr>
                <w:sz w:val="12"/>
                <w:szCs w:val="12"/>
                <w:color w:val="auto"/>
              </w:rPr>
            </w:pPr>
          </w:p>
        </w:tc>
        <w:tc>
          <w:tcPr>
            <w:tcW w:w="760" w:type="dxa"/>
            <w:vAlign w:val="bottom"/>
          </w:tcPr>
          <w:p>
            <w:pPr>
              <w:jc w:val="center"/>
              <w:ind w:right="21"/>
              <w:spacing w:after="0" w:line="149" w:lineRule="exact"/>
              <w:rPr>
                <w:sz w:val="20"/>
                <w:szCs w:val="20"/>
                <w:color w:val="auto"/>
              </w:rPr>
            </w:pPr>
            <w:r>
              <w:rPr>
                <w:rFonts w:ascii="Arial" w:cs="Arial" w:eastAsia="Arial" w:hAnsi="Arial"/>
                <w:sz w:val="14"/>
                <w:szCs w:val="14"/>
                <w:b w:val="1"/>
                <w:bCs w:val="1"/>
                <w:color w:val="auto"/>
                <w:w w:val="91"/>
              </w:rPr>
              <w:t>more and</w:t>
            </w:r>
          </w:p>
        </w:tc>
        <w:tc>
          <w:tcPr>
            <w:tcW w:w="0" w:type="dxa"/>
            <w:vAlign w:val="bottom"/>
          </w:tcPr>
          <w:p>
            <w:pPr>
              <w:spacing w:after="0"/>
              <w:rPr>
                <w:sz w:val="1"/>
                <w:szCs w:val="1"/>
                <w:color w:val="auto"/>
              </w:rPr>
            </w:pPr>
          </w:p>
        </w:tc>
      </w:tr>
      <w:tr>
        <w:trPr>
          <w:trHeight w:val="171"/>
        </w:trPr>
        <w:tc>
          <w:tcPr>
            <w:tcW w:w="24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0"/>
              </w:rPr>
              <w:t>past due</w:t>
            </w:r>
          </w:p>
        </w:tc>
        <w:tc>
          <w:tcPr>
            <w:tcW w:w="80" w:type="dxa"/>
            <w:vAlign w:val="bottom"/>
          </w:tcPr>
          <w:p>
            <w:pPr>
              <w:spacing w:after="0"/>
              <w:rPr>
                <w:sz w:val="14"/>
                <w:szCs w:val="14"/>
                <w:color w:val="auto"/>
              </w:rPr>
            </w:pPr>
          </w:p>
        </w:tc>
        <w:tc>
          <w:tcPr>
            <w:tcW w:w="760" w:type="dxa"/>
            <w:vAlign w:val="bottom"/>
          </w:tcPr>
          <w:p>
            <w:pPr>
              <w:jc w:val="center"/>
              <w:spacing w:after="0"/>
              <w:rPr>
                <w:sz w:val="20"/>
                <w:szCs w:val="20"/>
                <w:color w:val="auto"/>
              </w:rPr>
            </w:pPr>
            <w:r>
              <w:rPr>
                <w:rFonts w:ascii="Arial" w:cs="Arial" w:eastAsia="Arial" w:hAnsi="Arial"/>
                <w:sz w:val="14"/>
                <w:szCs w:val="14"/>
                <w:b w:val="1"/>
                <w:bCs w:val="1"/>
                <w:color w:val="auto"/>
                <w:w w:val="90"/>
              </w:rPr>
              <w:t>past due</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tcPr>
          <w:p>
            <w:pPr>
              <w:jc w:val="center"/>
              <w:spacing w:after="0"/>
              <w:rPr>
                <w:sz w:val="20"/>
                <w:szCs w:val="20"/>
                <w:color w:val="auto"/>
              </w:rPr>
            </w:pPr>
            <w:r>
              <w:rPr>
                <w:rFonts w:ascii="Arial" w:cs="Arial" w:eastAsia="Arial" w:hAnsi="Arial"/>
                <w:sz w:val="14"/>
                <w:szCs w:val="14"/>
                <w:b w:val="1"/>
                <w:bCs w:val="1"/>
                <w:color w:val="auto"/>
                <w:w w:val="88"/>
              </w:rPr>
              <w:t>due</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gridSpan w:val="2"/>
          </w:tcPr>
          <w:p>
            <w:pPr>
              <w:ind w:left="200"/>
              <w:spacing w:after="0"/>
              <w:rPr>
                <w:sz w:val="20"/>
                <w:szCs w:val="20"/>
                <w:color w:val="auto"/>
              </w:rPr>
            </w:pPr>
            <w:r>
              <w:rPr>
                <w:rFonts w:ascii="Arial" w:cs="Arial" w:eastAsia="Arial" w:hAnsi="Arial"/>
                <w:sz w:val="14"/>
                <w:szCs w:val="14"/>
                <w:b w:val="1"/>
                <w:bCs w:val="1"/>
                <w:color w:val="auto"/>
              </w:rPr>
              <w:t>due</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760" w:type="dxa"/>
            <w:vAlign w:val="bottom"/>
          </w:tcPr>
          <w:p>
            <w:pPr>
              <w:jc w:val="center"/>
              <w:ind w:right="21"/>
              <w:spacing w:after="0"/>
              <w:rPr>
                <w:sz w:val="20"/>
                <w:szCs w:val="20"/>
                <w:color w:val="auto"/>
              </w:rPr>
            </w:pPr>
            <w:r>
              <w:rPr>
                <w:rFonts w:ascii="Arial" w:cs="Arial" w:eastAsia="Arial" w:hAnsi="Arial"/>
                <w:sz w:val="14"/>
                <w:szCs w:val="14"/>
                <w:b w:val="1"/>
                <w:bCs w:val="1"/>
                <w:color w:val="auto"/>
                <w:w w:val="92"/>
              </w:rPr>
              <w:t>accruing</w:t>
            </w:r>
          </w:p>
        </w:tc>
        <w:tc>
          <w:tcPr>
            <w:tcW w:w="0" w:type="dxa"/>
            <w:vAlign w:val="bottom"/>
          </w:tcPr>
          <w:p>
            <w:pPr>
              <w:spacing w:after="0"/>
              <w:rPr>
                <w:sz w:val="1"/>
                <w:szCs w:val="1"/>
                <w:color w:val="auto"/>
              </w:rPr>
            </w:pPr>
          </w:p>
        </w:tc>
      </w:tr>
      <w:tr>
        <w:trPr>
          <w:trHeight w:val="128"/>
        </w:trPr>
        <w:tc>
          <w:tcPr>
            <w:tcW w:w="24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740" w:type="dxa"/>
            <w:vAlign w:val="bottom"/>
            <w:tcBorders>
              <w:top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760" w:type="dxa"/>
            <w:vAlign w:val="bottom"/>
            <w:tcBorders>
              <w:top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740" w:type="dxa"/>
            <w:vAlign w:val="bottom"/>
            <w:tcBorders>
              <w:top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740" w:type="dxa"/>
            <w:vAlign w:val="bottom"/>
            <w:tcBorders>
              <w:top w:val="single" w:sz="8" w:color="auto"/>
            </w:tcBorders>
          </w:tcPr>
          <w:p>
            <w:pPr>
              <w:spacing w:after="0" w:line="129" w:lineRule="exact"/>
              <w:rPr>
                <w:sz w:val="20"/>
                <w:szCs w:val="20"/>
                <w:color w:val="auto"/>
              </w:rPr>
            </w:pPr>
            <w:r>
              <w:rPr>
                <w:rFonts w:ascii="Arial" w:cs="Arial" w:eastAsia="Arial" w:hAnsi="Arial"/>
                <w:sz w:val="14"/>
                <w:szCs w:val="14"/>
                <w:i w:val="1"/>
                <w:iCs w:val="1"/>
                <w:color w:val="auto"/>
              </w:rPr>
              <w:t>(in millions)</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720" w:type="dxa"/>
            <w:vAlign w:val="bottom"/>
            <w:tcBorders>
              <w:top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76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760" w:type="dxa"/>
            <w:vAlign w:val="bottom"/>
            <w:tcBorders>
              <w:top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480" w:type="dxa"/>
            <w:vAlign w:val="bottom"/>
            <w:shd w:val="clear" w:color="auto" w:fill="CCEEFF"/>
          </w:tcPr>
          <w:p>
            <w:pPr>
              <w:spacing w:after="0"/>
              <w:rPr>
                <w:sz w:val="20"/>
                <w:szCs w:val="20"/>
                <w:color w:val="auto"/>
              </w:rPr>
            </w:pPr>
            <w:r>
              <w:rPr>
                <w:rFonts w:ascii="Arial" w:cs="Arial" w:eastAsia="Arial" w:hAnsi="Arial"/>
                <w:sz w:val="18"/>
                <w:szCs w:val="18"/>
                <w:color w:val="auto"/>
              </w:rPr>
              <w:t>Commercial mortgage loans</w:t>
            </w:r>
          </w:p>
        </w:tc>
        <w:tc>
          <w:tcPr>
            <w:tcW w:w="5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0.7</w:t>
            </w: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7.1</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w:t>
            </w:r>
          </w:p>
        </w:tc>
        <w:tc>
          <w:tcPr>
            <w:tcW w:w="10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1"/>
              </w:rPr>
              <w:t>16,386.9</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6"/>
              </w:rPr>
              <w:t>16,394.7</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w:t>
            </w:r>
          </w:p>
        </w:tc>
        <w:tc>
          <w:tcPr>
            <w:tcW w:w="0" w:type="dxa"/>
            <w:vAlign w:val="bottom"/>
          </w:tcPr>
          <w:p>
            <w:pPr>
              <w:spacing w:after="0"/>
              <w:rPr>
                <w:sz w:val="1"/>
                <w:szCs w:val="1"/>
                <w:color w:val="auto"/>
              </w:rPr>
            </w:pPr>
          </w:p>
        </w:tc>
      </w:tr>
      <w:tr>
        <w:trPr>
          <w:trHeight w:val="216"/>
        </w:trPr>
        <w:tc>
          <w:tcPr>
            <w:tcW w:w="2480" w:type="dxa"/>
            <w:vAlign w:val="bottom"/>
          </w:tcPr>
          <w:p>
            <w:pPr>
              <w:spacing w:after="0"/>
              <w:rPr>
                <w:sz w:val="20"/>
                <w:szCs w:val="20"/>
                <w:color w:val="auto"/>
              </w:rPr>
            </w:pPr>
            <w:r>
              <w:rPr>
                <w:rFonts w:ascii="Arial" w:cs="Arial" w:eastAsia="Arial" w:hAnsi="Arial"/>
                <w:sz w:val="18"/>
                <w:szCs w:val="18"/>
                <w:color w:val="auto"/>
              </w:rPr>
              <w:t>Direct financing leases</w:t>
            </w: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1.9</w:t>
            </w: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0.7</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2.6</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607.3</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609.9</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0.7</w:t>
            </w:r>
          </w:p>
        </w:tc>
        <w:tc>
          <w:tcPr>
            <w:tcW w:w="0" w:type="dxa"/>
            <w:vAlign w:val="bottom"/>
          </w:tcPr>
          <w:p>
            <w:pPr>
              <w:spacing w:after="0"/>
              <w:rPr>
                <w:sz w:val="1"/>
                <w:szCs w:val="1"/>
                <w:color w:val="auto"/>
              </w:rPr>
            </w:pPr>
          </w:p>
        </w:tc>
      </w:tr>
      <w:tr>
        <w:trPr>
          <w:trHeight w:val="216"/>
        </w:trPr>
        <w:tc>
          <w:tcPr>
            <w:tcW w:w="2480" w:type="dxa"/>
            <w:vAlign w:val="bottom"/>
            <w:shd w:val="clear" w:color="auto" w:fill="CCEEFF"/>
          </w:tcPr>
          <w:p>
            <w:pPr>
              <w:spacing w:after="0"/>
              <w:rPr>
                <w:sz w:val="20"/>
                <w:szCs w:val="20"/>
                <w:color w:val="auto"/>
              </w:rPr>
            </w:pPr>
            <w:r>
              <w:rPr>
                <w:rFonts w:ascii="Arial" w:cs="Arial" w:eastAsia="Arial" w:hAnsi="Arial"/>
                <w:sz w:val="18"/>
                <w:szCs w:val="18"/>
                <w:color w:val="auto"/>
              </w:rPr>
              <w:t>Residential mortgage loans</w:t>
            </w:r>
          </w:p>
        </w:tc>
        <w:tc>
          <w:tcPr>
            <w:tcW w:w="4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59.2</w:t>
            </w:r>
          </w:p>
        </w:tc>
        <w:tc>
          <w:tcPr>
            <w:tcW w:w="18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9.6</w:t>
            </w:r>
          </w:p>
        </w:tc>
        <w:tc>
          <w:tcPr>
            <w:tcW w:w="18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5.2</w:t>
            </w:r>
          </w:p>
        </w:tc>
        <w:tc>
          <w:tcPr>
            <w:tcW w:w="1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74.0</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3,245.9</w:t>
            </w:r>
          </w:p>
        </w:tc>
        <w:tc>
          <w:tcPr>
            <w:tcW w:w="18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3,319.9</w:t>
            </w:r>
          </w:p>
        </w:tc>
        <w:tc>
          <w:tcPr>
            <w:tcW w:w="16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w:t>
            </w:r>
          </w:p>
        </w:tc>
        <w:tc>
          <w:tcPr>
            <w:tcW w:w="0" w:type="dxa"/>
            <w:vAlign w:val="bottom"/>
          </w:tcPr>
          <w:p>
            <w:pPr>
              <w:spacing w:after="0"/>
              <w:rPr>
                <w:sz w:val="1"/>
                <w:szCs w:val="1"/>
                <w:color w:val="auto"/>
              </w:rPr>
            </w:pPr>
          </w:p>
        </w:tc>
      </w:tr>
      <w:tr>
        <w:trPr>
          <w:trHeight w:val="210"/>
        </w:trPr>
        <w:tc>
          <w:tcPr>
            <w:tcW w:w="2480" w:type="dxa"/>
            <w:vAlign w:val="bottom"/>
          </w:tcPr>
          <w:p>
            <w:pPr>
              <w:spacing w:after="0"/>
              <w:rPr>
                <w:sz w:val="20"/>
                <w:szCs w:val="20"/>
                <w:color w:val="auto"/>
              </w:rPr>
            </w:pPr>
            <w:r>
              <w:rPr>
                <w:rFonts w:ascii="Arial" w:cs="Arial" w:eastAsia="Arial" w:hAnsi="Arial"/>
                <w:sz w:val="18"/>
                <w:szCs w:val="18"/>
                <w:color w:val="auto"/>
              </w:rPr>
              <w:t>Total</w:t>
            </w:r>
          </w:p>
        </w:tc>
        <w:tc>
          <w:tcPr>
            <w:tcW w:w="440" w:type="dxa"/>
            <w:vAlign w:val="bottom"/>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59.9</w:t>
            </w:r>
          </w:p>
        </w:tc>
        <w:tc>
          <w:tcPr>
            <w:tcW w:w="180" w:type="dxa"/>
            <w:vAlign w:val="bottom"/>
          </w:tcPr>
          <w:p>
            <w:pPr>
              <w:spacing w:after="0"/>
              <w:rPr>
                <w:sz w:val="18"/>
                <w:szCs w:val="18"/>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11.5</w:t>
            </w:r>
          </w:p>
        </w:tc>
        <w:tc>
          <w:tcPr>
            <w:tcW w:w="180" w:type="dxa"/>
            <w:vAlign w:val="bottom"/>
          </w:tcPr>
          <w:p>
            <w:pPr>
              <w:spacing w:after="0"/>
              <w:rPr>
                <w:sz w:val="18"/>
                <w:szCs w:val="18"/>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13.0</w:t>
            </w:r>
          </w:p>
        </w:tc>
        <w:tc>
          <w:tcPr>
            <w:tcW w:w="180" w:type="dxa"/>
            <w:vAlign w:val="bottom"/>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84.4</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1"/>
              </w:rPr>
              <w:t>20,240.1</w:t>
            </w:r>
          </w:p>
        </w:tc>
        <w:tc>
          <w:tcPr>
            <w:tcW w:w="180" w:type="dxa"/>
            <w:vAlign w:val="bottom"/>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6"/>
              </w:rPr>
              <w:t>20,324.5</w:t>
            </w:r>
          </w:p>
        </w:tc>
        <w:tc>
          <w:tcPr>
            <w:tcW w:w="160" w:type="dxa"/>
            <w:vAlign w:val="bottom"/>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5.3</w:t>
            </w:r>
          </w:p>
        </w:tc>
        <w:tc>
          <w:tcPr>
            <w:tcW w:w="0" w:type="dxa"/>
            <w:vAlign w:val="bottom"/>
          </w:tcPr>
          <w:p>
            <w:pPr>
              <w:spacing w:after="0"/>
              <w:rPr>
                <w:sz w:val="1"/>
                <w:szCs w:val="1"/>
                <w:color w:val="auto"/>
              </w:rPr>
            </w:pPr>
          </w:p>
        </w:tc>
      </w:tr>
      <w:tr>
        <w:trPr>
          <w:trHeight w:val="20"/>
        </w:trPr>
        <w:tc>
          <w:tcPr>
            <w:tcW w:w="24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2480" w:type="dxa"/>
            <w:vAlign w:val="bottom"/>
            <w:tcBorders>
              <w:bottom w:val="single" w:sz="8" w:color="auto"/>
            </w:tcBorders>
          </w:tcPr>
          <w:p>
            <w:pPr>
              <w:spacing w:after="0"/>
              <w:rPr>
                <w:sz w:val="7"/>
                <w:szCs w:val="7"/>
                <w:color w:val="auto"/>
              </w:rPr>
            </w:pPr>
          </w:p>
        </w:tc>
        <w:tc>
          <w:tcPr>
            <w:tcW w:w="440" w:type="dxa"/>
            <w:vAlign w:val="bottom"/>
          </w:tcPr>
          <w:p>
            <w:pPr>
              <w:spacing w:after="0"/>
              <w:rPr>
                <w:sz w:val="7"/>
                <w:szCs w:val="7"/>
                <w:color w:val="auto"/>
              </w:rPr>
            </w:pPr>
          </w:p>
        </w:tc>
        <w:tc>
          <w:tcPr>
            <w:tcW w:w="100" w:type="dxa"/>
            <w:vAlign w:val="bottom"/>
          </w:tcPr>
          <w:p>
            <w:pPr>
              <w:spacing w:after="0"/>
              <w:rPr>
                <w:sz w:val="7"/>
                <w:szCs w:val="7"/>
                <w:color w:val="auto"/>
              </w:rPr>
            </w:pPr>
          </w:p>
        </w:tc>
        <w:tc>
          <w:tcPr>
            <w:tcW w:w="740" w:type="dxa"/>
            <w:vAlign w:val="bottom"/>
          </w:tcPr>
          <w:p>
            <w:pPr>
              <w:spacing w:after="0"/>
              <w:rPr>
                <w:sz w:val="7"/>
                <w:szCs w:val="7"/>
                <w:color w:val="auto"/>
              </w:rPr>
            </w:pPr>
          </w:p>
        </w:tc>
        <w:tc>
          <w:tcPr>
            <w:tcW w:w="180" w:type="dxa"/>
            <w:vAlign w:val="bottom"/>
          </w:tcPr>
          <w:p>
            <w:pPr>
              <w:spacing w:after="0"/>
              <w:rPr>
                <w:sz w:val="7"/>
                <w:szCs w:val="7"/>
                <w:color w:val="auto"/>
              </w:rPr>
            </w:pPr>
          </w:p>
        </w:tc>
        <w:tc>
          <w:tcPr>
            <w:tcW w:w="80" w:type="dxa"/>
            <w:vAlign w:val="bottom"/>
          </w:tcPr>
          <w:p>
            <w:pPr>
              <w:spacing w:after="0"/>
              <w:rPr>
                <w:sz w:val="7"/>
                <w:szCs w:val="7"/>
                <w:color w:val="auto"/>
              </w:rPr>
            </w:pPr>
          </w:p>
        </w:tc>
        <w:tc>
          <w:tcPr>
            <w:tcW w:w="760" w:type="dxa"/>
            <w:vAlign w:val="bottom"/>
          </w:tcPr>
          <w:p>
            <w:pPr>
              <w:spacing w:after="0"/>
              <w:rPr>
                <w:sz w:val="7"/>
                <w:szCs w:val="7"/>
                <w:color w:val="auto"/>
              </w:rPr>
            </w:pPr>
          </w:p>
        </w:tc>
        <w:tc>
          <w:tcPr>
            <w:tcW w:w="180" w:type="dxa"/>
            <w:vAlign w:val="bottom"/>
          </w:tcPr>
          <w:p>
            <w:pPr>
              <w:spacing w:after="0"/>
              <w:rPr>
                <w:sz w:val="7"/>
                <w:szCs w:val="7"/>
                <w:color w:val="auto"/>
              </w:rPr>
            </w:pPr>
          </w:p>
        </w:tc>
        <w:tc>
          <w:tcPr>
            <w:tcW w:w="80" w:type="dxa"/>
            <w:vAlign w:val="bottom"/>
          </w:tcPr>
          <w:p>
            <w:pPr>
              <w:spacing w:after="0"/>
              <w:rPr>
                <w:sz w:val="7"/>
                <w:szCs w:val="7"/>
                <w:color w:val="auto"/>
              </w:rPr>
            </w:pPr>
          </w:p>
        </w:tc>
        <w:tc>
          <w:tcPr>
            <w:tcW w:w="740" w:type="dxa"/>
            <w:vAlign w:val="bottom"/>
          </w:tcPr>
          <w:p>
            <w:pPr>
              <w:spacing w:after="0"/>
              <w:rPr>
                <w:sz w:val="7"/>
                <w:szCs w:val="7"/>
                <w:color w:val="auto"/>
              </w:rPr>
            </w:pPr>
          </w:p>
        </w:tc>
        <w:tc>
          <w:tcPr>
            <w:tcW w:w="180" w:type="dxa"/>
            <w:vAlign w:val="bottom"/>
          </w:tcPr>
          <w:p>
            <w:pPr>
              <w:spacing w:after="0"/>
              <w:rPr>
                <w:sz w:val="7"/>
                <w:szCs w:val="7"/>
                <w:color w:val="auto"/>
              </w:rPr>
            </w:pPr>
          </w:p>
        </w:tc>
        <w:tc>
          <w:tcPr>
            <w:tcW w:w="100" w:type="dxa"/>
            <w:vAlign w:val="bottom"/>
          </w:tcPr>
          <w:p>
            <w:pPr>
              <w:spacing w:after="0"/>
              <w:rPr>
                <w:sz w:val="7"/>
                <w:szCs w:val="7"/>
                <w:color w:val="auto"/>
              </w:rPr>
            </w:pPr>
          </w:p>
        </w:tc>
        <w:tc>
          <w:tcPr>
            <w:tcW w:w="740" w:type="dxa"/>
            <w:vAlign w:val="bottom"/>
          </w:tcPr>
          <w:p>
            <w:pPr>
              <w:spacing w:after="0"/>
              <w:rPr>
                <w:sz w:val="7"/>
                <w:szCs w:val="7"/>
                <w:color w:val="auto"/>
              </w:rPr>
            </w:pPr>
          </w:p>
        </w:tc>
        <w:tc>
          <w:tcPr>
            <w:tcW w:w="100" w:type="dxa"/>
            <w:vAlign w:val="bottom"/>
          </w:tcPr>
          <w:p>
            <w:pPr>
              <w:spacing w:after="0"/>
              <w:rPr>
                <w:sz w:val="7"/>
                <w:szCs w:val="7"/>
                <w:color w:val="auto"/>
              </w:rPr>
            </w:pPr>
          </w:p>
        </w:tc>
        <w:tc>
          <w:tcPr>
            <w:tcW w:w="80" w:type="dxa"/>
            <w:vAlign w:val="bottom"/>
          </w:tcPr>
          <w:p>
            <w:pPr>
              <w:spacing w:after="0"/>
              <w:rPr>
                <w:sz w:val="7"/>
                <w:szCs w:val="7"/>
                <w:color w:val="auto"/>
              </w:rPr>
            </w:pPr>
          </w:p>
        </w:tc>
        <w:tc>
          <w:tcPr>
            <w:tcW w:w="140" w:type="dxa"/>
            <w:vAlign w:val="bottom"/>
          </w:tcPr>
          <w:p>
            <w:pPr>
              <w:spacing w:after="0"/>
              <w:rPr>
                <w:sz w:val="7"/>
                <w:szCs w:val="7"/>
                <w:color w:val="auto"/>
              </w:rPr>
            </w:pPr>
          </w:p>
        </w:tc>
        <w:tc>
          <w:tcPr>
            <w:tcW w:w="720" w:type="dxa"/>
            <w:vAlign w:val="bottom"/>
          </w:tcPr>
          <w:p>
            <w:pPr>
              <w:spacing w:after="0"/>
              <w:rPr>
                <w:sz w:val="7"/>
                <w:szCs w:val="7"/>
                <w:color w:val="auto"/>
              </w:rPr>
            </w:pPr>
          </w:p>
        </w:tc>
        <w:tc>
          <w:tcPr>
            <w:tcW w:w="180" w:type="dxa"/>
            <w:vAlign w:val="bottom"/>
          </w:tcPr>
          <w:p>
            <w:pPr>
              <w:spacing w:after="0"/>
              <w:rPr>
                <w:sz w:val="7"/>
                <w:szCs w:val="7"/>
                <w:color w:val="auto"/>
              </w:rPr>
            </w:pPr>
          </w:p>
        </w:tc>
        <w:tc>
          <w:tcPr>
            <w:tcW w:w="120" w:type="dxa"/>
            <w:vAlign w:val="bottom"/>
          </w:tcPr>
          <w:p>
            <w:pPr>
              <w:spacing w:after="0"/>
              <w:rPr>
                <w:sz w:val="7"/>
                <w:szCs w:val="7"/>
                <w:color w:val="auto"/>
              </w:rPr>
            </w:pPr>
          </w:p>
        </w:tc>
        <w:tc>
          <w:tcPr>
            <w:tcW w:w="76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0" w:type="dxa"/>
            <w:vAlign w:val="bottom"/>
          </w:tcPr>
          <w:p>
            <w:pPr>
              <w:spacing w:after="0"/>
              <w:rPr>
                <w:sz w:val="7"/>
                <w:szCs w:val="7"/>
                <w:color w:val="auto"/>
              </w:rPr>
            </w:pPr>
          </w:p>
        </w:tc>
        <w:tc>
          <w:tcPr>
            <w:tcW w:w="7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80" w:lineRule="exact"/>
        <w:rPr>
          <w:sz w:val="20"/>
          <w:szCs w:val="20"/>
          <w:color w:val="auto"/>
        </w:rPr>
      </w:pPr>
    </w:p>
    <w:p>
      <w:pPr>
        <w:spacing w:after="0"/>
        <w:rPr>
          <w:sz w:val="20"/>
          <w:szCs w:val="20"/>
          <w:color w:val="auto"/>
        </w:rPr>
      </w:pPr>
      <w:r>
        <w:rPr>
          <w:rFonts w:ascii="Arial" w:cs="Arial" w:eastAsia="Arial" w:hAnsi="Arial"/>
          <w:sz w:val="16"/>
          <w:szCs w:val="16"/>
          <w:color w:val="auto"/>
        </w:rPr>
        <w:t>(1) As of both June 30, 2022 and December 31, 2021, no reinsurance recoverables or deposit receivables were considered past due.</w:t>
      </w:r>
    </w:p>
    <w:p>
      <w:pPr>
        <w:spacing w:after="0" w:line="2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Financing Receivables Valuation Allowance</w:t>
      </w:r>
    </w:p>
    <w:p>
      <w:pPr>
        <w:spacing w:after="0" w:line="229" w:lineRule="exact"/>
        <w:rPr>
          <w:sz w:val="20"/>
          <w:szCs w:val="20"/>
          <w:color w:val="auto"/>
        </w:rPr>
      </w:pPr>
    </w:p>
    <w:p>
      <w:pPr>
        <w:ind w:right="20" w:firstLine="648"/>
        <w:spacing w:after="0" w:line="291" w:lineRule="auto"/>
        <w:rPr>
          <w:sz w:val="20"/>
          <w:szCs w:val="20"/>
          <w:color w:val="auto"/>
        </w:rPr>
      </w:pPr>
      <w:r>
        <w:rPr>
          <w:rFonts w:ascii="Arial" w:cs="Arial" w:eastAsia="Arial" w:hAnsi="Arial"/>
          <w:sz w:val="16"/>
          <w:szCs w:val="16"/>
          <w:color w:val="auto"/>
        </w:rPr>
        <w:t>We establish a valuation allowance to provide for the risk of credit losses inherent in our financing receivables. The valuation allowance is maintained at a level believed adequate by management to absorb estimated expected credit losses. The valuation allowance is based on amortized cost excluding accrued interest receivable and includes reserves for pools of financing receivables with similar risk characteristics. We do not measure a credit loss allowance on accrued interest receivable because we write off the uncollectible accrued interest receivable balance to net investment income in a timely manner, generally within 90 days domestically or, in the Chilean market, based on the nature of the loans and collection practices in that market. During 2022 and 2021, we did not write off any commercial mortgage loan accrued interest receivable or residential mortgage loan accrued interest receivable.</w:t>
      </w:r>
    </w:p>
    <w:p>
      <w:pPr>
        <w:spacing w:after="0" w:line="166" w:lineRule="exact"/>
        <w:rPr>
          <w:sz w:val="20"/>
          <w:szCs w:val="20"/>
          <w:color w:val="auto"/>
        </w:rPr>
      </w:pPr>
    </w:p>
    <w:p>
      <w:pPr>
        <w:ind w:right="20" w:firstLine="648"/>
        <w:spacing w:after="0" w:line="254" w:lineRule="auto"/>
        <w:rPr>
          <w:sz w:val="20"/>
          <w:szCs w:val="20"/>
          <w:color w:val="auto"/>
        </w:rPr>
      </w:pPr>
      <w:r>
        <w:rPr>
          <w:rFonts w:ascii="Arial" w:cs="Arial" w:eastAsia="Arial" w:hAnsi="Arial"/>
          <w:sz w:val="18"/>
          <w:szCs w:val="18"/>
          <w:color w:val="auto"/>
        </w:rPr>
        <w:t>For commercial and residential mortgage loans and direct financing leases, management’s periodic evaluation and assessment of the valuation allowance adequacy is based on known and inherent risks in the portfolio, adverse situations that may affect a borrower’s ability to repay, the estimated value of the underlying collateral, composition of the portfolio, portfolio delinquency information, underwriting standards, peer group information, current and forecasted economic conditions, loss experience and other relevant factors. For reinsurance recoverables, management’s periodic evaluation and assessment of the valuation allowance adequacy is based on known and inherent risks, adverse situations that may affect a reinsurer’s ability to repay, current and forecasted economic conditions, industry loss experience and other relevant factors.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603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31" w:name="page32"/>
    <w:bookmarkEnd w:id="31"/>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firstLine="648"/>
        <w:spacing w:after="0" w:line="289" w:lineRule="auto"/>
        <w:rPr>
          <w:sz w:val="20"/>
          <w:szCs w:val="20"/>
          <w:color w:val="auto"/>
        </w:rPr>
      </w:pPr>
      <w:r>
        <w:rPr>
          <w:rFonts w:ascii="Arial" w:cs="Arial" w:eastAsia="Arial" w:hAnsi="Arial"/>
          <w:sz w:val="16"/>
          <w:szCs w:val="16"/>
          <w:color w:val="auto"/>
        </w:rPr>
        <w:t>Our commercial mortgage loans and direct financing leases are pooled by risk rating level with an estimated loss ratio applied against each risk rating level. The loss ratio is generally based upon historical loss experience for each risk rating level as adjusted for certain current and forecasted environmental factors management believes to be relevant. Environmental factors are forecasted for two years or less with immediate reversion to historical experience. The allowance for direct financing leases is also adjusted for the residual value of the leased assets. A commercial mortgage loan or direct financing lease is evaluated individually if it does not continue to share similar risk characteristics of a pool. We analyze the need for an individual evaluation for any domestic commercial mortgage loan that is delinquent for 60 days or more, in process of foreclosure, restructured, on the internal “watch list” or that currently is evaluated individually. We analyze the need for an individual evaluation for any Chilean commercial mortgage loan or direct financing lease that is considered past due based on collection practices in the Chilean market and the nature of the loan or lease.</w:t>
      </w:r>
    </w:p>
    <w:p>
      <w:pPr>
        <w:spacing w:after="0" w:line="166" w:lineRule="exact"/>
        <w:rPr>
          <w:sz w:val="20"/>
          <w:szCs w:val="20"/>
          <w:color w:val="auto"/>
        </w:rPr>
      </w:pPr>
    </w:p>
    <w:p>
      <w:pPr>
        <w:ind w:right="60" w:firstLine="648"/>
        <w:spacing w:after="0" w:line="291" w:lineRule="auto"/>
        <w:rPr>
          <w:sz w:val="20"/>
          <w:szCs w:val="20"/>
          <w:color w:val="auto"/>
        </w:rPr>
      </w:pPr>
      <w:r>
        <w:rPr>
          <w:rFonts w:ascii="Arial" w:cs="Arial" w:eastAsia="Arial" w:hAnsi="Arial"/>
          <w:sz w:val="16"/>
          <w:szCs w:val="16"/>
          <w:color w:val="auto"/>
        </w:rPr>
        <w:t>We estimate expected credit losses for certain commercial mortgage loan or direct financing lease commitments where we have a contractual obligation to extend credit. The expected credit losses are estimated based on the commercial mortgage loan or direct financing lease valuation allowance process described previously, adjusted for probability of funding. The estimated expected credit losses for commercial mortgage loan and direct financing lease commitments are reported in other liabilities on the consolidated statements of financial position. The change in the credit loss liability for commitments is included in net realized capital gains (losses) on the consolidated statements of operations. Once funded, expected credit losses for commercial mortgage loans or direct financing leases are included within the commercial mortgage loan or direct financing lease valuation allowance described previously.</w:t>
      </w:r>
    </w:p>
    <w:p>
      <w:pPr>
        <w:spacing w:after="0" w:line="166" w:lineRule="exact"/>
        <w:rPr>
          <w:sz w:val="20"/>
          <w:szCs w:val="20"/>
          <w:color w:val="auto"/>
        </w:rPr>
      </w:pPr>
    </w:p>
    <w:p>
      <w:pPr>
        <w:ind w:right="100" w:firstLine="648"/>
        <w:spacing w:after="0" w:line="291" w:lineRule="auto"/>
        <w:rPr>
          <w:sz w:val="20"/>
          <w:szCs w:val="20"/>
          <w:color w:val="auto"/>
        </w:rPr>
      </w:pPr>
      <w:r>
        <w:rPr>
          <w:rFonts w:ascii="Arial" w:cs="Arial" w:eastAsia="Arial" w:hAnsi="Arial"/>
          <w:sz w:val="16"/>
          <w:szCs w:val="16"/>
          <w:color w:val="auto"/>
        </w:rPr>
        <w:t>We evaluate residential mortgage loans based on aggregated risk factors and historical loss experience by pool type. We adjust these quantitative factors for qualitative factors of present and forecasted conditions. Qualitative factors include items such as economic and business conditions, changes in the portfolio, value of underlying collateral and concentrations. A residential mortgage loan is evaluated individually if it does not continue to share similar risk characteristics of a pool. We analyze the need for an individual evaluation for any domestic residential mortgage loan that is delinquent for 60 days or more, in process of foreclosure, restructured, on the internal “watch list” or that currently is evaluated individually. We analyze the need for an individual evaluation for any Chilean residential mortgage loan that is considered past due based on collection practices in the Chilean market and the nature of the loan.</w:t>
      </w:r>
    </w:p>
    <w:p>
      <w:pPr>
        <w:spacing w:after="0" w:line="166" w:lineRule="exact"/>
        <w:rPr>
          <w:sz w:val="20"/>
          <w:szCs w:val="20"/>
          <w:color w:val="auto"/>
        </w:rPr>
      </w:pPr>
    </w:p>
    <w:p>
      <w:pPr>
        <w:ind w:right="40" w:firstLine="648"/>
        <w:spacing w:after="0" w:line="287" w:lineRule="auto"/>
        <w:rPr>
          <w:sz w:val="20"/>
          <w:szCs w:val="20"/>
          <w:color w:val="auto"/>
        </w:rPr>
      </w:pPr>
      <w:r>
        <w:rPr>
          <w:rFonts w:ascii="Arial" w:cs="Arial" w:eastAsia="Arial" w:hAnsi="Arial"/>
          <w:sz w:val="16"/>
          <w:szCs w:val="16"/>
          <w:color w:val="auto"/>
        </w:rPr>
        <w:t>As discussed previously, commercial and residential mortgage loans and direct financing leases are evaluated individually if the asset does not continue to share similar risk characteristics of a pool. When we determine a commercial or residential mortgage loan is probable of foreclosure, a valuation allowance is established equal to the difference between the carrying amount of the mortgage loan and the estimated value of the collateral reduced by the cost to sell. For certain commercial mortgage loans where repayment is expected to be provided substantially through the operation or sale of the collateral and the borrower is experiencing financial difficulty, we elect to establish a valuation allowance equal to the difference between the carrying amount of the mortgage loan and the estimated value of the real estate collateral, which may be reduced by the cost to sell. Estimated value may also be based on either the present value of the expected future cash flows discounted at the asset’s effective interest rate or the asset’s observable market price. Subsequent changes in the estimated value are reflected in the valuation allowance. Amounts on financing receivables deemed to be uncollectible are charged off and removed from the valuation allowance. The change in the valuation allowance for loans and direct financing leases is included in net realized capital gains (losses) on the consolidated statements of operations.</w:t>
      </w:r>
    </w:p>
    <w:p>
      <w:pPr>
        <w:spacing w:after="0" w:line="172" w:lineRule="exact"/>
        <w:rPr>
          <w:sz w:val="20"/>
          <w:szCs w:val="20"/>
          <w:color w:val="auto"/>
        </w:rPr>
      </w:pPr>
    </w:p>
    <w:p>
      <w:pPr>
        <w:ind w:right="120" w:firstLine="648"/>
        <w:spacing w:after="0" w:line="291" w:lineRule="auto"/>
        <w:rPr>
          <w:sz w:val="20"/>
          <w:szCs w:val="20"/>
          <w:color w:val="auto"/>
        </w:rPr>
      </w:pPr>
      <w:r>
        <w:rPr>
          <w:rFonts w:ascii="Arial" w:cs="Arial" w:eastAsia="Arial" w:hAnsi="Arial"/>
          <w:sz w:val="16"/>
          <w:szCs w:val="16"/>
          <w:color w:val="auto"/>
        </w:rPr>
        <w:t>Our reinsurance recoverables are pooled by reinsurer risk rating with an estimated loss ratio applied against each risk rating level. The loss ratio is generally based upon industry historical loss experience and expected recovery timing as adjusted for certain current and forecasted environmental factors management believes to be relevant. Environmental factors are forecasted for five years or less with immediate reversion to industry historical experience. A reinsurance recoverable is evaluated individually if it does not continue to share similar risk characteristics of a pool. We analyze the need for an individual evaluation for any reinsurance recoverable based on past due payments and changes in reinsurer risk ratings. The change in the valuation allowance for reinsurance recoverables is included in benefits, claims and settlement expenses on the consolidated statements of operations.</w:t>
      </w:r>
    </w:p>
    <w:p>
      <w:pPr>
        <w:spacing w:after="0" w:line="38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540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00"/>
          </w:cols>
          <w:pgMar w:left="980" w:top="665" w:right="1019" w:bottom="1440" w:gutter="0" w:footer="0" w:header="0"/>
        </w:sectPr>
      </w:pPr>
    </w:p>
    <w:bookmarkStart w:id="32" w:name="page33"/>
    <w:bookmarkEnd w:id="32"/>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 rollforward of our valuation allowance was as follows: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480" w:type="dxa"/>
            <w:vAlign w:val="bottom"/>
          </w:tcPr>
          <w:p>
            <w:pPr>
              <w:spacing w:after="0"/>
              <w:rPr>
                <w:sz w:val="14"/>
                <w:szCs w:val="14"/>
                <w:color w:val="auto"/>
              </w:rPr>
            </w:pPr>
          </w:p>
        </w:tc>
        <w:tc>
          <w:tcPr>
            <w:tcW w:w="2140" w:type="dxa"/>
            <w:vAlign w:val="bottom"/>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680" w:type="dxa"/>
            <w:vAlign w:val="bottom"/>
            <w:tcBorders>
              <w:bottom w:val="single" w:sz="8" w:color="auto"/>
            </w:tcBorders>
            <w:gridSpan w:val="10"/>
          </w:tcPr>
          <w:p>
            <w:pPr>
              <w:jc w:val="right"/>
              <w:spacing w:after="0"/>
              <w:rPr>
                <w:sz w:val="20"/>
                <w:szCs w:val="20"/>
                <w:color w:val="auto"/>
              </w:rPr>
            </w:pPr>
            <w:r>
              <w:rPr>
                <w:rFonts w:ascii="Arial" w:cs="Arial" w:eastAsia="Arial" w:hAnsi="Arial"/>
                <w:sz w:val="14"/>
                <w:szCs w:val="14"/>
                <w:b w:val="1"/>
                <w:bCs w:val="1"/>
                <w:color w:val="auto"/>
                <w:w w:val="94"/>
              </w:rPr>
              <w:t>For the three months ended June 30, 2022</w:t>
            </w:r>
          </w:p>
        </w:tc>
        <w:tc>
          <w:tcPr>
            <w:tcW w:w="36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480" w:type="dxa"/>
            <w:vAlign w:val="bottom"/>
          </w:tcPr>
          <w:p>
            <w:pPr>
              <w:spacing w:after="0"/>
              <w:rPr>
                <w:sz w:val="10"/>
                <w:szCs w:val="10"/>
                <w:color w:val="auto"/>
              </w:rPr>
            </w:pPr>
          </w:p>
        </w:tc>
        <w:tc>
          <w:tcPr>
            <w:tcW w:w="2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20" w:type="dxa"/>
            <w:vAlign w:val="bottom"/>
            <w:gridSpan w:val="3"/>
            <w:vMerge w:val="restart"/>
          </w:tcPr>
          <w:p>
            <w:pPr>
              <w:jc w:val="center"/>
              <w:ind w:right="260"/>
              <w:spacing w:after="0"/>
              <w:rPr>
                <w:sz w:val="20"/>
                <w:szCs w:val="20"/>
                <w:color w:val="auto"/>
              </w:rPr>
            </w:pPr>
            <w:r>
              <w:rPr>
                <w:rFonts w:ascii="Arial" w:cs="Arial" w:eastAsia="Arial" w:hAnsi="Arial"/>
                <w:sz w:val="14"/>
                <w:szCs w:val="14"/>
                <w:b w:val="1"/>
                <w:bCs w:val="1"/>
                <w:color w:val="auto"/>
                <w:w w:val="94"/>
              </w:rPr>
              <w:t>Commercial</w:t>
            </w: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60" w:type="dxa"/>
            <w:vAlign w:val="bottom"/>
            <w:gridSpan w:val="3"/>
          </w:tcPr>
          <w:p>
            <w:pPr>
              <w:jc w:val="center"/>
              <w:ind w:right="340"/>
              <w:spacing w:after="0" w:line="119" w:lineRule="exact"/>
              <w:rPr>
                <w:sz w:val="20"/>
                <w:szCs w:val="20"/>
                <w:color w:val="auto"/>
              </w:rPr>
            </w:pPr>
            <w:r>
              <w:rPr>
                <w:rFonts w:ascii="Arial" w:cs="Arial" w:eastAsia="Arial" w:hAnsi="Arial"/>
                <w:sz w:val="13"/>
                <w:szCs w:val="13"/>
                <w:b w:val="1"/>
                <w:bCs w:val="1"/>
                <w:color w:val="auto"/>
              </w:rPr>
              <w:t>Direct</w:t>
            </w: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0" w:type="dxa"/>
            <w:vAlign w:val="bottom"/>
            <w:gridSpan w:val="3"/>
            <w:vMerge w:val="restart"/>
          </w:tcPr>
          <w:p>
            <w:pPr>
              <w:jc w:val="right"/>
              <w:ind w:right="300"/>
              <w:spacing w:after="0"/>
              <w:rPr>
                <w:sz w:val="20"/>
                <w:szCs w:val="20"/>
                <w:color w:val="auto"/>
              </w:rPr>
            </w:pPr>
            <w:r>
              <w:rPr>
                <w:rFonts w:ascii="Arial" w:cs="Arial" w:eastAsia="Arial" w:hAnsi="Arial"/>
                <w:sz w:val="14"/>
                <w:szCs w:val="14"/>
                <w:b w:val="1"/>
                <w:bCs w:val="1"/>
                <w:color w:val="auto"/>
                <w:w w:val="90"/>
              </w:rPr>
              <w:t>Residential</w:t>
            </w:r>
          </w:p>
        </w:tc>
        <w:tc>
          <w:tcPr>
            <w:tcW w:w="40" w:type="dxa"/>
            <w:vAlign w:val="bottom"/>
          </w:tcPr>
          <w:p>
            <w:pPr>
              <w:spacing w:after="0"/>
              <w:rPr>
                <w:sz w:val="10"/>
                <w:szCs w:val="10"/>
                <w:color w:val="auto"/>
              </w:rPr>
            </w:pPr>
          </w:p>
        </w:tc>
        <w:tc>
          <w:tcPr>
            <w:tcW w:w="940" w:type="dxa"/>
            <w:vAlign w:val="bottom"/>
            <w:gridSpan w:val="3"/>
            <w:vMerge w:val="restart"/>
          </w:tcPr>
          <w:p>
            <w:pPr>
              <w:jc w:val="right"/>
              <w:ind w:right="120"/>
              <w:spacing w:after="0"/>
              <w:rPr>
                <w:sz w:val="20"/>
                <w:szCs w:val="20"/>
                <w:color w:val="auto"/>
              </w:rPr>
            </w:pPr>
            <w:r>
              <w:rPr>
                <w:rFonts w:ascii="Arial" w:cs="Arial" w:eastAsia="Arial" w:hAnsi="Arial"/>
                <w:sz w:val="14"/>
                <w:szCs w:val="14"/>
                <w:b w:val="1"/>
                <w:bCs w:val="1"/>
                <w:color w:val="auto"/>
                <w:w w:val="95"/>
              </w:rPr>
              <w:t>Reinsurance</w:t>
            </w:r>
          </w:p>
        </w:tc>
        <w:tc>
          <w:tcPr>
            <w:tcW w:w="1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8"/>
        </w:trPr>
        <w:tc>
          <w:tcPr>
            <w:tcW w:w="2480" w:type="dxa"/>
            <w:vAlign w:val="bottom"/>
          </w:tcPr>
          <w:p>
            <w:pPr>
              <w:spacing w:after="0"/>
              <w:rPr>
                <w:sz w:val="12"/>
                <w:szCs w:val="12"/>
                <w:color w:val="auto"/>
              </w:rPr>
            </w:pPr>
          </w:p>
        </w:tc>
        <w:tc>
          <w:tcPr>
            <w:tcW w:w="2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gridSpan w:val="3"/>
            <w:vMerge w:val="continue"/>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60" w:type="dxa"/>
            <w:vAlign w:val="bottom"/>
            <w:gridSpan w:val="3"/>
          </w:tcPr>
          <w:p>
            <w:pPr>
              <w:jc w:val="center"/>
              <w:ind w:right="340"/>
              <w:spacing w:after="0" w:line="149" w:lineRule="exact"/>
              <w:rPr>
                <w:sz w:val="20"/>
                <w:szCs w:val="20"/>
                <w:color w:val="auto"/>
              </w:rPr>
            </w:pPr>
            <w:r>
              <w:rPr>
                <w:rFonts w:ascii="Arial" w:cs="Arial" w:eastAsia="Arial" w:hAnsi="Arial"/>
                <w:sz w:val="14"/>
                <w:szCs w:val="14"/>
                <w:b w:val="1"/>
                <w:bCs w:val="1"/>
                <w:color w:val="auto"/>
                <w:w w:val="93"/>
              </w:rPr>
              <w:t>financing</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gridSpan w:val="3"/>
            <w:vMerge w:val="continue"/>
          </w:tcPr>
          <w:p>
            <w:pPr>
              <w:spacing w:after="0"/>
              <w:rPr>
                <w:sz w:val="12"/>
                <w:szCs w:val="12"/>
                <w:color w:val="auto"/>
              </w:rPr>
            </w:pPr>
          </w:p>
        </w:tc>
        <w:tc>
          <w:tcPr>
            <w:tcW w:w="40" w:type="dxa"/>
            <w:vAlign w:val="bottom"/>
          </w:tcPr>
          <w:p>
            <w:pPr>
              <w:spacing w:after="0"/>
              <w:rPr>
                <w:sz w:val="12"/>
                <w:szCs w:val="12"/>
                <w:color w:val="auto"/>
              </w:rPr>
            </w:pPr>
          </w:p>
        </w:tc>
        <w:tc>
          <w:tcPr>
            <w:tcW w:w="940" w:type="dxa"/>
            <w:vAlign w:val="bottom"/>
            <w:gridSpan w:val="3"/>
            <w:vMerge w:val="continue"/>
          </w:tcPr>
          <w:p>
            <w:pPr>
              <w:spacing w:after="0"/>
              <w:rPr>
                <w:sz w:val="12"/>
                <w:szCs w:val="12"/>
                <w:color w:val="auto"/>
              </w:rPr>
            </w:pPr>
          </w:p>
        </w:tc>
        <w:tc>
          <w:tcPr>
            <w:tcW w:w="1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vMerge w:val="restart"/>
          </w:tcPr>
          <w:p>
            <w:pPr>
              <w:ind w:left="6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71"/>
        </w:trPr>
        <w:tc>
          <w:tcPr>
            <w:tcW w:w="2480" w:type="dxa"/>
            <w:vAlign w:val="bottom"/>
          </w:tcPr>
          <w:p>
            <w:pPr>
              <w:spacing w:after="0"/>
              <w:rPr>
                <w:sz w:val="14"/>
                <w:szCs w:val="14"/>
                <w:color w:val="auto"/>
              </w:rPr>
            </w:pPr>
          </w:p>
        </w:tc>
        <w:tc>
          <w:tcPr>
            <w:tcW w:w="2140" w:type="dxa"/>
            <w:vAlign w:val="bottom"/>
          </w:tcPr>
          <w:p>
            <w:pPr>
              <w:spacing w:after="0"/>
              <w:rPr>
                <w:sz w:val="14"/>
                <w:szCs w:val="14"/>
                <w:color w:val="auto"/>
              </w:rPr>
            </w:pPr>
          </w:p>
        </w:tc>
        <w:tc>
          <w:tcPr>
            <w:tcW w:w="1120" w:type="dxa"/>
            <w:vAlign w:val="bottom"/>
            <w:gridSpan w:val="5"/>
          </w:tcPr>
          <w:p>
            <w:pPr>
              <w:jc w:val="center"/>
              <w:ind w:right="180"/>
              <w:spacing w:after="0"/>
              <w:rPr>
                <w:sz w:val="20"/>
                <w:szCs w:val="20"/>
                <w:color w:val="auto"/>
              </w:rPr>
            </w:pPr>
            <w:r>
              <w:rPr>
                <w:rFonts w:ascii="Arial" w:cs="Arial" w:eastAsia="Arial" w:hAnsi="Arial"/>
                <w:sz w:val="14"/>
                <w:szCs w:val="14"/>
                <w:b w:val="1"/>
                <w:bCs w:val="1"/>
                <w:color w:val="auto"/>
                <w:w w:val="90"/>
              </w:rPr>
              <w:t>mortgage loans</w:t>
            </w: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60" w:type="dxa"/>
            <w:vAlign w:val="bottom"/>
            <w:gridSpan w:val="3"/>
          </w:tcPr>
          <w:p>
            <w:pPr>
              <w:jc w:val="center"/>
              <w:ind w:right="340"/>
              <w:spacing w:after="0"/>
              <w:rPr>
                <w:sz w:val="20"/>
                <w:szCs w:val="20"/>
                <w:color w:val="auto"/>
              </w:rPr>
            </w:pPr>
            <w:r>
              <w:rPr>
                <w:rFonts w:ascii="Arial" w:cs="Arial" w:eastAsia="Arial" w:hAnsi="Arial"/>
                <w:sz w:val="14"/>
                <w:szCs w:val="14"/>
                <w:b w:val="1"/>
                <w:bCs w:val="1"/>
                <w:color w:val="auto"/>
                <w:w w:val="79"/>
              </w:rPr>
              <w:t>leases</w:t>
            </w:r>
          </w:p>
        </w:tc>
        <w:tc>
          <w:tcPr>
            <w:tcW w:w="1120" w:type="dxa"/>
            <w:vAlign w:val="bottom"/>
            <w:gridSpan w:val="5"/>
          </w:tcPr>
          <w:p>
            <w:pPr>
              <w:spacing w:after="0"/>
              <w:rPr>
                <w:sz w:val="20"/>
                <w:szCs w:val="20"/>
                <w:color w:val="auto"/>
              </w:rPr>
            </w:pPr>
            <w:r>
              <w:rPr>
                <w:rFonts w:ascii="Arial" w:cs="Arial" w:eastAsia="Arial" w:hAnsi="Arial"/>
                <w:sz w:val="14"/>
                <w:szCs w:val="14"/>
                <w:b w:val="1"/>
                <w:bCs w:val="1"/>
                <w:color w:val="auto"/>
              </w:rPr>
              <w:t>mortgage loans</w:t>
            </w:r>
          </w:p>
        </w:tc>
        <w:tc>
          <w:tcPr>
            <w:tcW w:w="40" w:type="dxa"/>
            <w:vAlign w:val="bottom"/>
          </w:tcPr>
          <w:p>
            <w:pPr>
              <w:spacing w:after="0"/>
              <w:rPr>
                <w:sz w:val="14"/>
                <w:szCs w:val="14"/>
                <w:color w:val="auto"/>
              </w:rPr>
            </w:pPr>
          </w:p>
        </w:tc>
        <w:tc>
          <w:tcPr>
            <w:tcW w:w="940" w:type="dxa"/>
            <w:vAlign w:val="bottom"/>
            <w:gridSpan w:val="3"/>
          </w:tcPr>
          <w:p>
            <w:pPr>
              <w:jc w:val="right"/>
              <w:ind w:right="120"/>
              <w:spacing w:after="0"/>
              <w:rPr>
                <w:sz w:val="20"/>
                <w:szCs w:val="20"/>
                <w:color w:val="auto"/>
              </w:rPr>
            </w:pPr>
            <w:r>
              <w:rPr>
                <w:rFonts w:ascii="Arial" w:cs="Arial" w:eastAsia="Arial" w:hAnsi="Arial"/>
                <w:sz w:val="14"/>
                <w:szCs w:val="14"/>
                <w:b w:val="1"/>
                <w:bCs w:val="1"/>
                <w:color w:val="auto"/>
                <w:w w:val="92"/>
              </w:rPr>
              <w:t>recoverables</w:t>
            </w:r>
          </w:p>
        </w:tc>
        <w:tc>
          <w:tcPr>
            <w:tcW w:w="1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28"/>
        </w:trPr>
        <w:tc>
          <w:tcPr>
            <w:tcW w:w="2480" w:type="dxa"/>
            <w:vAlign w:val="bottom"/>
          </w:tcPr>
          <w:p>
            <w:pPr>
              <w:spacing w:after="0"/>
              <w:rPr>
                <w:sz w:val="11"/>
                <w:szCs w:val="11"/>
                <w:color w:val="auto"/>
              </w:rPr>
            </w:pPr>
          </w:p>
        </w:tc>
        <w:tc>
          <w:tcPr>
            <w:tcW w:w="2140" w:type="dxa"/>
            <w:vAlign w:val="bottom"/>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86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78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940" w:type="dxa"/>
            <w:vAlign w:val="bottom"/>
            <w:tcBorders>
              <w:top w:val="single" w:sz="8" w:color="auto"/>
            </w:tcBorders>
            <w:gridSpan w:val="2"/>
          </w:tcPr>
          <w:p>
            <w:pPr>
              <w:jc w:val="right"/>
              <w:ind w:right="54"/>
              <w:spacing w:after="0" w:line="129" w:lineRule="exact"/>
              <w:rPr>
                <w:sz w:val="20"/>
                <w:szCs w:val="20"/>
                <w:color w:val="auto"/>
              </w:rPr>
            </w:pPr>
            <w:r>
              <w:rPr>
                <w:rFonts w:ascii="Arial" w:cs="Arial" w:eastAsia="Arial" w:hAnsi="Arial"/>
                <w:sz w:val="14"/>
                <w:szCs w:val="14"/>
                <w:i w:val="1"/>
                <w:iCs w:val="1"/>
                <w:color w:val="auto"/>
              </w:rPr>
              <w:t>(in millions)</w:t>
            </w: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0" w:type="dxa"/>
            <w:vAlign w:val="bottom"/>
            <w:tcBorders>
              <w:top w:val="single" w:sz="8" w:color="auto"/>
            </w:tcBorders>
          </w:tcPr>
          <w:p>
            <w:pPr>
              <w:spacing w:after="0"/>
              <w:rPr>
                <w:sz w:val="11"/>
                <w:szCs w:val="11"/>
                <w:color w:val="auto"/>
              </w:rPr>
            </w:pPr>
          </w:p>
        </w:tc>
        <w:tc>
          <w:tcPr>
            <w:tcW w:w="560" w:type="dxa"/>
            <w:vAlign w:val="bottom"/>
            <w:tcBorders>
              <w:top w:val="single" w:sz="8" w:color="auto"/>
            </w:tcBorders>
          </w:tcPr>
          <w:p>
            <w:pPr>
              <w:spacing w:after="0"/>
              <w:rPr>
                <w:sz w:val="11"/>
                <w:szCs w:val="11"/>
                <w:color w:val="auto"/>
              </w:rPr>
            </w:pPr>
          </w:p>
        </w:tc>
        <w:tc>
          <w:tcPr>
            <w:tcW w:w="36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620" w:type="dxa"/>
            <w:vAlign w:val="bottom"/>
            <w:tcBorders>
              <w:top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46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Beginning balance</w:t>
            </w:r>
          </w:p>
        </w:tc>
        <w:tc>
          <w:tcPr>
            <w:tcW w:w="1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w w:val="79"/>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66.1</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0.4</w:t>
            </w: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w w:val="99"/>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1.8</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428"/>
              <w:spacing w:after="0"/>
              <w:rPr>
                <w:sz w:val="20"/>
                <w:szCs w:val="20"/>
                <w:color w:val="auto"/>
              </w:rPr>
            </w:pPr>
            <w:r>
              <w:rPr>
                <w:rFonts w:ascii="Arial" w:cs="Arial" w:eastAsia="Arial" w:hAnsi="Arial"/>
                <w:sz w:val="18"/>
                <w:szCs w:val="18"/>
                <w:b w:val="1"/>
                <w:bCs w:val="1"/>
                <w:color w:val="auto"/>
                <w:w w:val="79"/>
              </w:rPr>
              <w:t>$</w:t>
            </w: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2.7</w:t>
            </w:r>
          </w:p>
        </w:tc>
        <w:tc>
          <w:tcPr>
            <w:tcW w:w="20" w:type="dxa"/>
            <w:vAlign w:val="bottom"/>
            <w:shd w:val="clear" w:color="auto" w:fill="CCEEFF"/>
          </w:tcPr>
          <w:p>
            <w:pPr>
              <w:spacing w:after="0"/>
              <w:rPr>
                <w:sz w:val="18"/>
                <w:szCs w:val="18"/>
                <w:color w:val="auto"/>
              </w:rPr>
            </w:pPr>
          </w:p>
        </w:tc>
        <w:tc>
          <w:tcPr>
            <w:tcW w:w="340" w:type="dxa"/>
            <w:vAlign w:val="bottom"/>
            <w:gridSpan w:val="4"/>
            <w:shd w:val="clear" w:color="auto" w:fill="CCEEFF"/>
          </w:tcPr>
          <w:p>
            <w:pPr>
              <w:jc w:val="right"/>
              <w:ind w:right="49"/>
              <w:spacing w:after="0"/>
              <w:rPr>
                <w:sz w:val="20"/>
                <w:szCs w:val="20"/>
                <w:color w:val="auto"/>
              </w:rPr>
            </w:pPr>
            <w:r>
              <w:rPr>
                <w:rFonts w:ascii="Arial" w:cs="Arial" w:eastAsia="Arial" w:hAnsi="Arial"/>
                <w:sz w:val="18"/>
                <w:szCs w:val="18"/>
                <w:b w:val="1"/>
                <w:bCs w:val="1"/>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71.0</w:t>
            </w:r>
          </w:p>
        </w:tc>
        <w:tc>
          <w:tcPr>
            <w:tcW w:w="0" w:type="dxa"/>
            <w:vAlign w:val="bottom"/>
          </w:tcPr>
          <w:p>
            <w:pPr>
              <w:spacing w:after="0"/>
              <w:rPr>
                <w:sz w:val="1"/>
                <w:szCs w:val="1"/>
                <w:color w:val="auto"/>
              </w:rPr>
            </w:pPr>
          </w:p>
        </w:tc>
      </w:tr>
      <w:tr>
        <w:trPr>
          <w:trHeight w:val="216"/>
        </w:trPr>
        <w:tc>
          <w:tcPr>
            <w:tcW w:w="4620" w:type="dxa"/>
            <w:vAlign w:val="bottom"/>
            <w:gridSpan w:val="2"/>
          </w:tcPr>
          <w:p>
            <w:pPr>
              <w:spacing w:after="0"/>
              <w:rPr>
                <w:sz w:val="20"/>
                <w:szCs w:val="20"/>
                <w:color w:val="auto"/>
              </w:rPr>
            </w:pPr>
            <w:r>
              <w:rPr>
                <w:rFonts w:ascii="Arial" w:cs="Arial" w:eastAsia="Arial" w:hAnsi="Arial"/>
                <w:sz w:val="18"/>
                <w:szCs w:val="18"/>
                <w:color w:val="auto"/>
              </w:rPr>
              <w:t>Provision</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(2.2)</w:t>
            </w: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(0.1)</w:t>
            </w: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(1.1)</w:t>
            </w: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8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w w:val="91"/>
              </w:rPr>
              <w:t>(0.1)</w:t>
            </w: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b w:val="1"/>
                <w:bCs w:val="1"/>
                <w:color w:val="auto"/>
              </w:rPr>
              <w:t>(3.5)</w:t>
            </w:r>
          </w:p>
        </w:tc>
        <w:tc>
          <w:tcPr>
            <w:tcW w:w="0" w:type="dxa"/>
            <w:vAlign w:val="bottom"/>
          </w:tcPr>
          <w:p>
            <w:pPr>
              <w:spacing w:after="0"/>
              <w:rPr>
                <w:sz w:val="1"/>
                <w:szCs w:val="1"/>
                <w:color w:val="auto"/>
              </w:rPr>
            </w:pPr>
          </w:p>
        </w:tc>
      </w:tr>
      <w:tr>
        <w:trPr>
          <w:trHeight w:val="216"/>
        </w:trPr>
        <w:tc>
          <w:tcPr>
            <w:tcW w:w="46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Recoveries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2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1.0</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w:t>
            </w:r>
          </w:p>
        </w:tc>
        <w:tc>
          <w:tcPr>
            <w:tcW w:w="1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1.0</w:t>
            </w:r>
          </w:p>
        </w:tc>
        <w:tc>
          <w:tcPr>
            <w:tcW w:w="0" w:type="dxa"/>
            <w:vAlign w:val="bottom"/>
          </w:tcPr>
          <w:p>
            <w:pPr>
              <w:spacing w:after="0"/>
              <w:rPr>
                <w:sz w:val="1"/>
                <w:szCs w:val="1"/>
                <w:color w:val="auto"/>
              </w:rPr>
            </w:pPr>
          </w:p>
        </w:tc>
      </w:tr>
      <w:tr>
        <w:trPr>
          <w:trHeight w:val="216"/>
        </w:trPr>
        <w:tc>
          <w:tcPr>
            <w:tcW w:w="4620" w:type="dxa"/>
            <w:vAlign w:val="bottom"/>
            <w:gridSpan w:val="2"/>
          </w:tcPr>
          <w:p>
            <w:pPr>
              <w:spacing w:after="0"/>
              <w:rPr>
                <w:sz w:val="20"/>
                <w:szCs w:val="20"/>
                <w:color w:val="auto"/>
              </w:rPr>
            </w:pPr>
            <w:r>
              <w:rPr>
                <w:rFonts w:ascii="Arial" w:cs="Arial" w:eastAsia="Arial" w:hAnsi="Arial"/>
                <w:sz w:val="18"/>
                <w:szCs w:val="18"/>
                <w:color w:val="auto"/>
              </w:rPr>
              <w:t>Foreign currency translation adjustment</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(0.3)</w:t>
            </w: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gridSpan w:val="3"/>
          </w:tcPr>
          <w:p>
            <w:pPr>
              <w:jc w:val="right"/>
              <w:ind w:right="240"/>
              <w:spacing w:after="0"/>
              <w:rPr>
                <w:sz w:val="20"/>
                <w:szCs w:val="20"/>
                <w:color w:val="auto"/>
              </w:rPr>
            </w:pPr>
            <w:r>
              <w:rPr>
                <w:rFonts w:ascii="Arial" w:cs="Arial" w:eastAsia="Arial" w:hAnsi="Arial"/>
                <w:sz w:val="18"/>
                <w:szCs w:val="18"/>
                <w:b w:val="1"/>
                <w:bCs w:val="1"/>
                <w:color w:val="auto"/>
              </w:rPr>
              <w:t>—</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gridSpan w:val="3"/>
          </w:tcPr>
          <w:p>
            <w:pPr>
              <w:jc w:val="right"/>
              <w:ind w:right="220"/>
              <w:spacing w:after="0"/>
              <w:rPr>
                <w:sz w:val="20"/>
                <w:szCs w:val="20"/>
                <w:color w:val="auto"/>
              </w:rPr>
            </w:pPr>
            <w:r>
              <w:rPr>
                <w:rFonts w:ascii="Arial" w:cs="Arial" w:eastAsia="Arial" w:hAnsi="Arial"/>
                <w:sz w:val="18"/>
                <w:szCs w:val="18"/>
                <w:b w:val="1"/>
                <w:bCs w:val="1"/>
                <w:color w:val="auto"/>
              </w:rPr>
              <w:t>—</w:t>
            </w: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8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b w:val="1"/>
                <w:bCs w:val="1"/>
                <w:color w:val="auto"/>
              </w:rPr>
              <w:t>(0.3)</w:t>
            </w:r>
          </w:p>
        </w:tc>
        <w:tc>
          <w:tcPr>
            <w:tcW w:w="0" w:type="dxa"/>
            <w:vAlign w:val="bottom"/>
          </w:tcPr>
          <w:p>
            <w:pPr>
              <w:spacing w:after="0"/>
              <w:rPr>
                <w:sz w:val="1"/>
                <w:szCs w:val="1"/>
                <w:color w:val="auto"/>
              </w:rPr>
            </w:pPr>
          </w:p>
        </w:tc>
      </w:tr>
      <w:tr>
        <w:trPr>
          <w:trHeight w:val="209"/>
        </w:trPr>
        <w:tc>
          <w:tcPr>
            <w:tcW w:w="4620" w:type="dxa"/>
            <w:vAlign w:val="bottom"/>
            <w:tcBorders>
              <w:top w:val="single" w:sz="8" w:color="CCEEFF"/>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Ending balance</w:t>
            </w:r>
          </w:p>
        </w:tc>
        <w:tc>
          <w:tcPr>
            <w:tcW w:w="100" w:type="dxa"/>
            <w:vAlign w:val="bottom"/>
            <w:tcBorders>
              <w:top w:val="single" w:sz="8" w:color="auto"/>
              <w:bottom w:val="single" w:sz="8" w:color="auto"/>
            </w:tcBorders>
            <w:gridSpan w:val="2"/>
            <w:shd w:val="clear" w:color="auto" w:fill="CCEEFF"/>
          </w:tcPr>
          <w:p>
            <w:pPr>
              <w:spacing w:after="0"/>
              <w:rPr>
                <w:sz w:val="20"/>
                <w:szCs w:val="20"/>
                <w:color w:val="auto"/>
              </w:rPr>
            </w:pPr>
            <w:r>
              <w:rPr>
                <w:rFonts w:ascii="Arial" w:cs="Arial" w:eastAsia="Arial" w:hAnsi="Arial"/>
                <w:sz w:val="18"/>
                <w:szCs w:val="18"/>
                <w:b w:val="1"/>
                <w:bCs w:val="1"/>
                <w:color w:val="auto"/>
                <w:w w:val="79"/>
              </w:rPr>
              <w:t>$</w:t>
            </w: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63.6</w:t>
            </w: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0.3</w:t>
            </w: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gridSpan w:val="2"/>
            <w:shd w:val="clear" w:color="auto" w:fill="CCEEFF"/>
          </w:tcPr>
          <w:p>
            <w:pPr>
              <w:spacing w:after="0"/>
              <w:rPr>
                <w:sz w:val="20"/>
                <w:szCs w:val="20"/>
                <w:color w:val="auto"/>
              </w:rPr>
            </w:pPr>
            <w:r>
              <w:rPr>
                <w:rFonts w:ascii="Arial" w:cs="Arial" w:eastAsia="Arial" w:hAnsi="Arial"/>
                <w:sz w:val="18"/>
                <w:szCs w:val="18"/>
                <w:b w:val="1"/>
                <w:bCs w:val="1"/>
                <w:color w:val="auto"/>
                <w:w w:val="99"/>
              </w:rPr>
              <w:t>$</w:t>
            </w:r>
          </w:p>
        </w:tc>
        <w:tc>
          <w:tcPr>
            <w:tcW w:w="8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1.7</w:t>
            </w: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600" w:type="dxa"/>
            <w:vAlign w:val="bottom"/>
            <w:tcBorders>
              <w:top w:val="single" w:sz="8" w:color="auto"/>
              <w:bottom w:val="single" w:sz="8" w:color="auto"/>
            </w:tcBorders>
            <w:gridSpan w:val="2"/>
            <w:shd w:val="clear" w:color="auto" w:fill="CCEEFF"/>
          </w:tcPr>
          <w:p>
            <w:pPr>
              <w:jc w:val="right"/>
              <w:ind w:right="428"/>
              <w:spacing w:after="0"/>
              <w:rPr>
                <w:sz w:val="20"/>
                <w:szCs w:val="20"/>
                <w:color w:val="auto"/>
              </w:rPr>
            </w:pPr>
            <w:r>
              <w:rPr>
                <w:rFonts w:ascii="Arial" w:cs="Arial" w:eastAsia="Arial" w:hAnsi="Arial"/>
                <w:sz w:val="18"/>
                <w:szCs w:val="18"/>
                <w:b w:val="1"/>
                <w:bCs w:val="1"/>
                <w:color w:val="auto"/>
                <w:w w:val="79"/>
              </w:rPr>
              <w:t>$</w:t>
            </w:r>
          </w:p>
        </w:tc>
        <w:tc>
          <w:tcPr>
            <w:tcW w:w="3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2.6</w:t>
            </w: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gridSpan w:val="3"/>
            <w:shd w:val="clear" w:color="auto" w:fill="CCEEFF"/>
          </w:tcPr>
          <w:p>
            <w:pPr>
              <w:jc w:val="right"/>
              <w:ind w:right="49"/>
              <w:spacing w:after="0"/>
              <w:rPr>
                <w:sz w:val="20"/>
                <w:szCs w:val="20"/>
                <w:color w:val="auto"/>
              </w:rPr>
            </w:pPr>
            <w:r>
              <w:rPr>
                <w:rFonts w:ascii="Arial" w:cs="Arial" w:eastAsia="Arial" w:hAnsi="Arial"/>
                <w:sz w:val="18"/>
                <w:szCs w:val="18"/>
                <w:b w:val="1"/>
                <w:bCs w:val="1"/>
                <w:color w:val="auto"/>
                <w:w w:val="79"/>
              </w:rPr>
              <w:t>$</w:t>
            </w: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68.2</w:t>
            </w:r>
          </w:p>
        </w:tc>
        <w:tc>
          <w:tcPr>
            <w:tcW w:w="0" w:type="dxa"/>
            <w:vAlign w:val="bottom"/>
          </w:tcPr>
          <w:p>
            <w:pPr>
              <w:spacing w:after="0"/>
              <w:rPr>
                <w:sz w:val="1"/>
                <w:szCs w:val="1"/>
                <w:color w:val="auto"/>
              </w:rPr>
            </w:pPr>
          </w:p>
        </w:tc>
      </w:tr>
      <w:tr>
        <w:trPr>
          <w:trHeight w:val="20"/>
        </w:trPr>
        <w:tc>
          <w:tcPr>
            <w:tcW w:w="2480" w:type="dxa"/>
            <w:vAlign w:val="bottom"/>
          </w:tcPr>
          <w:p>
            <w:pPr>
              <w:spacing w:after="0" w:line="20" w:lineRule="exact"/>
              <w:rPr>
                <w:sz w:val="1"/>
                <w:szCs w:val="1"/>
                <w:color w:val="auto"/>
              </w:rPr>
            </w:pPr>
          </w:p>
        </w:tc>
        <w:tc>
          <w:tcPr>
            <w:tcW w:w="214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8"/>
        </w:trPr>
        <w:tc>
          <w:tcPr>
            <w:tcW w:w="2480" w:type="dxa"/>
            <w:vAlign w:val="bottom"/>
          </w:tcPr>
          <w:p>
            <w:pPr>
              <w:spacing w:after="0"/>
              <w:rPr>
                <w:sz w:val="24"/>
                <w:szCs w:val="24"/>
                <w:color w:val="auto"/>
              </w:rPr>
            </w:pPr>
          </w:p>
        </w:tc>
        <w:tc>
          <w:tcPr>
            <w:tcW w:w="2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680" w:type="dxa"/>
            <w:vAlign w:val="bottom"/>
            <w:tcBorders>
              <w:bottom w:val="single" w:sz="8" w:color="auto"/>
            </w:tcBorders>
            <w:gridSpan w:val="10"/>
          </w:tcPr>
          <w:p>
            <w:pPr>
              <w:jc w:val="right"/>
              <w:spacing w:after="0"/>
              <w:rPr>
                <w:sz w:val="20"/>
                <w:szCs w:val="20"/>
                <w:color w:val="auto"/>
              </w:rPr>
            </w:pPr>
            <w:r>
              <w:rPr>
                <w:rFonts w:ascii="Arial" w:cs="Arial" w:eastAsia="Arial" w:hAnsi="Arial"/>
                <w:sz w:val="14"/>
                <w:szCs w:val="14"/>
                <w:b w:val="1"/>
                <w:bCs w:val="1"/>
                <w:color w:val="auto"/>
                <w:w w:val="94"/>
              </w:rPr>
              <w:t>For the three months ended June 30, 2021</w:t>
            </w:r>
          </w:p>
        </w:tc>
        <w:tc>
          <w:tcPr>
            <w:tcW w:w="3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2480" w:type="dxa"/>
            <w:vAlign w:val="bottom"/>
          </w:tcPr>
          <w:p>
            <w:pPr>
              <w:spacing w:after="0"/>
              <w:rPr>
                <w:sz w:val="10"/>
                <w:szCs w:val="10"/>
                <w:color w:val="auto"/>
              </w:rPr>
            </w:pPr>
          </w:p>
        </w:tc>
        <w:tc>
          <w:tcPr>
            <w:tcW w:w="2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20" w:type="dxa"/>
            <w:vAlign w:val="bottom"/>
            <w:gridSpan w:val="3"/>
            <w:vMerge w:val="restart"/>
          </w:tcPr>
          <w:p>
            <w:pPr>
              <w:jc w:val="center"/>
              <w:ind w:right="240"/>
              <w:spacing w:after="0"/>
              <w:rPr>
                <w:sz w:val="20"/>
                <w:szCs w:val="20"/>
                <w:color w:val="auto"/>
              </w:rPr>
            </w:pPr>
            <w:r>
              <w:rPr>
                <w:rFonts w:ascii="Arial" w:cs="Arial" w:eastAsia="Arial" w:hAnsi="Arial"/>
                <w:sz w:val="14"/>
                <w:szCs w:val="14"/>
                <w:b w:val="1"/>
                <w:bCs w:val="1"/>
                <w:color w:val="auto"/>
                <w:w w:val="92"/>
              </w:rPr>
              <w:t>Commercial</w:t>
            </w: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60" w:type="dxa"/>
            <w:vAlign w:val="bottom"/>
            <w:gridSpan w:val="3"/>
          </w:tcPr>
          <w:p>
            <w:pPr>
              <w:ind w:left="140"/>
              <w:spacing w:after="0" w:line="119" w:lineRule="exact"/>
              <w:rPr>
                <w:sz w:val="20"/>
                <w:szCs w:val="20"/>
                <w:color w:val="auto"/>
              </w:rPr>
            </w:pPr>
            <w:r>
              <w:rPr>
                <w:rFonts w:ascii="Arial" w:cs="Arial" w:eastAsia="Arial" w:hAnsi="Arial"/>
                <w:sz w:val="13"/>
                <w:szCs w:val="13"/>
                <w:b w:val="1"/>
                <w:bCs w:val="1"/>
                <w:color w:val="auto"/>
              </w:rPr>
              <w:t>Direct</w:t>
            </w: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0" w:type="dxa"/>
            <w:vAlign w:val="bottom"/>
            <w:gridSpan w:val="3"/>
            <w:vMerge w:val="restart"/>
          </w:tcPr>
          <w:p>
            <w:pPr>
              <w:jc w:val="center"/>
              <w:ind w:right="240"/>
              <w:spacing w:after="0"/>
              <w:rPr>
                <w:sz w:val="20"/>
                <w:szCs w:val="20"/>
                <w:color w:val="auto"/>
              </w:rPr>
            </w:pPr>
            <w:r>
              <w:rPr>
                <w:rFonts w:ascii="Arial" w:cs="Arial" w:eastAsia="Arial" w:hAnsi="Arial"/>
                <w:sz w:val="14"/>
                <w:szCs w:val="14"/>
                <w:b w:val="1"/>
                <w:bCs w:val="1"/>
                <w:color w:val="auto"/>
                <w:w w:val="90"/>
              </w:rPr>
              <w:t>Residential</w:t>
            </w:r>
          </w:p>
        </w:tc>
        <w:tc>
          <w:tcPr>
            <w:tcW w:w="40" w:type="dxa"/>
            <w:vAlign w:val="bottom"/>
          </w:tcPr>
          <w:p>
            <w:pPr>
              <w:spacing w:after="0"/>
              <w:rPr>
                <w:sz w:val="10"/>
                <w:szCs w:val="10"/>
                <w:color w:val="auto"/>
              </w:rPr>
            </w:pPr>
          </w:p>
        </w:tc>
        <w:tc>
          <w:tcPr>
            <w:tcW w:w="940" w:type="dxa"/>
            <w:vAlign w:val="bottom"/>
            <w:gridSpan w:val="3"/>
            <w:vMerge w:val="restart"/>
          </w:tcPr>
          <w:p>
            <w:pPr>
              <w:jc w:val="right"/>
              <w:ind w:right="100"/>
              <w:spacing w:after="0"/>
              <w:rPr>
                <w:sz w:val="20"/>
                <w:szCs w:val="20"/>
                <w:color w:val="auto"/>
              </w:rPr>
            </w:pPr>
            <w:r>
              <w:rPr>
                <w:rFonts w:ascii="Arial" w:cs="Arial" w:eastAsia="Arial" w:hAnsi="Arial"/>
                <w:sz w:val="14"/>
                <w:szCs w:val="14"/>
                <w:b w:val="1"/>
                <w:bCs w:val="1"/>
                <w:color w:val="auto"/>
                <w:w w:val="97"/>
              </w:rPr>
              <w:t>Reinsurance</w:t>
            </w:r>
          </w:p>
        </w:tc>
        <w:tc>
          <w:tcPr>
            <w:tcW w:w="1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8"/>
        </w:trPr>
        <w:tc>
          <w:tcPr>
            <w:tcW w:w="2480" w:type="dxa"/>
            <w:vAlign w:val="bottom"/>
          </w:tcPr>
          <w:p>
            <w:pPr>
              <w:spacing w:after="0"/>
              <w:rPr>
                <w:sz w:val="12"/>
                <w:szCs w:val="12"/>
                <w:color w:val="auto"/>
              </w:rPr>
            </w:pPr>
          </w:p>
        </w:tc>
        <w:tc>
          <w:tcPr>
            <w:tcW w:w="2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gridSpan w:val="3"/>
            <w:vMerge w:val="continue"/>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60" w:type="dxa"/>
            <w:vAlign w:val="bottom"/>
            <w:gridSpan w:val="3"/>
          </w:tcPr>
          <w:p>
            <w:pPr>
              <w:ind w:left="60"/>
              <w:spacing w:after="0" w:line="149" w:lineRule="exact"/>
              <w:rPr>
                <w:sz w:val="20"/>
                <w:szCs w:val="20"/>
                <w:color w:val="auto"/>
              </w:rPr>
            </w:pPr>
            <w:r>
              <w:rPr>
                <w:rFonts w:ascii="Arial" w:cs="Arial" w:eastAsia="Arial" w:hAnsi="Arial"/>
                <w:sz w:val="14"/>
                <w:szCs w:val="14"/>
                <w:b w:val="1"/>
                <w:bCs w:val="1"/>
                <w:color w:val="auto"/>
              </w:rPr>
              <w:t>financing</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gridSpan w:val="3"/>
            <w:vMerge w:val="continue"/>
          </w:tcPr>
          <w:p>
            <w:pPr>
              <w:spacing w:after="0"/>
              <w:rPr>
                <w:sz w:val="12"/>
                <w:szCs w:val="12"/>
                <w:color w:val="auto"/>
              </w:rPr>
            </w:pPr>
          </w:p>
        </w:tc>
        <w:tc>
          <w:tcPr>
            <w:tcW w:w="40" w:type="dxa"/>
            <w:vAlign w:val="bottom"/>
          </w:tcPr>
          <w:p>
            <w:pPr>
              <w:spacing w:after="0"/>
              <w:rPr>
                <w:sz w:val="12"/>
                <w:szCs w:val="12"/>
                <w:color w:val="auto"/>
              </w:rPr>
            </w:pPr>
          </w:p>
        </w:tc>
        <w:tc>
          <w:tcPr>
            <w:tcW w:w="940" w:type="dxa"/>
            <w:vAlign w:val="bottom"/>
            <w:gridSpan w:val="3"/>
            <w:vMerge w:val="continue"/>
          </w:tcPr>
          <w:p>
            <w:pPr>
              <w:spacing w:after="0"/>
              <w:rPr>
                <w:sz w:val="12"/>
                <w:szCs w:val="12"/>
                <w:color w:val="auto"/>
              </w:rPr>
            </w:pPr>
          </w:p>
        </w:tc>
        <w:tc>
          <w:tcPr>
            <w:tcW w:w="1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vMerge w:val="restart"/>
          </w:tcPr>
          <w:p>
            <w:pPr>
              <w:ind w:left="6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71"/>
        </w:trPr>
        <w:tc>
          <w:tcPr>
            <w:tcW w:w="2480" w:type="dxa"/>
            <w:vAlign w:val="bottom"/>
          </w:tcPr>
          <w:p>
            <w:pPr>
              <w:spacing w:after="0"/>
              <w:rPr>
                <w:sz w:val="14"/>
                <w:szCs w:val="14"/>
                <w:color w:val="auto"/>
              </w:rPr>
            </w:pPr>
          </w:p>
        </w:tc>
        <w:tc>
          <w:tcPr>
            <w:tcW w:w="2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100" w:type="dxa"/>
            <w:vAlign w:val="bottom"/>
            <w:gridSpan w:val="4"/>
          </w:tcPr>
          <w:p>
            <w:pPr>
              <w:jc w:val="center"/>
              <w:ind w:right="160"/>
              <w:spacing w:after="0"/>
              <w:rPr>
                <w:sz w:val="20"/>
                <w:szCs w:val="20"/>
                <w:color w:val="auto"/>
              </w:rPr>
            </w:pPr>
            <w:r>
              <w:rPr>
                <w:rFonts w:ascii="Arial" w:cs="Arial" w:eastAsia="Arial" w:hAnsi="Arial"/>
                <w:sz w:val="14"/>
                <w:szCs w:val="14"/>
                <w:b w:val="1"/>
                <w:bCs w:val="1"/>
                <w:color w:val="auto"/>
                <w:w w:val="90"/>
              </w:rPr>
              <w:t>mortgage loans</w:t>
            </w: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60" w:type="dxa"/>
            <w:vAlign w:val="bottom"/>
            <w:gridSpan w:val="3"/>
          </w:tcPr>
          <w:p>
            <w:pPr>
              <w:ind w:left="160"/>
              <w:spacing w:after="0"/>
              <w:rPr>
                <w:sz w:val="20"/>
                <w:szCs w:val="20"/>
                <w:color w:val="auto"/>
              </w:rPr>
            </w:pPr>
            <w:r>
              <w:rPr>
                <w:rFonts w:ascii="Arial" w:cs="Arial" w:eastAsia="Arial" w:hAnsi="Arial"/>
                <w:sz w:val="14"/>
                <w:szCs w:val="14"/>
                <w:b w:val="1"/>
                <w:bCs w:val="1"/>
                <w:color w:val="auto"/>
              </w:rPr>
              <w:t>leases</w:t>
            </w:r>
          </w:p>
        </w:tc>
        <w:tc>
          <w:tcPr>
            <w:tcW w:w="20" w:type="dxa"/>
            <w:vAlign w:val="bottom"/>
          </w:tcPr>
          <w:p>
            <w:pPr>
              <w:spacing w:after="0"/>
              <w:rPr>
                <w:sz w:val="14"/>
                <w:szCs w:val="14"/>
                <w:color w:val="auto"/>
              </w:rPr>
            </w:pPr>
          </w:p>
        </w:tc>
        <w:tc>
          <w:tcPr>
            <w:tcW w:w="1100" w:type="dxa"/>
            <w:vAlign w:val="bottom"/>
            <w:gridSpan w:val="4"/>
          </w:tcPr>
          <w:p>
            <w:pPr>
              <w:jc w:val="center"/>
              <w:ind w:right="160"/>
              <w:spacing w:after="0"/>
              <w:rPr>
                <w:sz w:val="20"/>
                <w:szCs w:val="20"/>
                <w:color w:val="auto"/>
              </w:rPr>
            </w:pPr>
            <w:r>
              <w:rPr>
                <w:rFonts w:ascii="Arial" w:cs="Arial" w:eastAsia="Arial" w:hAnsi="Arial"/>
                <w:sz w:val="14"/>
                <w:szCs w:val="14"/>
                <w:b w:val="1"/>
                <w:bCs w:val="1"/>
                <w:color w:val="auto"/>
                <w:w w:val="90"/>
              </w:rPr>
              <w:t>mortgage loans</w:t>
            </w:r>
          </w:p>
        </w:tc>
        <w:tc>
          <w:tcPr>
            <w:tcW w:w="40" w:type="dxa"/>
            <w:vAlign w:val="bottom"/>
          </w:tcPr>
          <w:p>
            <w:pPr>
              <w:spacing w:after="0"/>
              <w:rPr>
                <w:sz w:val="14"/>
                <w:szCs w:val="14"/>
                <w:color w:val="auto"/>
              </w:rPr>
            </w:pPr>
          </w:p>
        </w:tc>
        <w:tc>
          <w:tcPr>
            <w:tcW w:w="940" w:type="dxa"/>
            <w:vAlign w:val="bottom"/>
            <w:gridSpan w:val="3"/>
          </w:tcPr>
          <w:p>
            <w:pPr>
              <w:jc w:val="right"/>
              <w:ind w:right="80"/>
              <w:spacing w:after="0"/>
              <w:rPr>
                <w:sz w:val="20"/>
                <w:szCs w:val="20"/>
                <w:color w:val="auto"/>
              </w:rPr>
            </w:pPr>
            <w:r>
              <w:rPr>
                <w:rFonts w:ascii="Arial" w:cs="Arial" w:eastAsia="Arial" w:hAnsi="Arial"/>
                <w:sz w:val="14"/>
                <w:szCs w:val="14"/>
                <w:b w:val="1"/>
                <w:bCs w:val="1"/>
                <w:color w:val="auto"/>
                <w:w w:val="97"/>
              </w:rPr>
              <w:t>recoverables</w:t>
            </w:r>
          </w:p>
        </w:tc>
        <w:tc>
          <w:tcPr>
            <w:tcW w:w="1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28"/>
        </w:trPr>
        <w:tc>
          <w:tcPr>
            <w:tcW w:w="2480" w:type="dxa"/>
            <w:vAlign w:val="bottom"/>
          </w:tcPr>
          <w:p>
            <w:pPr>
              <w:spacing w:after="0"/>
              <w:rPr>
                <w:sz w:val="11"/>
                <w:szCs w:val="11"/>
                <w:color w:val="auto"/>
              </w:rPr>
            </w:pPr>
          </w:p>
        </w:tc>
        <w:tc>
          <w:tcPr>
            <w:tcW w:w="21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86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78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860" w:type="dxa"/>
            <w:vAlign w:val="bottom"/>
            <w:tcBorders>
              <w:top w:val="single" w:sz="8" w:color="auto"/>
            </w:tcBorders>
            <w:gridSpan w:val="2"/>
          </w:tcPr>
          <w:p>
            <w:pPr>
              <w:jc w:val="right"/>
              <w:ind w:right="160"/>
              <w:spacing w:after="0" w:line="129" w:lineRule="exact"/>
              <w:rPr>
                <w:sz w:val="20"/>
                <w:szCs w:val="20"/>
                <w:color w:val="auto"/>
              </w:rPr>
            </w:pPr>
            <w:r>
              <w:rPr>
                <w:rFonts w:ascii="Arial" w:cs="Arial" w:eastAsia="Arial" w:hAnsi="Arial"/>
                <w:sz w:val="14"/>
                <w:szCs w:val="14"/>
                <w:i w:val="1"/>
                <w:iCs w:val="1"/>
                <w:color w:val="auto"/>
                <w:w w:val="96"/>
              </w:rPr>
              <w:t>(in millions)</w:t>
            </w:r>
          </w:p>
        </w:tc>
        <w:tc>
          <w:tcPr>
            <w:tcW w:w="1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60" w:type="dxa"/>
            <w:vAlign w:val="bottom"/>
            <w:tcBorders>
              <w:top w:val="single" w:sz="8" w:color="auto"/>
            </w:tcBorders>
          </w:tcPr>
          <w:p>
            <w:pPr>
              <w:spacing w:after="0"/>
              <w:rPr>
                <w:sz w:val="11"/>
                <w:szCs w:val="11"/>
                <w:color w:val="auto"/>
              </w:rPr>
            </w:pPr>
          </w:p>
        </w:tc>
        <w:tc>
          <w:tcPr>
            <w:tcW w:w="36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620" w:type="dxa"/>
            <w:vAlign w:val="bottom"/>
            <w:tcBorders>
              <w:top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46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Beginning balance</w:t>
            </w:r>
          </w:p>
        </w:tc>
        <w:tc>
          <w:tcPr>
            <w:tcW w:w="10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79"/>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43.1</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w w:val="79"/>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408"/>
              <w:spacing w:after="0"/>
              <w:rPr>
                <w:sz w:val="20"/>
                <w:szCs w:val="20"/>
                <w:color w:val="auto"/>
              </w:rPr>
            </w:pPr>
            <w:r>
              <w:rPr>
                <w:rFonts w:ascii="Arial" w:cs="Arial" w:eastAsia="Arial" w:hAnsi="Arial"/>
                <w:sz w:val="18"/>
                <w:szCs w:val="18"/>
                <w:color w:val="auto"/>
                <w:w w:val="99"/>
              </w:rPr>
              <w:t>$</w:t>
            </w: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w:t>
            </w:r>
          </w:p>
        </w:tc>
        <w:tc>
          <w:tcPr>
            <w:tcW w:w="20" w:type="dxa"/>
            <w:vAlign w:val="bottom"/>
            <w:shd w:val="clear" w:color="auto" w:fill="CCEEFF"/>
          </w:tcPr>
          <w:p>
            <w:pPr>
              <w:spacing w:after="0"/>
              <w:rPr>
                <w:sz w:val="18"/>
                <w:szCs w:val="18"/>
                <w:color w:val="auto"/>
              </w:rPr>
            </w:pPr>
          </w:p>
        </w:tc>
        <w:tc>
          <w:tcPr>
            <w:tcW w:w="340" w:type="dxa"/>
            <w:vAlign w:val="bottom"/>
            <w:gridSpan w:val="4"/>
            <w:shd w:val="clear" w:color="auto" w:fill="CCEEFF"/>
          </w:tcPr>
          <w:p>
            <w:pPr>
              <w:jc w:val="right"/>
              <w:ind w:right="29"/>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49.8</w:t>
            </w:r>
          </w:p>
        </w:tc>
        <w:tc>
          <w:tcPr>
            <w:tcW w:w="0" w:type="dxa"/>
            <w:vAlign w:val="bottom"/>
          </w:tcPr>
          <w:p>
            <w:pPr>
              <w:spacing w:after="0"/>
              <w:rPr>
                <w:sz w:val="1"/>
                <w:szCs w:val="1"/>
                <w:color w:val="auto"/>
              </w:rPr>
            </w:pPr>
          </w:p>
        </w:tc>
      </w:tr>
      <w:tr>
        <w:trPr>
          <w:trHeight w:val="216"/>
        </w:trPr>
        <w:tc>
          <w:tcPr>
            <w:tcW w:w="4620" w:type="dxa"/>
            <w:vAlign w:val="bottom"/>
            <w:gridSpan w:val="2"/>
          </w:tcPr>
          <w:p>
            <w:pPr>
              <w:spacing w:after="0"/>
              <w:rPr>
                <w:sz w:val="20"/>
                <w:szCs w:val="20"/>
                <w:color w:val="auto"/>
              </w:rPr>
            </w:pPr>
            <w:r>
              <w:rPr>
                <w:rFonts w:ascii="Arial" w:cs="Arial" w:eastAsia="Arial" w:hAnsi="Arial"/>
                <w:sz w:val="18"/>
                <w:szCs w:val="18"/>
                <w:color w:val="auto"/>
              </w:rPr>
              <w:t>Provision (1)</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(6.4)</w:t>
            </w: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0.2</w:t>
            </w: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jc w:val="right"/>
              <w:spacing w:after="0"/>
              <w:rPr>
                <w:sz w:val="20"/>
                <w:szCs w:val="20"/>
                <w:color w:val="auto"/>
              </w:rPr>
            </w:pPr>
            <w:r>
              <w:rPr>
                <w:rFonts w:ascii="Arial" w:cs="Arial" w:eastAsia="Arial" w:hAnsi="Arial"/>
                <w:sz w:val="18"/>
                <w:szCs w:val="18"/>
                <w:color w:val="auto"/>
              </w:rPr>
              <w:t>(1.2)</w:t>
            </w: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80" w:type="dxa"/>
            <w:vAlign w:val="bottom"/>
            <w:gridSpan w:val="2"/>
          </w:tcPr>
          <w:p>
            <w:pPr>
              <w:jc w:val="right"/>
              <w:spacing w:after="0"/>
              <w:rPr>
                <w:sz w:val="20"/>
                <w:szCs w:val="20"/>
                <w:color w:val="auto"/>
              </w:rPr>
            </w:pPr>
            <w:r>
              <w:rPr>
                <w:rFonts w:ascii="Arial" w:cs="Arial" w:eastAsia="Arial" w:hAnsi="Arial"/>
                <w:sz w:val="18"/>
                <w:szCs w:val="18"/>
                <w:color w:val="auto"/>
                <w:w w:val="97"/>
              </w:rPr>
              <w:t>(0.1)</w:t>
            </w: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(7.5)</w:t>
            </w:r>
          </w:p>
        </w:tc>
        <w:tc>
          <w:tcPr>
            <w:tcW w:w="0" w:type="dxa"/>
            <w:vAlign w:val="bottom"/>
          </w:tcPr>
          <w:p>
            <w:pPr>
              <w:spacing w:after="0"/>
              <w:rPr>
                <w:sz w:val="1"/>
                <w:szCs w:val="1"/>
                <w:color w:val="auto"/>
              </w:rPr>
            </w:pPr>
          </w:p>
        </w:tc>
      </w:tr>
      <w:tr>
        <w:trPr>
          <w:trHeight w:val="216"/>
        </w:trPr>
        <w:tc>
          <w:tcPr>
            <w:tcW w:w="46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Charge-offs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2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(0.2)</w:t>
            </w:r>
          </w:p>
        </w:tc>
        <w:tc>
          <w:tcPr>
            <w:tcW w:w="1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(0.2)</w:t>
            </w:r>
          </w:p>
        </w:tc>
        <w:tc>
          <w:tcPr>
            <w:tcW w:w="0" w:type="dxa"/>
            <w:vAlign w:val="bottom"/>
          </w:tcPr>
          <w:p>
            <w:pPr>
              <w:spacing w:after="0"/>
              <w:rPr>
                <w:sz w:val="1"/>
                <w:szCs w:val="1"/>
                <w:color w:val="auto"/>
              </w:rPr>
            </w:pPr>
          </w:p>
        </w:tc>
      </w:tr>
      <w:tr>
        <w:trPr>
          <w:trHeight w:val="216"/>
        </w:trPr>
        <w:tc>
          <w:tcPr>
            <w:tcW w:w="4620" w:type="dxa"/>
            <w:vAlign w:val="bottom"/>
            <w:gridSpan w:val="2"/>
          </w:tcPr>
          <w:p>
            <w:pPr>
              <w:spacing w:after="0"/>
              <w:rPr>
                <w:sz w:val="20"/>
                <w:szCs w:val="20"/>
                <w:color w:val="auto"/>
              </w:rPr>
            </w:pPr>
            <w:r>
              <w:rPr>
                <w:rFonts w:ascii="Arial" w:cs="Arial" w:eastAsia="Arial" w:hAnsi="Arial"/>
                <w:sz w:val="18"/>
                <w:szCs w:val="18"/>
                <w:color w:val="auto"/>
              </w:rPr>
              <w:t>Recoveries</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20" w:type="dxa"/>
            <w:vAlign w:val="bottom"/>
            <w:gridSpan w:val="3"/>
          </w:tcPr>
          <w:p>
            <w:pPr>
              <w:jc w:val="right"/>
              <w:ind w:right="2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gridSpan w:val="3"/>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0.7</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8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0.7</w:t>
            </w:r>
          </w:p>
        </w:tc>
        <w:tc>
          <w:tcPr>
            <w:tcW w:w="0" w:type="dxa"/>
            <w:vAlign w:val="bottom"/>
          </w:tcPr>
          <w:p>
            <w:pPr>
              <w:spacing w:after="0"/>
              <w:rPr>
                <w:sz w:val="1"/>
                <w:szCs w:val="1"/>
                <w:color w:val="auto"/>
              </w:rPr>
            </w:pPr>
          </w:p>
        </w:tc>
      </w:tr>
      <w:tr>
        <w:trPr>
          <w:trHeight w:val="216"/>
        </w:trPr>
        <w:tc>
          <w:tcPr>
            <w:tcW w:w="46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Foreign currency translation adjustment</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1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0" w:type="dxa"/>
            <w:vAlign w:val="bottom"/>
          </w:tcPr>
          <w:p>
            <w:pPr>
              <w:spacing w:after="0"/>
              <w:rPr>
                <w:sz w:val="1"/>
                <w:szCs w:val="1"/>
                <w:color w:val="auto"/>
              </w:rPr>
            </w:pPr>
          </w:p>
        </w:tc>
      </w:tr>
      <w:tr>
        <w:trPr>
          <w:trHeight w:val="210"/>
        </w:trPr>
        <w:tc>
          <w:tcPr>
            <w:tcW w:w="4620" w:type="dxa"/>
            <w:vAlign w:val="bottom"/>
            <w:gridSpan w:val="2"/>
          </w:tcPr>
          <w:p>
            <w:pPr>
              <w:spacing w:after="0"/>
              <w:rPr>
                <w:sz w:val="20"/>
                <w:szCs w:val="20"/>
                <w:color w:val="auto"/>
              </w:rPr>
            </w:pPr>
            <w:r>
              <w:rPr>
                <w:rFonts w:ascii="Arial" w:cs="Arial" w:eastAsia="Arial" w:hAnsi="Arial"/>
                <w:sz w:val="18"/>
                <w:szCs w:val="18"/>
                <w:color w:val="auto"/>
              </w:rPr>
              <w:t>Ending balance</w:t>
            </w:r>
          </w:p>
        </w:tc>
        <w:tc>
          <w:tcPr>
            <w:tcW w:w="20" w:type="dxa"/>
            <w:vAlign w:val="bottom"/>
          </w:tcPr>
          <w:p>
            <w:pPr>
              <w:spacing w:after="0"/>
              <w:rPr>
                <w:sz w:val="18"/>
                <w:szCs w:val="18"/>
                <w:color w:val="auto"/>
              </w:rPr>
            </w:pPr>
          </w:p>
        </w:tc>
        <w:tc>
          <w:tcPr>
            <w:tcW w:w="80" w:type="dxa"/>
            <w:vAlign w:val="bottom"/>
            <w:tcBorders>
              <w:top w:val="single" w:sz="8" w:color="auto"/>
              <w:bottom w:val="single" w:sz="8" w:color="auto"/>
            </w:tcBorders>
          </w:tcPr>
          <w:p>
            <w:pPr>
              <w:spacing w:after="0"/>
              <w:rPr>
                <w:sz w:val="20"/>
                <w:szCs w:val="20"/>
                <w:color w:val="auto"/>
              </w:rPr>
            </w:pPr>
            <w:r>
              <w:rPr>
                <w:rFonts w:ascii="Arial" w:cs="Arial" w:eastAsia="Arial" w:hAnsi="Arial"/>
                <w:sz w:val="15"/>
                <w:szCs w:val="15"/>
                <w:color w:val="auto"/>
                <w:w w:val="71"/>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36.6</w:t>
            </w:r>
          </w:p>
        </w:tc>
        <w:tc>
          <w:tcPr>
            <w:tcW w:w="20" w:type="dxa"/>
            <w:vAlign w:val="bottom"/>
            <w:tcBorders>
              <w:top w:val="single" w:sz="8" w:color="auto"/>
              <w:bottom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0.3</w:t>
            </w:r>
          </w:p>
        </w:tc>
        <w:tc>
          <w:tcPr>
            <w:tcW w:w="20" w:type="dxa"/>
            <w:vAlign w:val="bottom"/>
            <w:tcBorders>
              <w:top w:val="single" w:sz="8" w:color="auto"/>
              <w:bottom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79"/>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3.2</w:t>
            </w:r>
          </w:p>
        </w:tc>
        <w:tc>
          <w:tcPr>
            <w:tcW w:w="20" w:type="dxa"/>
            <w:vAlign w:val="bottom"/>
            <w:tcBorders>
              <w:top w:val="single" w:sz="8" w:color="auto"/>
              <w:bottom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60" w:type="dxa"/>
            <w:vAlign w:val="bottom"/>
            <w:tcBorders>
              <w:top w:val="single" w:sz="8" w:color="auto"/>
              <w:bottom w:val="single" w:sz="8" w:color="auto"/>
            </w:tcBorders>
          </w:tcPr>
          <w:p>
            <w:pPr>
              <w:jc w:val="right"/>
              <w:ind w:right="408"/>
              <w:spacing w:after="0"/>
              <w:rPr>
                <w:sz w:val="20"/>
                <w:szCs w:val="20"/>
                <w:color w:val="auto"/>
              </w:rPr>
            </w:pPr>
            <w:r>
              <w:rPr>
                <w:rFonts w:ascii="Arial" w:cs="Arial" w:eastAsia="Arial" w:hAnsi="Arial"/>
                <w:sz w:val="15"/>
                <w:szCs w:val="15"/>
                <w:color w:val="auto"/>
                <w:w w:val="71"/>
              </w:rPr>
              <w:t>$</w:t>
            </w:r>
          </w:p>
        </w:tc>
        <w:tc>
          <w:tcPr>
            <w:tcW w:w="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2.6</w:t>
            </w:r>
          </w:p>
        </w:tc>
        <w:tc>
          <w:tcPr>
            <w:tcW w:w="20" w:type="dxa"/>
            <w:vAlign w:val="bottom"/>
            <w:tcBorders>
              <w:top w:val="single" w:sz="8" w:color="auto"/>
              <w:bottom w:val="single" w:sz="8" w:color="auto"/>
            </w:tcBorders>
          </w:tcPr>
          <w:p>
            <w:pPr>
              <w:spacing w:after="0"/>
              <w:rPr>
                <w:sz w:val="18"/>
                <w:szCs w:val="18"/>
                <w:color w:val="auto"/>
              </w:rPr>
            </w:pPr>
          </w:p>
        </w:tc>
        <w:tc>
          <w:tcPr>
            <w:tcW w:w="180" w:type="dxa"/>
            <w:vAlign w:val="bottom"/>
            <w:gridSpan w:val="2"/>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Borders>
              <w:top w:val="single" w:sz="8" w:color="auto"/>
              <w:bottom w:val="single" w:sz="8" w:color="auto"/>
            </w:tcBorders>
          </w:tcPr>
          <w:p>
            <w:pPr>
              <w:jc w:val="right"/>
              <w:ind w:right="29"/>
              <w:spacing w:after="0"/>
              <w:rPr>
                <w:sz w:val="20"/>
                <w:szCs w:val="20"/>
                <w:color w:val="auto"/>
              </w:rPr>
            </w:pPr>
            <w:r>
              <w:rPr>
                <w:rFonts w:ascii="Arial" w:cs="Arial" w:eastAsia="Arial" w:hAnsi="Arial"/>
                <w:sz w:val="10"/>
                <w:szCs w:val="10"/>
                <w:color w:val="auto"/>
                <w:w w:val="71"/>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42.</w:t>
            </w:r>
            <w:r>
              <w:rPr>
                <w:rFonts w:ascii="Arial" w:cs="Arial" w:eastAsia="Arial" w:hAnsi="Arial"/>
                <w:sz w:val="18"/>
                <w:szCs w:val="18"/>
                <w:u w:val="single" w:color="auto"/>
                <w:color w:val="auto"/>
              </w:rPr>
              <w:t>7</w:t>
            </w:r>
          </w:p>
        </w:tc>
        <w:tc>
          <w:tcPr>
            <w:tcW w:w="0" w:type="dxa"/>
            <w:vAlign w:val="bottom"/>
          </w:tcPr>
          <w:p>
            <w:pPr>
              <w:spacing w:after="0"/>
              <w:rPr>
                <w:sz w:val="1"/>
                <w:szCs w:val="1"/>
                <w:color w:val="auto"/>
              </w:rPr>
            </w:pPr>
          </w:p>
        </w:tc>
      </w:tr>
      <w:tr>
        <w:trPr>
          <w:trHeight w:val="20"/>
        </w:trPr>
        <w:tc>
          <w:tcPr>
            <w:tcW w:w="2480" w:type="dxa"/>
            <w:vAlign w:val="bottom"/>
          </w:tcPr>
          <w:p>
            <w:pPr>
              <w:spacing w:after="0" w:line="20" w:lineRule="exact"/>
              <w:rPr>
                <w:sz w:val="1"/>
                <w:szCs w:val="1"/>
                <w:color w:val="auto"/>
              </w:rPr>
            </w:pPr>
          </w:p>
        </w:tc>
        <w:tc>
          <w:tcPr>
            <w:tcW w:w="2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gridSpan w:val="2"/>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960" w:type="dxa"/>
            <w:vAlign w:val="bottom"/>
            <w:tcBorders>
              <w:bottom w:val="single" w:sz="8" w:color="auto"/>
            </w:tcBorders>
            <w:gridSpan w:val="3"/>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8"/>
        </w:trPr>
        <w:tc>
          <w:tcPr>
            <w:tcW w:w="2480" w:type="dxa"/>
            <w:vAlign w:val="bottom"/>
          </w:tcPr>
          <w:p>
            <w:pPr>
              <w:spacing w:after="0"/>
              <w:rPr>
                <w:sz w:val="24"/>
                <w:szCs w:val="24"/>
                <w:color w:val="auto"/>
              </w:rPr>
            </w:pPr>
          </w:p>
        </w:tc>
        <w:tc>
          <w:tcPr>
            <w:tcW w:w="2140" w:type="dxa"/>
            <w:vAlign w:val="bottom"/>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680" w:type="dxa"/>
            <w:vAlign w:val="bottom"/>
            <w:tcBorders>
              <w:bottom w:val="single" w:sz="8" w:color="auto"/>
            </w:tcBorders>
            <w:gridSpan w:val="10"/>
          </w:tcPr>
          <w:p>
            <w:pPr>
              <w:ind w:left="160"/>
              <w:spacing w:after="0"/>
              <w:rPr>
                <w:sz w:val="20"/>
                <w:szCs w:val="20"/>
                <w:color w:val="auto"/>
              </w:rPr>
            </w:pPr>
            <w:r>
              <w:rPr>
                <w:rFonts w:ascii="Arial" w:cs="Arial" w:eastAsia="Arial" w:hAnsi="Arial"/>
                <w:sz w:val="14"/>
                <w:szCs w:val="14"/>
                <w:b w:val="1"/>
                <w:bCs w:val="1"/>
                <w:color w:val="auto"/>
                <w:w w:val="94"/>
              </w:rPr>
              <w:t>For the six months ended June 30, 2022</w:t>
            </w:r>
          </w:p>
        </w:tc>
        <w:tc>
          <w:tcPr>
            <w:tcW w:w="3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2480" w:type="dxa"/>
            <w:vAlign w:val="bottom"/>
          </w:tcPr>
          <w:p>
            <w:pPr>
              <w:spacing w:after="0"/>
              <w:rPr>
                <w:sz w:val="10"/>
                <w:szCs w:val="10"/>
                <w:color w:val="auto"/>
              </w:rPr>
            </w:pPr>
          </w:p>
        </w:tc>
        <w:tc>
          <w:tcPr>
            <w:tcW w:w="2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20" w:type="dxa"/>
            <w:vAlign w:val="bottom"/>
            <w:gridSpan w:val="3"/>
            <w:vMerge w:val="restart"/>
          </w:tcPr>
          <w:p>
            <w:pPr>
              <w:jc w:val="center"/>
              <w:ind w:right="260"/>
              <w:spacing w:after="0"/>
              <w:rPr>
                <w:sz w:val="20"/>
                <w:szCs w:val="20"/>
                <w:color w:val="auto"/>
              </w:rPr>
            </w:pPr>
            <w:r>
              <w:rPr>
                <w:rFonts w:ascii="Arial" w:cs="Arial" w:eastAsia="Arial" w:hAnsi="Arial"/>
                <w:sz w:val="14"/>
                <w:szCs w:val="14"/>
                <w:b w:val="1"/>
                <w:bCs w:val="1"/>
                <w:color w:val="auto"/>
                <w:w w:val="94"/>
              </w:rPr>
              <w:t>Commercial</w:t>
            </w: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60" w:type="dxa"/>
            <w:vAlign w:val="bottom"/>
            <w:gridSpan w:val="3"/>
          </w:tcPr>
          <w:p>
            <w:pPr>
              <w:jc w:val="center"/>
              <w:ind w:right="340"/>
              <w:spacing w:after="0" w:line="119" w:lineRule="exact"/>
              <w:rPr>
                <w:sz w:val="20"/>
                <w:szCs w:val="20"/>
                <w:color w:val="auto"/>
              </w:rPr>
            </w:pPr>
            <w:r>
              <w:rPr>
                <w:rFonts w:ascii="Arial" w:cs="Arial" w:eastAsia="Arial" w:hAnsi="Arial"/>
                <w:sz w:val="13"/>
                <w:szCs w:val="13"/>
                <w:b w:val="1"/>
                <w:bCs w:val="1"/>
                <w:color w:val="auto"/>
              </w:rPr>
              <w:t>Direct</w:t>
            </w: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0" w:type="dxa"/>
            <w:vAlign w:val="bottom"/>
            <w:gridSpan w:val="3"/>
            <w:vMerge w:val="restart"/>
          </w:tcPr>
          <w:p>
            <w:pPr>
              <w:jc w:val="right"/>
              <w:ind w:right="300"/>
              <w:spacing w:after="0"/>
              <w:rPr>
                <w:sz w:val="20"/>
                <w:szCs w:val="20"/>
                <w:color w:val="auto"/>
              </w:rPr>
            </w:pPr>
            <w:r>
              <w:rPr>
                <w:rFonts w:ascii="Arial" w:cs="Arial" w:eastAsia="Arial" w:hAnsi="Arial"/>
                <w:sz w:val="14"/>
                <w:szCs w:val="14"/>
                <w:b w:val="1"/>
                <w:bCs w:val="1"/>
                <w:color w:val="auto"/>
                <w:w w:val="90"/>
              </w:rPr>
              <w:t>Residential</w:t>
            </w:r>
          </w:p>
        </w:tc>
        <w:tc>
          <w:tcPr>
            <w:tcW w:w="40" w:type="dxa"/>
            <w:vAlign w:val="bottom"/>
          </w:tcPr>
          <w:p>
            <w:pPr>
              <w:spacing w:after="0"/>
              <w:rPr>
                <w:sz w:val="10"/>
                <w:szCs w:val="10"/>
                <w:color w:val="auto"/>
              </w:rPr>
            </w:pPr>
          </w:p>
        </w:tc>
        <w:tc>
          <w:tcPr>
            <w:tcW w:w="940" w:type="dxa"/>
            <w:vAlign w:val="bottom"/>
            <w:gridSpan w:val="3"/>
            <w:vMerge w:val="restart"/>
          </w:tcPr>
          <w:p>
            <w:pPr>
              <w:jc w:val="right"/>
              <w:ind w:right="120"/>
              <w:spacing w:after="0"/>
              <w:rPr>
                <w:sz w:val="20"/>
                <w:szCs w:val="20"/>
                <w:color w:val="auto"/>
              </w:rPr>
            </w:pPr>
            <w:r>
              <w:rPr>
                <w:rFonts w:ascii="Arial" w:cs="Arial" w:eastAsia="Arial" w:hAnsi="Arial"/>
                <w:sz w:val="14"/>
                <w:szCs w:val="14"/>
                <w:b w:val="1"/>
                <w:bCs w:val="1"/>
                <w:color w:val="auto"/>
                <w:w w:val="95"/>
              </w:rPr>
              <w:t>Reinsurance</w:t>
            </w:r>
          </w:p>
        </w:tc>
        <w:tc>
          <w:tcPr>
            <w:tcW w:w="1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8"/>
        </w:trPr>
        <w:tc>
          <w:tcPr>
            <w:tcW w:w="2480" w:type="dxa"/>
            <w:vAlign w:val="bottom"/>
          </w:tcPr>
          <w:p>
            <w:pPr>
              <w:spacing w:after="0"/>
              <w:rPr>
                <w:sz w:val="12"/>
                <w:szCs w:val="12"/>
                <w:color w:val="auto"/>
              </w:rPr>
            </w:pPr>
          </w:p>
        </w:tc>
        <w:tc>
          <w:tcPr>
            <w:tcW w:w="2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gridSpan w:val="3"/>
            <w:vMerge w:val="continue"/>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60" w:type="dxa"/>
            <w:vAlign w:val="bottom"/>
            <w:gridSpan w:val="3"/>
          </w:tcPr>
          <w:p>
            <w:pPr>
              <w:jc w:val="center"/>
              <w:ind w:right="340"/>
              <w:spacing w:after="0" w:line="149" w:lineRule="exact"/>
              <w:rPr>
                <w:sz w:val="20"/>
                <w:szCs w:val="20"/>
                <w:color w:val="auto"/>
              </w:rPr>
            </w:pPr>
            <w:r>
              <w:rPr>
                <w:rFonts w:ascii="Arial" w:cs="Arial" w:eastAsia="Arial" w:hAnsi="Arial"/>
                <w:sz w:val="14"/>
                <w:szCs w:val="14"/>
                <w:b w:val="1"/>
                <w:bCs w:val="1"/>
                <w:color w:val="auto"/>
                <w:w w:val="93"/>
              </w:rPr>
              <w:t>financing</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gridSpan w:val="3"/>
            <w:vMerge w:val="continue"/>
          </w:tcPr>
          <w:p>
            <w:pPr>
              <w:spacing w:after="0"/>
              <w:rPr>
                <w:sz w:val="12"/>
                <w:szCs w:val="12"/>
                <w:color w:val="auto"/>
              </w:rPr>
            </w:pPr>
          </w:p>
        </w:tc>
        <w:tc>
          <w:tcPr>
            <w:tcW w:w="40" w:type="dxa"/>
            <w:vAlign w:val="bottom"/>
          </w:tcPr>
          <w:p>
            <w:pPr>
              <w:spacing w:after="0"/>
              <w:rPr>
                <w:sz w:val="12"/>
                <w:szCs w:val="12"/>
                <w:color w:val="auto"/>
              </w:rPr>
            </w:pPr>
          </w:p>
        </w:tc>
        <w:tc>
          <w:tcPr>
            <w:tcW w:w="940" w:type="dxa"/>
            <w:vAlign w:val="bottom"/>
            <w:gridSpan w:val="3"/>
            <w:vMerge w:val="continue"/>
          </w:tcPr>
          <w:p>
            <w:pPr>
              <w:spacing w:after="0"/>
              <w:rPr>
                <w:sz w:val="12"/>
                <w:szCs w:val="12"/>
                <w:color w:val="auto"/>
              </w:rPr>
            </w:pPr>
          </w:p>
        </w:tc>
        <w:tc>
          <w:tcPr>
            <w:tcW w:w="1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vMerge w:val="restart"/>
          </w:tcPr>
          <w:p>
            <w:pPr>
              <w:ind w:left="6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71"/>
        </w:trPr>
        <w:tc>
          <w:tcPr>
            <w:tcW w:w="2480" w:type="dxa"/>
            <w:vAlign w:val="bottom"/>
          </w:tcPr>
          <w:p>
            <w:pPr>
              <w:spacing w:after="0"/>
              <w:rPr>
                <w:sz w:val="14"/>
                <w:szCs w:val="14"/>
                <w:color w:val="auto"/>
              </w:rPr>
            </w:pPr>
          </w:p>
        </w:tc>
        <w:tc>
          <w:tcPr>
            <w:tcW w:w="2140" w:type="dxa"/>
            <w:vAlign w:val="bottom"/>
          </w:tcPr>
          <w:p>
            <w:pPr>
              <w:spacing w:after="0"/>
              <w:rPr>
                <w:sz w:val="14"/>
                <w:szCs w:val="14"/>
                <w:color w:val="auto"/>
              </w:rPr>
            </w:pPr>
          </w:p>
        </w:tc>
        <w:tc>
          <w:tcPr>
            <w:tcW w:w="1120" w:type="dxa"/>
            <w:vAlign w:val="bottom"/>
            <w:gridSpan w:val="5"/>
          </w:tcPr>
          <w:p>
            <w:pPr>
              <w:jc w:val="center"/>
              <w:ind w:right="180"/>
              <w:spacing w:after="0"/>
              <w:rPr>
                <w:sz w:val="20"/>
                <w:szCs w:val="20"/>
                <w:color w:val="auto"/>
              </w:rPr>
            </w:pPr>
            <w:r>
              <w:rPr>
                <w:rFonts w:ascii="Arial" w:cs="Arial" w:eastAsia="Arial" w:hAnsi="Arial"/>
                <w:sz w:val="14"/>
                <w:szCs w:val="14"/>
                <w:b w:val="1"/>
                <w:bCs w:val="1"/>
                <w:color w:val="auto"/>
                <w:w w:val="90"/>
              </w:rPr>
              <w:t>mortgage loans</w:t>
            </w: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60" w:type="dxa"/>
            <w:vAlign w:val="bottom"/>
            <w:gridSpan w:val="3"/>
          </w:tcPr>
          <w:p>
            <w:pPr>
              <w:ind w:left="140"/>
              <w:spacing w:after="0"/>
              <w:rPr>
                <w:sz w:val="20"/>
                <w:szCs w:val="20"/>
                <w:color w:val="auto"/>
              </w:rPr>
            </w:pPr>
            <w:r>
              <w:rPr>
                <w:rFonts w:ascii="Arial" w:cs="Arial" w:eastAsia="Arial" w:hAnsi="Arial"/>
                <w:sz w:val="14"/>
                <w:szCs w:val="14"/>
                <w:b w:val="1"/>
                <w:bCs w:val="1"/>
                <w:color w:val="auto"/>
              </w:rPr>
              <w:t>leases</w:t>
            </w:r>
          </w:p>
        </w:tc>
        <w:tc>
          <w:tcPr>
            <w:tcW w:w="1120" w:type="dxa"/>
            <w:vAlign w:val="bottom"/>
            <w:gridSpan w:val="5"/>
          </w:tcPr>
          <w:p>
            <w:pPr>
              <w:spacing w:after="0"/>
              <w:rPr>
                <w:sz w:val="20"/>
                <w:szCs w:val="20"/>
                <w:color w:val="auto"/>
              </w:rPr>
            </w:pPr>
            <w:r>
              <w:rPr>
                <w:rFonts w:ascii="Arial" w:cs="Arial" w:eastAsia="Arial" w:hAnsi="Arial"/>
                <w:sz w:val="14"/>
                <w:szCs w:val="14"/>
                <w:b w:val="1"/>
                <w:bCs w:val="1"/>
                <w:color w:val="auto"/>
              </w:rPr>
              <w:t>mortgage loans</w:t>
            </w:r>
          </w:p>
        </w:tc>
        <w:tc>
          <w:tcPr>
            <w:tcW w:w="40" w:type="dxa"/>
            <w:vAlign w:val="bottom"/>
          </w:tcPr>
          <w:p>
            <w:pPr>
              <w:spacing w:after="0"/>
              <w:rPr>
                <w:sz w:val="14"/>
                <w:szCs w:val="14"/>
                <w:color w:val="auto"/>
              </w:rPr>
            </w:pPr>
          </w:p>
        </w:tc>
        <w:tc>
          <w:tcPr>
            <w:tcW w:w="940" w:type="dxa"/>
            <w:vAlign w:val="bottom"/>
            <w:gridSpan w:val="3"/>
          </w:tcPr>
          <w:p>
            <w:pPr>
              <w:jc w:val="right"/>
              <w:ind w:right="120"/>
              <w:spacing w:after="0"/>
              <w:rPr>
                <w:sz w:val="20"/>
                <w:szCs w:val="20"/>
                <w:color w:val="auto"/>
              </w:rPr>
            </w:pPr>
            <w:r>
              <w:rPr>
                <w:rFonts w:ascii="Arial" w:cs="Arial" w:eastAsia="Arial" w:hAnsi="Arial"/>
                <w:sz w:val="14"/>
                <w:szCs w:val="14"/>
                <w:b w:val="1"/>
                <w:bCs w:val="1"/>
                <w:color w:val="auto"/>
                <w:w w:val="92"/>
              </w:rPr>
              <w:t>recoverables</w:t>
            </w:r>
          </w:p>
        </w:tc>
        <w:tc>
          <w:tcPr>
            <w:tcW w:w="1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28"/>
        </w:trPr>
        <w:tc>
          <w:tcPr>
            <w:tcW w:w="2480" w:type="dxa"/>
            <w:vAlign w:val="bottom"/>
          </w:tcPr>
          <w:p>
            <w:pPr>
              <w:spacing w:after="0"/>
              <w:rPr>
                <w:sz w:val="11"/>
                <w:szCs w:val="11"/>
                <w:color w:val="auto"/>
              </w:rPr>
            </w:pPr>
          </w:p>
        </w:tc>
        <w:tc>
          <w:tcPr>
            <w:tcW w:w="2140" w:type="dxa"/>
            <w:vAlign w:val="bottom"/>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86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78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940" w:type="dxa"/>
            <w:vAlign w:val="bottom"/>
            <w:tcBorders>
              <w:top w:val="single" w:sz="8" w:color="auto"/>
            </w:tcBorders>
            <w:gridSpan w:val="2"/>
          </w:tcPr>
          <w:p>
            <w:pPr>
              <w:jc w:val="right"/>
              <w:ind w:right="54"/>
              <w:spacing w:after="0" w:line="129" w:lineRule="exact"/>
              <w:rPr>
                <w:sz w:val="20"/>
                <w:szCs w:val="20"/>
                <w:color w:val="auto"/>
              </w:rPr>
            </w:pPr>
            <w:r>
              <w:rPr>
                <w:rFonts w:ascii="Arial" w:cs="Arial" w:eastAsia="Arial" w:hAnsi="Arial"/>
                <w:sz w:val="14"/>
                <w:szCs w:val="14"/>
                <w:i w:val="1"/>
                <w:iCs w:val="1"/>
                <w:color w:val="auto"/>
              </w:rPr>
              <w:t>(in millions)</w:t>
            </w:r>
          </w:p>
        </w:tc>
        <w:tc>
          <w:tcPr>
            <w:tcW w:w="160" w:type="dxa"/>
            <w:vAlign w:val="bottom"/>
            <w:gridSpan w:val="2"/>
          </w:tcPr>
          <w:p>
            <w:pPr>
              <w:spacing w:after="0"/>
              <w:rPr>
                <w:sz w:val="11"/>
                <w:szCs w:val="11"/>
                <w:color w:val="auto"/>
              </w:rPr>
            </w:pPr>
          </w:p>
        </w:tc>
        <w:tc>
          <w:tcPr>
            <w:tcW w:w="40" w:type="dxa"/>
            <w:vAlign w:val="bottom"/>
            <w:tcBorders>
              <w:top w:val="single" w:sz="8" w:color="auto"/>
            </w:tcBorders>
          </w:tcPr>
          <w:p>
            <w:pPr>
              <w:spacing w:after="0"/>
              <w:rPr>
                <w:sz w:val="11"/>
                <w:szCs w:val="11"/>
                <w:color w:val="auto"/>
              </w:rPr>
            </w:pPr>
          </w:p>
        </w:tc>
        <w:tc>
          <w:tcPr>
            <w:tcW w:w="560" w:type="dxa"/>
            <w:vAlign w:val="bottom"/>
            <w:tcBorders>
              <w:top w:val="single" w:sz="8" w:color="auto"/>
            </w:tcBorders>
          </w:tcPr>
          <w:p>
            <w:pPr>
              <w:spacing w:after="0"/>
              <w:rPr>
                <w:sz w:val="11"/>
                <w:szCs w:val="11"/>
                <w:color w:val="auto"/>
              </w:rPr>
            </w:pPr>
          </w:p>
        </w:tc>
        <w:tc>
          <w:tcPr>
            <w:tcW w:w="36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620" w:type="dxa"/>
            <w:vAlign w:val="bottom"/>
            <w:tcBorders>
              <w:top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46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Beginning balance</w:t>
            </w:r>
          </w:p>
        </w:tc>
        <w:tc>
          <w:tcPr>
            <w:tcW w:w="1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w w:val="79"/>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43.9</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0.4</w:t>
            </w: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w w:val="99"/>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2.0</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428"/>
              <w:spacing w:after="0"/>
              <w:rPr>
                <w:sz w:val="20"/>
                <w:szCs w:val="20"/>
                <w:color w:val="auto"/>
              </w:rPr>
            </w:pPr>
            <w:r>
              <w:rPr>
                <w:rFonts w:ascii="Arial" w:cs="Arial" w:eastAsia="Arial" w:hAnsi="Arial"/>
                <w:sz w:val="18"/>
                <w:szCs w:val="18"/>
                <w:b w:val="1"/>
                <w:bCs w:val="1"/>
                <w:color w:val="auto"/>
                <w:w w:val="79"/>
              </w:rPr>
              <w:t>$</w:t>
            </w: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2.7</w:t>
            </w:r>
          </w:p>
        </w:tc>
        <w:tc>
          <w:tcPr>
            <w:tcW w:w="20" w:type="dxa"/>
            <w:vAlign w:val="bottom"/>
            <w:shd w:val="clear" w:color="auto" w:fill="CCEEFF"/>
          </w:tcPr>
          <w:p>
            <w:pPr>
              <w:spacing w:after="0"/>
              <w:rPr>
                <w:sz w:val="18"/>
                <w:szCs w:val="18"/>
                <w:color w:val="auto"/>
              </w:rPr>
            </w:pPr>
          </w:p>
        </w:tc>
        <w:tc>
          <w:tcPr>
            <w:tcW w:w="340" w:type="dxa"/>
            <w:vAlign w:val="bottom"/>
            <w:gridSpan w:val="4"/>
            <w:shd w:val="clear" w:color="auto" w:fill="CCEEFF"/>
          </w:tcPr>
          <w:p>
            <w:pPr>
              <w:jc w:val="right"/>
              <w:ind w:right="49"/>
              <w:spacing w:after="0"/>
              <w:rPr>
                <w:sz w:val="20"/>
                <w:szCs w:val="20"/>
                <w:color w:val="auto"/>
              </w:rPr>
            </w:pPr>
            <w:r>
              <w:rPr>
                <w:rFonts w:ascii="Arial" w:cs="Arial" w:eastAsia="Arial" w:hAnsi="Arial"/>
                <w:sz w:val="18"/>
                <w:szCs w:val="18"/>
                <w:b w:val="1"/>
                <w:bCs w:val="1"/>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49.0</w:t>
            </w:r>
          </w:p>
        </w:tc>
        <w:tc>
          <w:tcPr>
            <w:tcW w:w="0" w:type="dxa"/>
            <w:vAlign w:val="bottom"/>
          </w:tcPr>
          <w:p>
            <w:pPr>
              <w:spacing w:after="0"/>
              <w:rPr>
                <w:sz w:val="1"/>
                <w:szCs w:val="1"/>
                <w:color w:val="auto"/>
              </w:rPr>
            </w:pPr>
          </w:p>
        </w:tc>
      </w:tr>
      <w:tr>
        <w:trPr>
          <w:trHeight w:val="216"/>
        </w:trPr>
        <w:tc>
          <w:tcPr>
            <w:tcW w:w="4620" w:type="dxa"/>
            <w:vAlign w:val="bottom"/>
            <w:gridSpan w:val="2"/>
          </w:tcPr>
          <w:p>
            <w:pPr>
              <w:spacing w:after="0"/>
              <w:rPr>
                <w:sz w:val="20"/>
                <w:szCs w:val="20"/>
                <w:color w:val="auto"/>
              </w:rPr>
            </w:pPr>
            <w:r>
              <w:rPr>
                <w:rFonts w:ascii="Arial" w:cs="Arial" w:eastAsia="Arial" w:hAnsi="Arial"/>
                <w:sz w:val="18"/>
                <w:szCs w:val="18"/>
                <w:color w:val="auto"/>
              </w:rPr>
              <w:t>Provision</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19.9</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(0.1)</w:t>
            </w: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(1.6)</w:t>
            </w: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8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w w:val="91"/>
              </w:rPr>
              <w:t>(0.1)</w:t>
            </w: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b w:val="1"/>
                <w:bCs w:val="1"/>
                <w:color w:val="auto"/>
              </w:rPr>
              <w:t>18.1</w:t>
            </w:r>
          </w:p>
        </w:tc>
        <w:tc>
          <w:tcPr>
            <w:tcW w:w="0" w:type="dxa"/>
            <w:vAlign w:val="bottom"/>
          </w:tcPr>
          <w:p>
            <w:pPr>
              <w:spacing w:after="0"/>
              <w:rPr>
                <w:sz w:val="1"/>
                <w:szCs w:val="1"/>
                <w:color w:val="auto"/>
              </w:rPr>
            </w:pPr>
          </w:p>
        </w:tc>
      </w:tr>
      <w:tr>
        <w:trPr>
          <w:trHeight w:val="216"/>
        </w:trPr>
        <w:tc>
          <w:tcPr>
            <w:tcW w:w="46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Charge-offs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2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(0.1)</w:t>
            </w:r>
          </w:p>
        </w:tc>
        <w:tc>
          <w:tcPr>
            <w:tcW w:w="1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w:t>
            </w:r>
          </w:p>
        </w:tc>
        <w:tc>
          <w:tcPr>
            <w:tcW w:w="1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(0.1)</w:t>
            </w:r>
          </w:p>
        </w:tc>
        <w:tc>
          <w:tcPr>
            <w:tcW w:w="0" w:type="dxa"/>
            <w:vAlign w:val="bottom"/>
          </w:tcPr>
          <w:p>
            <w:pPr>
              <w:spacing w:after="0"/>
              <w:rPr>
                <w:sz w:val="1"/>
                <w:szCs w:val="1"/>
                <w:color w:val="auto"/>
              </w:rPr>
            </w:pPr>
          </w:p>
        </w:tc>
      </w:tr>
      <w:tr>
        <w:trPr>
          <w:trHeight w:val="216"/>
        </w:trPr>
        <w:tc>
          <w:tcPr>
            <w:tcW w:w="4620" w:type="dxa"/>
            <w:vAlign w:val="bottom"/>
            <w:gridSpan w:val="2"/>
          </w:tcPr>
          <w:p>
            <w:pPr>
              <w:spacing w:after="0"/>
              <w:rPr>
                <w:sz w:val="20"/>
                <w:szCs w:val="20"/>
                <w:color w:val="auto"/>
              </w:rPr>
            </w:pPr>
            <w:r>
              <w:rPr>
                <w:rFonts w:ascii="Arial" w:cs="Arial" w:eastAsia="Arial" w:hAnsi="Arial"/>
                <w:sz w:val="18"/>
                <w:szCs w:val="18"/>
                <w:color w:val="auto"/>
              </w:rPr>
              <w:t>Recoveries</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20" w:type="dxa"/>
            <w:vAlign w:val="bottom"/>
            <w:gridSpan w:val="3"/>
          </w:tcPr>
          <w:p>
            <w:pPr>
              <w:jc w:val="right"/>
              <w:ind w:right="220"/>
              <w:spacing w:after="0"/>
              <w:rPr>
                <w:sz w:val="20"/>
                <w:szCs w:val="20"/>
                <w:color w:val="auto"/>
              </w:rPr>
            </w:pPr>
            <w:r>
              <w:rPr>
                <w:rFonts w:ascii="Arial" w:cs="Arial" w:eastAsia="Arial" w:hAnsi="Arial"/>
                <w:sz w:val="18"/>
                <w:szCs w:val="18"/>
                <w:b w:val="1"/>
                <w:bCs w:val="1"/>
                <w:color w:val="auto"/>
              </w:rPr>
              <w:t>—</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gridSpan w:val="3"/>
          </w:tcPr>
          <w:p>
            <w:pPr>
              <w:jc w:val="right"/>
              <w:ind w:right="240"/>
              <w:spacing w:after="0"/>
              <w:rPr>
                <w:sz w:val="20"/>
                <w:szCs w:val="20"/>
                <w:color w:val="auto"/>
              </w:rPr>
            </w:pPr>
            <w:r>
              <w:rPr>
                <w:rFonts w:ascii="Arial" w:cs="Arial" w:eastAsia="Arial" w:hAnsi="Arial"/>
                <w:sz w:val="18"/>
                <w:szCs w:val="18"/>
                <w:b w:val="1"/>
                <w:bCs w:val="1"/>
                <w:color w:val="auto"/>
              </w:rPr>
              <w:t>—</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b w:val="1"/>
                <w:bCs w:val="1"/>
                <w:color w:val="auto"/>
              </w:rPr>
              <w:t>1.4</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8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b w:val="1"/>
                <w:bCs w:val="1"/>
                <w:color w:val="auto"/>
              </w:rPr>
              <w:t>1.4</w:t>
            </w:r>
          </w:p>
        </w:tc>
        <w:tc>
          <w:tcPr>
            <w:tcW w:w="0" w:type="dxa"/>
            <w:vAlign w:val="bottom"/>
          </w:tcPr>
          <w:p>
            <w:pPr>
              <w:spacing w:after="0"/>
              <w:rPr>
                <w:sz w:val="1"/>
                <w:szCs w:val="1"/>
                <w:color w:val="auto"/>
              </w:rPr>
            </w:pPr>
          </w:p>
        </w:tc>
      </w:tr>
      <w:tr>
        <w:trPr>
          <w:trHeight w:val="216"/>
        </w:trPr>
        <w:tc>
          <w:tcPr>
            <w:tcW w:w="46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Foreign currency translation adjustment</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(0.2)</w:t>
            </w:r>
          </w:p>
        </w:tc>
        <w:tc>
          <w:tcPr>
            <w:tcW w:w="1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w:t>
            </w:r>
          </w:p>
        </w:tc>
        <w:tc>
          <w:tcPr>
            <w:tcW w:w="1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(0.2)</w:t>
            </w:r>
          </w:p>
        </w:tc>
        <w:tc>
          <w:tcPr>
            <w:tcW w:w="0" w:type="dxa"/>
            <w:vAlign w:val="bottom"/>
          </w:tcPr>
          <w:p>
            <w:pPr>
              <w:spacing w:after="0"/>
              <w:rPr>
                <w:sz w:val="1"/>
                <w:szCs w:val="1"/>
                <w:color w:val="auto"/>
              </w:rPr>
            </w:pPr>
          </w:p>
        </w:tc>
      </w:tr>
      <w:tr>
        <w:trPr>
          <w:trHeight w:val="210"/>
        </w:trPr>
        <w:tc>
          <w:tcPr>
            <w:tcW w:w="4620" w:type="dxa"/>
            <w:vAlign w:val="bottom"/>
            <w:gridSpan w:val="2"/>
          </w:tcPr>
          <w:p>
            <w:pPr>
              <w:spacing w:after="0"/>
              <w:rPr>
                <w:sz w:val="20"/>
                <w:szCs w:val="20"/>
                <w:color w:val="auto"/>
              </w:rPr>
            </w:pPr>
            <w:r>
              <w:rPr>
                <w:rFonts w:ascii="Arial" w:cs="Arial" w:eastAsia="Arial" w:hAnsi="Arial"/>
                <w:sz w:val="18"/>
                <w:szCs w:val="18"/>
                <w:color w:val="auto"/>
              </w:rPr>
              <w:t>Ending balance</w:t>
            </w:r>
          </w:p>
        </w:tc>
        <w:tc>
          <w:tcPr>
            <w:tcW w:w="100" w:type="dxa"/>
            <w:vAlign w:val="bottom"/>
            <w:tcBorders>
              <w:top w:val="single" w:sz="8" w:color="auto"/>
              <w:bottom w:val="single" w:sz="8" w:color="auto"/>
            </w:tcBorders>
            <w:gridSpan w:val="2"/>
          </w:tcPr>
          <w:p>
            <w:pPr>
              <w:spacing w:after="0"/>
              <w:rPr>
                <w:sz w:val="20"/>
                <w:szCs w:val="20"/>
                <w:color w:val="auto"/>
              </w:rPr>
            </w:pPr>
            <w:r>
              <w:rPr>
                <w:rFonts w:ascii="Arial" w:cs="Arial" w:eastAsia="Arial" w:hAnsi="Arial"/>
                <w:sz w:val="18"/>
                <w:szCs w:val="18"/>
                <w:b w:val="1"/>
                <w:bCs w:val="1"/>
                <w:color w:val="auto"/>
                <w:w w:val="79"/>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63.6</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b w:val="1"/>
                <w:bCs w:val="1"/>
                <w:color w:val="auto"/>
                <w:w w:val="79"/>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0.3</w:t>
            </w: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Borders>
              <w:top w:val="single" w:sz="8" w:color="auto"/>
              <w:bottom w:val="single" w:sz="8" w:color="auto"/>
            </w:tcBorders>
            <w:gridSpan w:val="2"/>
          </w:tcPr>
          <w:p>
            <w:pPr>
              <w:spacing w:after="0"/>
              <w:rPr>
                <w:sz w:val="20"/>
                <w:szCs w:val="20"/>
                <w:color w:val="auto"/>
              </w:rPr>
            </w:pPr>
            <w:r>
              <w:rPr>
                <w:rFonts w:ascii="Arial" w:cs="Arial" w:eastAsia="Arial" w:hAnsi="Arial"/>
                <w:sz w:val="18"/>
                <w:szCs w:val="18"/>
                <w:b w:val="1"/>
                <w:bCs w:val="1"/>
                <w:color w:val="auto"/>
                <w:w w:val="99"/>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1.7</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Borders>
              <w:top w:val="single" w:sz="8" w:color="auto"/>
              <w:bottom w:val="single" w:sz="8" w:color="auto"/>
            </w:tcBorders>
            <w:gridSpan w:val="2"/>
          </w:tcPr>
          <w:p>
            <w:pPr>
              <w:jc w:val="right"/>
              <w:ind w:right="428"/>
              <w:spacing w:after="0"/>
              <w:rPr>
                <w:sz w:val="20"/>
                <w:szCs w:val="20"/>
                <w:color w:val="auto"/>
              </w:rPr>
            </w:pPr>
            <w:r>
              <w:rPr>
                <w:rFonts w:ascii="Arial" w:cs="Arial" w:eastAsia="Arial" w:hAnsi="Arial"/>
                <w:sz w:val="18"/>
                <w:szCs w:val="18"/>
                <w:b w:val="1"/>
                <w:bCs w:val="1"/>
                <w:color w:val="auto"/>
                <w:w w:val="79"/>
              </w:rPr>
              <w:t>$</w:t>
            </w:r>
          </w:p>
        </w:tc>
        <w:tc>
          <w:tcPr>
            <w:tcW w:w="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2.6</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0" w:type="dxa"/>
            <w:vAlign w:val="bottom"/>
            <w:tcBorders>
              <w:top w:val="single" w:sz="8" w:color="auto"/>
              <w:bottom w:val="single" w:sz="8" w:color="auto"/>
            </w:tcBorders>
            <w:gridSpan w:val="3"/>
          </w:tcPr>
          <w:p>
            <w:pPr>
              <w:jc w:val="right"/>
              <w:ind w:right="49"/>
              <w:spacing w:after="0"/>
              <w:rPr>
                <w:sz w:val="20"/>
                <w:szCs w:val="20"/>
                <w:color w:val="auto"/>
              </w:rPr>
            </w:pPr>
            <w:r>
              <w:rPr>
                <w:rFonts w:ascii="Arial" w:cs="Arial" w:eastAsia="Arial" w:hAnsi="Arial"/>
                <w:sz w:val="18"/>
                <w:szCs w:val="18"/>
                <w:b w:val="1"/>
                <w:bCs w:val="1"/>
                <w:color w:val="auto"/>
                <w:w w:val="79"/>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68.2</w:t>
            </w:r>
          </w:p>
        </w:tc>
        <w:tc>
          <w:tcPr>
            <w:tcW w:w="0" w:type="dxa"/>
            <w:vAlign w:val="bottom"/>
          </w:tcPr>
          <w:p>
            <w:pPr>
              <w:spacing w:after="0"/>
              <w:rPr>
                <w:sz w:val="1"/>
                <w:szCs w:val="1"/>
                <w:color w:val="auto"/>
              </w:rPr>
            </w:pPr>
          </w:p>
        </w:tc>
      </w:tr>
      <w:tr>
        <w:trPr>
          <w:trHeight w:val="20"/>
        </w:trPr>
        <w:tc>
          <w:tcPr>
            <w:tcW w:w="2480" w:type="dxa"/>
            <w:vAlign w:val="bottom"/>
          </w:tcPr>
          <w:p>
            <w:pPr>
              <w:spacing w:after="0" w:line="20" w:lineRule="exact"/>
              <w:rPr>
                <w:sz w:val="1"/>
                <w:szCs w:val="1"/>
                <w:color w:val="auto"/>
              </w:rPr>
            </w:pPr>
          </w:p>
        </w:tc>
        <w:tc>
          <w:tcPr>
            <w:tcW w:w="214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960" w:type="dxa"/>
            <w:vAlign w:val="bottom"/>
            <w:tcBorders>
              <w:bottom w:val="single" w:sz="8" w:color="auto"/>
            </w:tcBorders>
            <w:gridSpan w:val="3"/>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600" w:type="dxa"/>
            <w:vAlign w:val="bottom"/>
            <w:tcBorders>
              <w:bottom w:val="single" w:sz="8" w:color="auto"/>
            </w:tcBorders>
            <w:gridSpan w:val="2"/>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8"/>
        </w:trPr>
        <w:tc>
          <w:tcPr>
            <w:tcW w:w="2480" w:type="dxa"/>
            <w:vAlign w:val="bottom"/>
          </w:tcPr>
          <w:p>
            <w:pPr>
              <w:spacing w:after="0"/>
              <w:rPr>
                <w:sz w:val="24"/>
                <w:szCs w:val="24"/>
                <w:color w:val="auto"/>
              </w:rPr>
            </w:pPr>
          </w:p>
        </w:tc>
        <w:tc>
          <w:tcPr>
            <w:tcW w:w="2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680" w:type="dxa"/>
            <w:vAlign w:val="bottom"/>
            <w:tcBorders>
              <w:bottom w:val="single" w:sz="8" w:color="auto"/>
            </w:tcBorders>
            <w:gridSpan w:val="10"/>
          </w:tcPr>
          <w:p>
            <w:pPr>
              <w:ind w:left="160"/>
              <w:spacing w:after="0"/>
              <w:rPr>
                <w:sz w:val="20"/>
                <w:szCs w:val="20"/>
                <w:color w:val="auto"/>
              </w:rPr>
            </w:pPr>
            <w:r>
              <w:rPr>
                <w:rFonts w:ascii="Arial" w:cs="Arial" w:eastAsia="Arial" w:hAnsi="Arial"/>
                <w:sz w:val="14"/>
                <w:szCs w:val="14"/>
                <w:b w:val="1"/>
                <w:bCs w:val="1"/>
                <w:color w:val="auto"/>
                <w:w w:val="94"/>
              </w:rPr>
              <w:t>For the six months ended June 30, 2021</w:t>
            </w:r>
          </w:p>
        </w:tc>
        <w:tc>
          <w:tcPr>
            <w:tcW w:w="3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2480" w:type="dxa"/>
            <w:vAlign w:val="bottom"/>
          </w:tcPr>
          <w:p>
            <w:pPr>
              <w:spacing w:after="0"/>
              <w:rPr>
                <w:sz w:val="10"/>
                <w:szCs w:val="10"/>
                <w:color w:val="auto"/>
              </w:rPr>
            </w:pPr>
          </w:p>
        </w:tc>
        <w:tc>
          <w:tcPr>
            <w:tcW w:w="2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20" w:type="dxa"/>
            <w:vAlign w:val="bottom"/>
            <w:gridSpan w:val="3"/>
            <w:vMerge w:val="restart"/>
          </w:tcPr>
          <w:p>
            <w:pPr>
              <w:jc w:val="center"/>
              <w:ind w:right="240"/>
              <w:spacing w:after="0"/>
              <w:rPr>
                <w:sz w:val="20"/>
                <w:szCs w:val="20"/>
                <w:color w:val="auto"/>
              </w:rPr>
            </w:pPr>
            <w:r>
              <w:rPr>
                <w:rFonts w:ascii="Arial" w:cs="Arial" w:eastAsia="Arial" w:hAnsi="Arial"/>
                <w:sz w:val="14"/>
                <w:szCs w:val="14"/>
                <w:b w:val="1"/>
                <w:bCs w:val="1"/>
                <w:color w:val="auto"/>
                <w:w w:val="92"/>
              </w:rPr>
              <w:t>Commercial</w:t>
            </w: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60" w:type="dxa"/>
            <w:vAlign w:val="bottom"/>
            <w:gridSpan w:val="3"/>
          </w:tcPr>
          <w:p>
            <w:pPr>
              <w:ind w:left="140"/>
              <w:spacing w:after="0" w:line="119" w:lineRule="exact"/>
              <w:rPr>
                <w:sz w:val="20"/>
                <w:szCs w:val="20"/>
                <w:color w:val="auto"/>
              </w:rPr>
            </w:pPr>
            <w:r>
              <w:rPr>
                <w:rFonts w:ascii="Arial" w:cs="Arial" w:eastAsia="Arial" w:hAnsi="Arial"/>
                <w:sz w:val="13"/>
                <w:szCs w:val="13"/>
                <w:b w:val="1"/>
                <w:bCs w:val="1"/>
                <w:color w:val="auto"/>
              </w:rPr>
              <w:t>Direct</w:t>
            </w: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0" w:type="dxa"/>
            <w:vAlign w:val="bottom"/>
            <w:gridSpan w:val="3"/>
            <w:vMerge w:val="restart"/>
          </w:tcPr>
          <w:p>
            <w:pPr>
              <w:jc w:val="center"/>
              <w:ind w:right="240"/>
              <w:spacing w:after="0"/>
              <w:rPr>
                <w:sz w:val="20"/>
                <w:szCs w:val="20"/>
                <w:color w:val="auto"/>
              </w:rPr>
            </w:pPr>
            <w:r>
              <w:rPr>
                <w:rFonts w:ascii="Arial" w:cs="Arial" w:eastAsia="Arial" w:hAnsi="Arial"/>
                <w:sz w:val="14"/>
                <w:szCs w:val="14"/>
                <w:b w:val="1"/>
                <w:bCs w:val="1"/>
                <w:color w:val="auto"/>
                <w:w w:val="90"/>
              </w:rPr>
              <w:t>Residential</w:t>
            </w:r>
          </w:p>
        </w:tc>
        <w:tc>
          <w:tcPr>
            <w:tcW w:w="40" w:type="dxa"/>
            <w:vAlign w:val="bottom"/>
          </w:tcPr>
          <w:p>
            <w:pPr>
              <w:spacing w:after="0"/>
              <w:rPr>
                <w:sz w:val="10"/>
                <w:szCs w:val="10"/>
                <w:color w:val="auto"/>
              </w:rPr>
            </w:pPr>
          </w:p>
        </w:tc>
        <w:tc>
          <w:tcPr>
            <w:tcW w:w="940" w:type="dxa"/>
            <w:vAlign w:val="bottom"/>
            <w:gridSpan w:val="3"/>
            <w:vMerge w:val="restart"/>
          </w:tcPr>
          <w:p>
            <w:pPr>
              <w:jc w:val="right"/>
              <w:ind w:right="100"/>
              <w:spacing w:after="0"/>
              <w:rPr>
                <w:sz w:val="20"/>
                <w:szCs w:val="20"/>
                <w:color w:val="auto"/>
              </w:rPr>
            </w:pPr>
            <w:r>
              <w:rPr>
                <w:rFonts w:ascii="Arial" w:cs="Arial" w:eastAsia="Arial" w:hAnsi="Arial"/>
                <w:sz w:val="14"/>
                <w:szCs w:val="14"/>
                <w:b w:val="1"/>
                <w:bCs w:val="1"/>
                <w:color w:val="auto"/>
                <w:w w:val="97"/>
              </w:rPr>
              <w:t>Reinsurance</w:t>
            </w:r>
          </w:p>
        </w:tc>
        <w:tc>
          <w:tcPr>
            <w:tcW w:w="1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8"/>
        </w:trPr>
        <w:tc>
          <w:tcPr>
            <w:tcW w:w="2480" w:type="dxa"/>
            <w:vAlign w:val="bottom"/>
          </w:tcPr>
          <w:p>
            <w:pPr>
              <w:spacing w:after="0"/>
              <w:rPr>
                <w:sz w:val="12"/>
                <w:szCs w:val="12"/>
                <w:color w:val="auto"/>
              </w:rPr>
            </w:pPr>
          </w:p>
        </w:tc>
        <w:tc>
          <w:tcPr>
            <w:tcW w:w="2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gridSpan w:val="3"/>
            <w:vMerge w:val="continue"/>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60" w:type="dxa"/>
            <w:vAlign w:val="bottom"/>
            <w:gridSpan w:val="3"/>
          </w:tcPr>
          <w:p>
            <w:pPr>
              <w:ind w:left="60"/>
              <w:spacing w:after="0" w:line="149" w:lineRule="exact"/>
              <w:rPr>
                <w:sz w:val="20"/>
                <w:szCs w:val="20"/>
                <w:color w:val="auto"/>
              </w:rPr>
            </w:pPr>
            <w:r>
              <w:rPr>
                <w:rFonts w:ascii="Arial" w:cs="Arial" w:eastAsia="Arial" w:hAnsi="Arial"/>
                <w:sz w:val="14"/>
                <w:szCs w:val="14"/>
                <w:b w:val="1"/>
                <w:bCs w:val="1"/>
                <w:color w:val="auto"/>
              </w:rPr>
              <w:t>financing</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gridSpan w:val="3"/>
            <w:vMerge w:val="continue"/>
          </w:tcPr>
          <w:p>
            <w:pPr>
              <w:spacing w:after="0"/>
              <w:rPr>
                <w:sz w:val="12"/>
                <w:szCs w:val="12"/>
                <w:color w:val="auto"/>
              </w:rPr>
            </w:pPr>
          </w:p>
        </w:tc>
        <w:tc>
          <w:tcPr>
            <w:tcW w:w="40" w:type="dxa"/>
            <w:vAlign w:val="bottom"/>
          </w:tcPr>
          <w:p>
            <w:pPr>
              <w:spacing w:after="0"/>
              <w:rPr>
                <w:sz w:val="12"/>
                <w:szCs w:val="12"/>
                <w:color w:val="auto"/>
              </w:rPr>
            </w:pPr>
          </w:p>
        </w:tc>
        <w:tc>
          <w:tcPr>
            <w:tcW w:w="940" w:type="dxa"/>
            <w:vAlign w:val="bottom"/>
            <w:gridSpan w:val="3"/>
            <w:vMerge w:val="continue"/>
          </w:tcPr>
          <w:p>
            <w:pPr>
              <w:spacing w:after="0"/>
              <w:rPr>
                <w:sz w:val="12"/>
                <w:szCs w:val="12"/>
                <w:color w:val="auto"/>
              </w:rPr>
            </w:pPr>
          </w:p>
        </w:tc>
        <w:tc>
          <w:tcPr>
            <w:tcW w:w="1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vMerge w:val="restart"/>
          </w:tcPr>
          <w:p>
            <w:pPr>
              <w:ind w:left="6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71"/>
        </w:trPr>
        <w:tc>
          <w:tcPr>
            <w:tcW w:w="2480" w:type="dxa"/>
            <w:vAlign w:val="bottom"/>
          </w:tcPr>
          <w:p>
            <w:pPr>
              <w:spacing w:after="0"/>
              <w:rPr>
                <w:sz w:val="14"/>
                <w:szCs w:val="14"/>
                <w:color w:val="auto"/>
              </w:rPr>
            </w:pPr>
          </w:p>
        </w:tc>
        <w:tc>
          <w:tcPr>
            <w:tcW w:w="2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100" w:type="dxa"/>
            <w:vAlign w:val="bottom"/>
            <w:gridSpan w:val="4"/>
          </w:tcPr>
          <w:p>
            <w:pPr>
              <w:jc w:val="center"/>
              <w:ind w:right="160"/>
              <w:spacing w:after="0"/>
              <w:rPr>
                <w:sz w:val="20"/>
                <w:szCs w:val="20"/>
                <w:color w:val="auto"/>
              </w:rPr>
            </w:pPr>
            <w:r>
              <w:rPr>
                <w:rFonts w:ascii="Arial" w:cs="Arial" w:eastAsia="Arial" w:hAnsi="Arial"/>
                <w:sz w:val="14"/>
                <w:szCs w:val="14"/>
                <w:b w:val="1"/>
                <w:bCs w:val="1"/>
                <w:color w:val="auto"/>
                <w:w w:val="90"/>
              </w:rPr>
              <w:t>mortgage loans</w:t>
            </w: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60" w:type="dxa"/>
            <w:vAlign w:val="bottom"/>
            <w:gridSpan w:val="3"/>
          </w:tcPr>
          <w:p>
            <w:pPr>
              <w:ind w:left="160"/>
              <w:spacing w:after="0"/>
              <w:rPr>
                <w:sz w:val="20"/>
                <w:szCs w:val="20"/>
                <w:color w:val="auto"/>
              </w:rPr>
            </w:pPr>
            <w:r>
              <w:rPr>
                <w:rFonts w:ascii="Arial" w:cs="Arial" w:eastAsia="Arial" w:hAnsi="Arial"/>
                <w:sz w:val="14"/>
                <w:szCs w:val="14"/>
                <w:b w:val="1"/>
                <w:bCs w:val="1"/>
                <w:color w:val="auto"/>
              </w:rPr>
              <w:t>leases</w:t>
            </w:r>
          </w:p>
        </w:tc>
        <w:tc>
          <w:tcPr>
            <w:tcW w:w="20" w:type="dxa"/>
            <w:vAlign w:val="bottom"/>
          </w:tcPr>
          <w:p>
            <w:pPr>
              <w:spacing w:after="0"/>
              <w:rPr>
                <w:sz w:val="14"/>
                <w:szCs w:val="14"/>
                <w:color w:val="auto"/>
              </w:rPr>
            </w:pPr>
          </w:p>
        </w:tc>
        <w:tc>
          <w:tcPr>
            <w:tcW w:w="1100" w:type="dxa"/>
            <w:vAlign w:val="bottom"/>
            <w:gridSpan w:val="4"/>
          </w:tcPr>
          <w:p>
            <w:pPr>
              <w:jc w:val="center"/>
              <w:ind w:right="160"/>
              <w:spacing w:after="0"/>
              <w:rPr>
                <w:sz w:val="20"/>
                <w:szCs w:val="20"/>
                <w:color w:val="auto"/>
              </w:rPr>
            </w:pPr>
            <w:r>
              <w:rPr>
                <w:rFonts w:ascii="Arial" w:cs="Arial" w:eastAsia="Arial" w:hAnsi="Arial"/>
                <w:sz w:val="14"/>
                <w:szCs w:val="14"/>
                <w:b w:val="1"/>
                <w:bCs w:val="1"/>
                <w:color w:val="auto"/>
                <w:w w:val="90"/>
              </w:rPr>
              <w:t>mortgage loans</w:t>
            </w:r>
          </w:p>
        </w:tc>
        <w:tc>
          <w:tcPr>
            <w:tcW w:w="40" w:type="dxa"/>
            <w:vAlign w:val="bottom"/>
          </w:tcPr>
          <w:p>
            <w:pPr>
              <w:spacing w:after="0"/>
              <w:rPr>
                <w:sz w:val="14"/>
                <w:szCs w:val="14"/>
                <w:color w:val="auto"/>
              </w:rPr>
            </w:pPr>
          </w:p>
        </w:tc>
        <w:tc>
          <w:tcPr>
            <w:tcW w:w="940" w:type="dxa"/>
            <w:vAlign w:val="bottom"/>
            <w:gridSpan w:val="3"/>
          </w:tcPr>
          <w:p>
            <w:pPr>
              <w:jc w:val="right"/>
              <w:ind w:right="80"/>
              <w:spacing w:after="0"/>
              <w:rPr>
                <w:sz w:val="20"/>
                <w:szCs w:val="20"/>
                <w:color w:val="auto"/>
              </w:rPr>
            </w:pPr>
            <w:r>
              <w:rPr>
                <w:rFonts w:ascii="Arial" w:cs="Arial" w:eastAsia="Arial" w:hAnsi="Arial"/>
                <w:sz w:val="14"/>
                <w:szCs w:val="14"/>
                <w:b w:val="1"/>
                <w:bCs w:val="1"/>
                <w:color w:val="auto"/>
                <w:w w:val="97"/>
              </w:rPr>
              <w:t>recoverables</w:t>
            </w:r>
          </w:p>
        </w:tc>
        <w:tc>
          <w:tcPr>
            <w:tcW w:w="1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28"/>
        </w:trPr>
        <w:tc>
          <w:tcPr>
            <w:tcW w:w="2480" w:type="dxa"/>
            <w:vAlign w:val="bottom"/>
          </w:tcPr>
          <w:p>
            <w:pPr>
              <w:spacing w:after="0"/>
              <w:rPr>
                <w:sz w:val="11"/>
                <w:szCs w:val="11"/>
                <w:color w:val="auto"/>
              </w:rPr>
            </w:pPr>
          </w:p>
        </w:tc>
        <w:tc>
          <w:tcPr>
            <w:tcW w:w="21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86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78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860" w:type="dxa"/>
            <w:vAlign w:val="bottom"/>
            <w:tcBorders>
              <w:top w:val="single" w:sz="8" w:color="auto"/>
            </w:tcBorders>
            <w:gridSpan w:val="2"/>
          </w:tcPr>
          <w:p>
            <w:pPr>
              <w:jc w:val="right"/>
              <w:ind w:right="160"/>
              <w:spacing w:after="0" w:line="129" w:lineRule="exact"/>
              <w:rPr>
                <w:sz w:val="20"/>
                <w:szCs w:val="20"/>
                <w:color w:val="auto"/>
              </w:rPr>
            </w:pPr>
            <w:r>
              <w:rPr>
                <w:rFonts w:ascii="Arial" w:cs="Arial" w:eastAsia="Arial" w:hAnsi="Arial"/>
                <w:sz w:val="14"/>
                <w:szCs w:val="14"/>
                <w:i w:val="1"/>
                <w:iCs w:val="1"/>
                <w:color w:val="auto"/>
                <w:w w:val="96"/>
              </w:rPr>
              <w:t>(in millions)</w:t>
            </w:r>
          </w:p>
        </w:tc>
        <w:tc>
          <w:tcPr>
            <w:tcW w:w="1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60" w:type="dxa"/>
            <w:vAlign w:val="bottom"/>
            <w:tcBorders>
              <w:top w:val="single" w:sz="8" w:color="auto"/>
            </w:tcBorders>
          </w:tcPr>
          <w:p>
            <w:pPr>
              <w:spacing w:after="0"/>
              <w:rPr>
                <w:sz w:val="11"/>
                <w:szCs w:val="11"/>
                <w:color w:val="auto"/>
              </w:rPr>
            </w:pPr>
          </w:p>
        </w:tc>
        <w:tc>
          <w:tcPr>
            <w:tcW w:w="36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620" w:type="dxa"/>
            <w:vAlign w:val="bottom"/>
            <w:tcBorders>
              <w:top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46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Beginning balance</w:t>
            </w:r>
          </w:p>
        </w:tc>
        <w:tc>
          <w:tcPr>
            <w:tcW w:w="10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79"/>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43.2</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w w:val="79"/>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6.9</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408"/>
              <w:spacing w:after="0"/>
              <w:rPr>
                <w:sz w:val="20"/>
                <w:szCs w:val="20"/>
                <w:color w:val="auto"/>
              </w:rPr>
            </w:pPr>
            <w:r>
              <w:rPr>
                <w:rFonts w:ascii="Arial" w:cs="Arial" w:eastAsia="Arial" w:hAnsi="Arial"/>
                <w:sz w:val="18"/>
                <w:szCs w:val="18"/>
                <w:color w:val="auto"/>
                <w:w w:val="99"/>
              </w:rPr>
              <w:t>$</w:t>
            </w: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w:t>
            </w:r>
          </w:p>
        </w:tc>
        <w:tc>
          <w:tcPr>
            <w:tcW w:w="20" w:type="dxa"/>
            <w:vAlign w:val="bottom"/>
            <w:shd w:val="clear" w:color="auto" w:fill="CCEEFF"/>
          </w:tcPr>
          <w:p>
            <w:pPr>
              <w:spacing w:after="0"/>
              <w:rPr>
                <w:sz w:val="18"/>
                <w:szCs w:val="18"/>
                <w:color w:val="auto"/>
              </w:rPr>
            </w:pPr>
          </w:p>
        </w:tc>
        <w:tc>
          <w:tcPr>
            <w:tcW w:w="340" w:type="dxa"/>
            <w:vAlign w:val="bottom"/>
            <w:gridSpan w:val="4"/>
            <w:shd w:val="clear" w:color="auto" w:fill="CCEEFF"/>
          </w:tcPr>
          <w:p>
            <w:pPr>
              <w:jc w:val="right"/>
              <w:ind w:right="29"/>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52.9</w:t>
            </w:r>
          </w:p>
        </w:tc>
        <w:tc>
          <w:tcPr>
            <w:tcW w:w="0" w:type="dxa"/>
            <w:vAlign w:val="bottom"/>
          </w:tcPr>
          <w:p>
            <w:pPr>
              <w:spacing w:after="0"/>
              <w:rPr>
                <w:sz w:val="1"/>
                <w:szCs w:val="1"/>
                <w:color w:val="auto"/>
              </w:rPr>
            </w:pPr>
          </w:p>
        </w:tc>
      </w:tr>
      <w:tr>
        <w:trPr>
          <w:trHeight w:val="216"/>
        </w:trPr>
        <w:tc>
          <w:tcPr>
            <w:tcW w:w="4620" w:type="dxa"/>
            <w:vAlign w:val="bottom"/>
            <w:gridSpan w:val="2"/>
          </w:tcPr>
          <w:p>
            <w:pPr>
              <w:spacing w:after="0"/>
              <w:rPr>
                <w:sz w:val="20"/>
                <w:szCs w:val="20"/>
                <w:color w:val="auto"/>
              </w:rPr>
            </w:pPr>
            <w:r>
              <w:rPr>
                <w:rFonts w:ascii="Arial" w:cs="Arial" w:eastAsia="Arial" w:hAnsi="Arial"/>
                <w:sz w:val="18"/>
                <w:szCs w:val="18"/>
                <w:color w:val="auto"/>
              </w:rPr>
              <w:t>Provision (1)</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(6.5)</w:t>
            </w: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0.2</w:t>
            </w: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jc w:val="right"/>
              <w:spacing w:after="0"/>
              <w:rPr>
                <w:sz w:val="20"/>
                <w:szCs w:val="20"/>
                <w:color w:val="auto"/>
              </w:rPr>
            </w:pPr>
            <w:r>
              <w:rPr>
                <w:rFonts w:ascii="Arial" w:cs="Arial" w:eastAsia="Arial" w:hAnsi="Arial"/>
                <w:sz w:val="18"/>
                <w:szCs w:val="18"/>
                <w:color w:val="auto"/>
              </w:rPr>
              <w:t>(5.1)</w:t>
            </w: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80" w:type="dxa"/>
            <w:vAlign w:val="bottom"/>
            <w:gridSpan w:val="2"/>
          </w:tcPr>
          <w:p>
            <w:pPr>
              <w:jc w:val="right"/>
              <w:spacing w:after="0"/>
              <w:rPr>
                <w:sz w:val="20"/>
                <w:szCs w:val="20"/>
                <w:color w:val="auto"/>
              </w:rPr>
            </w:pPr>
            <w:r>
              <w:rPr>
                <w:rFonts w:ascii="Arial" w:cs="Arial" w:eastAsia="Arial" w:hAnsi="Arial"/>
                <w:sz w:val="18"/>
                <w:szCs w:val="18"/>
                <w:color w:val="auto"/>
                <w:w w:val="97"/>
              </w:rPr>
              <w:t>(0.1)</w:t>
            </w: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(11.5)</w:t>
            </w:r>
          </w:p>
        </w:tc>
        <w:tc>
          <w:tcPr>
            <w:tcW w:w="0" w:type="dxa"/>
            <w:vAlign w:val="bottom"/>
          </w:tcPr>
          <w:p>
            <w:pPr>
              <w:spacing w:after="0"/>
              <w:rPr>
                <w:sz w:val="1"/>
                <w:szCs w:val="1"/>
                <w:color w:val="auto"/>
              </w:rPr>
            </w:pPr>
          </w:p>
        </w:tc>
      </w:tr>
      <w:tr>
        <w:trPr>
          <w:trHeight w:val="216"/>
        </w:trPr>
        <w:tc>
          <w:tcPr>
            <w:tcW w:w="46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Charge-offs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2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(0.3)</w:t>
            </w:r>
          </w:p>
        </w:tc>
        <w:tc>
          <w:tcPr>
            <w:tcW w:w="1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(0.3)</w:t>
            </w:r>
          </w:p>
        </w:tc>
        <w:tc>
          <w:tcPr>
            <w:tcW w:w="0" w:type="dxa"/>
            <w:vAlign w:val="bottom"/>
          </w:tcPr>
          <w:p>
            <w:pPr>
              <w:spacing w:after="0"/>
              <w:rPr>
                <w:sz w:val="1"/>
                <w:szCs w:val="1"/>
                <w:color w:val="auto"/>
              </w:rPr>
            </w:pPr>
          </w:p>
        </w:tc>
      </w:tr>
      <w:tr>
        <w:trPr>
          <w:trHeight w:val="216"/>
        </w:trPr>
        <w:tc>
          <w:tcPr>
            <w:tcW w:w="4620" w:type="dxa"/>
            <w:vAlign w:val="bottom"/>
            <w:gridSpan w:val="2"/>
          </w:tcPr>
          <w:p>
            <w:pPr>
              <w:spacing w:after="0"/>
              <w:rPr>
                <w:sz w:val="20"/>
                <w:szCs w:val="20"/>
                <w:color w:val="auto"/>
              </w:rPr>
            </w:pPr>
            <w:r>
              <w:rPr>
                <w:rFonts w:ascii="Arial" w:cs="Arial" w:eastAsia="Arial" w:hAnsi="Arial"/>
                <w:sz w:val="18"/>
                <w:szCs w:val="18"/>
                <w:color w:val="auto"/>
              </w:rPr>
              <w:t>Recoveries</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20" w:type="dxa"/>
            <w:vAlign w:val="bottom"/>
            <w:gridSpan w:val="3"/>
          </w:tcPr>
          <w:p>
            <w:pPr>
              <w:jc w:val="right"/>
              <w:ind w:right="2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gridSpan w:val="3"/>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1.7</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8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16"/>
        </w:trPr>
        <w:tc>
          <w:tcPr>
            <w:tcW w:w="46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Foreign currency translation adjustment</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1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0" w:type="dxa"/>
            <w:vAlign w:val="bottom"/>
          </w:tcPr>
          <w:p>
            <w:pPr>
              <w:spacing w:after="0"/>
              <w:rPr>
                <w:sz w:val="1"/>
                <w:szCs w:val="1"/>
                <w:color w:val="auto"/>
              </w:rPr>
            </w:pPr>
          </w:p>
        </w:tc>
      </w:tr>
      <w:tr>
        <w:trPr>
          <w:trHeight w:val="210"/>
        </w:trPr>
        <w:tc>
          <w:tcPr>
            <w:tcW w:w="4620" w:type="dxa"/>
            <w:vAlign w:val="bottom"/>
            <w:gridSpan w:val="2"/>
          </w:tcPr>
          <w:p>
            <w:pPr>
              <w:spacing w:after="0"/>
              <w:rPr>
                <w:sz w:val="20"/>
                <w:szCs w:val="20"/>
                <w:color w:val="auto"/>
              </w:rPr>
            </w:pPr>
            <w:r>
              <w:rPr>
                <w:rFonts w:ascii="Arial" w:cs="Arial" w:eastAsia="Arial" w:hAnsi="Arial"/>
                <w:sz w:val="18"/>
                <w:szCs w:val="18"/>
                <w:color w:val="auto"/>
              </w:rPr>
              <w:t>Ending balance</w:t>
            </w:r>
          </w:p>
        </w:tc>
        <w:tc>
          <w:tcPr>
            <w:tcW w:w="20" w:type="dxa"/>
            <w:vAlign w:val="bottom"/>
          </w:tcPr>
          <w:p>
            <w:pPr>
              <w:spacing w:after="0"/>
              <w:rPr>
                <w:sz w:val="18"/>
                <w:szCs w:val="18"/>
                <w:color w:val="auto"/>
              </w:rPr>
            </w:pPr>
          </w:p>
        </w:tc>
        <w:tc>
          <w:tcPr>
            <w:tcW w:w="80" w:type="dxa"/>
            <w:vAlign w:val="bottom"/>
            <w:tcBorders>
              <w:top w:val="single" w:sz="8" w:color="auto"/>
            </w:tcBorders>
          </w:tcPr>
          <w:p>
            <w:pPr>
              <w:spacing w:after="0"/>
              <w:rPr>
                <w:sz w:val="20"/>
                <w:szCs w:val="20"/>
                <w:color w:val="auto"/>
              </w:rPr>
            </w:pPr>
            <w:r>
              <w:rPr>
                <w:rFonts w:ascii="Arial" w:cs="Arial" w:eastAsia="Arial" w:hAnsi="Arial"/>
                <w:sz w:val="15"/>
                <w:szCs w:val="15"/>
                <w:color w:val="auto"/>
                <w:w w:val="71"/>
              </w:rPr>
              <w:t>$</w:t>
            </w: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36.6</w:t>
            </w:r>
          </w:p>
        </w:tc>
        <w:tc>
          <w:tcPr>
            <w:tcW w:w="2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0.3</w:t>
            </w:r>
          </w:p>
        </w:tc>
        <w:tc>
          <w:tcPr>
            <w:tcW w:w="2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Borders>
              <w:top w:val="single" w:sz="8" w:color="auto"/>
            </w:tcBorders>
          </w:tcPr>
          <w:p>
            <w:pPr>
              <w:spacing w:after="0"/>
              <w:rPr>
                <w:sz w:val="20"/>
                <w:szCs w:val="20"/>
                <w:color w:val="auto"/>
              </w:rPr>
            </w:pPr>
            <w:r>
              <w:rPr>
                <w:rFonts w:ascii="Arial" w:cs="Arial" w:eastAsia="Arial" w:hAnsi="Arial"/>
                <w:sz w:val="18"/>
                <w:szCs w:val="18"/>
                <w:color w:val="auto"/>
                <w:w w:val="79"/>
              </w:rPr>
              <w:t>$</w:t>
            </w: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3.2</w:t>
            </w:r>
          </w:p>
        </w:tc>
        <w:tc>
          <w:tcPr>
            <w:tcW w:w="2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60" w:type="dxa"/>
            <w:vAlign w:val="bottom"/>
            <w:tcBorders>
              <w:top w:val="single" w:sz="8" w:color="auto"/>
            </w:tcBorders>
          </w:tcPr>
          <w:p>
            <w:pPr>
              <w:jc w:val="right"/>
              <w:ind w:right="408"/>
              <w:spacing w:after="0"/>
              <w:rPr>
                <w:sz w:val="20"/>
                <w:szCs w:val="20"/>
                <w:color w:val="auto"/>
              </w:rPr>
            </w:pPr>
            <w:r>
              <w:rPr>
                <w:rFonts w:ascii="Arial" w:cs="Arial" w:eastAsia="Arial" w:hAnsi="Arial"/>
                <w:sz w:val="15"/>
                <w:szCs w:val="15"/>
                <w:color w:val="auto"/>
                <w:w w:val="71"/>
              </w:rPr>
              <w:t>$</w:t>
            </w:r>
          </w:p>
        </w:tc>
        <w:tc>
          <w:tcPr>
            <w:tcW w:w="3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2.6</w:t>
            </w:r>
          </w:p>
        </w:tc>
        <w:tc>
          <w:tcPr>
            <w:tcW w:w="20" w:type="dxa"/>
            <w:vAlign w:val="bottom"/>
            <w:tcBorders>
              <w:top w:val="single" w:sz="8" w:color="auto"/>
            </w:tcBorders>
          </w:tcPr>
          <w:p>
            <w:pPr>
              <w:spacing w:after="0"/>
              <w:rPr>
                <w:sz w:val="18"/>
                <w:szCs w:val="18"/>
                <w:color w:val="auto"/>
              </w:rPr>
            </w:pPr>
          </w:p>
        </w:tc>
        <w:tc>
          <w:tcPr>
            <w:tcW w:w="200" w:type="dxa"/>
            <w:vAlign w:val="bottom"/>
            <w:gridSpan w:val="3"/>
          </w:tcPr>
          <w:p>
            <w:pPr>
              <w:spacing w:after="0"/>
              <w:rPr>
                <w:sz w:val="18"/>
                <w:szCs w:val="18"/>
                <w:color w:val="auto"/>
              </w:rPr>
            </w:pPr>
          </w:p>
        </w:tc>
        <w:tc>
          <w:tcPr>
            <w:tcW w:w="140" w:type="dxa"/>
            <w:vAlign w:val="bottom"/>
            <w:tcBorders>
              <w:top w:val="single" w:sz="8" w:color="auto"/>
            </w:tcBorders>
          </w:tcPr>
          <w:p>
            <w:pPr>
              <w:jc w:val="right"/>
              <w:ind w:right="29"/>
              <w:spacing w:after="0"/>
              <w:rPr>
                <w:sz w:val="20"/>
                <w:szCs w:val="20"/>
                <w:color w:val="auto"/>
              </w:rPr>
            </w:pPr>
            <w:r>
              <w:rPr>
                <w:rFonts w:ascii="Arial" w:cs="Arial" w:eastAsia="Arial" w:hAnsi="Arial"/>
                <w:sz w:val="10"/>
                <w:szCs w:val="10"/>
                <w:color w:val="auto"/>
                <w:w w:val="71"/>
              </w:rPr>
              <w:t>$</w:t>
            </w: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42.</w:t>
            </w:r>
            <w:r>
              <w:rPr>
                <w:rFonts w:ascii="Arial" w:cs="Arial" w:eastAsia="Arial" w:hAnsi="Arial"/>
                <w:sz w:val="18"/>
                <w:szCs w:val="18"/>
                <w:u w:val="single" w:color="auto"/>
                <w:color w:val="auto"/>
              </w:rPr>
              <w:t>7</w:t>
            </w:r>
          </w:p>
        </w:tc>
        <w:tc>
          <w:tcPr>
            <w:tcW w:w="0" w:type="dxa"/>
            <w:vAlign w:val="bottom"/>
          </w:tcPr>
          <w:p>
            <w:pPr>
              <w:spacing w:after="0"/>
              <w:rPr>
                <w:sz w:val="1"/>
                <w:szCs w:val="1"/>
                <w:color w:val="auto"/>
              </w:rPr>
            </w:pPr>
          </w:p>
        </w:tc>
      </w:tr>
      <w:tr>
        <w:trPr>
          <w:trHeight w:val="20"/>
        </w:trPr>
        <w:tc>
          <w:tcPr>
            <w:tcW w:w="2480" w:type="dxa"/>
            <w:vAlign w:val="bottom"/>
          </w:tcPr>
          <w:p>
            <w:pPr>
              <w:spacing w:after="0" w:line="20" w:lineRule="exact"/>
              <w:rPr>
                <w:sz w:val="1"/>
                <w:szCs w:val="1"/>
                <w:color w:val="auto"/>
              </w:rPr>
            </w:pPr>
          </w:p>
        </w:tc>
        <w:tc>
          <w:tcPr>
            <w:tcW w:w="2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8"/>
        </w:trPr>
        <w:tc>
          <w:tcPr>
            <w:tcW w:w="2480" w:type="dxa"/>
            <w:vAlign w:val="bottom"/>
            <w:tcBorders>
              <w:bottom w:val="single" w:sz="8" w:color="auto"/>
            </w:tcBorders>
          </w:tcPr>
          <w:p>
            <w:pPr>
              <w:spacing w:after="0"/>
              <w:rPr>
                <w:sz w:val="7"/>
                <w:szCs w:val="7"/>
                <w:color w:val="auto"/>
              </w:rPr>
            </w:pPr>
          </w:p>
        </w:tc>
        <w:tc>
          <w:tcPr>
            <w:tcW w:w="214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0" w:type="dxa"/>
            <w:vAlign w:val="bottom"/>
          </w:tcPr>
          <w:p>
            <w:pPr>
              <w:spacing w:after="0"/>
              <w:rPr>
                <w:sz w:val="7"/>
                <w:szCs w:val="7"/>
                <w:color w:val="auto"/>
              </w:rPr>
            </w:pPr>
          </w:p>
        </w:tc>
        <w:tc>
          <w:tcPr>
            <w:tcW w:w="140" w:type="dxa"/>
            <w:vAlign w:val="bottom"/>
          </w:tcPr>
          <w:p>
            <w:pPr>
              <w:spacing w:after="0"/>
              <w:rPr>
                <w:sz w:val="7"/>
                <w:szCs w:val="7"/>
                <w:color w:val="auto"/>
              </w:rPr>
            </w:pPr>
          </w:p>
        </w:tc>
        <w:tc>
          <w:tcPr>
            <w:tcW w:w="40" w:type="dxa"/>
            <w:vAlign w:val="bottom"/>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Pr>
          <w:p>
            <w:pPr>
              <w:spacing w:after="0"/>
              <w:rPr>
                <w:sz w:val="7"/>
                <w:szCs w:val="7"/>
                <w:color w:val="auto"/>
              </w:rPr>
            </w:pPr>
          </w:p>
        </w:tc>
        <w:tc>
          <w:tcPr>
            <w:tcW w:w="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840" w:type="dxa"/>
            <w:vAlign w:val="bottom"/>
          </w:tcPr>
          <w:p>
            <w:pPr>
              <w:spacing w:after="0"/>
              <w:rPr>
                <w:sz w:val="7"/>
                <w:szCs w:val="7"/>
                <w:color w:val="auto"/>
              </w:rPr>
            </w:pPr>
          </w:p>
        </w:tc>
        <w:tc>
          <w:tcPr>
            <w:tcW w:w="20" w:type="dxa"/>
            <w:vAlign w:val="bottom"/>
          </w:tcPr>
          <w:p>
            <w:pPr>
              <w:spacing w:after="0"/>
              <w:rPr>
                <w:sz w:val="7"/>
                <w:szCs w:val="7"/>
                <w:color w:val="auto"/>
              </w:rPr>
            </w:pPr>
          </w:p>
        </w:tc>
        <w:tc>
          <w:tcPr>
            <w:tcW w:w="140" w:type="dxa"/>
            <w:vAlign w:val="bottom"/>
          </w:tcPr>
          <w:p>
            <w:pPr>
              <w:spacing w:after="0"/>
              <w:rPr>
                <w:sz w:val="7"/>
                <w:szCs w:val="7"/>
                <w:color w:val="auto"/>
              </w:rPr>
            </w:pPr>
          </w:p>
        </w:tc>
        <w:tc>
          <w:tcPr>
            <w:tcW w:w="40" w:type="dxa"/>
            <w:vAlign w:val="bottom"/>
          </w:tcPr>
          <w:p>
            <w:pPr>
              <w:spacing w:after="0"/>
              <w:rPr>
                <w:sz w:val="7"/>
                <w:szCs w:val="7"/>
                <w:color w:val="auto"/>
              </w:rPr>
            </w:pPr>
          </w:p>
        </w:tc>
        <w:tc>
          <w:tcPr>
            <w:tcW w:w="560" w:type="dxa"/>
            <w:vAlign w:val="bottom"/>
          </w:tcPr>
          <w:p>
            <w:pPr>
              <w:spacing w:after="0"/>
              <w:rPr>
                <w:sz w:val="7"/>
                <w:szCs w:val="7"/>
                <w:color w:val="auto"/>
              </w:rPr>
            </w:pPr>
          </w:p>
        </w:tc>
        <w:tc>
          <w:tcPr>
            <w:tcW w:w="360" w:type="dxa"/>
            <w:vAlign w:val="bottom"/>
          </w:tcPr>
          <w:p>
            <w:pPr>
              <w:spacing w:after="0"/>
              <w:rPr>
                <w:sz w:val="7"/>
                <w:szCs w:val="7"/>
                <w:color w:val="auto"/>
              </w:rPr>
            </w:pPr>
          </w:p>
        </w:tc>
        <w:tc>
          <w:tcPr>
            <w:tcW w:w="20" w:type="dxa"/>
            <w:vAlign w:val="bottom"/>
          </w:tcPr>
          <w:p>
            <w:pPr>
              <w:spacing w:after="0"/>
              <w:rPr>
                <w:sz w:val="7"/>
                <w:szCs w:val="7"/>
                <w:color w:val="auto"/>
              </w:rPr>
            </w:pPr>
          </w:p>
        </w:tc>
        <w:tc>
          <w:tcPr>
            <w:tcW w:w="140" w:type="dxa"/>
            <w:vAlign w:val="bottom"/>
          </w:tcPr>
          <w:p>
            <w:pPr>
              <w:spacing w:after="0"/>
              <w:rPr>
                <w:sz w:val="7"/>
                <w:szCs w:val="7"/>
                <w:color w:val="auto"/>
              </w:rPr>
            </w:pPr>
          </w:p>
        </w:tc>
        <w:tc>
          <w:tcPr>
            <w:tcW w:w="40" w:type="dxa"/>
            <w:vAlign w:val="bottom"/>
          </w:tcPr>
          <w:p>
            <w:pPr>
              <w:spacing w:after="0"/>
              <w:rPr>
                <w:sz w:val="7"/>
                <w:szCs w:val="7"/>
                <w:color w:val="auto"/>
              </w:rPr>
            </w:pPr>
          </w:p>
        </w:tc>
        <w:tc>
          <w:tcPr>
            <w:tcW w:w="20" w:type="dxa"/>
            <w:vAlign w:val="bottom"/>
          </w:tcPr>
          <w:p>
            <w:pPr>
              <w:spacing w:after="0"/>
              <w:rPr>
                <w:sz w:val="7"/>
                <w:szCs w:val="7"/>
                <w:color w:val="auto"/>
              </w:rPr>
            </w:pPr>
          </w:p>
        </w:tc>
        <w:tc>
          <w:tcPr>
            <w:tcW w:w="140" w:type="dxa"/>
            <w:vAlign w:val="bottom"/>
          </w:tcPr>
          <w:p>
            <w:pPr>
              <w:spacing w:after="0"/>
              <w:rPr>
                <w:sz w:val="7"/>
                <w:szCs w:val="7"/>
                <w:color w:val="auto"/>
              </w:rPr>
            </w:pPr>
          </w:p>
        </w:tc>
        <w:tc>
          <w:tcPr>
            <w:tcW w:w="62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80" w:lineRule="exact"/>
        <w:rPr>
          <w:sz w:val="20"/>
          <w:szCs w:val="20"/>
          <w:color w:val="auto"/>
        </w:rPr>
      </w:pPr>
    </w:p>
    <w:p>
      <w:pPr>
        <w:ind w:left="340" w:right="340" w:hanging="332"/>
        <w:spacing w:after="0" w:line="311" w:lineRule="auto"/>
        <w:tabs>
          <w:tab w:leader="none" w:pos="340" w:val="left"/>
        </w:tabs>
        <w:numPr>
          <w:ilvl w:val="0"/>
          <w:numId w:val="14"/>
        </w:numPr>
        <w:rPr>
          <w:rFonts w:ascii="Arial" w:cs="Arial" w:eastAsia="Arial" w:hAnsi="Arial"/>
          <w:sz w:val="16"/>
          <w:szCs w:val="16"/>
          <w:color w:val="auto"/>
        </w:rPr>
      </w:pPr>
      <w:r>
        <w:rPr>
          <w:rFonts w:ascii="Arial" w:cs="Arial" w:eastAsia="Arial" w:hAnsi="Arial"/>
          <w:sz w:val="16"/>
          <w:szCs w:val="16"/>
          <w:color w:val="auto"/>
        </w:rPr>
        <w:t>During the three and six months ended June 30, 2021, certain valuation allowances for residential mortgage loans were released. This release was a result of further adjustments to our current and forecasted environmental factors management believed to be relevant as global economic activity improved from previously adverse impacts due to COVID-19.</w:t>
      </w: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603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33" w:name="page34"/>
    <w:bookmarkEnd w:id="33"/>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Mortgage Loans</w:t>
      </w:r>
    </w:p>
    <w:p>
      <w:pPr>
        <w:spacing w:after="0" w:line="229" w:lineRule="exact"/>
        <w:rPr>
          <w:sz w:val="20"/>
          <w:szCs w:val="20"/>
          <w:color w:val="auto"/>
        </w:rPr>
      </w:pPr>
    </w:p>
    <w:p>
      <w:pPr>
        <w:ind w:right="40" w:firstLine="648"/>
        <w:spacing w:after="0" w:line="277" w:lineRule="auto"/>
        <w:rPr>
          <w:sz w:val="20"/>
          <w:szCs w:val="20"/>
          <w:color w:val="auto"/>
        </w:rPr>
      </w:pPr>
      <w:r>
        <w:rPr>
          <w:rFonts w:ascii="Arial" w:cs="Arial" w:eastAsia="Arial" w:hAnsi="Arial"/>
          <w:sz w:val="18"/>
          <w:szCs w:val="18"/>
          <w:color w:val="auto"/>
        </w:rPr>
        <w:t>We periodically purchase mortgage loans as well as sell mortgage loans we have originated. Mortgage loans purchased and sold were as follows:</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980" w:type="dxa"/>
            <w:vAlign w:val="bottom"/>
          </w:tcPr>
          <w:p>
            <w:pPr>
              <w:spacing w:after="0"/>
              <w:rPr>
                <w:sz w:val="14"/>
                <w:szCs w:val="14"/>
                <w:color w:val="auto"/>
              </w:rPr>
            </w:pPr>
          </w:p>
        </w:tc>
        <w:tc>
          <w:tcPr>
            <w:tcW w:w="2060" w:type="dxa"/>
            <w:vAlign w:val="bottom"/>
            <w:gridSpan w:val="6"/>
          </w:tcPr>
          <w:p>
            <w:pPr>
              <w:jc w:val="center"/>
              <w:ind w:right="160"/>
              <w:spacing w:after="0"/>
              <w:rPr>
                <w:sz w:val="20"/>
                <w:szCs w:val="20"/>
                <w:color w:val="auto"/>
              </w:rPr>
            </w:pPr>
            <w:r>
              <w:rPr>
                <w:rFonts w:ascii="Arial" w:cs="Arial" w:eastAsia="Arial" w:hAnsi="Arial"/>
                <w:sz w:val="14"/>
                <w:szCs w:val="14"/>
                <w:b w:val="1"/>
                <w:bCs w:val="1"/>
                <w:color w:val="auto"/>
                <w:w w:val="91"/>
              </w:rPr>
              <w:t>For the three months ended</w:t>
            </w:r>
          </w:p>
        </w:tc>
        <w:tc>
          <w:tcPr>
            <w:tcW w:w="120" w:type="dxa"/>
            <w:vAlign w:val="bottom"/>
          </w:tcPr>
          <w:p>
            <w:pPr>
              <w:spacing w:after="0"/>
              <w:rPr>
                <w:sz w:val="14"/>
                <w:szCs w:val="14"/>
                <w:color w:val="auto"/>
              </w:rPr>
            </w:pPr>
          </w:p>
        </w:tc>
        <w:tc>
          <w:tcPr>
            <w:tcW w:w="1760" w:type="dxa"/>
            <w:vAlign w:val="bottom"/>
            <w:gridSpan w:val="4"/>
          </w:tcPr>
          <w:p>
            <w:pPr>
              <w:jc w:val="center"/>
              <w:ind w:right="34"/>
              <w:spacing w:after="0"/>
              <w:rPr>
                <w:sz w:val="20"/>
                <w:szCs w:val="20"/>
                <w:color w:val="auto"/>
              </w:rPr>
            </w:pPr>
            <w:r>
              <w:rPr>
                <w:rFonts w:ascii="Arial" w:cs="Arial" w:eastAsia="Arial" w:hAnsi="Arial"/>
                <w:sz w:val="14"/>
                <w:szCs w:val="14"/>
                <w:b w:val="1"/>
                <w:bCs w:val="1"/>
                <w:color w:val="auto"/>
                <w:w w:val="91"/>
              </w:rPr>
              <w:t>For the six months ended</w:t>
            </w:r>
          </w:p>
        </w:tc>
      </w:tr>
      <w:tr>
        <w:trPr>
          <w:trHeight w:val="171"/>
        </w:trPr>
        <w:tc>
          <w:tcPr>
            <w:tcW w:w="598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040" w:type="dxa"/>
            <w:vAlign w:val="bottom"/>
            <w:tcBorders>
              <w:bottom w:val="single" w:sz="8" w:color="auto"/>
            </w:tcBorders>
            <w:gridSpan w:val="3"/>
          </w:tcPr>
          <w:p>
            <w:pPr>
              <w:jc w:val="center"/>
              <w:ind w:left="316"/>
              <w:spacing w:after="0"/>
              <w:rPr>
                <w:sz w:val="20"/>
                <w:szCs w:val="20"/>
                <w:color w:val="auto"/>
              </w:rPr>
            </w:pPr>
            <w:r>
              <w:rPr>
                <w:rFonts w:ascii="Arial" w:cs="Arial" w:eastAsia="Arial" w:hAnsi="Arial"/>
                <w:sz w:val="14"/>
                <w:szCs w:val="14"/>
                <w:b w:val="1"/>
                <w:bCs w:val="1"/>
                <w:color w:val="auto"/>
                <w:w w:val="92"/>
              </w:rPr>
              <w:t>June 30,</w:t>
            </w:r>
          </w:p>
        </w:tc>
        <w:tc>
          <w:tcPr>
            <w:tcW w:w="640" w:type="dxa"/>
            <w:vAlign w:val="bottom"/>
            <w:tcBorders>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gridSpan w:val="3"/>
          </w:tcPr>
          <w:p>
            <w:pPr>
              <w:jc w:val="center"/>
              <w:ind w:left="398"/>
              <w:spacing w:after="0"/>
              <w:rPr>
                <w:sz w:val="20"/>
                <w:szCs w:val="20"/>
                <w:color w:val="auto"/>
              </w:rPr>
            </w:pPr>
            <w:r>
              <w:rPr>
                <w:rFonts w:ascii="Arial" w:cs="Arial" w:eastAsia="Arial" w:hAnsi="Arial"/>
                <w:sz w:val="14"/>
                <w:szCs w:val="14"/>
                <w:b w:val="1"/>
                <w:bCs w:val="1"/>
                <w:color w:val="auto"/>
                <w:w w:val="92"/>
              </w:rPr>
              <w:t>June 30,</w:t>
            </w:r>
          </w:p>
        </w:tc>
        <w:tc>
          <w:tcPr>
            <w:tcW w:w="640" w:type="dxa"/>
            <w:vAlign w:val="bottom"/>
            <w:tcBorders>
              <w:bottom w:val="single" w:sz="8" w:color="auto"/>
            </w:tcBorders>
          </w:tcPr>
          <w:p>
            <w:pPr>
              <w:spacing w:after="0"/>
              <w:rPr>
                <w:sz w:val="14"/>
                <w:szCs w:val="14"/>
                <w:color w:val="auto"/>
              </w:rPr>
            </w:pPr>
          </w:p>
        </w:tc>
      </w:tr>
      <w:tr>
        <w:trPr>
          <w:trHeight w:val="142"/>
        </w:trPr>
        <w:tc>
          <w:tcPr>
            <w:tcW w:w="5980" w:type="dxa"/>
            <w:vAlign w:val="bottom"/>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ind w:right="176"/>
              <w:spacing w:after="0" w:line="142" w:lineRule="exact"/>
              <w:rPr>
                <w:sz w:val="20"/>
                <w:szCs w:val="20"/>
                <w:color w:val="auto"/>
              </w:rPr>
            </w:pPr>
            <w:r>
              <w:rPr>
                <w:rFonts w:ascii="Arial" w:cs="Arial" w:eastAsia="Arial" w:hAnsi="Arial"/>
                <w:sz w:val="14"/>
                <w:szCs w:val="14"/>
                <w:b w:val="1"/>
                <w:bCs w:val="1"/>
                <w:color w:val="auto"/>
              </w:rPr>
              <w:t>2022</w:t>
            </w:r>
          </w:p>
        </w:tc>
        <w:tc>
          <w:tcPr>
            <w:tcW w:w="200" w:type="dxa"/>
            <w:vAlign w:val="bottom"/>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ind w:right="196"/>
              <w:spacing w:after="0" w:line="142" w:lineRule="exact"/>
              <w:rPr>
                <w:sz w:val="20"/>
                <w:szCs w:val="20"/>
                <w:color w:val="auto"/>
              </w:rPr>
            </w:pPr>
            <w:r>
              <w:rPr>
                <w:rFonts w:ascii="Arial" w:cs="Arial" w:eastAsia="Arial" w:hAnsi="Arial"/>
                <w:sz w:val="14"/>
                <w:szCs w:val="14"/>
                <w:b w:val="1"/>
                <w:bCs w:val="1"/>
                <w:color w:val="auto"/>
              </w:rPr>
              <w:t>2021</w:t>
            </w:r>
          </w:p>
        </w:tc>
        <w:tc>
          <w:tcPr>
            <w:tcW w:w="18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tcPr>
          <w:p>
            <w:pPr>
              <w:jc w:val="right"/>
              <w:ind w:right="198"/>
              <w:spacing w:after="0" w:line="142" w:lineRule="exact"/>
              <w:rPr>
                <w:sz w:val="20"/>
                <w:szCs w:val="20"/>
                <w:color w:val="auto"/>
              </w:rPr>
            </w:pPr>
            <w:r>
              <w:rPr>
                <w:rFonts w:ascii="Arial" w:cs="Arial" w:eastAsia="Arial" w:hAnsi="Arial"/>
                <w:sz w:val="14"/>
                <w:szCs w:val="14"/>
                <w:b w:val="1"/>
                <w:bCs w:val="1"/>
                <w:color w:val="auto"/>
              </w:rPr>
              <w:t>2022</w:t>
            </w:r>
          </w:p>
        </w:tc>
        <w:tc>
          <w:tcPr>
            <w:tcW w:w="180" w:type="dxa"/>
            <w:vAlign w:val="bottom"/>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ind w:right="194"/>
              <w:spacing w:after="0" w:line="142" w:lineRule="exact"/>
              <w:rPr>
                <w:sz w:val="20"/>
                <w:szCs w:val="20"/>
                <w:color w:val="auto"/>
              </w:rPr>
            </w:pPr>
            <w:r>
              <w:rPr>
                <w:rFonts w:ascii="Arial" w:cs="Arial" w:eastAsia="Arial" w:hAnsi="Arial"/>
                <w:sz w:val="14"/>
                <w:szCs w:val="14"/>
                <w:b w:val="1"/>
                <w:bCs w:val="1"/>
                <w:color w:val="auto"/>
              </w:rPr>
              <w:t>2021</w:t>
            </w:r>
          </w:p>
        </w:tc>
      </w:tr>
      <w:tr>
        <w:trPr>
          <w:trHeight w:val="128"/>
        </w:trPr>
        <w:tc>
          <w:tcPr>
            <w:tcW w:w="59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60" w:type="dxa"/>
            <w:vAlign w:val="bottom"/>
            <w:gridSpan w:val="4"/>
          </w:tcPr>
          <w:p>
            <w:pPr>
              <w:jc w:val="right"/>
              <w:ind w:right="498"/>
              <w:spacing w:after="0" w:line="129" w:lineRule="exact"/>
              <w:rPr>
                <w:sz w:val="20"/>
                <w:szCs w:val="20"/>
                <w:color w:val="auto"/>
              </w:rPr>
            </w:pPr>
            <w:r>
              <w:rPr>
                <w:rFonts w:ascii="Arial" w:cs="Arial" w:eastAsia="Arial" w:hAnsi="Arial"/>
                <w:sz w:val="14"/>
                <w:szCs w:val="14"/>
                <w:i w:val="1"/>
                <w:iCs w:val="1"/>
                <w:color w:val="auto"/>
              </w:rPr>
              <w:t>(in millions)</w:t>
            </w:r>
          </w:p>
        </w:tc>
        <w:tc>
          <w:tcPr>
            <w:tcW w:w="1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40" w:type="dxa"/>
            <w:vAlign w:val="bottom"/>
          </w:tcPr>
          <w:p>
            <w:pPr>
              <w:spacing w:after="0"/>
              <w:rPr>
                <w:sz w:val="11"/>
                <w:szCs w:val="11"/>
                <w:color w:val="auto"/>
              </w:rPr>
            </w:pPr>
          </w:p>
        </w:tc>
      </w:tr>
      <w:tr>
        <w:trPr>
          <w:trHeight w:val="216"/>
        </w:trPr>
        <w:tc>
          <w:tcPr>
            <w:tcW w:w="5980" w:type="dxa"/>
            <w:vAlign w:val="bottom"/>
            <w:shd w:val="clear" w:color="auto" w:fill="CCEEFF"/>
          </w:tcPr>
          <w:p>
            <w:pPr>
              <w:spacing w:after="0"/>
              <w:rPr>
                <w:sz w:val="20"/>
                <w:szCs w:val="20"/>
                <w:color w:val="auto"/>
              </w:rPr>
            </w:pPr>
            <w:r>
              <w:rPr>
                <w:rFonts w:ascii="Arial" w:cs="Arial" w:eastAsia="Arial" w:hAnsi="Arial"/>
                <w:sz w:val="18"/>
                <w:szCs w:val="18"/>
                <w:color w:val="auto"/>
              </w:rPr>
              <w:t>Commercial mortgage loans:</w:t>
            </w:r>
          </w:p>
        </w:tc>
        <w:tc>
          <w:tcPr>
            <w:tcW w:w="2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r>
      <w:tr>
        <w:trPr>
          <w:trHeight w:val="216"/>
        </w:trPr>
        <w:tc>
          <w:tcPr>
            <w:tcW w:w="5980" w:type="dxa"/>
            <w:vAlign w:val="bottom"/>
          </w:tcPr>
          <w:p>
            <w:pPr>
              <w:ind w:left="120"/>
              <w:spacing w:after="0"/>
              <w:rPr>
                <w:sz w:val="20"/>
                <w:szCs w:val="20"/>
                <w:color w:val="auto"/>
              </w:rPr>
            </w:pPr>
            <w:r>
              <w:rPr>
                <w:rFonts w:ascii="Arial" w:cs="Arial" w:eastAsia="Arial" w:hAnsi="Arial"/>
                <w:sz w:val="18"/>
                <w:szCs w:val="18"/>
                <w:color w:val="auto"/>
              </w:rPr>
              <w:t>Purchased</w:t>
            </w:r>
          </w:p>
        </w:tc>
        <w:tc>
          <w:tcPr>
            <w:tcW w:w="200" w:type="dxa"/>
            <w:vAlign w:val="bottom"/>
          </w:tcPr>
          <w:p>
            <w:pPr>
              <w:jc w:val="right"/>
              <w:ind w:right="19"/>
              <w:spacing w:after="0"/>
              <w:rPr>
                <w:sz w:val="20"/>
                <w:szCs w:val="20"/>
                <w:color w:val="auto"/>
              </w:rPr>
            </w:pPr>
            <w:r>
              <w:rPr>
                <w:rFonts w:ascii="Arial" w:cs="Arial" w:eastAsia="Arial" w:hAnsi="Arial"/>
                <w:sz w:val="18"/>
                <w:szCs w:val="18"/>
                <w:b w:val="1"/>
                <w:bCs w:val="1"/>
                <w:color w:val="auto"/>
                <w:w w:val="79"/>
              </w:rPr>
              <w:t>$</w:t>
            </w:r>
          </w:p>
        </w:tc>
        <w:tc>
          <w:tcPr>
            <w:tcW w:w="640" w:type="dxa"/>
            <w:vAlign w:val="bottom"/>
          </w:tcPr>
          <w:p>
            <w:pPr>
              <w:jc w:val="right"/>
              <w:spacing w:after="0"/>
              <w:rPr>
                <w:sz w:val="20"/>
                <w:szCs w:val="20"/>
                <w:color w:val="auto"/>
              </w:rPr>
            </w:pPr>
            <w:r>
              <w:rPr>
                <w:rFonts w:ascii="Arial" w:cs="Arial" w:eastAsia="Arial" w:hAnsi="Arial"/>
                <w:sz w:val="18"/>
                <w:szCs w:val="18"/>
                <w:b w:val="1"/>
                <w:bCs w:val="1"/>
                <w:color w:val="auto"/>
              </w:rPr>
              <w:t>13.5</w:t>
            </w:r>
          </w:p>
        </w:tc>
        <w:tc>
          <w:tcPr>
            <w:tcW w:w="200" w:type="dxa"/>
            <w:vAlign w:val="bottom"/>
          </w:tcPr>
          <w:p>
            <w:pPr>
              <w:spacing w:after="0"/>
              <w:rPr>
                <w:sz w:val="18"/>
                <w:szCs w:val="18"/>
                <w:color w:val="auto"/>
              </w:rPr>
            </w:pPr>
          </w:p>
        </w:tc>
        <w:tc>
          <w:tcPr>
            <w:tcW w:w="200" w:type="dxa"/>
            <w:vAlign w:val="bottom"/>
          </w:tcPr>
          <w:p>
            <w:pPr>
              <w:jc w:val="right"/>
              <w:ind w:right="47"/>
              <w:spacing w:after="0"/>
              <w:rPr>
                <w:sz w:val="20"/>
                <w:szCs w:val="20"/>
                <w:color w:val="auto"/>
              </w:rPr>
            </w:pPr>
            <w:r>
              <w:rPr>
                <w:rFonts w:ascii="Arial" w:cs="Arial" w:eastAsia="Arial" w:hAnsi="Arial"/>
                <w:sz w:val="15"/>
                <w:szCs w:val="15"/>
                <w:color w:val="auto"/>
                <w:w w:val="71"/>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15.6</w:t>
            </w:r>
          </w:p>
        </w:tc>
        <w:tc>
          <w:tcPr>
            <w:tcW w:w="18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rPr>
              <w:t>46.2</w:t>
            </w:r>
          </w:p>
        </w:tc>
        <w:tc>
          <w:tcPr>
            <w:tcW w:w="180" w:type="dxa"/>
            <w:vAlign w:val="bottom"/>
          </w:tcPr>
          <w:p>
            <w:pPr>
              <w:spacing w:after="0"/>
              <w:rPr>
                <w:sz w:val="18"/>
                <w:szCs w:val="18"/>
                <w:color w:val="auto"/>
              </w:rPr>
            </w:pP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104.8</w:t>
            </w:r>
          </w:p>
        </w:tc>
      </w:tr>
      <w:tr>
        <w:trPr>
          <w:trHeight w:val="216"/>
        </w:trPr>
        <w:tc>
          <w:tcPr>
            <w:tcW w:w="59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Sold</w:t>
            </w:r>
          </w:p>
        </w:tc>
        <w:tc>
          <w:tcPr>
            <w:tcW w:w="2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w:t>
            </w:r>
          </w:p>
        </w:tc>
        <w:tc>
          <w:tcPr>
            <w:tcW w:w="2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w:t>
            </w:r>
          </w:p>
        </w:tc>
        <w:tc>
          <w:tcPr>
            <w:tcW w:w="22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66.3</w:t>
            </w:r>
          </w:p>
        </w:tc>
      </w:tr>
      <w:tr>
        <w:trPr>
          <w:trHeight w:val="216"/>
        </w:trPr>
        <w:tc>
          <w:tcPr>
            <w:tcW w:w="5980" w:type="dxa"/>
            <w:vAlign w:val="bottom"/>
          </w:tcPr>
          <w:p>
            <w:pPr>
              <w:spacing w:after="0"/>
              <w:rPr>
                <w:sz w:val="20"/>
                <w:szCs w:val="20"/>
                <w:color w:val="auto"/>
              </w:rPr>
            </w:pPr>
            <w:r>
              <w:rPr>
                <w:rFonts w:ascii="Arial" w:cs="Arial" w:eastAsia="Arial" w:hAnsi="Arial"/>
                <w:sz w:val="18"/>
                <w:szCs w:val="18"/>
                <w:color w:val="auto"/>
              </w:rPr>
              <w:t>Residential mortgage loans:</w:t>
            </w:r>
          </w:p>
        </w:tc>
        <w:tc>
          <w:tcPr>
            <w:tcW w:w="2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40" w:type="dxa"/>
            <w:vAlign w:val="bottom"/>
          </w:tcPr>
          <w:p>
            <w:pPr>
              <w:spacing w:after="0"/>
              <w:rPr>
                <w:sz w:val="18"/>
                <w:szCs w:val="18"/>
                <w:color w:val="auto"/>
              </w:rPr>
            </w:pPr>
          </w:p>
        </w:tc>
      </w:tr>
      <w:tr>
        <w:trPr>
          <w:trHeight w:val="216"/>
        </w:trPr>
        <w:tc>
          <w:tcPr>
            <w:tcW w:w="59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Purchased (1)</w:t>
            </w:r>
          </w:p>
        </w:tc>
        <w:tc>
          <w:tcPr>
            <w:tcW w:w="2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647.1</w:t>
            </w: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162.0</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1,181.4</w:t>
            </w: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813.0</w:t>
            </w:r>
          </w:p>
        </w:tc>
      </w:tr>
      <w:tr>
        <w:trPr>
          <w:trHeight w:val="234"/>
        </w:trPr>
        <w:tc>
          <w:tcPr>
            <w:tcW w:w="5980" w:type="dxa"/>
            <w:vAlign w:val="bottom"/>
          </w:tcPr>
          <w:p>
            <w:pPr>
              <w:ind w:left="120"/>
              <w:spacing w:after="0"/>
              <w:rPr>
                <w:sz w:val="20"/>
                <w:szCs w:val="20"/>
                <w:color w:val="auto"/>
              </w:rPr>
            </w:pPr>
            <w:r>
              <w:rPr>
                <w:rFonts w:ascii="Arial" w:cs="Arial" w:eastAsia="Arial" w:hAnsi="Arial"/>
                <w:sz w:val="18"/>
                <w:szCs w:val="18"/>
                <w:color w:val="auto"/>
              </w:rPr>
              <w:t>Sold</w:t>
            </w:r>
          </w:p>
        </w:tc>
        <w:tc>
          <w:tcPr>
            <w:tcW w:w="200" w:type="dxa"/>
            <w:vAlign w:val="bottom"/>
          </w:tcPr>
          <w:p>
            <w:pPr>
              <w:spacing w:after="0"/>
              <w:rPr>
                <w:sz w:val="20"/>
                <w:szCs w:val="20"/>
                <w:color w:val="auto"/>
              </w:rPr>
            </w:pPr>
          </w:p>
        </w:tc>
        <w:tc>
          <w:tcPr>
            <w:tcW w:w="640" w:type="dxa"/>
            <w:vAlign w:val="bottom"/>
          </w:tcPr>
          <w:p>
            <w:pPr>
              <w:jc w:val="right"/>
              <w:spacing w:after="0"/>
              <w:rPr>
                <w:sz w:val="20"/>
                <w:szCs w:val="20"/>
                <w:color w:val="auto"/>
              </w:rPr>
            </w:pPr>
            <w:r>
              <w:rPr>
                <w:rFonts w:ascii="Arial" w:cs="Arial" w:eastAsia="Arial" w:hAnsi="Arial"/>
                <w:sz w:val="18"/>
                <w:szCs w:val="18"/>
                <w:b w:val="1"/>
                <w:bCs w:val="1"/>
                <w:color w:val="auto"/>
              </w:rPr>
              <w:t>478.9</w:t>
            </w:r>
          </w:p>
        </w:tc>
        <w:tc>
          <w:tcPr>
            <w:tcW w:w="2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6.6</w:t>
            </w:r>
          </w:p>
        </w:tc>
        <w:tc>
          <w:tcPr>
            <w:tcW w:w="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rPr>
              <w:t>486.0</w:t>
            </w:r>
          </w:p>
        </w:tc>
        <w:tc>
          <w:tcPr>
            <w:tcW w:w="1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43.6</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57150</wp:posOffset>
            </wp:positionV>
            <wp:extent cx="1568450" cy="825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1568450" cy="8255"/>
                    </a:xfrm>
                    <a:prstGeom prst="rect">
                      <a:avLst/>
                    </a:prstGeom>
                    <a:noFill/>
                  </pic:spPr>
                </pic:pic>
              </a:graphicData>
            </a:graphic>
          </wp:anchor>
        </w:drawing>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color w:val="auto"/>
        </w:rPr>
        <w:t>(1) Includes mortgage loans purchased by residential mortgage loan VIEs.</w:t>
      </w:r>
    </w:p>
    <w:p>
      <w:pPr>
        <w:spacing w:after="0" w:line="117" w:lineRule="exact"/>
        <w:rPr>
          <w:sz w:val="20"/>
          <w:szCs w:val="20"/>
          <w:color w:val="auto"/>
        </w:rPr>
      </w:pPr>
    </w:p>
    <w:p>
      <w:pPr>
        <w:ind w:left="660"/>
        <w:spacing w:after="0"/>
        <w:rPr>
          <w:sz w:val="20"/>
          <w:szCs w:val="20"/>
          <w:color w:val="auto"/>
        </w:rPr>
      </w:pPr>
      <w:r>
        <w:rPr>
          <w:rFonts w:ascii="Arial" w:cs="Arial" w:eastAsia="Arial" w:hAnsi="Arial"/>
          <w:sz w:val="17"/>
          <w:szCs w:val="17"/>
          <w:color w:val="auto"/>
        </w:rPr>
        <w:t>Our commercial mortgage loan portfolio is diversified by geographic region and specific collateral property type as follows:</w:t>
      </w:r>
    </w:p>
    <w:p>
      <w:pPr>
        <w:spacing w:after="0" w:line="242"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25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0" w:type="dxa"/>
            <w:vAlign w:val="bottom"/>
            <w:gridSpan w:val="5"/>
          </w:tcPr>
          <w:p>
            <w:pPr>
              <w:jc w:val="right"/>
              <w:ind w:right="710"/>
              <w:spacing w:after="0"/>
              <w:rPr>
                <w:sz w:val="20"/>
                <w:szCs w:val="20"/>
                <w:color w:val="auto"/>
              </w:rPr>
            </w:pPr>
            <w:r>
              <w:rPr>
                <w:rFonts w:ascii="Arial" w:cs="Arial" w:eastAsia="Arial" w:hAnsi="Arial"/>
                <w:sz w:val="14"/>
                <w:szCs w:val="14"/>
                <w:b w:val="1"/>
                <w:bCs w:val="1"/>
                <w:color w:val="auto"/>
              </w:rPr>
              <w:t>June 30, 2022</w:t>
            </w:r>
          </w:p>
        </w:tc>
        <w:tc>
          <w:tcPr>
            <w:tcW w:w="1820" w:type="dxa"/>
            <w:vAlign w:val="bottom"/>
            <w:gridSpan w:val="4"/>
          </w:tcPr>
          <w:p>
            <w:pPr>
              <w:jc w:val="right"/>
              <w:ind w:right="370"/>
              <w:spacing w:after="0"/>
              <w:rPr>
                <w:sz w:val="20"/>
                <w:szCs w:val="20"/>
                <w:color w:val="auto"/>
              </w:rPr>
            </w:pPr>
            <w:r>
              <w:rPr>
                <w:rFonts w:ascii="Arial" w:cs="Arial" w:eastAsia="Arial" w:hAnsi="Arial"/>
                <w:sz w:val="14"/>
                <w:szCs w:val="14"/>
                <w:b w:val="1"/>
                <w:bCs w:val="1"/>
                <w:color w:val="auto"/>
              </w:rPr>
              <w:t>December 31, 2021</w:t>
            </w: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3420" w:type="dxa"/>
            <w:vAlign w:val="bottom"/>
          </w:tcPr>
          <w:p>
            <w:pPr>
              <w:spacing w:after="0"/>
              <w:rPr>
                <w:sz w:val="10"/>
                <w:szCs w:val="10"/>
                <w:color w:val="auto"/>
              </w:rPr>
            </w:pPr>
          </w:p>
        </w:tc>
        <w:tc>
          <w:tcPr>
            <w:tcW w:w="2580" w:type="dxa"/>
            <w:vAlign w:val="bottom"/>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920" w:type="dxa"/>
            <w:vAlign w:val="bottom"/>
            <w:tcBorders>
              <w:top w:val="single" w:sz="8" w:color="auto"/>
            </w:tcBorders>
            <w:gridSpan w:val="2"/>
          </w:tcPr>
          <w:p>
            <w:pPr>
              <w:spacing w:after="0" w:line="119" w:lineRule="exact"/>
              <w:rPr>
                <w:sz w:val="20"/>
                <w:szCs w:val="20"/>
                <w:color w:val="auto"/>
              </w:rPr>
            </w:pPr>
            <w:r>
              <w:rPr>
                <w:rFonts w:ascii="Arial" w:cs="Arial" w:eastAsia="Arial" w:hAnsi="Arial"/>
                <w:sz w:val="13"/>
                <w:szCs w:val="13"/>
                <w:b w:val="1"/>
                <w:bCs w:val="1"/>
                <w:color w:val="auto"/>
              </w:rPr>
              <w:t>Amortized</w:t>
            </w:r>
          </w:p>
        </w:tc>
        <w:tc>
          <w:tcPr>
            <w:tcW w:w="720" w:type="dxa"/>
            <w:vAlign w:val="bottom"/>
            <w:tcBorders>
              <w:top w:val="single" w:sz="8" w:color="auto"/>
            </w:tcBorders>
          </w:tcPr>
          <w:p>
            <w:pPr>
              <w:jc w:val="right"/>
              <w:ind w:right="53"/>
              <w:spacing w:after="0" w:line="119" w:lineRule="exact"/>
              <w:rPr>
                <w:sz w:val="20"/>
                <w:szCs w:val="20"/>
                <w:color w:val="auto"/>
              </w:rPr>
            </w:pPr>
            <w:r>
              <w:rPr>
                <w:rFonts w:ascii="Arial" w:cs="Arial" w:eastAsia="Arial" w:hAnsi="Arial"/>
                <w:sz w:val="13"/>
                <w:szCs w:val="13"/>
                <w:b w:val="1"/>
                <w:bCs w:val="1"/>
                <w:color w:val="auto"/>
              </w:rPr>
              <w:t>Percent</w:t>
            </w:r>
          </w:p>
        </w:tc>
        <w:tc>
          <w:tcPr>
            <w:tcW w:w="26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920" w:type="dxa"/>
            <w:vAlign w:val="bottom"/>
            <w:tcBorders>
              <w:top w:val="single" w:sz="8" w:color="auto"/>
            </w:tcBorders>
            <w:gridSpan w:val="2"/>
          </w:tcPr>
          <w:p>
            <w:pPr>
              <w:spacing w:after="0" w:line="119" w:lineRule="exact"/>
              <w:rPr>
                <w:sz w:val="20"/>
                <w:szCs w:val="20"/>
                <w:color w:val="auto"/>
              </w:rPr>
            </w:pPr>
            <w:r>
              <w:rPr>
                <w:rFonts w:ascii="Arial" w:cs="Arial" w:eastAsia="Arial" w:hAnsi="Arial"/>
                <w:sz w:val="13"/>
                <w:szCs w:val="13"/>
                <w:b w:val="1"/>
                <w:bCs w:val="1"/>
                <w:color w:val="auto"/>
              </w:rPr>
              <w:t>Amortized</w:t>
            </w:r>
          </w:p>
        </w:tc>
        <w:tc>
          <w:tcPr>
            <w:tcW w:w="720" w:type="dxa"/>
            <w:vAlign w:val="bottom"/>
            <w:tcBorders>
              <w:top w:val="single" w:sz="8" w:color="auto"/>
            </w:tcBorders>
          </w:tcPr>
          <w:p>
            <w:pPr>
              <w:jc w:val="right"/>
              <w:ind w:right="32"/>
              <w:spacing w:after="0" w:line="119" w:lineRule="exact"/>
              <w:rPr>
                <w:sz w:val="20"/>
                <w:szCs w:val="20"/>
                <w:color w:val="auto"/>
              </w:rPr>
            </w:pPr>
            <w:r>
              <w:rPr>
                <w:rFonts w:ascii="Arial" w:cs="Arial" w:eastAsia="Arial" w:hAnsi="Arial"/>
                <w:sz w:val="13"/>
                <w:szCs w:val="13"/>
                <w:b w:val="1"/>
                <w:bCs w:val="1"/>
                <w:color w:val="auto"/>
              </w:rPr>
              <w:t>Percent</w:t>
            </w:r>
          </w:p>
        </w:tc>
        <w:tc>
          <w:tcPr>
            <w:tcW w:w="1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25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213"/>
              <w:spacing w:after="0"/>
              <w:rPr>
                <w:sz w:val="20"/>
                <w:szCs w:val="20"/>
                <w:color w:val="auto"/>
              </w:rPr>
            </w:pPr>
            <w:r>
              <w:rPr>
                <w:rFonts w:ascii="Arial" w:cs="Arial" w:eastAsia="Arial" w:hAnsi="Arial"/>
                <w:sz w:val="14"/>
                <w:szCs w:val="14"/>
                <w:b w:val="1"/>
                <w:bCs w:val="1"/>
                <w:color w:val="auto"/>
              </w:rPr>
              <w:t>cost</w:t>
            </w:r>
          </w:p>
        </w:tc>
        <w:tc>
          <w:tcPr>
            <w:tcW w:w="160" w:type="dxa"/>
            <w:vAlign w:val="bottom"/>
          </w:tcPr>
          <w:p>
            <w:pPr>
              <w:spacing w:after="0"/>
              <w:rPr>
                <w:sz w:val="14"/>
                <w:szCs w:val="14"/>
                <w:color w:val="auto"/>
              </w:rPr>
            </w:pPr>
          </w:p>
        </w:tc>
        <w:tc>
          <w:tcPr>
            <w:tcW w:w="720" w:type="dxa"/>
            <w:vAlign w:val="bottom"/>
            <w:tcBorders>
              <w:bottom w:val="single" w:sz="8" w:color="auto"/>
            </w:tcBorders>
          </w:tcPr>
          <w:p>
            <w:pPr>
              <w:jc w:val="right"/>
              <w:ind w:right="53"/>
              <w:spacing w:after="0"/>
              <w:rPr>
                <w:sz w:val="20"/>
                <w:szCs w:val="20"/>
                <w:color w:val="auto"/>
              </w:rPr>
            </w:pPr>
            <w:r>
              <w:rPr>
                <w:rFonts w:ascii="Arial" w:cs="Arial" w:eastAsia="Arial" w:hAnsi="Arial"/>
                <w:sz w:val="14"/>
                <w:szCs w:val="14"/>
                <w:b w:val="1"/>
                <w:bCs w:val="1"/>
                <w:color w:val="auto"/>
              </w:rPr>
              <w:t>of total</w:t>
            </w:r>
          </w:p>
        </w:tc>
        <w:tc>
          <w:tcPr>
            <w:tcW w:w="2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233"/>
              <w:spacing w:after="0"/>
              <w:rPr>
                <w:sz w:val="20"/>
                <w:szCs w:val="20"/>
                <w:color w:val="auto"/>
              </w:rPr>
            </w:pPr>
            <w:r>
              <w:rPr>
                <w:rFonts w:ascii="Arial" w:cs="Arial" w:eastAsia="Arial" w:hAnsi="Arial"/>
                <w:sz w:val="14"/>
                <w:szCs w:val="14"/>
                <w:b w:val="1"/>
                <w:bCs w:val="1"/>
                <w:color w:val="auto"/>
              </w:rPr>
              <w:t>cost</w:t>
            </w:r>
          </w:p>
        </w:tc>
        <w:tc>
          <w:tcPr>
            <w:tcW w:w="160" w:type="dxa"/>
            <w:vAlign w:val="bottom"/>
          </w:tcPr>
          <w:p>
            <w:pPr>
              <w:spacing w:after="0"/>
              <w:rPr>
                <w:sz w:val="14"/>
                <w:szCs w:val="14"/>
                <w:color w:val="auto"/>
              </w:rPr>
            </w:pPr>
          </w:p>
        </w:tc>
        <w:tc>
          <w:tcPr>
            <w:tcW w:w="720" w:type="dxa"/>
            <w:vAlign w:val="bottom"/>
            <w:tcBorders>
              <w:bottom w:val="single" w:sz="8" w:color="auto"/>
            </w:tcBorders>
          </w:tcPr>
          <w:p>
            <w:pPr>
              <w:jc w:val="right"/>
              <w:ind w:right="52"/>
              <w:spacing w:after="0"/>
              <w:rPr>
                <w:sz w:val="20"/>
                <w:szCs w:val="20"/>
                <w:color w:val="auto"/>
              </w:rPr>
            </w:pPr>
            <w:r>
              <w:rPr>
                <w:rFonts w:ascii="Arial" w:cs="Arial" w:eastAsia="Arial" w:hAnsi="Arial"/>
                <w:sz w:val="14"/>
                <w:szCs w:val="14"/>
                <w:b w:val="1"/>
                <w:bCs w:val="1"/>
                <w:color w:val="auto"/>
              </w:rPr>
              <w:t>of total</w:t>
            </w:r>
          </w:p>
        </w:tc>
        <w:tc>
          <w:tcPr>
            <w:tcW w:w="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3420" w:type="dxa"/>
            <w:vAlign w:val="bottom"/>
          </w:tcPr>
          <w:p>
            <w:pPr>
              <w:spacing w:after="0"/>
              <w:rPr>
                <w:sz w:val="11"/>
                <w:szCs w:val="11"/>
                <w:color w:val="auto"/>
              </w:rPr>
            </w:pPr>
          </w:p>
        </w:tc>
        <w:tc>
          <w:tcPr>
            <w:tcW w:w="2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40" w:type="dxa"/>
            <w:vAlign w:val="bottom"/>
            <w:gridSpan w:val="4"/>
          </w:tcPr>
          <w:p>
            <w:pPr>
              <w:jc w:val="right"/>
              <w:ind w:right="493"/>
              <w:spacing w:after="0" w:line="129" w:lineRule="exact"/>
              <w:rPr>
                <w:sz w:val="20"/>
                <w:szCs w:val="20"/>
                <w:color w:val="auto"/>
              </w:rPr>
            </w:pPr>
            <w:r>
              <w:rPr>
                <w:rFonts w:ascii="Arial" w:cs="Arial" w:eastAsia="Arial" w:hAnsi="Arial"/>
                <w:sz w:val="14"/>
                <w:szCs w:val="14"/>
                <w:i w:val="1"/>
                <w:iCs w:val="1"/>
                <w:color w:val="auto"/>
              </w:rPr>
              <w:t>($ in millions)</w:t>
            </w:r>
          </w:p>
        </w:tc>
        <w:tc>
          <w:tcPr>
            <w:tcW w:w="1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Geographic distribution</w:t>
            </w:r>
          </w:p>
        </w:tc>
        <w:tc>
          <w:tcPr>
            <w:tcW w:w="25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tcPr>
          <w:p>
            <w:pPr>
              <w:spacing w:after="0"/>
              <w:rPr>
                <w:sz w:val="20"/>
                <w:szCs w:val="20"/>
                <w:color w:val="auto"/>
              </w:rPr>
            </w:pPr>
            <w:r>
              <w:rPr>
                <w:rFonts w:ascii="Arial" w:cs="Arial" w:eastAsia="Arial" w:hAnsi="Arial"/>
                <w:sz w:val="18"/>
                <w:szCs w:val="18"/>
                <w:color w:val="auto"/>
              </w:rPr>
              <w:t>New England</w:t>
            </w:r>
          </w:p>
        </w:tc>
        <w:tc>
          <w:tcPr>
            <w:tcW w:w="266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524.6</w:t>
            </w:r>
          </w:p>
        </w:tc>
        <w:tc>
          <w:tcPr>
            <w:tcW w:w="160" w:type="dxa"/>
            <w:vAlign w:val="bottom"/>
          </w:tcPr>
          <w:p>
            <w:pPr>
              <w:spacing w:after="0"/>
              <w:rPr>
                <w:sz w:val="18"/>
                <w:szCs w:val="18"/>
                <w:color w:val="auto"/>
              </w:rPr>
            </w:pPr>
          </w:p>
        </w:tc>
        <w:tc>
          <w:tcPr>
            <w:tcW w:w="1080" w:type="dxa"/>
            <w:vAlign w:val="bottom"/>
            <w:gridSpan w:val="3"/>
          </w:tcPr>
          <w:p>
            <w:pPr>
              <w:jc w:val="right"/>
              <w:spacing w:after="0"/>
              <w:rPr>
                <w:sz w:val="20"/>
                <w:szCs w:val="20"/>
                <w:color w:val="auto"/>
              </w:rPr>
            </w:pPr>
            <w:r>
              <w:rPr>
                <w:rFonts w:ascii="Arial" w:cs="Arial" w:eastAsia="Arial" w:hAnsi="Arial"/>
                <w:sz w:val="18"/>
                <w:szCs w:val="18"/>
                <w:b w:val="1"/>
                <w:bCs w:val="1"/>
                <w:color w:val="auto"/>
              </w:rPr>
              <w:t xml:space="preserve">3.2 % </w:t>
            </w: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585.6</w:t>
            </w:r>
          </w:p>
        </w:tc>
        <w:tc>
          <w:tcPr>
            <w:tcW w:w="160" w:type="dxa"/>
            <w:vAlign w:val="bottom"/>
          </w:tcPr>
          <w:p>
            <w:pPr>
              <w:spacing w:after="0"/>
              <w:rPr>
                <w:sz w:val="18"/>
                <w:szCs w:val="18"/>
                <w:color w:val="auto"/>
              </w:rPr>
            </w:pPr>
          </w:p>
        </w:tc>
        <w:tc>
          <w:tcPr>
            <w:tcW w:w="900" w:type="dxa"/>
            <w:vAlign w:val="bottom"/>
            <w:gridSpan w:val="2"/>
          </w:tcPr>
          <w:p>
            <w:pPr>
              <w:jc w:val="right"/>
              <w:spacing w:after="0"/>
              <w:rPr>
                <w:sz w:val="20"/>
                <w:szCs w:val="20"/>
                <w:color w:val="auto"/>
              </w:rPr>
            </w:pPr>
            <w:r>
              <w:rPr>
                <w:rFonts w:ascii="Arial" w:cs="Arial" w:eastAsia="Arial" w:hAnsi="Arial"/>
                <w:sz w:val="18"/>
                <w:szCs w:val="18"/>
                <w:color w:val="auto"/>
              </w:rPr>
              <w:t>3.6 %</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rPr>
              <w:t>Middle Atlantic</w:t>
            </w:r>
          </w:p>
        </w:tc>
        <w:tc>
          <w:tcPr>
            <w:tcW w:w="25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4,636.3</w:t>
            </w: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27.8</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4,536.5</w:t>
            </w: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27.7</w:t>
            </w:r>
          </w:p>
        </w:tc>
        <w:tc>
          <w:tcPr>
            <w:tcW w:w="1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tcPr>
          <w:p>
            <w:pPr>
              <w:spacing w:after="0"/>
              <w:rPr>
                <w:sz w:val="20"/>
                <w:szCs w:val="20"/>
                <w:color w:val="auto"/>
              </w:rPr>
            </w:pPr>
            <w:r>
              <w:rPr>
                <w:rFonts w:ascii="Arial" w:cs="Arial" w:eastAsia="Arial" w:hAnsi="Arial"/>
                <w:sz w:val="18"/>
                <w:szCs w:val="18"/>
                <w:color w:val="auto"/>
              </w:rPr>
              <w:t>East North Central</w:t>
            </w:r>
          </w:p>
        </w:tc>
        <w:tc>
          <w:tcPr>
            <w:tcW w:w="25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596.0</w:t>
            </w:r>
          </w:p>
        </w:tc>
        <w:tc>
          <w:tcPr>
            <w:tcW w:w="16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rPr>
              <w:t>3.6</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623.9</w:t>
            </w:r>
          </w:p>
        </w:tc>
        <w:tc>
          <w:tcPr>
            <w:tcW w:w="16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3.8</w:t>
            </w: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rPr>
              <w:t>West North Central</w:t>
            </w:r>
          </w:p>
        </w:tc>
        <w:tc>
          <w:tcPr>
            <w:tcW w:w="25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362.6</w:t>
            </w: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2.2</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338.6</w:t>
            </w: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w:t>
            </w:r>
          </w:p>
        </w:tc>
        <w:tc>
          <w:tcPr>
            <w:tcW w:w="1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tcPr>
          <w:p>
            <w:pPr>
              <w:spacing w:after="0"/>
              <w:rPr>
                <w:sz w:val="20"/>
                <w:szCs w:val="20"/>
                <w:color w:val="auto"/>
              </w:rPr>
            </w:pPr>
            <w:r>
              <w:rPr>
                <w:rFonts w:ascii="Arial" w:cs="Arial" w:eastAsia="Arial" w:hAnsi="Arial"/>
                <w:sz w:val="18"/>
                <w:szCs w:val="18"/>
                <w:color w:val="auto"/>
              </w:rPr>
              <w:t>South Atlantic</w:t>
            </w:r>
          </w:p>
        </w:tc>
        <w:tc>
          <w:tcPr>
            <w:tcW w:w="25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2,437.0</w:t>
            </w:r>
          </w:p>
        </w:tc>
        <w:tc>
          <w:tcPr>
            <w:tcW w:w="16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rPr>
              <w:t>14.7</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2,464.9</w:t>
            </w:r>
          </w:p>
        </w:tc>
        <w:tc>
          <w:tcPr>
            <w:tcW w:w="16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15.0</w:t>
            </w: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rPr>
              <w:t>East South Central</w:t>
            </w:r>
          </w:p>
        </w:tc>
        <w:tc>
          <w:tcPr>
            <w:tcW w:w="25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350.4</w:t>
            </w: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2.1</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378.9</w:t>
            </w: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w:t>
            </w:r>
          </w:p>
        </w:tc>
        <w:tc>
          <w:tcPr>
            <w:tcW w:w="1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tcPr>
          <w:p>
            <w:pPr>
              <w:spacing w:after="0"/>
              <w:rPr>
                <w:sz w:val="20"/>
                <w:szCs w:val="20"/>
                <w:color w:val="auto"/>
              </w:rPr>
            </w:pPr>
            <w:r>
              <w:rPr>
                <w:rFonts w:ascii="Arial" w:cs="Arial" w:eastAsia="Arial" w:hAnsi="Arial"/>
                <w:sz w:val="18"/>
                <w:szCs w:val="18"/>
                <w:color w:val="auto"/>
              </w:rPr>
              <w:t>West South Central</w:t>
            </w:r>
          </w:p>
        </w:tc>
        <w:tc>
          <w:tcPr>
            <w:tcW w:w="25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1,155.2</w:t>
            </w:r>
          </w:p>
        </w:tc>
        <w:tc>
          <w:tcPr>
            <w:tcW w:w="16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rPr>
              <w:t>7.0</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1,243.7</w:t>
            </w:r>
          </w:p>
        </w:tc>
        <w:tc>
          <w:tcPr>
            <w:tcW w:w="16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7.6</w:t>
            </w: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rPr>
              <w:t>Mountain</w:t>
            </w:r>
          </w:p>
        </w:tc>
        <w:tc>
          <w:tcPr>
            <w:tcW w:w="25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974.3</w:t>
            </w: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5.9</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925.6</w:t>
            </w: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w:t>
            </w:r>
          </w:p>
        </w:tc>
        <w:tc>
          <w:tcPr>
            <w:tcW w:w="1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tcPr>
          <w:p>
            <w:pPr>
              <w:spacing w:after="0"/>
              <w:rPr>
                <w:sz w:val="20"/>
                <w:szCs w:val="20"/>
                <w:color w:val="auto"/>
              </w:rPr>
            </w:pPr>
            <w:r>
              <w:rPr>
                <w:rFonts w:ascii="Arial" w:cs="Arial" w:eastAsia="Arial" w:hAnsi="Arial"/>
                <w:sz w:val="18"/>
                <w:szCs w:val="18"/>
                <w:color w:val="auto"/>
              </w:rPr>
              <w:t>Pacific</w:t>
            </w:r>
          </w:p>
        </w:tc>
        <w:tc>
          <w:tcPr>
            <w:tcW w:w="25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5,113.6</w:t>
            </w:r>
          </w:p>
        </w:tc>
        <w:tc>
          <w:tcPr>
            <w:tcW w:w="16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rPr>
              <w:t>30.7</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4,864.4</w:t>
            </w:r>
          </w:p>
        </w:tc>
        <w:tc>
          <w:tcPr>
            <w:tcW w:w="16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29.7</w:t>
            </w: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rPr>
              <w:t>International</w:t>
            </w:r>
          </w:p>
        </w:tc>
        <w:tc>
          <w:tcPr>
            <w:tcW w:w="258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457.9</w:t>
            </w:r>
          </w:p>
        </w:tc>
        <w:tc>
          <w:tcPr>
            <w:tcW w:w="160" w:type="dxa"/>
            <w:vAlign w:val="bottom"/>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2.8</w:t>
            </w:r>
          </w:p>
        </w:tc>
        <w:tc>
          <w:tcPr>
            <w:tcW w:w="26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432.6</w:t>
            </w:r>
          </w:p>
        </w:tc>
        <w:tc>
          <w:tcPr>
            <w:tcW w:w="160" w:type="dxa"/>
            <w:vAlign w:val="bottom"/>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w:t>
            </w:r>
          </w:p>
        </w:tc>
        <w:tc>
          <w:tcPr>
            <w:tcW w:w="1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34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Total</w:t>
            </w:r>
          </w:p>
        </w:tc>
        <w:tc>
          <w:tcPr>
            <w:tcW w:w="2580" w:type="dxa"/>
            <w:vAlign w:val="bottom"/>
            <w:tcBorders>
              <w:bottom w:val="single" w:sz="8" w:color="CCEEFF"/>
            </w:tcBorders>
          </w:tcPr>
          <w:p>
            <w:pPr>
              <w:spacing w:after="0"/>
              <w:rPr>
                <w:sz w:val="21"/>
                <w:szCs w:val="21"/>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96"/>
              </w:rPr>
              <w:t>16,607.9</w:t>
            </w:r>
          </w:p>
        </w:tc>
        <w:tc>
          <w:tcPr>
            <w:tcW w:w="160" w:type="dxa"/>
            <w:vAlign w:val="bottom"/>
            <w:tcBorders>
              <w:bottom w:val="single" w:sz="8" w:color="CCEEFF"/>
            </w:tcBorders>
          </w:tcPr>
          <w:p>
            <w:pPr>
              <w:spacing w:after="0"/>
              <w:rPr>
                <w:sz w:val="21"/>
                <w:szCs w:val="21"/>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100.0</w:t>
            </w:r>
          </w:p>
        </w:tc>
        <w:tc>
          <w:tcPr>
            <w:tcW w:w="260" w:type="dxa"/>
            <w:vAlign w:val="bottom"/>
            <w:tcBorders>
              <w:bottom w:val="single" w:sz="8" w:color="CCEEFF"/>
            </w:tcBorders>
          </w:tcPr>
          <w:p>
            <w:pPr>
              <w:jc w:val="right"/>
              <w:spacing w:after="0"/>
              <w:rPr>
                <w:sz w:val="20"/>
                <w:szCs w:val="20"/>
                <w:color w:val="auto"/>
              </w:rPr>
            </w:pPr>
            <w:r>
              <w:rPr>
                <w:rFonts w:ascii="Arial" w:cs="Arial" w:eastAsia="Arial" w:hAnsi="Arial"/>
                <w:sz w:val="18"/>
                <w:szCs w:val="18"/>
                <w:b w:val="1"/>
                <w:bCs w:val="1"/>
                <w:color w:val="auto"/>
                <w:w w:val="99"/>
              </w:rPr>
              <w:t>%</w:t>
            </w:r>
          </w:p>
        </w:tc>
        <w:tc>
          <w:tcPr>
            <w:tcW w:w="86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w w:val="91"/>
              </w:rPr>
              <w:t>$ 16,394.7</w:t>
            </w:r>
          </w:p>
        </w:tc>
        <w:tc>
          <w:tcPr>
            <w:tcW w:w="160" w:type="dxa"/>
            <w:vAlign w:val="bottom"/>
            <w:tcBorders>
              <w:bottom w:val="single" w:sz="8" w:color="CCEEFF"/>
            </w:tcBorders>
          </w:tcPr>
          <w:p>
            <w:pPr>
              <w:spacing w:after="0"/>
              <w:rPr>
                <w:sz w:val="21"/>
                <w:szCs w:val="21"/>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100.0</w:t>
            </w:r>
          </w:p>
        </w:tc>
        <w:tc>
          <w:tcPr>
            <w:tcW w:w="180" w:type="dxa"/>
            <w:vAlign w:val="bottom"/>
            <w:tcBorders>
              <w:bottom w:val="single" w:sz="8" w:color="CCEEFF"/>
            </w:tcBorders>
          </w:tcPr>
          <w:p>
            <w:pPr>
              <w:jc w:val="right"/>
              <w:spacing w:after="0"/>
              <w:rPr>
                <w:sz w:val="20"/>
                <w:szCs w:val="20"/>
                <w:color w:val="auto"/>
              </w:rPr>
            </w:pPr>
            <w:r>
              <w:rPr>
                <w:rFonts w:ascii="Arial" w:cs="Arial" w:eastAsia="Arial" w:hAnsi="Arial"/>
                <w:sz w:val="18"/>
                <w:szCs w:val="18"/>
                <w:color w:val="auto"/>
                <w:w w:val="87"/>
              </w:rPr>
              <w:t>%</w:t>
            </w:r>
          </w:p>
        </w:tc>
        <w:tc>
          <w:tcPr>
            <w:tcW w:w="0" w:type="dxa"/>
            <w:vAlign w:val="bottom"/>
          </w:tcPr>
          <w:p>
            <w:pPr>
              <w:spacing w:after="0"/>
              <w:rPr>
                <w:sz w:val="1"/>
                <w:szCs w:val="1"/>
                <w:color w:val="auto"/>
              </w:rPr>
            </w:pPr>
          </w:p>
        </w:tc>
      </w:tr>
      <w:tr>
        <w:trPr>
          <w:trHeight w:val="196"/>
        </w:trPr>
        <w:tc>
          <w:tcPr>
            <w:tcW w:w="20" w:type="dxa"/>
            <w:vAlign w:val="bottom"/>
            <w:vMerge w:val="restart"/>
          </w:tcPr>
          <w:p>
            <w:pPr>
              <w:spacing w:after="0"/>
              <w:rPr>
                <w:sz w:val="17"/>
                <w:szCs w:val="17"/>
                <w:color w:val="auto"/>
              </w:rPr>
            </w:pPr>
          </w:p>
        </w:tc>
        <w:tc>
          <w:tcPr>
            <w:tcW w:w="3420" w:type="dxa"/>
            <w:vAlign w:val="bottom"/>
            <w:shd w:val="clear" w:color="auto" w:fill="CCEEFF"/>
          </w:tcPr>
          <w:p>
            <w:pPr>
              <w:spacing w:after="0"/>
              <w:rPr>
                <w:sz w:val="17"/>
                <w:szCs w:val="17"/>
                <w:color w:val="auto"/>
              </w:rPr>
            </w:pPr>
          </w:p>
        </w:tc>
        <w:tc>
          <w:tcPr>
            <w:tcW w:w="25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420" w:type="dxa"/>
            <w:vAlign w:val="bottom"/>
          </w:tcPr>
          <w:p>
            <w:pPr>
              <w:spacing w:after="0"/>
              <w:rPr>
                <w:sz w:val="20"/>
                <w:szCs w:val="20"/>
                <w:color w:val="auto"/>
              </w:rPr>
            </w:pPr>
            <w:r>
              <w:rPr>
                <w:rFonts w:ascii="Arial" w:cs="Arial" w:eastAsia="Arial" w:hAnsi="Arial"/>
                <w:sz w:val="18"/>
                <w:szCs w:val="18"/>
                <w:b w:val="1"/>
                <w:bCs w:val="1"/>
                <w:color w:val="auto"/>
              </w:rPr>
              <w:t>Property type distribution</w:t>
            </w:r>
          </w:p>
        </w:tc>
        <w:tc>
          <w:tcPr>
            <w:tcW w:w="25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rPr>
              <w:t>Office</w:t>
            </w:r>
          </w:p>
        </w:tc>
        <w:tc>
          <w:tcPr>
            <w:tcW w:w="26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4,472.3</w:t>
            </w:r>
          </w:p>
        </w:tc>
        <w:tc>
          <w:tcPr>
            <w:tcW w:w="160" w:type="dxa"/>
            <w:vAlign w:val="bottom"/>
            <w:shd w:val="clear" w:color="auto" w:fill="CCEEFF"/>
          </w:tcPr>
          <w:p>
            <w:pPr>
              <w:spacing w:after="0"/>
              <w:rPr>
                <w:sz w:val="18"/>
                <w:szCs w:val="18"/>
                <w:color w:val="auto"/>
              </w:rPr>
            </w:pPr>
          </w:p>
        </w:tc>
        <w:tc>
          <w:tcPr>
            <w:tcW w:w="1080" w:type="dxa"/>
            <w:vAlign w:val="bottom"/>
            <w:gridSpan w:val="3"/>
            <w:shd w:val="clear" w:color="auto" w:fill="CCEEFF"/>
          </w:tcPr>
          <w:p>
            <w:pPr>
              <w:jc w:val="right"/>
              <w:spacing w:after="0"/>
              <w:rPr>
                <w:sz w:val="20"/>
                <w:szCs w:val="20"/>
                <w:color w:val="auto"/>
              </w:rPr>
            </w:pPr>
            <w:r>
              <w:rPr>
                <w:rFonts w:ascii="Arial" w:cs="Arial" w:eastAsia="Arial" w:hAnsi="Arial"/>
                <w:sz w:val="18"/>
                <w:szCs w:val="18"/>
                <w:b w:val="1"/>
                <w:bCs w:val="1"/>
                <w:color w:val="auto"/>
              </w:rPr>
              <w:t xml:space="preserve">27.0 % </w:t>
            </w: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4,789.8</w:t>
            </w:r>
          </w:p>
        </w:tc>
        <w:tc>
          <w:tcPr>
            <w:tcW w:w="1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29.3 %</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tcPr>
          <w:p>
            <w:pPr>
              <w:spacing w:after="0"/>
              <w:rPr>
                <w:sz w:val="20"/>
                <w:szCs w:val="20"/>
                <w:color w:val="auto"/>
              </w:rPr>
            </w:pPr>
            <w:r>
              <w:rPr>
                <w:rFonts w:ascii="Arial" w:cs="Arial" w:eastAsia="Arial" w:hAnsi="Arial"/>
                <w:sz w:val="18"/>
                <w:szCs w:val="18"/>
                <w:color w:val="auto"/>
              </w:rPr>
              <w:t>Retail</w:t>
            </w:r>
          </w:p>
        </w:tc>
        <w:tc>
          <w:tcPr>
            <w:tcW w:w="25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1,581.4</w:t>
            </w:r>
          </w:p>
        </w:tc>
        <w:tc>
          <w:tcPr>
            <w:tcW w:w="16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rPr>
              <w:t>9.5</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1,622.1</w:t>
            </w:r>
          </w:p>
        </w:tc>
        <w:tc>
          <w:tcPr>
            <w:tcW w:w="16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9.9</w:t>
            </w: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rPr>
              <w:t>Industrial</w:t>
            </w:r>
          </w:p>
        </w:tc>
        <w:tc>
          <w:tcPr>
            <w:tcW w:w="25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3,257.3</w:t>
            </w: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19.6</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2,966.4</w:t>
            </w: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18.1</w:t>
            </w:r>
          </w:p>
        </w:tc>
        <w:tc>
          <w:tcPr>
            <w:tcW w:w="1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tcPr>
          <w:p>
            <w:pPr>
              <w:spacing w:after="0"/>
              <w:rPr>
                <w:sz w:val="20"/>
                <w:szCs w:val="20"/>
                <w:color w:val="auto"/>
              </w:rPr>
            </w:pPr>
            <w:r>
              <w:rPr>
                <w:rFonts w:ascii="Arial" w:cs="Arial" w:eastAsia="Arial" w:hAnsi="Arial"/>
                <w:sz w:val="18"/>
                <w:szCs w:val="18"/>
                <w:color w:val="auto"/>
              </w:rPr>
              <w:t>Apartments</w:t>
            </w:r>
          </w:p>
        </w:tc>
        <w:tc>
          <w:tcPr>
            <w:tcW w:w="25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6,520.9</w:t>
            </w:r>
          </w:p>
        </w:tc>
        <w:tc>
          <w:tcPr>
            <w:tcW w:w="16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rPr>
              <w:t>39.3</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6,234.3</w:t>
            </w:r>
          </w:p>
        </w:tc>
        <w:tc>
          <w:tcPr>
            <w:tcW w:w="16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38.0</w:t>
            </w: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rPr>
              <w:t>Hotel</w:t>
            </w:r>
          </w:p>
        </w:tc>
        <w:tc>
          <w:tcPr>
            <w:tcW w:w="25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74.6</w:t>
            </w: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0.4</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85.7</w:t>
            </w: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0.5</w:t>
            </w:r>
          </w:p>
        </w:tc>
        <w:tc>
          <w:tcPr>
            <w:tcW w:w="1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Mixed use/other</w:t>
            </w:r>
          </w:p>
        </w:tc>
        <w:tc>
          <w:tcPr>
            <w:tcW w:w="2580" w:type="dxa"/>
            <w:vAlign w:val="bottom"/>
            <w:tcBorders>
              <w:bottom w:val="single" w:sz="8" w:color="CCEEFF"/>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701.4</w:t>
            </w:r>
          </w:p>
        </w:tc>
        <w:tc>
          <w:tcPr>
            <w:tcW w:w="160" w:type="dxa"/>
            <w:vAlign w:val="bottom"/>
            <w:tcBorders>
              <w:bottom w:val="single" w:sz="8" w:color="CCEEFF"/>
            </w:tcBorders>
          </w:tcPr>
          <w:p>
            <w:pPr>
              <w:spacing w:after="0"/>
              <w:rPr>
                <w:sz w:val="18"/>
                <w:szCs w:val="18"/>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4.2</w:t>
            </w:r>
          </w:p>
        </w:tc>
        <w:tc>
          <w:tcPr>
            <w:tcW w:w="26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696.4</w:t>
            </w:r>
          </w:p>
        </w:tc>
        <w:tc>
          <w:tcPr>
            <w:tcW w:w="160" w:type="dxa"/>
            <w:vAlign w:val="bottom"/>
            <w:tcBorders>
              <w:bottom w:val="single" w:sz="8" w:color="CCEEFF"/>
            </w:tcBorders>
          </w:tcPr>
          <w:p>
            <w:pPr>
              <w:spacing w:after="0"/>
              <w:rPr>
                <w:sz w:val="18"/>
                <w:szCs w:val="18"/>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4.2</w:t>
            </w:r>
          </w:p>
        </w:tc>
        <w:tc>
          <w:tcPr>
            <w:tcW w:w="18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34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w:t>
            </w:r>
          </w:p>
        </w:tc>
        <w:tc>
          <w:tcPr>
            <w:tcW w:w="258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6"/>
              </w:rPr>
              <w:t>16,607.9</w:t>
            </w:r>
          </w:p>
        </w:tc>
        <w:tc>
          <w:tcPr>
            <w:tcW w:w="160" w:type="dxa"/>
            <w:vAlign w:val="bottom"/>
            <w:tcBorders>
              <w:bottom w:val="single" w:sz="8" w:color="CCEEFF"/>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100.0</w:t>
            </w:r>
          </w:p>
        </w:tc>
        <w:tc>
          <w:tcPr>
            <w:tcW w:w="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w:t>
            </w:r>
          </w:p>
        </w:tc>
        <w:tc>
          <w:tcPr>
            <w:tcW w:w="86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w w:val="91"/>
              </w:rPr>
              <w:t>$ 16,394.7</w:t>
            </w:r>
          </w:p>
        </w:tc>
        <w:tc>
          <w:tcPr>
            <w:tcW w:w="160" w:type="dxa"/>
            <w:vAlign w:val="bottom"/>
            <w:tcBorders>
              <w:bottom w:val="single" w:sz="8" w:color="CCEEFF"/>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87"/>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420" w:type="dxa"/>
            <w:vAlign w:val="bottom"/>
          </w:tcPr>
          <w:p>
            <w:pPr>
              <w:spacing w:after="0" w:line="20" w:lineRule="exact"/>
              <w:rPr>
                <w:sz w:val="1"/>
                <w:szCs w:val="1"/>
                <w:color w:val="auto"/>
              </w:rPr>
            </w:pPr>
          </w:p>
        </w:tc>
        <w:tc>
          <w:tcPr>
            <w:tcW w:w="2580" w:type="dxa"/>
            <w:vAlign w:val="bottom"/>
            <w:vMerge w:val="restart"/>
          </w:tcPr>
          <w:p>
            <w:pPr>
              <w:jc w:val="right"/>
              <w:ind w:right="870"/>
              <w:spacing w:after="0"/>
              <w:rPr>
                <w:sz w:val="20"/>
                <w:szCs w:val="20"/>
                <w:color w:val="auto"/>
              </w:rPr>
            </w:pPr>
            <w:r>
              <w:rPr>
                <w:rFonts w:ascii="Arial" w:cs="Arial" w:eastAsia="Arial" w:hAnsi="Arial"/>
                <w:sz w:val="18"/>
                <w:szCs w:val="18"/>
                <w:color w:val="auto"/>
              </w:rPr>
              <w:t>34</w:t>
            </w:r>
          </w:p>
        </w:tc>
        <w:tc>
          <w:tcPr>
            <w:tcW w:w="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5"/>
        </w:trPr>
        <w:tc>
          <w:tcPr>
            <w:tcW w:w="20" w:type="dxa"/>
            <w:vAlign w:val="bottom"/>
          </w:tcPr>
          <w:p>
            <w:pPr>
              <w:spacing w:after="0"/>
              <w:rPr>
                <w:sz w:val="24"/>
                <w:szCs w:val="24"/>
                <w:color w:val="auto"/>
              </w:rPr>
            </w:pPr>
          </w:p>
        </w:tc>
        <w:tc>
          <w:tcPr>
            <w:tcW w:w="3420" w:type="dxa"/>
            <w:vAlign w:val="bottom"/>
          </w:tcPr>
          <w:p>
            <w:pPr>
              <w:spacing w:after="0"/>
              <w:rPr>
                <w:sz w:val="24"/>
                <w:szCs w:val="24"/>
                <w:color w:val="auto"/>
              </w:rPr>
            </w:pPr>
          </w:p>
        </w:tc>
        <w:tc>
          <w:tcPr>
            <w:tcW w:w="2580" w:type="dxa"/>
            <w:vAlign w:val="bottom"/>
            <w:vMerge w:val="continue"/>
          </w:tcPr>
          <w:p>
            <w:pPr>
              <w:spacing w:after="0"/>
              <w:rPr>
                <w:sz w:val="24"/>
                <w:szCs w:val="24"/>
                <w:color w:val="auto"/>
              </w:rPr>
            </w:pPr>
          </w:p>
        </w:tc>
        <w:tc>
          <w:tcPr>
            <w:tcW w:w="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60"/>
        </w:trPr>
        <w:tc>
          <w:tcPr>
            <w:tcW w:w="20" w:type="dxa"/>
            <w:vAlign w:val="bottom"/>
          </w:tcPr>
          <w:p>
            <w:pPr>
              <w:spacing w:after="0"/>
              <w:rPr>
                <w:sz w:val="24"/>
                <w:szCs w:val="24"/>
                <w:color w:val="auto"/>
              </w:rPr>
            </w:pPr>
          </w:p>
        </w:tc>
        <w:tc>
          <w:tcPr>
            <w:tcW w:w="3420" w:type="dxa"/>
            <w:vAlign w:val="bottom"/>
            <w:tcBorders>
              <w:bottom w:val="single" w:sz="8" w:color="auto"/>
            </w:tcBorders>
          </w:tcPr>
          <w:p>
            <w:pPr>
              <w:spacing w:after="0"/>
              <w:rPr>
                <w:sz w:val="24"/>
                <w:szCs w:val="24"/>
                <w:color w:val="auto"/>
              </w:rPr>
            </w:pPr>
          </w:p>
        </w:tc>
        <w:tc>
          <w:tcPr>
            <w:tcW w:w="25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920"/>
          </w:cols>
          <w:pgMar w:left="980" w:top="665" w:right="999" w:bottom="1440" w:gutter="0" w:footer="0" w:header="0"/>
        </w:sectPr>
      </w:pPr>
    </w:p>
    <w:bookmarkStart w:id="34" w:name="page35"/>
    <w:bookmarkEnd w:id="34"/>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Mortgage Loan Modifications</w:t>
      </w:r>
    </w:p>
    <w:p>
      <w:pPr>
        <w:spacing w:after="0" w:line="229" w:lineRule="exact"/>
        <w:rPr>
          <w:sz w:val="20"/>
          <w:szCs w:val="20"/>
          <w:color w:val="auto"/>
        </w:rPr>
      </w:pPr>
    </w:p>
    <w:p>
      <w:pPr>
        <w:ind w:right="60" w:firstLine="648"/>
        <w:spacing w:after="0" w:line="254" w:lineRule="auto"/>
        <w:rPr>
          <w:sz w:val="20"/>
          <w:szCs w:val="20"/>
          <w:color w:val="auto"/>
        </w:rPr>
      </w:pPr>
      <w:r>
        <w:rPr>
          <w:rFonts w:ascii="Arial" w:cs="Arial" w:eastAsia="Arial" w:hAnsi="Arial"/>
          <w:sz w:val="18"/>
          <w:szCs w:val="18"/>
          <w:color w:val="auto"/>
        </w:rPr>
        <w:t>We assess COVID-19 related loan modifications to determine if they are in scope of the CARES Act TDR relief and the Interagency Statement guidance, which was effective in the second quarter of 2020. See Note 1, Nature of Operations and Significant Accounting Policies, under the caption “Investments” for further details. COVID-19 related loan modifications typically include delayed principal and interest payments. Based on the terms of the delayed principal and interest payments, past due status generally will not advance and loans generally will not be placed on non-accrual status during the delay. We did not have a significant amount of COVID-19 related loan modifications that were in scope of the CARES Act TDR relief or the Interagency Statement guidance for the three and six months ended June 30, 2021.</w:t>
      </w:r>
    </w:p>
    <w:p>
      <w:pPr>
        <w:spacing w:after="0" w:line="181" w:lineRule="exact"/>
        <w:rPr>
          <w:sz w:val="20"/>
          <w:szCs w:val="20"/>
          <w:color w:val="auto"/>
        </w:rPr>
      </w:pPr>
    </w:p>
    <w:p>
      <w:pPr>
        <w:ind w:right="80" w:firstLine="648"/>
        <w:spacing w:after="0" w:line="293" w:lineRule="auto"/>
        <w:rPr>
          <w:sz w:val="20"/>
          <w:szCs w:val="20"/>
          <w:color w:val="auto"/>
        </w:rPr>
      </w:pPr>
      <w:r>
        <w:rPr>
          <w:rFonts w:ascii="Arial" w:cs="Arial" w:eastAsia="Arial" w:hAnsi="Arial"/>
          <w:sz w:val="16"/>
          <w:szCs w:val="16"/>
          <w:color w:val="auto"/>
        </w:rPr>
        <w:t>We assess loan modifications outside the scope of the CARES Act TDR relief or Interagency Statement guidance on a case-by-case basis to evaluate whether a TDR has occurred. When we have commercial mortgage loan TDRs, they are modified to delay or reduce principal payments and to reduce or delay interest payments. The commercial mortgage loan modifications result in delayed cash receipts, a decrease in interest income and loan rates that are considered below market. When we have residential mortgage loan TDRs, they include modifications of interest-only payment periods, delays in principal balloon payments and interest rate reductions. Residential mortgage loan modifications result in delayed or decreased cash receipts and a decrease in interest income.</w:t>
      </w:r>
    </w:p>
    <w:p>
      <w:pPr>
        <w:spacing w:after="0" w:line="137" w:lineRule="exact"/>
        <w:rPr>
          <w:sz w:val="20"/>
          <w:szCs w:val="20"/>
          <w:color w:val="auto"/>
        </w:rPr>
      </w:pPr>
    </w:p>
    <w:p>
      <w:pPr>
        <w:ind w:right="720" w:firstLine="648"/>
        <w:spacing w:after="0" w:line="277" w:lineRule="auto"/>
        <w:rPr>
          <w:sz w:val="20"/>
          <w:szCs w:val="20"/>
          <w:color w:val="auto"/>
        </w:rPr>
      </w:pPr>
      <w:r>
        <w:rPr>
          <w:rFonts w:ascii="Arial" w:cs="Arial" w:eastAsia="Arial" w:hAnsi="Arial"/>
          <w:sz w:val="18"/>
          <w:szCs w:val="18"/>
          <w:color w:val="auto"/>
        </w:rPr>
        <w:t>When we have commercial mortgage loan TDRs, they are reserved for in the mortgage loan valuation allowance at the estimated fair value of the underlying collateral reduced by the cost to sell.</w:t>
      </w:r>
    </w:p>
    <w:p>
      <w:pPr>
        <w:spacing w:after="0" w:line="157" w:lineRule="exact"/>
        <w:rPr>
          <w:sz w:val="20"/>
          <w:szCs w:val="20"/>
          <w:color w:val="auto"/>
        </w:rPr>
      </w:pPr>
    </w:p>
    <w:p>
      <w:pPr>
        <w:ind w:right="220" w:firstLine="648"/>
        <w:spacing w:after="0" w:line="263" w:lineRule="auto"/>
        <w:rPr>
          <w:sz w:val="20"/>
          <w:szCs w:val="20"/>
          <w:color w:val="auto"/>
        </w:rPr>
      </w:pPr>
      <w:r>
        <w:rPr>
          <w:rFonts w:ascii="Arial" w:cs="Arial" w:eastAsia="Arial" w:hAnsi="Arial"/>
          <w:sz w:val="18"/>
          <w:szCs w:val="18"/>
          <w:color w:val="auto"/>
        </w:rPr>
        <w:t>When we have residential mortgage loan TDRs, they are specifically reserved for in the mortgage loan valuation allowance if losses result from the modification. Residential mortgage loans that have defaulted or have been discharged through bankruptcy are reduced to the expected collectible amount.</w:t>
      </w:r>
    </w:p>
    <w:p>
      <w:pPr>
        <w:spacing w:after="0" w:line="170" w:lineRule="exact"/>
        <w:rPr>
          <w:sz w:val="20"/>
          <w:szCs w:val="20"/>
          <w:color w:val="auto"/>
        </w:rPr>
      </w:pPr>
    </w:p>
    <w:p>
      <w:pPr>
        <w:ind w:right="200" w:firstLine="648"/>
        <w:spacing w:after="0" w:line="277" w:lineRule="auto"/>
        <w:rPr>
          <w:sz w:val="20"/>
          <w:szCs w:val="20"/>
          <w:color w:val="auto"/>
        </w:rPr>
      </w:pPr>
      <w:r>
        <w:rPr>
          <w:rFonts w:ascii="Arial" w:cs="Arial" w:eastAsia="Arial" w:hAnsi="Arial"/>
          <w:sz w:val="18"/>
          <w:szCs w:val="18"/>
          <w:color w:val="auto"/>
        </w:rPr>
        <w:t>The following table includes information about outstanding loans that were modified and met the criteria of a TDR during the periods indicated.</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460" w:type="dxa"/>
            <w:vAlign w:val="bottom"/>
          </w:tcPr>
          <w:p>
            <w:pPr>
              <w:spacing w:after="0"/>
              <w:rPr>
                <w:sz w:val="14"/>
                <w:szCs w:val="14"/>
                <w:color w:val="auto"/>
              </w:rPr>
            </w:pPr>
          </w:p>
        </w:tc>
        <w:tc>
          <w:tcPr>
            <w:tcW w:w="2380" w:type="dxa"/>
            <w:vAlign w:val="bottom"/>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2420" w:type="dxa"/>
            <w:vAlign w:val="bottom"/>
            <w:tcBorders>
              <w:bottom w:val="single" w:sz="8" w:color="auto"/>
            </w:tcBorders>
            <w:gridSpan w:val="7"/>
          </w:tcPr>
          <w:p>
            <w:pPr>
              <w:jc w:val="right"/>
              <w:ind w:right="7"/>
              <w:spacing w:after="0"/>
              <w:rPr>
                <w:sz w:val="20"/>
                <w:szCs w:val="20"/>
                <w:color w:val="auto"/>
              </w:rPr>
            </w:pPr>
            <w:r>
              <w:rPr>
                <w:rFonts w:ascii="Arial" w:cs="Arial" w:eastAsia="Arial" w:hAnsi="Arial"/>
                <w:sz w:val="14"/>
                <w:szCs w:val="14"/>
                <w:b w:val="1"/>
                <w:bCs w:val="1"/>
                <w:color w:val="auto"/>
                <w:w w:val="94"/>
              </w:rPr>
              <w:t>For the three months ended June 30,</w:t>
            </w:r>
          </w:p>
        </w:tc>
        <w:tc>
          <w:tcPr>
            <w:tcW w:w="84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3460" w:type="dxa"/>
            <w:vAlign w:val="bottom"/>
          </w:tcPr>
          <w:p>
            <w:pPr>
              <w:spacing w:after="0"/>
              <w:rPr>
                <w:sz w:val="12"/>
                <w:szCs w:val="12"/>
                <w:color w:val="auto"/>
              </w:rPr>
            </w:pPr>
          </w:p>
        </w:tc>
        <w:tc>
          <w:tcPr>
            <w:tcW w:w="2380" w:type="dxa"/>
            <w:vAlign w:val="bottom"/>
          </w:tcPr>
          <w:p>
            <w:pPr>
              <w:spacing w:after="0"/>
              <w:rPr>
                <w:sz w:val="12"/>
                <w:szCs w:val="12"/>
                <w:color w:val="auto"/>
              </w:rPr>
            </w:pPr>
          </w:p>
        </w:tc>
        <w:tc>
          <w:tcPr>
            <w:tcW w:w="800" w:type="dxa"/>
            <w:vAlign w:val="bottom"/>
            <w:tcBorders>
              <w:bottom w:val="single" w:sz="8" w:color="auto"/>
            </w:tcBorders>
          </w:tcPr>
          <w:p>
            <w:pPr>
              <w:spacing w:after="0"/>
              <w:rPr>
                <w:sz w:val="12"/>
                <w:szCs w:val="12"/>
                <w:color w:val="auto"/>
              </w:rPr>
            </w:pPr>
          </w:p>
        </w:tc>
        <w:tc>
          <w:tcPr>
            <w:tcW w:w="320" w:type="dxa"/>
            <w:vAlign w:val="bottom"/>
            <w:tcBorders>
              <w:bottom w:val="single" w:sz="8" w:color="auto"/>
            </w:tcBorders>
            <w:gridSpan w:val="3"/>
          </w:tcPr>
          <w:p>
            <w:pPr>
              <w:jc w:val="right"/>
              <w:spacing w:after="0" w:line="142" w:lineRule="exact"/>
              <w:rPr>
                <w:sz w:val="20"/>
                <w:szCs w:val="20"/>
                <w:color w:val="auto"/>
              </w:rPr>
            </w:pPr>
            <w:r>
              <w:rPr>
                <w:rFonts w:ascii="Arial" w:cs="Arial" w:eastAsia="Arial" w:hAnsi="Arial"/>
                <w:sz w:val="14"/>
                <w:szCs w:val="14"/>
                <w:b w:val="1"/>
                <w:bCs w:val="1"/>
                <w:color w:val="auto"/>
                <w:w w:val="89"/>
              </w:rPr>
              <w:t>2022</w:t>
            </w:r>
          </w:p>
        </w:tc>
        <w:tc>
          <w:tcPr>
            <w:tcW w:w="820" w:type="dxa"/>
            <w:vAlign w:val="bottom"/>
            <w:tcBorders>
              <w:bottom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40" w:type="dxa"/>
            <w:vAlign w:val="bottom"/>
            <w:tcBorders>
              <w:bottom w:val="single" w:sz="8" w:color="auto"/>
            </w:tcBorders>
          </w:tcPr>
          <w:p>
            <w:pPr>
              <w:spacing w:after="0"/>
              <w:rPr>
                <w:sz w:val="12"/>
                <w:szCs w:val="12"/>
                <w:color w:val="auto"/>
              </w:rPr>
            </w:pPr>
          </w:p>
        </w:tc>
        <w:tc>
          <w:tcPr>
            <w:tcW w:w="300" w:type="dxa"/>
            <w:vAlign w:val="bottom"/>
            <w:tcBorders>
              <w:bottom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w w:val="89"/>
              </w:rPr>
              <w:t>2021</w:t>
            </w:r>
          </w:p>
        </w:tc>
        <w:tc>
          <w:tcPr>
            <w:tcW w:w="84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19"/>
        </w:trPr>
        <w:tc>
          <w:tcPr>
            <w:tcW w:w="3460" w:type="dxa"/>
            <w:vAlign w:val="bottom"/>
          </w:tcPr>
          <w:p>
            <w:pPr>
              <w:spacing w:after="0"/>
              <w:rPr>
                <w:sz w:val="10"/>
                <w:szCs w:val="10"/>
                <w:color w:val="auto"/>
              </w:rPr>
            </w:pPr>
          </w:p>
        </w:tc>
        <w:tc>
          <w:tcPr>
            <w:tcW w:w="2380" w:type="dxa"/>
            <w:vAlign w:val="bottom"/>
          </w:tcPr>
          <w:p>
            <w:pPr>
              <w:spacing w:after="0"/>
              <w:rPr>
                <w:sz w:val="10"/>
                <w:szCs w:val="10"/>
                <w:color w:val="auto"/>
              </w:rPr>
            </w:pPr>
          </w:p>
        </w:tc>
        <w:tc>
          <w:tcPr>
            <w:tcW w:w="800" w:type="dxa"/>
            <w:vAlign w:val="bottom"/>
          </w:tcPr>
          <w:p>
            <w:pPr>
              <w:jc w:val="center"/>
              <w:spacing w:after="0" w:line="119" w:lineRule="exact"/>
              <w:rPr>
                <w:sz w:val="20"/>
                <w:szCs w:val="20"/>
                <w:color w:val="auto"/>
              </w:rPr>
            </w:pPr>
            <w:r>
              <w:rPr>
                <w:rFonts w:ascii="Arial" w:cs="Arial" w:eastAsia="Arial" w:hAnsi="Arial"/>
                <w:sz w:val="13"/>
                <w:szCs w:val="13"/>
                <w:b w:val="1"/>
                <w:bCs w:val="1"/>
                <w:color w:val="auto"/>
              </w:rPr>
              <w:t>Number of</w:t>
            </w:r>
          </w:p>
        </w:tc>
        <w:tc>
          <w:tcPr>
            <w:tcW w:w="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20" w:type="dxa"/>
            <w:vAlign w:val="bottom"/>
          </w:tcPr>
          <w:p>
            <w:pPr>
              <w:jc w:val="center"/>
              <w:ind w:right="62"/>
              <w:spacing w:after="0" w:line="119" w:lineRule="exact"/>
              <w:rPr>
                <w:sz w:val="20"/>
                <w:szCs w:val="20"/>
                <w:color w:val="auto"/>
              </w:rPr>
            </w:pPr>
            <w:r>
              <w:rPr>
                <w:rFonts w:ascii="Arial" w:cs="Arial" w:eastAsia="Arial" w:hAnsi="Arial"/>
                <w:sz w:val="13"/>
                <w:szCs w:val="13"/>
                <w:b w:val="1"/>
                <w:bCs w:val="1"/>
                <w:color w:val="auto"/>
                <w:w w:val="99"/>
              </w:rPr>
              <w:t>Recorded</w:t>
            </w:r>
          </w:p>
        </w:tc>
        <w:tc>
          <w:tcPr>
            <w:tcW w:w="160" w:type="dxa"/>
            <w:vAlign w:val="bottom"/>
          </w:tcPr>
          <w:p>
            <w:pPr>
              <w:spacing w:after="0"/>
              <w:rPr>
                <w:sz w:val="10"/>
                <w:szCs w:val="10"/>
                <w:color w:val="auto"/>
              </w:rPr>
            </w:pPr>
          </w:p>
        </w:tc>
        <w:tc>
          <w:tcPr>
            <w:tcW w:w="840" w:type="dxa"/>
            <w:vAlign w:val="bottom"/>
          </w:tcPr>
          <w:p>
            <w:pPr>
              <w:jc w:val="center"/>
              <w:spacing w:after="0" w:line="119" w:lineRule="exact"/>
              <w:rPr>
                <w:sz w:val="20"/>
                <w:szCs w:val="20"/>
                <w:color w:val="auto"/>
              </w:rPr>
            </w:pPr>
            <w:r>
              <w:rPr>
                <w:rFonts w:ascii="Arial" w:cs="Arial" w:eastAsia="Arial" w:hAnsi="Arial"/>
                <w:sz w:val="13"/>
                <w:szCs w:val="13"/>
                <w:b w:val="1"/>
                <w:bCs w:val="1"/>
                <w:color w:val="auto"/>
              </w:rPr>
              <w:t>Number of</w:t>
            </w:r>
          </w:p>
        </w:tc>
        <w:tc>
          <w:tcPr>
            <w:tcW w:w="1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40" w:type="dxa"/>
            <w:vAlign w:val="bottom"/>
          </w:tcPr>
          <w:p>
            <w:pPr>
              <w:jc w:val="center"/>
              <w:ind w:right="42"/>
              <w:spacing w:after="0" w:line="119" w:lineRule="exact"/>
              <w:rPr>
                <w:sz w:val="20"/>
                <w:szCs w:val="20"/>
                <w:color w:val="auto"/>
              </w:rPr>
            </w:pPr>
            <w:r>
              <w:rPr>
                <w:rFonts w:ascii="Arial" w:cs="Arial" w:eastAsia="Arial" w:hAnsi="Arial"/>
                <w:sz w:val="13"/>
                <w:szCs w:val="13"/>
                <w:b w:val="1"/>
                <w:bCs w:val="1"/>
                <w:color w:val="auto"/>
                <w:w w:val="99"/>
              </w:rPr>
              <w:t>Recorded</w:t>
            </w:r>
          </w:p>
        </w:tc>
        <w:tc>
          <w:tcPr>
            <w:tcW w:w="0" w:type="dxa"/>
            <w:vAlign w:val="bottom"/>
          </w:tcPr>
          <w:p>
            <w:pPr>
              <w:spacing w:after="0"/>
              <w:rPr>
                <w:sz w:val="1"/>
                <w:szCs w:val="1"/>
                <w:color w:val="auto"/>
              </w:rPr>
            </w:pPr>
          </w:p>
        </w:tc>
      </w:tr>
      <w:tr>
        <w:trPr>
          <w:trHeight w:val="171"/>
        </w:trPr>
        <w:tc>
          <w:tcPr>
            <w:tcW w:w="3460" w:type="dxa"/>
            <w:vAlign w:val="bottom"/>
          </w:tcPr>
          <w:p>
            <w:pPr>
              <w:spacing w:after="0"/>
              <w:rPr>
                <w:sz w:val="14"/>
                <w:szCs w:val="14"/>
                <w:color w:val="auto"/>
              </w:rPr>
            </w:pPr>
          </w:p>
        </w:tc>
        <w:tc>
          <w:tcPr>
            <w:tcW w:w="2380" w:type="dxa"/>
            <w:vAlign w:val="bottom"/>
          </w:tcPr>
          <w:p>
            <w:pPr>
              <w:spacing w:after="0"/>
              <w:rPr>
                <w:sz w:val="14"/>
                <w:szCs w:val="14"/>
                <w:color w:val="auto"/>
              </w:rPr>
            </w:pPr>
          </w:p>
        </w:tc>
        <w:tc>
          <w:tcPr>
            <w:tcW w:w="800" w:type="dxa"/>
            <w:vAlign w:val="bottom"/>
          </w:tcPr>
          <w:p>
            <w:pPr>
              <w:jc w:val="center"/>
              <w:spacing w:after="0"/>
              <w:rPr>
                <w:sz w:val="20"/>
                <w:szCs w:val="20"/>
                <w:color w:val="auto"/>
              </w:rPr>
            </w:pPr>
            <w:r>
              <w:rPr>
                <w:rFonts w:ascii="Arial" w:cs="Arial" w:eastAsia="Arial" w:hAnsi="Arial"/>
                <w:sz w:val="14"/>
                <w:szCs w:val="14"/>
                <w:b w:val="1"/>
                <w:bCs w:val="1"/>
                <w:color w:val="auto"/>
                <w:w w:val="91"/>
              </w:rPr>
              <w:t>contracts</w:t>
            </w:r>
          </w:p>
        </w:tc>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1"/>
              </w:rPr>
              <w:t>investment</w:t>
            </w:r>
          </w:p>
        </w:tc>
        <w:tc>
          <w:tcPr>
            <w:tcW w:w="840" w:type="dxa"/>
            <w:vAlign w:val="bottom"/>
          </w:tcPr>
          <w:p>
            <w:pPr>
              <w:jc w:val="center"/>
              <w:spacing w:after="0"/>
              <w:rPr>
                <w:sz w:val="20"/>
                <w:szCs w:val="20"/>
                <w:color w:val="auto"/>
              </w:rPr>
            </w:pPr>
            <w:r>
              <w:rPr>
                <w:rFonts w:ascii="Arial" w:cs="Arial" w:eastAsia="Arial" w:hAnsi="Arial"/>
                <w:sz w:val="14"/>
                <w:szCs w:val="14"/>
                <w:b w:val="1"/>
                <w:bCs w:val="1"/>
                <w:color w:val="auto"/>
                <w:w w:val="88"/>
              </w:rPr>
              <w:t>contracts</w:t>
            </w: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40" w:type="dxa"/>
            <w:vAlign w:val="bottom"/>
          </w:tcPr>
          <w:p>
            <w:pPr>
              <w:jc w:val="center"/>
              <w:ind w:right="42"/>
              <w:spacing w:after="0"/>
              <w:rPr>
                <w:sz w:val="20"/>
                <w:szCs w:val="20"/>
                <w:color w:val="auto"/>
              </w:rPr>
            </w:pPr>
            <w:r>
              <w:rPr>
                <w:rFonts w:ascii="Arial" w:cs="Arial" w:eastAsia="Arial" w:hAnsi="Arial"/>
                <w:sz w:val="14"/>
                <w:szCs w:val="14"/>
                <w:b w:val="1"/>
                <w:bCs w:val="1"/>
                <w:color w:val="auto"/>
                <w:w w:val="91"/>
              </w:rPr>
              <w:t>investment</w:t>
            </w:r>
          </w:p>
        </w:tc>
        <w:tc>
          <w:tcPr>
            <w:tcW w:w="0" w:type="dxa"/>
            <w:vAlign w:val="bottom"/>
          </w:tcPr>
          <w:p>
            <w:pPr>
              <w:spacing w:after="0"/>
              <w:rPr>
                <w:sz w:val="1"/>
                <w:szCs w:val="1"/>
                <w:color w:val="auto"/>
              </w:rPr>
            </w:pPr>
          </w:p>
        </w:tc>
      </w:tr>
      <w:tr>
        <w:trPr>
          <w:trHeight w:val="142"/>
        </w:trPr>
        <w:tc>
          <w:tcPr>
            <w:tcW w:w="3460" w:type="dxa"/>
            <w:vAlign w:val="bottom"/>
          </w:tcPr>
          <w:p>
            <w:pPr>
              <w:spacing w:after="0"/>
              <w:rPr>
                <w:sz w:val="12"/>
                <w:szCs w:val="12"/>
                <w:color w:val="auto"/>
              </w:rPr>
            </w:pPr>
          </w:p>
        </w:tc>
        <w:tc>
          <w:tcPr>
            <w:tcW w:w="2380" w:type="dxa"/>
            <w:vAlign w:val="bottom"/>
          </w:tcPr>
          <w:p>
            <w:pPr>
              <w:spacing w:after="0"/>
              <w:rPr>
                <w:sz w:val="12"/>
                <w:szCs w:val="12"/>
                <w:color w:val="auto"/>
              </w:rPr>
            </w:pPr>
          </w:p>
        </w:tc>
        <w:tc>
          <w:tcPr>
            <w:tcW w:w="80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820" w:type="dxa"/>
            <w:vAlign w:val="bottom"/>
            <w:tcBorders>
              <w:top w:val="single" w:sz="8" w:color="auto"/>
            </w:tcBorders>
          </w:tcPr>
          <w:p>
            <w:pPr>
              <w:jc w:val="center"/>
              <w:ind w:right="42"/>
              <w:spacing w:after="0" w:line="142" w:lineRule="exact"/>
              <w:rPr>
                <w:sz w:val="20"/>
                <w:szCs w:val="20"/>
                <w:color w:val="auto"/>
              </w:rPr>
            </w:pPr>
            <w:r>
              <w:rPr>
                <w:rFonts w:ascii="Arial" w:cs="Arial" w:eastAsia="Arial" w:hAnsi="Arial"/>
                <w:sz w:val="14"/>
                <w:szCs w:val="14"/>
                <w:i w:val="1"/>
                <w:iCs w:val="1"/>
                <w:color w:val="auto"/>
                <w:w w:val="98"/>
              </w:rPr>
              <w:t>(in millions)</w:t>
            </w:r>
          </w:p>
        </w:tc>
        <w:tc>
          <w:tcPr>
            <w:tcW w:w="160" w:type="dxa"/>
            <w:vAlign w:val="bottom"/>
          </w:tcPr>
          <w:p>
            <w:pPr>
              <w:spacing w:after="0"/>
              <w:rPr>
                <w:sz w:val="12"/>
                <w:szCs w:val="12"/>
                <w:color w:val="auto"/>
              </w:rPr>
            </w:pPr>
          </w:p>
        </w:tc>
        <w:tc>
          <w:tcPr>
            <w:tcW w:w="840" w:type="dxa"/>
            <w:vAlign w:val="bottom"/>
            <w:tcBorders>
              <w:top w:val="single" w:sz="8" w:color="auto"/>
            </w:tcBorders>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840" w:type="dxa"/>
            <w:vAlign w:val="bottom"/>
            <w:tcBorders>
              <w:top w:val="single" w:sz="8" w:color="auto"/>
            </w:tcBorders>
          </w:tcPr>
          <w:p>
            <w:pPr>
              <w:jc w:val="center"/>
              <w:ind w:right="42"/>
              <w:spacing w:after="0" w:line="142" w:lineRule="exact"/>
              <w:rPr>
                <w:sz w:val="20"/>
                <w:szCs w:val="20"/>
                <w:color w:val="auto"/>
              </w:rPr>
            </w:pPr>
            <w:r>
              <w:rPr>
                <w:rFonts w:ascii="Arial" w:cs="Arial" w:eastAsia="Arial" w:hAnsi="Arial"/>
                <w:sz w:val="14"/>
                <w:szCs w:val="14"/>
                <w:i w:val="1"/>
                <w:iCs w:val="1"/>
                <w:color w:val="auto"/>
              </w:rPr>
              <w:t>(in millions)</w:t>
            </w:r>
          </w:p>
        </w:tc>
        <w:tc>
          <w:tcPr>
            <w:tcW w:w="0" w:type="dxa"/>
            <w:vAlign w:val="bottom"/>
          </w:tcPr>
          <w:p>
            <w:pPr>
              <w:spacing w:after="0"/>
              <w:rPr>
                <w:sz w:val="1"/>
                <w:szCs w:val="1"/>
                <w:color w:val="auto"/>
              </w:rPr>
            </w:pPr>
          </w:p>
        </w:tc>
      </w:tr>
      <w:tr>
        <w:trPr>
          <w:trHeight w:val="216"/>
        </w:trPr>
        <w:tc>
          <w:tcPr>
            <w:tcW w:w="3460" w:type="dxa"/>
            <w:vAlign w:val="bottom"/>
            <w:shd w:val="clear" w:color="auto" w:fill="CCEEFF"/>
          </w:tcPr>
          <w:p>
            <w:pPr>
              <w:spacing w:after="0"/>
              <w:rPr>
                <w:sz w:val="20"/>
                <w:szCs w:val="20"/>
                <w:color w:val="auto"/>
              </w:rPr>
            </w:pPr>
            <w:r>
              <w:rPr>
                <w:rFonts w:ascii="Arial" w:cs="Arial" w:eastAsia="Arial" w:hAnsi="Arial"/>
                <w:sz w:val="18"/>
                <w:szCs w:val="18"/>
                <w:color w:val="auto"/>
              </w:rPr>
              <w:t>Commercial mortgage loans</w:t>
            </w:r>
          </w:p>
        </w:tc>
        <w:tc>
          <w:tcPr>
            <w:tcW w:w="31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1</w:t>
            </w:r>
          </w:p>
        </w:tc>
        <w:tc>
          <w:tcPr>
            <w:tcW w:w="320" w:type="dxa"/>
            <w:vAlign w:val="bottom"/>
            <w:gridSpan w:val="3"/>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34.4</w:t>
            </w: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ind w:left="600"/>
              <w:spacing w:after="0"/>
              <w:rPr>
                <w:sz w:val="20"/>
                <w:szCs w:val="20"/>
                <w:color w:val="auto"/>
              </w:rPr>
            </w:pPr>
            <w:r>
              <w:rPr>
                <w:rFonts w:ascii="Arial" w:cs="Arial" w:eastAsia="Arial" w:hAnsi="Arial"/>
                <w:sz w:val="18"/>
                <w:szCs w:val="18"/>
                <w:color w:val="auto"/>
              </w:rPr>
              <w:t>—</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ind w:left="6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0"/>
        </w:trPr>
        <w:tc>
          <w:tcPr>
            <w:tcW w:w="3460" w:type="dxa"/>
            <w:vAlign w:val="bottom"/>
          </w:tcPr>
          <w:p>
            <w:pPr>
              <w:spacing w:after="0"/>
              <w:rPr>
                <w:sz w:val="20"/>
                <w:szCs w:val="20"/>
                <w:color w:val="auto"/>
              </w:rPr>
            </w:pPr>
            <w:r>
              <w:rPr>
                <w:rFonts w:ascii="Arial" w:cs="Arial" w:eastAsia="Arial" w:hAnsi="Arial"/>
                <w:sz w:val="18"/>
                <w:szCs w:val="18"/>
                <w:color w:val="auto"/>
              </w:rPr>
              <w:t>Total</w:t>
            </w:r>
          </w:p>
        </w:tc>
        <w:tc>
          <w:tcPr>
            <w:tcW w:w="2380" w:type="dxa"/>
            <w:vAlign w:val="bottom"/>
          </w:tcPr>
          <w:p>
            <w:pPr>
              <w:spacing w:after="0"/>
              <w:rPr>
                <w:sz w:val="18"/>
                <w:szCs w:val="18"/>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w:t>
            </w:r>
          </w:p>
        </w:tc>
        <w:tc>
          <w:tcPr>
            <w:tcW w:w="20" w:type="dxa"/>
            <w:vAlign w:val="bottom"/>
            <w:tcBorders>
              <w:top w:val="single" w:sz="8" w:color="auto"/>
              <w:bottom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34.4</w:t>
            </w:r>
          </w:p>
        </w:tc>
        <w:tc>
          <w:tcPr>
            <w:tcW w:w="160" w:type="dxa"/>
            <w:vAlign w:val="bottom"/>
          </w:tcPr>
          <w:p>
            <w:pPr>
              <w:spacing w:after="0"/>
              <w:rPr>
                <w:sz w:val="18"/>
                <w:szCs w:val="18"/>
                <w:color w:val="auto"/>
              </w:rPr>
            </w:pPr>
          </w:p>
        </w:tc>
        <w:tc>
          <w:tcPr>
            <w:tcW w:w="840" w:type="dxa"/>
            <w:vAlign w:val="bottom"/>
            <w:tcBorders>
              <w:top w:val="single" w:sz="8" w:color="auto"/>
              <w:bottom w:val="single" w:sz="8" w:color="auto"/>
            </w:tcBorders>
          </w:tcPr>
          <w:p>
            <w:pPr>
              <w:ind w:left="6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tcBorders>
              <w:top w:val="single" w:sz="8" w:color="auto"/>
              <w:bottom w:val="single" w:sz="8" w:color="auto"/>
            </w:tcBorders>
          </w:tcPr>
          <w:p>
            <w:pPr>
              <w:ind w:left="6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3460" w:type="dxa"/>
            <w:vAlign w:val="bottom"/>
          </w:tcPr>
          <w:p>
            <w:pPr>
              <w:spacing w:after="0" w:line="20" w:lineRule="exact"/>
              <w:rPr>
                <w:sz w:val="1"/>
                <w:szCs w:val="1"/>
                <w:color w:val="auto"/>
              </w:rPr>
            </w:pPr>
          </w:p>
        </w:tc>
        <w:tc>
          <w:tcPr>
            <w:tcW w:w="238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940" w:type="dxa"/>
            <w:vAlign w:val="bottom"/>
            <w:tcBorders>
              <w:bottom w:val="single" w:sz="8" w:color="auto"/>
            </w:tcBorders>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8"/>
        </w:trPr>
        <w:tc>
          <w:tcPr>
            <w:tcW w:w="346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420" w:type="dxa"/>
            <w:vAlign w:val="bottom"/>
            <w:tcBorders>
              <w:bottom w:val="single" w:sz="8" w:color="auto"/>
            </w:tcBorders>
            <w:gridSpan w:val="7"/>
          </w:tcPr>
          <w:p>
            <w:pPr>
              <w:jc w:val="right"/>
              <w:ind w:right="87"/>
              <w:spacing w:after="0"/>
              <w:rPr>
                <w:sz w:val="20"/>
                <w:szCs w:val="20"/>
                <w:color w:val="auto"/>
              </w:rPr>
            </w:pPr>
            <w:r>
              <w:rPr>
                <w:rFonts w:ascii="Arial" w:cs="Arial" w:eastAsia="Arial" w:hAnsi="Arial"/>
                <w:sz w:val="14"/>
                <w:szCs w:val="14"/>
                <w:b w:val="1"/>
                <w:bCs w:val="1"/>
                <w:color w:val="auto"/>
                <w:w w:val="97"/>
              </w:rPr>
              <w:t>For the six months ended June 30,</w:t>
            </w:r>
          </w:p>
        </w:tc>
        <w:tc>
          <w:tcPr>
            <w:tcW w:w="8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3460" w:type="dxa"/>
            <w:vAlign w:val="bottom"/>
          </w:tcPr>
          <w:p>
            <w:pPr>
              <w:spacing w:after="0"/>
              <w:rPr>
                <w:sz w:val="12"/>
                <w:szCs w:val="12"/>
                <w:color w:val="auto"/>
              </w:rPr>
            </w:pPr>
          </w:p>
        </w:tc>
        <w:tc>
          <w:tcPr>
            <w:tcW w:w="2380" w:type="dxa"/>
            <w:vAlign w:val="bottom"/>
          </w:tcPr>
          <w:p>
            <w:pPr>
              <w:spacing w:after="0"/>
              <w:rPr>
                <w:sz w:val="12"/>
                <w:szCs w:val="12"/>
                <w:color w:val="auto"/>
              </w:rPr>
            </w:pPr>
          </w:p>
        </w:tc>
        <w:tc>
          <w:tcPr>
            <w:tcW w:w="800" w:type="dxa"/>
            <w:vAlign w:val="bottom"/>
            <w:tcBorders>
              <w:bottom w:val="single" w:sz="8" w:color="auto"/>
            </w:tcBorders>
          </w:tcPr>
          <w:p>
            <w:pPr>
              <w:spacing w:after="0"/>
              <w:rPr>
                <w:sz w:val="12"/>
                <w:szCs w:val="12"/>
                <w:color w:val="auto"/>
              </w:rPr>
            </w:pPr>
          </w:p>
        </w:tc>
        <w:tc>
          <w:tcPr>
            <w:tcW w:w="320" w:type="dxa"/>
            <w:vAlign w:val="bottom"/>
            <w:tcBorders>
              <w:bottom w:val="single" w:sz="8" w:color="auto"/>
            </w:tcBorders>
            <w:gridSpan w:val="3"/>
          </w:tcPr>
          <w:p>
            <w:pPr>
              <w:jc w:val="right"/>
              <w:spacing w:after="0" w:line="142" w:lineRule="exact"/>
              <w:rPr>
                <w:sz w:val="20"/>
                <w:szCs w:val="20"/>
                <w:color w:val="auto"/>
              </w:rPr>
            </w:pPr>
            <w:r>
              <w:rPr>
                <w:rFonts w:ascii="Arial" w:cs="Arial" w:eastAsia="Arial" w:hAnsi="Arial"/>
                <w:sz w:val="14"/>
                <w:szCs w:val="14"/>
                <w:b w:val="1"/>
                <w:bCs w:val="1"/>
                <w:color w:val="auto"/>
                <w:w w:val="89"/>
              </w:rPr>
              <w:t>2022</w:t>
            </w:r>
          </w:p>
        </w:tc>
        <w:tc>
          <w:tcPr>
            <w:tcW w:w="820" w:type="dxa"/>
            <w:vAlign w:val="bottom"/>
            <w:tcBorders>
              <w:bottom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40" w:type="dxa"/>
            <w:vAlign w:val="bottom"/>
            <w:tcBorders>
              <w:bottom w:val="single" w:sz="8" w:color="auto"/>
            </w:tcBorders>
          </w:tcPr>
          <w:p>
            <w:pPr>
              <w:spacing w:after="0"/>
              <w:rPr>
                <w:sz w:val="12"/>
                <w:szCs w:val="12"/>
                <w:color w:val="auto"/>
              </w:rPr>
            </w:pPr>
          </w:p>
        </w:tc>
        <w:tc>
          <w:tcPr>
            <w:tcW w:w="300" w:type="dxa"/>
            <w:vAlign w:val="bottom"/>
            <w:tcBorders>
              <w:bottom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w w:val="89"/>
              </w:rPr>
              <w:t>2021</w:t>
            </w:r>
          </w:p>
        </w:tc>
        <w:tc>
          <w:tcPr>
            <w:tcW w:w="84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19"/>
        </w:trPr>
        <w:tc>
          <w:tcPr>
            <w:tcW w:w="3460" w:type="dxa"/>
            <w:vAlign w:val="bottom"/>
          </w:tcPr>
          <w:p>
            <w:pPr>
              <w:spacing w:after="0"/>
              <w:rPr>
                <w:sz w:val="10"/>
                <w:szCs w:val="10"/>
                <w:color w:val="auto"/>
              </w:rPr>
            </w:pPr>
          </w:p>
        </w:tc>
        <w:tc>
          <w:tcPr>
            <w:tcW w:w="2380" w:type="dxa"/>
            <w:vAlign w:val="bottom"/>
          </w:tcPr>
          <w:p>
            <w:pPr>
              <w:spacing w:after="0"/>
              <w:rPr>
                <w:sz w:val="10"/>
                <w:szCs w:val="10"/>
                <w:color w:val="auto"/>
              </w:rPr>
            </w:pPr>
          </w:p>
        </w:tc>
        <w:tc>
          <w:tcPr>
            <w:tcW w:w="800" w:type="dxa"/>
            <w:vAlign w:val="bottom"/>
          </w:tcPr>
          <w:p>
            <w:pPr>
              <w:jc w:val="center"/>
              <w:spacing w:after="0" w:line="119" w:lineRule="exact"/>
              <w:rPr>
                <w:sz w:val="20"/>
                <w:szCs w:val="20"/>
                <w:color w:val="auto"/>
              </w:rPr>
            </w:pPr>
            <w:r>
              <w:rPr>
                <w:rFonts w:ascii="Arial" w:cs="Arial" w:eastAsia="Arial" w:hAnsi="Arial"/>
                <w:sz w:val="13"/>
                <w:szCs w:val="13"/>
                <w:b w:val="1"/>
                <w:bCs w:val="1"/>
                <w:color w:val="auto"/>
              </w:rPr>
              <w:t>Number of</w:t>
            </w:r>
          </w:p>
        </w:tc>
        <w:tc>
          <w:tcPr>
            <w:tcW w:w="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20" w:type="dxa"/>
            <w:vAlign w:val="bottom"/>
          </w:tcPr>
          <w:p>
            <w:pPr>
              <w:jc w:val="center"/>
              <w:ind w:right="62"/>
              <w:spacing w:after="0" w:line="119" w:lineRule="exact"/>
              <w:rPr>
                <w:sz w:val="20"/>
                <w:szCs w:val="20"/>
                <w:color w:val="auto"/>
              </w:rPr>
            </w:pPr>
            <w:r>
              <w:rPr>
                <w:rFonts w:ascii="Arial" w:cs="Arial" w:eastAsia="Arial" w:hAnsi="Arial"/>
                <w:sz w:val="13"/>
                <w:szCs w:val="13"/>
                <w:b w:val="1"/>
                <w:bCs w:val="1"/>
                <w:color w:val="auto"/>
                <w:w w:val="99"/>
              </w:rPr>
              <w:t>Recorded</w:t>
            </w:r>
          </w:p>
        </w:tc>
        <w:tc>
          <w:tcPr>
            <w:tcW w:w="160" w:type="dxa"/>
            <w:vAlign w:val="bottom"/>
          </w:tcPr>
          <w:p>
            <w:pPr>
              <w:spacing w:after="0"/>
              <w:rPr>
                <w:sz w:val="10"/>
                <w:szCs w:val="10"/>
                <w:color w:val="auto"/>
              </w:rPr>
            </w:pPr>
          </w:p>
        </w:tc>
        <w:tc>
          <w:tcPr>
            <w:tcW w:w="840" w:type="dxa"/>
            <w:vAlign w:val="bottom"/>
          </w:tcPr>
          <w:p>
            <w:pPr>
              <w:jc w:val="center"/>
              <w:spacing w:after="0" w:line="119" w:lineRule="exact"/>
              <w:rPr>
                <w:sz w:val="20"/>
                <w:szCs w:val="20"/>
                <w:color w:val="auto"/>
              </w:rPr>
            </w:pPr>
            <w:r>
              <w:rPr>
                <w:rFonts w:ascii="Arial" w:cs="Arial" w:eastAsia="Arial" w:hAnsi="Arial"/>
                <w:sz w:val="13"/>
                <w:szCs w:val="13"/>
                <w:b w:val="1"/>
                <w:bCs w:val="1"/>
                <w:color w:val="auto"/>
              </w:rPr>
              <w:t>Number of</w:t>
            </w:r>
          </w:p>
        </w:tc>
        <w:tc>
          <w:tcPr>
            <w:tcW w:w="1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40" w:type="dxa"/>
            <w:vAlign w:val="bottom"/>
          </w:tcPr>
          <w:p>
            <w:pPr>
              <w:jc w:val="center"/>
              <w:ind w:right="42"/>
              <w:spacing w:after="0" w:line="119" w:lineRule="exact"/>
              <w:rPr>
                <w:sz w:val="20"/>
                <w:szCs w:val="20"/>
                <w:color w:val="auto"/>
              </w:rPr>
            </w:pPr>
            <w:r>
              <w:rPr>
                <w:rFonts w:ascii="Arial" w:cs="Arial" w:eastAsia="Arial" w:hAnsi="Arial"/>
                <w:sz w:val="13"/>
                <w:szCs w:val="13"/>
                <w:b w:val="1"/>
                <w:bCs w:val="1"/>
                <w:color w:val="auto"/>
                <w:w w:val="99"/>
              </w:rPr>
              <w:t>Recorded</w:t>
            </w:r>
          </w:p>
        </w:tc>
        <w:tc>
          <w:tcPr>
            <w:tcW w:w="0" w:type="dxa"/>
            <w:vAlign w:val="bottom"/>
          </w:tcPr>
          <w:p>
            <w:pPr>
              <w:spacing w:after="0"/>
              <w:rPr>
                <w:sz w:val="1"/>
                <w:szCs w:val="1"/>
                <w:color w:val="auto"/>
              </w:rPr>
            </w:pPr>
          </w:p>
        </w:tc>
      </w:tr>
      <w:tr>
        <w:trPr>
          <w:trHeight w:val="171"/>
        </w:trPr>
        <w:tc>
          <w:tcPr>
            <w:tcW w:w="3460" w:type="dxa"/>
            <w:vAlign w:val="bottom"/>
          </w:tcPr>
          <w:p>
            <w:pPr>
              <w:spacing w:after="0"/>
              <w:rPr>
                <w:sz w:val="14"/>
                <w:szCs w:val="14"/>
                <w:color w:val="auto"/>
              </w:rPr>
            </w:pPr>
          </w:p>
        </w:tc>
        <w:tc>
          <w:tcPr>
            <w:tcW w:w="2380" w:type="dxa"/>
            <w:vAlign w:val="bottom"/>
          </w:tcPr>
          <w:p>
            <w:pPr>
              <w:spacing w:after="0"/>
              <w:rPr>
                <w:sz w:val="14"/>
                <w:szCs w:val="14"/>
                <w:color w:val="auto"/>
              </w:rPr>
            </w:pPr>
          </w:p>
        </w:tc>
        <w:tc>
          <w:tcPr>
            <w:tcW w:w="800" w:type="dxa"/>
            <w:vAlign w:val="bottom"/>
          </w:tcPr>
          <w:p>
            <w:pPr>
              <w:jc w:val="center"/>
              <w:spacing w:after="0"/>
              <w:rPr>
                <w:sz w:val="20"/>
                <w:szCs w:val="20"/>
                <w:color w:val="auto"/>
              </w:rPr>
            </w:pPr>
            <w:r>
              <w:rPr>
                <w:rFonts w:ascii="Arial" w:cs="Arial" w:eastAsia="Arial" w:hAnsi="Arial"/>
                <w:sz w:val="14"/>
                <w:szCs w:val="14"/>
                <w:b w:val="1"/>
                <w:bCs w:val="1"/>
                <w:color w:val="auto"/>
                <w:w w:val="91"/>
              </w:rPr>
              <w:t>contracts</w:t>
            </w:r>
          </w:p>
        </w:tc>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1"/>
              </w:rPr>
              <w:t>investment</w:t>
            </w:r>
          </w:p>
        </w:tc>
        <w:tc>
          <w:tcPr>
            <w:tcW w:w="840" w:type="dxa"/>
            <w:vAlign w:val="bottom"/>
          </w:tcPr>
          <w:p>
            <w:pPr>
              <w:jc w:val="center"/>
              <w:spacing w:after="0"/>
              <w:rPr>
                <w:sz w:val="20"/>
                <w:szCs w:val="20"/>
                <w:color w:val="auto"/>
              </w:rPr>
            </w:pPr>
            <w:r>
              <w:rPr>
                <w:rFonts w:ascii="Arial" w:cs="Arial" w:eastAsia="Arial" w:hAnsi="Arial"/>
                <w:sz w:val="14"/>
                <w:szCs w:val="14"/>
                <w:b w:val="1"/>
                <w:bCs w:val="1"/>
                <w:color w:val="auto"/>
                <w:w w:val="88"/>
              </w:rPr>
              <w:t>contracts</w:t>
            </w: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40" w:type="dxa"/>
            <w:vAlign w:val="bottom"/>
          </w:tcPr>
          <w:p>
            <w:pPr>
              <w:jc w:val="center"/>
              <w:ind w:right="42"/>
              <w:spacing w:after="0"/>
              <w:rPr>
                <w:sz w:val="20"/>
                <w:szCs w:val="20"/>
                <w:color w:val="auto"/>
              </w:rPr>
            </w:pPr>
            <w:r>
              <w:rPr>
                <w:rFonts w:ascii="Arial" w:cs="Arial" w:eastAsia="Arial" w:hAnsi="Arial"/>
                <w:sz w:val="14"/>
                <w:szCs w:val="14"/>
                <w:b w:val="1"/>
                <w:bCs w:val="1"/>
                <w:color w:val="auto"/>
                <w:w w:val="91"/>
              </w:rPr>
              <w:t>investment</w:t>
            </w:r>
          </w:p>
        </w:tc>
        <w:tc>
          <w:tcPr>
            <w:tcW w:w="0" w:type="dxa"/>
            <w:vAlign w:val="bottom"/>
          </w:tcPr>
          <w:p>
            <w:pPr>
              <w:spacing w:after="0"/>
              <w:rPr>
                <w:sz w:val="1"/>
                <w:szCs w:val="1"/>
                <w:color w:val="auto"/>
              </w:rPr>
            </w:pPr>
          </w:p>
        </w:tc>
      </w:tr>
      <w:tr>
        <w:trPr>
          <w:trHeight w:val="142"/>
        </w:trPr>
        <w:tc>
          <w:tcPr>
            <w:tcW w:w="3460" w:type="dxa"/>
            <w:vAlign w:val="bottom"/>
          </w:tcPr>
          <w:p>
            <w:pPr>
              <w:spacing w:after="0"/>
              <w:rPr>
                <w:sz w:val="12"/>
                <w:szCs w:val="12"/>
                <w:color w:val="auto"/>
              </w:rPr>
            </w:pPr>
          </w:p>
        </w:tc>
        <w:tc>
          <w:tcPr>
            <w:tcW w:w="2380" w:type="dxa"/>
            <w:vAlign w:val="bottom"/>
          </w:tcPr>
          <w:p>
            <w:pPr>
              <w:spacing w:after="0"/>
              <w:rPr>
                <w:sz w:val="12"/>
                <w:szCs w:val="12"/>
                <w:color w:val="auto"/>
              </w:rPr>
            </w:pPr>
          </w:p>
        </w:tc>
        <w:tc>
          <w:tcPr>
            <w:tcW w:w="80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820" w:type="dxa"/>
            <w:vAlign w:val="bottom"/>
            <w:tcBorders>
              <w:top w:val="single" w:sz="8" w:color="auto"/>
            </w:tcBorders>
          </w:tcPr>
          <w:p>
            <w:pPr>
              <w:jc w:val="center"/>
              <w:ind w:right="42"/>
              <w:spacing w:after="0" w:line="142" w:lineRule="exact"/>
              <w:rPr>
                <w:sz w:val="20"/>
                <w:szCs w:val="20"/>
                <w:color w:val="auto"/>
              </w:rPr>
            </w:pPr>
            <w:r>
              <w:rPr>
                <w:rFonts w:ascii="Arial" w:cs="Arial" w:eastAsia="Arial" w:hAnsi="Arial"/>
                <w:sz w:val="14"/>
                <w:szCs w:val="14"/>
                <w:i w:val="1"/>
                <w:iCs w:val="1"/>
                <w:color w:val="auto"/>
                <w:w w:val="98"/>
              </w:rPr>
              <w:t>(in millions)</w:t>
            </w:r>
          </w:p>
        </w:tc>
        <w:tc>
          <w:tcPr>
            <w:tcW w:w="160" w:type="dxa"/>
            <w:vAlign w:val="bottom"/>
          </w:tcPr>
          <w:p>
            <w:pPr>
              <w:spacing w:after="0"/>
              <w:rPr>
                <w:sz w:val="12"/>
                <w:szCs w:val="12"/>
                <w:color w:val="auto"/>
              </w:rPr>
            </w:pPr>
          </w:p>
        </w:tc>
        <w:tc>
          <w:tcPr>
            <w:tcW w:w="840" w:type="dxa"/>
            <w:vAlign w:val="bottom"/>
            <w:tcBorders>
              <w:top w:val="single" w:sz="8" w:color="auto"/>
            </w:tcBorders>
          </w:tcPr>
          <w:p>
            <w:pPr>
              <w:spacing w:after="0"/>
              <w:rPr>
                <w:sz w:val="12"/>
                <w:szCs w:val="12"/>
                <w:color w:val="auto"/>
              </w:rPr>
            </w:pPr>
          </w:p>
        </w:tc>
        <w:tc>
          <w:tcPr>
            <w:tcW w:w="18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840" w:type="dxa"/>
            <w:vAlign w:val="bottom"/>
            <w:tcBorders>
              <w:top w:val="single" w:sz="8" w:color="auto"/>
            </w:tcBorders>
          </w:tcPr>
          <w:p>
            <w:pPr>
              <w:jc w:val="center"/>
              <w:ind w:right="42"/>
              <w:spacing w:after="0" w:line="142" w:lineRule="exact"/>
              <w:rPr>
                <w:sz w:val="20"/>
                <w:szCs w:val="20"/>
                <w:color w:val="auto"/>
              </w:rPr>
            </w:pPr>
            <w:r>
              <w:rPr>
                <w:rFonts w:ascii="Arial" w:cs="Arial" w:eastAsia="Arial" w:hAnsi="Arial"/>
                <w:sz w:val="14"/>
                <w:szCs w:val="14"/>
                <w:i w:val="1"/>
                <w:iCs w:val="1"/>
                <w:color w:val="auto"/>
              </w:rPr>
              <w:t>(in millions)</w:t>
            </w:r>
          </w:p>
        </w:tc>
        <w:tc>
          <w:tcPr>
            <w:tcW w:w="0" w:type="dxa"/>
            <w:vAlign w:val="bottom"/>
          </w:tcPr>
          <w:p>
            <w:pPr>
              <w:spacing w:after="0"/>
              <w:rPr>
                <w:sz w:val="1"/>
                <w:szCs w:val="1"/>
                <w:color w:val="auto"/>
              </w:rPr>
            </w:pPr>
          </w:p>
        </w:tc>
      </w:tr>
      <w:tr>
        <w:trPr>
          <w:trHeight w:val="216"/>
        </w:trPr>
        <w:tc>
          <w:tcPr>
            <w:tcW w:w="3460" w:type="dxa"/>
            <w:vAlign w:val="bottom"/>
            <w:shd w:val="clear" w:color="auto" w:fill="CCEEFF"/>
          </w:tcPr>
          <w:p>
            <w:pPr>
              <w:spacing w:after="0"/>
              <w:rPr>
                <w:sz w:val="20"/>
                <w:szCs w:val="20"/>
                <w:color w:val="auto"/>
              </w:rPr>
            </w:pPr>
            <w:r>
              <w:rPr>
                <w:rFonts w:ascii="Arial" w:cs="Arial" w:eastAsia="Arial" w:hAnsi="Arial"/>
                <w:sz w:val="18"/>
                <w:szCs w:val="18"/>
                <w:color w:val="auto"/>
              </w:rPr>
              <w:t>Commercial mortgage loans</w:t>
            </w:r>
          </w:p>
        </w:tc>
        <w:tc>
          <w:tcPr>
            <w:tcW w:w="31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1</w:t>
            </w:r>
          </w:p>
        </w:tc>
        <w:tc>
          <w:tcPr>
            <w:tcW w:w="320" w:type="dxa"/>
            <w:vAlign w:val="bottom"/>
            <w:gridSpan w:val="3"/>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34.4</w:t>
            </w: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ind w:left="600"/>
              <w:spacing w:after="0"/>
              <w:rPr>
                <w:sz w:val="20"/>
                <w:szCs w:val="20"/>
                <w:color w:val="auto"/>
              </w:rPr>
            </w:pPr>
            <w:r>
              <w:rPr>
                <w:rFonts w:ascii="Arial" w:cs="Arial" w:eastAsia="Arial" w:hAnsi="Arial"/>
                <w:sz w:val="18"/>
                <w:szCs w:val="18"/>
                <w:color w:val="auto"/>
              </w:rPr>
              <w:t>—</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ind w:left="6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0"/>
        </w:trPr>
        <w:tc>
          <w:tcPr>
            <w:tcW w:w="3460" w:type="dxa"/>
            <w:vAlign w:val="bottom"/>
          </w:tcPr>
          <w:p>
            <w:pPr>
              <w:spacing w:after="0"/>
              <w:rPr>
                <w:sz w:val="20"/>
                <w:szCs w:val="20"/>
                <w:color w:val="auto"/>
              </w:rPr>
            </w:pPr>
            <w:r>
              <w:rPr>
                <w:rFonts w:ascii="Arial" w:cs="Arial" w:eastAsia="Arial" w:hAnsi="Arial"/>
                <w:sz w:val="18"/>
                <w:szCs w:val="18"/>
                <w:color w:val="auto"/>
              </w:rPr>
              <w:t>Total</w:t>
            </w:r>
          </w:p>
        </w:tc>
        <w:tc>
          <w:tcPr>
            <w:tcW w:w="2380" w:type="dxa"/>
            <w:vAlign w:val="bottom"/>
          </w:tcPr>
          <w:p>
            <w:pPr>
              <w:spacing w:after="0"/>
              <w:rPr>
                <w:sz w:val="18"/>
                <w:szCs w:val="18"/>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w:t>
            </w:r>
          </w:p>
        </w:tc>
        <w:tc>
          <w:tcPr>
            <w:tcW w:w="20" w:type="dxa"/>
            <w:vAlign w:val="bottom"/>
            <w:tcBorders>
              <w:top w:val="single" w:sz="8" w:color="auto"/>
              <w:bottom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34.4</w:t>
            </w:r>
          </w:p>
        </w:tc>
        <w:tc>
          <w:tcPr>
            <w:tcW w:w="160" w:type="dxa"/>
            <w:vAlign w:val="bottom"/>
          </w:tcPr>
          <w:p>
            <w:pPr>
              <w:spacing w:after="0"/>
              <w:rPr>
                <w:sz w:val="18"/>
                <w:szCs w:val="18"/>
                <w:color w:val="auto"/>
              </w:rPr>
            </w:pPr>
          </w:p>
        </w:tc>
        <w:tc>
          <w:tcPr>
            <w:tcW w:w="840" w:type="dxa"/>
            <w:vAlign w:val="bottom"/>
            <w:tcBorders>
              <w:top w:val="single" w:sz="8" w:color="auto"/>
              <w:bottom w:val="single" w:sz="8" w:color="auto"/>
            </w:tcBorders>
          </w:tcPr>
          <w:p>
            <w:pPr>
              <w:ind w:left="6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tcBorders>
              <w:top w:val="single" w:sz="8" w:color="auto"/>
              <w:bottom w:val="single" w:sz="8" w:color="auto"/>
            </w:tcBorders>
          </w:tcPr>
          <w:p>
            <w:pPr>
              <w:ind w:left="6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3460" w:type="dxa"/>
            <w:vAlign w:val="bottom"/>
          </w:tcPr>
          <w:p>
            <w:pPr>
              <w:spacing w:after="0" w:line="20" w:lineRule="exact"/>
              <w:rPr>
                <w:sz w:val="1"/>
                <w:szCs w:val="1"/>
                <w:color w:val="auto"/>
              </w:rPr>
            </w:pPr>
          </w:p>
        </w:tc>
        <w:tc>
          <w:tcPr>
            <w:tcW w:w="2380" w:type="dxa"/>
            <w:vAlign w:val="bottom"/>
            <w:vMerge w:val="restart"/>
          </w:tcPr>
          <w:p>
            <w:pPr>
              <w:jc w:val="right"/>
              <w:ind w:right="690"/>
              <w:spacing w:after="0"/>
              <w:rPr>
                <w:sz w:val="20"/>
                <w:szCs w:val="20"/>
                <w:color w:val="auto"/>
              </w:rPr>
            </w:pPr>
            <w:r>
              <w:rPr>
                <w:rFonts w:ascii="Arial" w:cs="Arial" w:eastAsia="Arial" w:hAnsi="Arial"/>
                <w:sz w:val="18"/>
                <w:szCs w:val="18"/>
                <w:color w:val="auto"/>
              </w:rPr>
              <w:t>35</w:t>
            </w:r>
          </w:p>
        </w:tc>
        <w:tc>
          <w:tcPr>
            <w:tcW w:w="8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5"/>
        </w:trPr>
        <w:tc>
          <w:tcPr>
            <w:tcW w:w="3460" w:type="dxa"/>
            <w:vAlign w:val="bottom"/>
          </w:tcPr>
          <w:p>
            <w:pPr>
              <w:spacing w:after="0"/>
              <w:rPr>
                <w:sz w:val="24"/>
                <w:szCs w:val="24"/>
                <w:color w:val="auto"/>
              </w:rPr>
            </w:pPr>
          </w:p>
        </w:tc>
        <w:tc>
          <w:tcPr>
            <w:tcW w:w="2380" w:type="dxa"/>
            <w:vAlign w:val="bottom"/>
            <w:vMerge w:val="continue"/>
          </w:tcPr>
          <w:p>
            <w:pPr>
              <w:spacing w:after="0"/>
              <w:rPr>
                <w:sz w:val="24"/>
                <w:szCs w:val="24"/>
                <w:color w:val="auto"/>
              </w:rPr>
            </w:pPr>
          </w:p>
        </w:tc>
        <w:tc>
          <w:tcPr>
            <w:tcW w:w="8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60"/>
        </w:trPr>
        <w:tc>
          <w:tcPr>
            <w:tcW w:w="3460" w:type="dxa"/>
            <w:vAlign w:val="bottom"/>
            <w:tcBorders>
              <w:bottom w:val="single" w:sz="8" w:color="auto"/>
            </w:tcBorders>
          </w:tcPr>
          <w:p>
            <w:pPr>
              <w:spacing w:after="0"/>
              <w:rPr>
                <w:sz w:val="24"/>
                <w:szCs w:val="24"/>
                <w:color w:val="auto"/>
              </w:rPr>
            </w:pPr>
          </w:p>
        </w:tc>
        <w:tc>
          <w:tcPr>
            <w:tcW w:w="238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920"/>
          </w:cols>
          <w:pgMar w:left="980" w:top="665" w:right="999" w:bottom="1440" w:gutter="0" w:footer="0" w:header="0"/>
        </w:sectPr>
      </w:pPr>
    </w:p>
    <w:bookmarkStart w:id="35" w:name="page36"/>
    <w:bookmarkEnd w:id="35"/>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Securities Posted as Collateral</w:t>
      </w:r>
    </w:p>
    <w:p>
      <w:pPr>
        <w:spacing w:after="0" w:line="216" w:lineRule="exact"/>
        <w:rPr>
          <w:sz w:val="20"/>
          <w:szCs w:val="20"/>
          <w:color w:val="auto"/>
        </w:rPr>
      </w:pPr>
    </w:p>
    <w:p>
      <w:pPr>
        <w:ind w:firstLine="648"/>
        <w:spacing w:after="0" w:line="269" w:lineRule="auto"/>
        <w:rPr>
          <w:sz w:val="20"/>
          <w:szCs w:val="20"/>
          <w:color w:val="auto"/>
        </w:rPr>
      </w:pPr>
      <w:r>
        <w:rPr>
          <w:rFonts w:ascii="Arial" w:cs="Arial" w:eastAsia="Arial" w:hAnsi="Arial"/>
          <w:sz w:val="17"/>
          <w:szCs w:val="17"/>
          <w:color w:val="auto"/>
        </w:rPr>
        <w:t>As of June 30, 2022 and December 31, 2021, we posted $5,830.0 million and $5,195.9 million, respectively, in commercial mortgage loans and residential first lien mortgages to satisfy collateral requirements associated with our obligation under funding agreements with Federal Home Loan Bank of Des Moines (“FHLB Des Moines”). In addition, as of June 30, 2022 and December 31, 2021, we posted $3,431.5 million and $2,589.3 million, respectively, in fixed maturities, available-for-sale and trading securities to satisfy collateral requirements primarily associated with a reinsurance arrangement, our derivative credit support annex (collateral) agreements, Futures Commission Merchant (“FCM”) agreements, a lending arrangement and our obligation under funding agreements with FHLB Des Moines. Since we did not relinquish ownership rights on these instruments, they are reported as mortgage loans, fixed maturities, available-for-sale and fixed maturities, trading, respectively, on our consolidated statements of financial position. Of the securities posted as collateral, as of June 30, 2022 and December 31, 2021, $613.7 million and $186.0 million, respectively, could be sold or repledged by the secured party.</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Balance Sheet Offsetting</w:t>
      </w:r>
    </w:p>
    <w:p>
      <w:pPr>
        <w:spacing w:after="0" w:line="20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Financial assets subject to master netting agreements or similar agreements were as follows:</w:t>
      </w: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480" w:type="dxa"/>
            <w:vAlign w:val="bottom"/>
          </w:tcPr>
          <w:p>
            <w:pPr>
              <w:spacing w:after="0"/>
              <w:rPr>
                <w:sz w:val="14"/>
                <w:szCs w:val="14"/>
                <w:color w:val="auto"/>
              </w:rPr>
            </w:pPr>
          </w:p>
        </w:tc>
        <w:tc>
          <w:tcPr>
            <w:tcW w:w="25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380" w:type="dxa"/>
            <w:vAlign w:val="bottom"/>
            <w:gridSpan w:val="6"/>
          </w:tcPr>
          <w:p>
            <w:pPr>
              <w:jc w:val="center"/>
              <w:ind w:right="360"/>
              <w:spacing w:after="0"/>
              <w:rPr>
                <w:sz w:val="20"/>
                <w:szCs w:val="20"/>
                <w:color w:val="auto"/>
              </w:rPr>
            </w:pPr>
            <w:r>
              <w:rPr>
                <w:rFonts w:ascii="Arial" w:cs="Arial" w:eastAsia="Arial" w:hAnsi="Arial"/>
                <w:sz w:val="14"/>
                <w:szCs w:val="14"/>
                <w:b w:val="1"/>
                <w:bCs w:val="1"/>
                <w:color w:val="auto"/>
                <w:w w:val="89"/>
              </w:rPr>
              <w:t>Gross amounts not offset in the</w:t>
            </w: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2480" w:type="dxa"/>
            <w:vAlign w:val="bottom"/>
          </w:tcPr>
          <w:p>
            <w:pPr>
              <w:spacing w:after="0"/>
              <w:rPr>
                <w:sz w:val="12"/>
                <w:szCs w:val="12"/>
                <w:color w:val="auto"/>
              </w:rPr>
            </w:pPr>
          </w:p>
        </w:tc>
        <w:tc>
          <w:tcPr>
            <w:tcW w:w="25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380" w:type="dxa"/>
            <w:vAlign w:val="bottom"/>
            <w:gridSpan w:val="6"/>
          </w:tcPr>
          <w:p>
            <w:pPr>
              <w:jc w:val="center"/>
              <w:ind w:right="360"/>
              <w:spacing w:after="0" w:line="149" w:lineRule="exact"/>
              <w:rPr>
                <w:sz w:val="20"/>
                <w:szCs w:val="20"/>
                <w:color w:val="auto"/>
              </w:rPr>
            </w:pPr>
            <w:r>
              <w:rPr>
                <w:rFonts w:ascii="Arial" w:cs="Arial" w:eastAsia="Arial" w:hAnsi="Arial"/>
                <w:sz w:val="14"/>
                <w:szCs w:val="14"/>
                <w:b w:val="1"/>
                <w:bCs w:val="1"/>
                <w:color w:val="auto"/>
                <w:w w:val="88"/>
              </w:rPr>
              <w:t>consolidated statements</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480" w:type="dxa"/>
            <w:vAlign w:val="bottom"/>
          </w:tcPr>
          <w:p>
            <w:pPr>
              <w:spacing w:after="0"/>
              <w:rPr>
                <w:sz w:val="14"/>
                <w:szCs w:val="14"/>
                <w:color w:val="auto"/>
              </w:rPr>
            </w:pPr>
          </w:p>
        </w:tc>
        <w:tc>
          <w:tcPr>
            <w:tcW w:w="25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60" w:type="dxa"/>
            <w:vAlign w:val="bottom"/>
            <w:vMerge w:val="restart"/>
          </w:tcPr>
          <w:p>
            <w:pPr>
              <w:jc w:val="center"/>
              <w:ind w:right="16"/>
              <w:spacing w:after="0"/>
              <w:rPr>
                <w:sz w:val="20"/>
                <w:szCs w:val="20"/>
                <w:color w:val="auto"/>
              </w:rPr>
            </w:pPr>
            <w:r>
              <w:rPr>
                <w:rFonts w:ascii="Arial" w:cs="Arial" w:eastAsia="Arial" w:hAnsi="Arial"/>
                <w:sz w:val="14"/>
                <w:szCs w:val="14"/>
                <w:b w:val="1"/>
                <w:bCs w:val="1"/>
                <w:color w:val="auto"/>
                <w:w w:val="90"/>
              </w:rPr>
              <w:t>Gross amount</w:t>
            </w:r>
          </w:p>
        </w:tc>
        <w:tc>
          <w:tcPr>
            <w:tcW w:w="2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2180" w:type="dxa"/>
            <w:vAlign w:val="bottom"/>
            <w:tcBorders>
              <w:bottom w:val="single" w:sz="8" w:color="auto"/>
            </w:tcBorders>
            <w:gridSpan w:val="5"/>
          </w:tcPr>
          <w:p>
            <w:pPr>
              <w:jc w:val="center"/>
              <w:ind w:right="75"/>
              <w:spacing w:after="0"/>
              <w:rPr>
                <w:sz w:val="20"/>
                <w:szCs w:val="20"/>
                <w:color w:val="auto"/>
              </w:rPr>
            </w:pPr>
            <w:r>
              <w:rPr>
                <w:rFonts w:ascii="Arial" w:cs="Arial" w:eastAsia="Arial" w:hAnsi="Arial"/>
                <w:sz w:val="14"/>
                <w:szCs w:val="14"/>
                <w:b w:val="1"/>
                <w:bCs w:val="1"/>
                <w:color w:val="auto"/>
                <w:w w:val="92"/>
              </w:rPr>
              <w:t>of financial position</w:t>
            </w:r>
          </w:p>
        </w:tc>
        <w:tc>
          <w:tcPr>
            <w:tcW w:w="2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480" w:type="dxa"/>
            <w:vAlign w:val="bottom"/>
          </w:tcPr>
          <w:p>
            <w:pPr>
              <w:spacing w:after="0"/>
              <w:rPr>
                <w:sz w:val="10"/>
                <w:szCs w:val="10"/>
                <w:color w:val="auto"/>
              </w:rPr>
            </w:pPr>
          </w:p>
        </w:tc>
        <w:tc>
          <w:tcPr>
            <w:tcW w:w="25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60" w:type="dxa"/>
            <w:vAlign w:val="bottom"/>
            <w:vMerge w:val="continue"/>
          </w:tcPr>
          <w:p>
            <w:pPr>
              <w:spacing w:after="0"/>
              <w:rPr>
                <w:sz w:val="10"/>
                <w:szCs w:val="10"/>
                <w:color w:val="auto"/>
              </w:rPr>
            </w:pPr>
          </w:p>
        </w:tc>
        <w:tc>
          <w:tcPr>
            <w:tcW w:w="2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00" w:type="dxa"/>
            <w:vAlign w:val="bottom"/>
            <w:gridSpan w:val="2"/>
            <w:vMerge w:val="restart"/>
          </w:tcPr>
          <w:p>
            <w:pPr>
              <w:jc w:val="right"/>
              <w:ind w:right="340"/>
              <w:spacing w:after="0"/>
              <w:rPr>
                <w:sz w:val="20"/>
                <w:szCs w:val="20"/>
                <w:color w:val="auto"/>
              </w:rPr>
            </w:pPr>
            <w:r>
              <w:rPr>
                <w:rFonts w:ascii="Arial" w:cs="Arial" w:eastAsia="Arial" w:hAnsi="Arial"/>
                <w:sz w:val="14"/>
                <w:szCs w:val="14"/>
                <w:b w:val="1"/>
                <w:bCs w:val="1"/>
                <w:color w:val="auto"/>
              </w:rPr>
              <w:t>Financial</w:t>
            </w: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12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Collateral</w:t>
            </w:r>
          </w:p>
        </w:tc>
        <w:tc>
          <w:tcPr>
            <w:tcW w:w="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8"/>
        </w:trPr>
        <w:tc>
          <w:tcPr>
            <w:tcW w:w="2480" w:type="dxa"/>
            <w:vAlign w:val="bottom"/>
          </w:tcPr>
          <w:p>
            <w:pPr>
              <w:spacing w:after="0"/>
              <w:rPr>
                <w:sz w:val="12"/>
                <w:szCs w:val="12"/>
                <w:color w:val="auto"/>
              </w:rPr>
            </w:pPr>
          </w:p>
        </w:tc>
        <w:tc>
          <w:tcPr>
            <w:tcW w:w="25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60" w:type="dxa"/>
            <w:vAlign w:val="bottom"/>
          </w:tcPr>
          <w:p>
            <w:pPr>
              <w:jc w:val="center"/>
              <w:ind w:right="16"/>
              <w:spacing w:after="0" w:line="149" w:lineRule="exact"/>
              <w:rPr>
                <w:sz w:val="20"/>
                <w:szCs w:val="20"/>
                <w:color w:val="auto"/>
              </w:rPr>
            </w:pPr>
            <w:r>
              <w:rPr>
                <w:rFonts w:ascii="Arial" w:cs="Arial" w:eastAsia="Arial" w:hAnsi="Arial"/>
                <w:sz w:val="14"/>
                <w:szCs w:val="14"/>
                <w:b w:val="1"/>
                <w:bCs w:val="1"/>
                <w:color w:val="auto"/>
                <w:w w:val="90"/>
              </w:rPr>
              <w:t>of recognized</w:t>
            </w: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20" w:type="dxa"/>
            <w:vAlign w:val="bottom"/>
            <w:gridSpan w:val="2"/>
            <w:vMerge w:val="continue"/>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vMerge w:val="restart"/>
          </w:tcPr>
          <w:p>
            <w:pPr>
              <w:jc w:val="right"/>
              <w:ind w:right="93"/>
              <w:spacing w:after="0"/>
              <w:rPr>
                <w:sz w:val="20"/>
                <w:szCs w:val="20"/>
                <w:color w:val="auto"/>
              </w:rPr>
            </w:pPr>
            <w:r>
              <w:rPr>
                <w:rFonts w:ascii="Arial" w:cs="Arial" w:eastAsia="Arial" w:hAnsi="Arial"/>
                <w:sz w:val="14"/>
                <w:szCs w:val="14"/>
                <w:b w:val="1"/>
                <w:bCs w:val="1"/>
                <w:color w:val="auto"/>
                <w:w w:val="96"/>
              </w:rPr>
              <w:t>Net amount</w:t>
            </w:r>
          </w:p>
        </w:tc>
        <w:tc>
          <w:tcPr>
            <w:tcW w:w="0" w:type="dxa"/>
            <w:vAlign w:val="bottom"/>
          </w:tcPr>
          <w:p>
            <w:pPr>
              <w:spacing w:after="0"/>
              <w:rPr>
                <w:sz w:val="1"/>
                <w:szCs w:val="1"/>
                <w:color w:val="auto"/>
              </w:rPr>
            </w:pPr>
          </w:p>
        </w:tc>
      </w:tr>
      <w:tr>
        <w:trPr>
          <w:trHeight w:val="171"/>
        </w:trPr>
        <w:tc>
          <w:tcPr>
            <w:tcW w:w="2480" w:type="dxa"/>
            <w:vAlign w:val="bottom"/>
          </w:tcPr>
          <w:p>
            <w:pPr>
              <w:spacing w:after="0"/>
              <w:rPr>
                <w:sz w:val="14"/>
                <w:szCs w:val="14"/>
                <w:color w:val="auto"/>
              </w:rPr>
            </w:pPr>
          </w:p>
        </w:tc>
        <w:tc>
          <w:tcPr>
            <w:tcW w:w="25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tcPr>
          <w:p>
            <w:pPr>
              <w:jc w:val="center"/>
              <w:ind w:right="16"/>
              <w:spacing w:after="0"/>
              <w:rPr>
                <w:sz w:val="20"/>
                <w:szCs w:val="20"/>
                <w:color w:val="auto"/>
              </w:rPr>
            </w:pPr>
            <w:r>
              <w:rPr>
                <w:rFonts w:ascii="Arial" w:cs="Arial" w:eastAsia="Arial" w:hAnsi="Arial"/>
                <w:sz w:val="14"/>
                <w:szCs w:val="14"/>
                <w:b w:val="1"/>
                <w:bCs w:val="1"/>
                <w:color w:val="auto"/>
                <w:w w:val="83"/>
              </w:rPr>
              <w:t>assets (1)</w:t>
            </w:r>
          </w:p>
        </w:tc>
        <w:tc>
          <w:tcPr>
            <w:tcW w:w="200" w:type="dxa"/>
            <w:vAlign w:val="bottom"/>
          </w:tcPr>
          <w:p>
            <w:pPr>
              <w:spacing w:after="0"/>
              <w:rPr>
                <w:sz w:val="14"/>
                <w:szCs w:val="14"/>
                <w:color w:val="auto"/>
              </w:rPr>
            </w:pPr>
          </w:p>
        </w:tc>
        <w:tc>
          <w:tcPr>
            <w:tcW w:w="106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6"/>
              </w:rPr>
              <w:t>instruments (2)</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right"/>
              <w:ind w:right="195"/>
              <w:spacing w:after="0"/>
              <w:rPr>
                <w:sz w:val="20"/>
                <w:szCs w:val="20"/>
                <w:color w:val="auto"/>
              </w:rPr>
            </w:pPr>
            <w:r>
              <w:rPr>
                <w:rFonts w:ascii="Arial" w:cs="Arial" w:eastAsia="Arial" w:hAnsi="Arial"/>
                <w:sz w:val="14"/>
                <w:szCs w:val="14"/>
                <w:b w:val="1"/>
                <w:bCs w:val="1"/>
                <w:color w:val="auto"/>
              </w:rPr>
              <w:t>received</w:t>
            </w:r>
          </w:p>
        </w:tc>
        <w:tc>
          <w:tcPr>
            <w:tcW w:w="2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480" w:type="dxa"/>
            <w:vAlign w:val="bottom"/>
          </w:tcPr>
          <w:p>
            <w:pPr>
              <w:spacing w:after="0"/>
              <w:rPr>
                <w:sz w:val="11"/>
                <w:szCs w:val="11"/>
                <w:color w:val="auto"/>
              </w:rPr>
            </w:pPr>
          </w:p>
        </w:tc>
        <w:tc>
          <w:tcPr>
            <w:tcW w:w="2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180" w:type="dxa"/>
            <w:vAlign w:val="bottom"/>
            <w:gridSpan w:val="5"/>
          </w:tcPr>
          <w:p>
            <w:pPr>
              <w:jc w:val="center"/>
              <w:ind w:right="55"/>
              <w:spacing w:after="0" w:line="129" w:lineRule="exact"/>
              <w:rPr>
                <w:sz w:val="20"/>
                <w:szCs w:val="20"/>
                <w:color w:val="auto"/>
              </w:rPr>
            </w:pPr>
            <w:r>
              <w:rPr>
                <w:rFonts w:ascii="Arial" w:cs="Arial" w:eastAsia="Arial" w:hAnsi="Arial"/>
                <w:sz w:val="14"/>
                <w:szCs w:val="14"/>
                <w:i w:val="1"/>
                <w:iCs w:val="1"/>
                <w:color w:val="auto"/>
              </w:rPr>
              <w:t>(in millions)</w:t>
            </w:r>
          </w:p>
        </w:tc>
        <w:tc>
          <w:tcPr>
            <w:tcW w:w="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50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June 30, 2022</w:t>
            </w:r>
          </w:p>
        </w:tc>
        <w:tc>
          <w:tcPr>
            <w:tcW w:w="1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40" w:type="dxa"/>
            <w:vAlign w:val="bottom"/>
            <w:gridSpan w:val="2"/>
          </w:tcPr>
          <w:p>
            <w:pPr>
              <w:spacing w:after="0"/>
              <w:rPr>
                <w:sz w:val="20"/>
                <w:szCs w:val="20"/>
                <w:color w:val="auto"/>
              </w:rPr>
            </w:pPr>
            <w:r>
              <w:rPr>
                <w:rFonts w:ascii="Arial" w:cs="Arial" w:eastAsia="Arial" w:hAnsi="Arial"/>
                <w:sz w:val="18"/>
                <w:szCs w:val="18"/>
                <w:color w:val="auto"/>
              </w:rPr>
              <w:t>Derivative assets</w:t>
            </w:r>
          </w:p>
        </w:tc>
        <w:tc>
          <w:tcPr>
            <w:tcW w:w="10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960" w:type="dxa"/>
            <w:vAlign w:val="bottom"/>
          </w:tcPr>
          <w:p>
            <w:pPr>
              <w:jc w:val="right"/>
              <w:spacing w:after="0"/>
              <w:rPr>
                <w:sz w:val="20"/>
                <w:szCs w:val="20"/>
                <w:color w:val="auto"/>
              </w:rPr>
            </w:pPr>
            <w:r>
              <w:rPr>
                <w:rFonts w:ascii="Arial" w:cs="Arial" w:eastAsia="Arial" w:hAnsi="Arial"/>
                <w:sz w:val="18"/>
                <w:szCs w:val="18"/>
                <w:b w:val="1"/>
                <w:bCs w:val="1"/>
                <w:color w:val="auto"/>
              </w:rPr>
              <w:t>257.4</w:t>
            </w:r>
          </w:p>
        </w:tc>
        <w:tc>
          <w:tcPr>
            <w:tcW w:w="36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0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(115.5)</w:t>
            </w:r>
          </w:p>
        </w:tc>
        <w:tc>
          <w:tcPr>
            <w:tcW w:w="26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12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(124.2)</w:t>
            </w:r>
          </w:p>
        </w:tc>
        <w:tc>
          <w:tcPr>
            <w:tcW w:w="140" w:type="dxa"/>
            <w:vAlign w:val="bottom"/>
            <w:gridSpan w:val="2"/>
          </w:tcPr>
          <w:p>
            <w:pPr>
              <w:jc w:val="right"/>
              <w:ind w:right="9"/>
              <w:spacing w:after="0"/>
              <w:rPr>
                <w:sz w:val="20"/>
                <w:szCs w:val="20"/>
                <w:color w:val="auto"/>
              </w:rPr>
            </w:pPr>
            <w:r>
              <w:rPr>
                <w:rFonts w:ascii="Arial" w:cs="Arial" w:eastAsia="Arial" w:hAnsi="Arial"/>
                <w:sz w:val="15"/>
                <w:szCs w:val="15"/>
                <w:b w:val="1"/>
                <w:bCs w:val="1"/>
                <w:color w:val="auto"/>
                <w:w w:val="71"/>
              </w:rPr>
              <w:t>$</w:t>
            </w: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17.7</w:t>
            </w:r>
          </w:p>
        </w:tc>
        <w:tc>
          <w:tcPr>
            <w:tcW w:w="0" w:type="dxa"/>
            <w:vAlign w:val="bottom"/>
          </w:tcPr>
          <w:p>
            <w:pPr>
              <w:spacing w:after="0"/>
              <w:rPr>
                <w:sz w:val="1"/>
                <w:szCs w:val="1"/>
                <w:color w:val="auto"/>
              </w:rPr>
            </w:pPr>
          </w:p>
        </w:tc>
      </w:tr>
      <w:tr>
        <w:trPr>
          <w:trHeight w:val="216"/>
        </w:trPr>
        <w:tc>
          <w:tcPr>
            <w:tcW w:w="50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Reverse repurchase agreements</w:t>
            </w:r>
          </w:p>
        </w:tc>
        <w:tc>
          <w:tcPr>
            <w:tcW w:w="10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7.7</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(7.7)</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50"/>
        </w:trPr>
        <w:tc>
          <w:tcPr>
            <w:tcW w:w="5040" w:type="dxa"/>
            <w:vAlign w:val="bottom"/>
            <w:tcBorders>
              <w:bottom w:val="single" w:sz="8" w:color="CCEEFF"/>
            </w:tcBorders>
            <w:gridSpan w:val="2"/>
          </w:tcPr>
          <w:p>
            <w:pPr>
              <w:ind w:left="120"/>
              <w:spacing w:after="0"/>
              <w:rPr>
                <w:sz w:val="20"/>
                <w:szCs w:val="20"/>
                <w:color w:val="auto"/>
              </w:rPr>
            </w:pPr>
            <w:r>
              <w:rPr>
                <w:rFonts w:ascii="Arial" w:cs="Arial" w:eastAsia="Arial" w:hAnsi="Arial"/>
                <w:sz w:val="18"/>
                <w:szCs w:val="18"/>
                <w:color w:val="auto"/>
              </w:rPr>
              <w:t>Total</w:t>
            </w: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265.1</w:t>
            </w:r>
          </w:p>
        </w:tc>
        <w:tc>
          <w:tcPr>
            <w:tcW w:w="200" w:type="dxa"/>
            <w:vAlign w:val="bottom"/>
            <w:tcBorders>
              <w:bottom w:val="single" w:sz="8" w:color="CCEEFF"/>
            </w:tcBorders>
          </w:tcPr>
          <w:p>
            <w:pPr>
              <w:spacing w:after="0"/>
              <w:rPr>
                <w:sz w:val="21"/>
                <w:szCs w:val="21"/>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(115.5)</w:t>
            </w:r>
          </w:p>
        </w:tc>
        <w:tc>
          <w:tcPr>
            <w:tcW w:w="100" w:type="dxa"/>
            <w:vAlign w:val="bottom"/>
            <w:tcBorders>
              <w:bottom w:val="single" w:sz="8" w:color="CCEEFF"/>
            </w:tcBorders>
          </w:tcPr>
          <w:p>
            <w:pPr>
              <w:spacing w:after="0"/>
              <w:rPr>
                <w:sz w:val="21"/>
                <w:szCs w:val="21"/>
                <w:color w:val="auto"/>
              </w:rPr>
            </w:pPr>
          </w:p>
        </w:tc>
        <w:tc>
          <w:tcPr>
            <w:tcW w:w="100" w:type="dxa"/>
            <w:vAlign w:val="bottom"/>
            <w:tcBorders>
              <w:bottom w:val="single" w:sz="8" w:color="CCEEFF"/>
            </w:tcBorders>
          </w:tcPr>
          <w:p>
            <w:pPr>
              <w:spacing w:after="0"/>
              <w:rPr>
                <w:sz w:val="21"/>
                <w:szCs w:val="21"/>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(131.9)</w:t>
            </w:r>
          </w:p>
        </w:tc>
        <w:tc>
          <w:tcPr>
            <w:tcW w:w="200" w:type="dxa"/>
            <w:vAlign w:val="bottom"/>
            <w:tcBorders>
              <w:bottom w:val="single" w:sz="8" w:color="CCEEFF"/>
            </w:tcBorders>
          </w:tcPr>
          <w:p>
            <w:pPr>
              <w:spacing w:after="0"/>
              <w:rPr>
                <w:sz w:val="21"/>
                <w:szCs w:val="21"/>
                <w:color w:val="auto"/>
              </w:rPr>
            </w:pPr>
          </w:p>
        </w:tc>
        <w:tc>
          <w:tcPr>
            <w:tcW w:w="20" w:type="dxa"/>
            <w:vAlign w:val="bottom"/>
            <w:tcBorders>
              <w:bottom w:val="single" w:sz="8" w:color="CCEEFF"/>
            </w:tcBorders>
          </w:tcPr>
          <w:p>
            <w:pPr>
              <w:spacing w:after="0"/>
              <w:rPr>
                <w:sz w:val="21"/>
                <w:szCs w:val="21"/>
                <w:color w:val="auto"/>
              </w:rPr>
            </w:pPr>
          </w:p>
        </w:tc>
        <w:tc>
          <w:tcPr>
            <w:tcW w:w="120" w:type="dxa"/>
            <w:vAlign w:val="bottom"/>
            <w:tcBorders>
              <w:top w:val="single" w:sz="8" w:color="auto"/>
              <w:bottom w:val="single" w:sz="8" w:color="auto"/>
            </w:tcBorders>
          </w:tcPr>
          <w:p>
            <w:pPr>
              <w:jc w:val="right"/>
              <w:ind w:right="9"/>
              <w:spacing w:after="0"/>
              <w:rPr>
                <w:sz w:val="20"/>
                <w:szCs w:val="20"/>
                <w:color w:val="auto"/>
              </w:rPr>
            </w:pPr>
            <w:r>
              <w:rPr>
                <w:rFonts w:ascii="Arial" w:cs="Arial" w:eastAsia="Arial" w:hAnsi="Arial"/>
                <w:sz w:val="10"/>
                <w:szCs w:val="10"/>
                <w:b w:val="1"/>
                <w:bCs w:val="1"/>
                <w:color w:val="auto"/>
                <w:w w:val="71"/>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17.7</w:t>
            </w:r>
          </w:p>
        </w:tc>
        <w:tc>
          <w:tcPr>
            <w:tcW w:w="0" w:type="dxa"/>
            <w:vAlign w:val="bottom"/>
          </w:tcPr>
          <w:p>
            <w:pPr>
              <w:spacing w:after="0"/>
              <w:rPr>
                <w:sz w:val="1"/>
                <w:szCs w:val="1"/>
                <w:color w:val="auto"/>
              </w:rPr>
            </w:pPr>
          </w:p>
        </w:tc>
      </w:tr>
      <w:tr>
        <w:trPr>
          <w:trHeight w:val="196"/>
        </w:trPr>
        <w:tc>
          <w:tcPr>
            <w:tcW w:w="5040" w:type="dxa"/>
            <w:vAlign w:val="bottom"/>
            <w:gridSpan w:val="2"/>
            <w:shd w:val="clear" w:color="auto" w:fill="CCEEFF"/>
          </w:tcPr>
          <w:p>
            <w:pPr>
              <w:spacing w:after="0" w:line="195" w:lineRule="exact"/>
              <w:rPr>
                <w:sz w:val="20"/>
                <w:szCs w:val="20"/>
                <w:color w:val="auto"/>
              </w:rPr>
            </w:pPr>
            <w:r>
              <w:rPr>
                <w:rFonts w:ascii="Arial" w:cs="Arial" w:eastAsia="Arial" w:hAnsi="Arial"/>
                <w:sz w:val="18"/>
                <w:szCs w:val="18"/>
                <w:b w:val="1"/>
                <w:bCs w:val="1"/>
                <w:color w:val="auto"/>
              </w:rPr>
              <w:t>December 31, 2021</w:t>
            </w:r>
          </w:p>
        </w:tc>
        <w:tc>
          <w:tcPr>
            <w:tcW w:w="10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5040" w:type="dxa"/>
            <w:vAlign w:val="bottom"/>
            <w:gridSpan w:val="2"/>
          </w:tcPr>
          <w:p>
            <w:pPr>
              <w:spacing w:after="0"/>
              <w:rPr>
                <w:sz w:val="20"/>
                <w:szCs w:val="20"/>
                <w:color w:val="auto"/>
              </w:rPr>
            </w:pPr>
            <w:r>
              <w:rPr>
                <w:rFonts w:ascii="Arial" w:cs="Arial" w:eastAsia="Arial" w:hAnsi="Arial"/>
                <w:sz w:val="18"/>
                <w:szCs w:val="18"/>
                <w:color w:val="auto"/>
              </w:rPr>
              <w:t>Derivative assets</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337.1</w:t>
            </w: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(100.1)</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200"/>
              <w:spacing w:after="0"/>
              <w:rPr>
                <w:sz w:val="20"/>
                <w:szCs w:val="20"/>
                <w:color w:val="auto"/>
              </w:rPr>
            </w:pPr>
            <w:r>
              <w:rPr>
                <w:rFonts w:ascii="Arial" w:cs="Arial" w:eastAsia="Arial" w:hAnsi="Arial"/>
                <w:sz w:val="18"/>
                <w:szCs w:val="18"/>
                <w:color w:val="auto"/>
              </w:rPr>
              <w:t>(229.7)</w:t>
            </w:r>
          </w:p>
        </w:tc>
        <w:tc>
          <w:tcPr>
            <w:tcW w:w="140" w:type="dxa"/>
            <w:vAlign w:val="bottom"/>
            <w:gridSpan w:val="2"/>
          </w:tcPr>
          <w:p>
            <w:pPr>
              <w:jc w:val="right"/>
              <w:ind w:right="9"/>
              <w:spacing w:after="0"/>
              <w:rPr>
                <w:sz w:val="20"/>
                <w:szCs w:val="20"/>
                <w:color w:val="auto"/>
              </w:rPr>
            </w:pPr>
            <w:r>
              <w:rPr>
                <w:rFonts w:ascii="Arial" w:cs="Arial" w:eastAsia="Arial" w:hAnsi="Arial"/>
                <w:sz w:val="15"/>
                <w:szCs w:val="15"/>
                <w:color w:val="auto"/>
                <w:w w:val="71"/>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7.3</w:t>
            </w:r>
          </w:p>
        </w:tc>
        <w:tc>
          <w:tcPr>
            <w:tcW w:w="0" w:type="dxa"/>
            <w:vAlign w:val="bottom"/>
          </w:tcPr>
          <w:p>
            <w:pPr>
              <w:spacing w:after="0"/>
              <w:rPr>
                <w:sz w:val="1"/>
                <w:szCs w:val="1"/>
                <w:color w:val="auto"/>
              </w:rPr>
            </w:pPr>
          </w:p>
        </w:tc>
      </w:tr>
      <w:tr>
        <w:trPr>
          <w:trHeight w:val="216"/>
        </w:trPr>
        <w:tc>
          <w:tcPr>
            <w:tcW w:w="50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Reverse repurchase agreements</w:t>
            </w:r>
          </w:p>
        </w:tc>
        <w:tc>
          <w:tcPr>
            <w:tcW w:w="10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16.4</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(16.4)</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0"/>
        </w:trPr>
        <w:tc>
          <w:tcPr>
            <w:tcW w:w="5040" w:type="dxa"/>
            <w:vAlign w:val="bottom"/>
            <w:gridSpan w:val="2"/>
          </w:tcPr>
          <w:p>
            <w:pPr>
              <w:ind w:left="120"/>
              <w:spacing w:after="0"/>
              <w:rPr>
                <w:sz w:val="20"/>
                <w:szCs w:val="20"/>
                <w:color w:val="auto"/>
              </w:rPr>
            </w:pPr>
            <w:r>
              <w:rPr>
                <w:rFonts w:ascii="Arial" w:cs="Arial" w:eastAsia="Arial" w:hAnsi="Arial"/>
                <w:sz w:val="18"/>
                <w:szCs w:val="18"/>
                <w:color w:val="auto"/>
              </w:rPr>
              <w:t>Total</w:t>
            </w: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353.5</w:t>
            </w:r>
          </w:p>
        </w:tc>
        <w:tc>
          <w:tcPr>
            <w:tcW w:w="200" w:type="dxa"/>
            <w:vAlign w:val="bottom"/>
          </w:tcPr>
          <w:p>
            <w:pPr>
              <w:spacing w:after="0"/>
              <w:rPr>
                <w:sz w:val="18"/>
                <w:szCs w:val="18"/>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(100.1)</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(246.1)</w:t>
            </w:r>
          </w:p>
        </w:tc>
        <w:tc>
          <w:tcPr>
            <w:tcW w:w="20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20" w:type="dxa"/>
            <w:vAlign w:val="bottom"/>
            <w:tcBorders>
              <w:top w:val="single" w:sz="8" w:color="auto"/>
              <w:bottom w:val="single" w:sz="8" w:color="auto"/>
            </w:tcBorders>
          </w:tcPr>
          <w:p>
            <w:pPr>
              <w:jc w:val="right"/>
              <w:ind w:right="9"/>
              <w:spacing w:after="0"/>
              <w:rPr>
                <w:sz w:val="20"/>
                <w:szCs w:val="20"/>
                <w:color w:val="auto"/>
              </w:rPr>
            </w:pPr>
            <w:r>
              <w:rPr>
                <w:rFonts w:ascii="Arial" w:cs="Arial" w:eastAsia="Arial" w:hAnsi="Arial"/>
                <w:sz w:val="10"/>
                <w:szCs w:val="10"/>
                <w:color w:val="auto"/>
                <w:w w:val="71"/>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7.3</w:t>
            </w:r>
          </w:p>
        </w:tc>
        <w:tc>
          <w:tcPr>
            <w:tcW w:w="0" w:type="dxa"/>
            <w:vAlign w:val="bottom"/>
          </w:tcPr>
          <w:p>
            <w:pPr>
              <w:spacing w:after="0"/>
              <w:rPr>
                <w:sz w:val="1"/>
                <w:szCs w:val="1"/>
                <w:color w:val="auto"/>
              </w:rPr>
            </w:pPr>
          </w:p>
        </w:tc>
      </w:tr>
      <w:tr>
        <w:trPr>
          <w:trHeight w:val="20"/>
        </w:trPr>
        <w:tc>
          <w:tcPr>
            <w:tcW w:w="2480" w:type="dxa"/>
            <w:vAlign w:val="bottom"/>
          </w:tcPr>
          <w:p>
            <w:pPr>
              <w:spacing w:after="0" w:line="20" w:lineRule="exact"/>
              <w:rPr>
                <w:sz w:val="1"/>
                <w:szCs w:val="1"/>
                <w:color w:val="auto"/>
              </w:rPr>
            </w:pPr>
          </w:p>
        </w:tc>
        <w:tc>
          <w:tcPr>
            <w:tcW w:w="25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8"/>
        </w:trPr>
        <w:tc>
          <w:tcPr>
            <w:tcW w:w="2480" w:type="dxa"/>
            <w:vAlign w:val="bottom"/>
            <w:tcBorders>
              <w:bottom w:val="single" w:sz="8" w:color="auto"/>
            </w:tcBorders>
          </w:tcPr>
          <w:p>
            <w:pPr>
              <w:spacing w:after="0"/>
              <w:rPr>
                <w:sz w:val="7"/>
                <w:szCs w:val="7"/>
                <w:color w:val="auto"/>
              </w:rPr>
            </w:pPr>
          </w:p>
        </w:tc>
        <w:tc>
          <w:tcPr>
            <w:tcW w:w="2560" w:type="dxa"/>
            <w:vAlign w:val="bottom"/>
          </w:tcPr>
          <w:p>
            <w:pPr>
              <w:spacing w:after="0"/>
              <w:rPr>
                <w:sz w:val="7"/>
                <w:szCs w:val="7"/>
                <w:color w:val="auto"/>
              </w:rPr>
            </w:pPr>
          </w:p>
        </w:tc>
        <w:tc>
          <w:tcPr>
            <w:tcW w:w="100" w:type="dxa"/>
            <w:vAlign w:val="bottom"/>
          </w:tcPr>
          <w:p>
            <w:pPr>
              <w:spacing w:after="0"/>
              <w:rPr>
                <w:sz w:val="7"/>
                <w:szCs w:val="7"/>
                <w:color w:val="auto"/>
              </w:rPr>
            </w:pPr>
          </w:p>
        </w:tc>
        <w:tc>
          <w:tcPr>
            <w:tcW w:w="960" w:type="dxa"/>
            <w:vAlign w:val="bottom"/>
          </w:tcPr>
          <w:p>
            <w:pPr>
              <w:spacing w:after="0"/>
              <w:rPr>
                <w:sz w:val="7"/>
                <w:szCs w:val="7"/>
                <w:color w:val="auto"/>
              </w:rPr>
            </w:pPr>
          </w:p>
        </w:tc>
        <w:tc>
          <w:tcPr>
            <w:tcW w:w="200" w:type="dxa"/>
            <w:vAlign w:val="bottom"/>
          </w:tcPr>
          <w:p>
            <w:pPr>
              <w:spacing w:after="0"/>
              <w:rPr>
                <w:sz w:val="7"/>
                <w:szCs w:val="7"/>
                <w:color w:val="auto"/>
              </w:rPr>
            </w:pPr>
          </w:p>
        </w:tc>
        <w:tc>
          <w:tcPr>
            <w:tcW w:w="160" w:type="dxa"/>
            <w:vAlign w:val="bottom"/>
          </w:tcPr>
          <w:p>
            <w:pPr>
              <w:spacing w:after="0"/>
              <w:rPr>
                <w:sz w:val="7"/>
                <w:szCs w:val="7"/>
                <w:color w:val="auto"/>
              </w:rPr>
            </w:pPr>
          </w:p>
        </w:tc>
        <w:tc>
          <w:tcPr>
            <w:tcW w:w="90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160" w:type="dxa"/>
            <w:vAlign w:val="bottom"/>
          </w:tcPr>
          <w:p>
            <w:pPr>
              <w:spacing w:after="0"/>
              <w:rPr>
                <w:sz w:val="7"/>
                <w:szCs w:val="7"/>
                <w:color w:val="auto"/>
              </w:rPr>
            </w:pPr>
          </w:p>
        </w:tc>
        <w:tc>
          <w:tcPr>
            <w:tcW w:w="920" w:type="dxa"/>
            <w:vAlign w:val="bottom"/>
          </w:tcPr>
          <w:p>
            <w:pPr>
              <w:spacing w:after="0"/>
              <w:rPr>
                <w:sz w:val="7"/>
                <w:szCs w:val="7"/>
                <w:color w:val="auto"/>
              </w:rPr>
            </w:pPr>
          </w:p>
        </w:tc>
        <w:tc>
          <w:tcPr>
            <w:tcW w:w="200" w:type="dxa"/>
            <w:vAlign w:val="bottom"/>
          </w:tcPr>
          <w:p>
            <w:pPr>
              <w:spacing w:after="0"/>
              <w:rPr>
                <w:sz w:val="7"/>
                <w:szCs w:val="7"/>
                <w:color w:val="auto"/>
              </w:rPr>
            </w:pPr>
          </w:p>
        </w:tc>
        <w:tc>
          <w:tcPr>
            <w:tcW w:w="20" w:type="dxa"/>
            <w:vAlign w:val="bottom"/>
          </w:tcPr>
          <w:p>
            <w:pPr>
              <w:spacing w:after="0"/>
              <w:rPr>
                <w:sz w:val="7"/>
                <w:szCs w:val="7"/>
                <w:color w:val="auto"/>
              </w:rPr>
            </w:pPr>
          </w:p>
        </w:tc>
        <w:tc>
          <w:tcPr>
            <w:tcW w:w="120" w:type="dxa"/>
            <w:vAlign w:val="bottom"/>
          </w:tcPr>
          <w:p>
            <w:pPr>
              <w:spacing w:after="0"/>
              <w:rPr>
                <w:sz w:val="7"/>
                <w:szCs w:val="7"/>
                <w:color w:val="auto"/>
              </w:rPr>
            </w:pPr>
          </w:p>
        </w:tc>
        <w:tc>
          <w:tcPr>
            <w:tcW w:w="94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80" w:lineRule="exact"/>
        <w:rPr>
          <w:sz w:val="20"/>
          <w:szCs w:val="20"/>
          <w:color w:val="auto"/>
        </w:rPr>
      </w:pPr>
    </w:p>
    <w:p>
      <w:pPr>
        <w:ind w:left="340" w:right="80" w:hanging="332"/>
        <w:spacing w:after="0" w:line="254" w:lineRule="auto"/>
        <w:tabs>
          <w:tab w:leader="none" w:pos="3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gross amount of recognized derivative and reverse repurchase agreement assets are reported with other investments and cash and cash equivalents, respectively, on the consolidated statements of financial position. The gross amounts of derivative and reverse repurchase agreement assets are not netted against offsetting liabilities for presentation on the consolidated statements of financial position.</w:t>
      </w:r>
    </w:p>
    <w:p>
      <w:pPr>
        <w:spacing w:after="0" w:line="2" w:lineRule="exact"/>
        <w:rPr>
          <w:rFonts w:ascii="Arial" w:cs="Arial" w:eastAsia="Arial" w:hAnsi="Arial"/>
          <w:sz w:val="18"/>
          <w:szCs w:val="18"/>
          <w:color w:val="auto"/>
        </w:rPr>
      </w:pPr>
    </w:p>
    <w:p>
      <w:pPr>
        <w:ind w:left="340" w:right="60" w:hanging="332"/>
        <w:spacing w:after="0" w:line="323" w:lineRule="auto"/>
        <w:tabs>
          <w:tab w:leader="none" w:pos="340" w:val="left"/>
        </w:tabs>
        <w:numPr>
          <w:ilvl w:val="0"/>
          <w:numId w:val="15"/>
        </w:numPr>
        <w:rPr>
          <w:rFonts w:ascii="Arial" w:cs="Arial" w:eastAsia="Arial" w:hAnsi="Arial"/>
          <w:sz w:val="16"/>
          <w:szCs w:val="16"/>
          <w:color w:val="auto"/>
        </w:rPr>
      </w:pPr>
      <w:r>
        <w:rPr>
          <w:rFonts w:ascii="Arial" w:cs="Arial" w:eastAsia="Arial" w:hAnsi="Arial"/>
          <w:sz w:val="16"/>
          <w:szCs w:val="16"/>
          <w:color w:val="auto"/>
        </w:rPr>
        <w:t>Represents amount of offsetting derivative liabilities that are subject to an enforceable master netting agreement or similar agreement that are not netted against the gross derivative assets for presentation on the consolidated statements of financial position.</w:t>
      </w:r>
    </w:p>
    <w:p>
      <w:pPr>
        <w:spacing w:after="0" w:line="3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171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6292215" cy="17145"/>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36" w:name="page37"/>
    <w:bookmarkEnd w:id="36"/>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Financial liabilities subject to master netting agreements or similar agreements were as follows:</w:t>
      </w:r>
    </w:p>
    <w:p>
      <w:pPr>
        <w:spacing w:after="0" w:line="230" w:lineRule="exact"/>
        <w:rPr>
          <w:sz w:val="20"/>
          <w:szCs w:val="20"/>
          <w:color w:val="auto"/>
        </w:rPr>
      </w:pPr>
    </w:p>
    <w:p>
      <w:pPr>
        <w:jc w:val="center"/>
        <w:ind w:left="5000"/>
        <w:spacing w:after="0"/>
        <w:rPr>
          <w:sz w:val="20"/>
          <w:szCs w:val="20"/>
          <w:color w:val="auto"/>
        </w:rPr>
      </w:pPr>
      <w:r>
        <w:rPr>
          <w:rFonts w:ascii="Arial" w:cs="Arial" w:eastAsia="Arial" w:hAnsi="Arial"/>
          <w:sz w:val="14"/>
          <w:szCs w:val="14"/>
          <w:b w:val="1"/>
          <w:bCs w:val="1"/>
          <w:color w:val="auto"/>
        </w:rPr>
        <w:t>Gross amounts not offset in the</w:t>
      </w:r>
    </w:p>
    <w:p>
      <w:pPr>
        <w:spacing w:after="0" w:line="4" w:lineRule="exact"/>
        <w:rPr>
          <w:sz w:val="20"/>
          <w:szCs w:val="20"/>
          <w:color w:val="auto"/>
        </w:rPr>
      </w:pPr>
    </w:p>
    <w:p>
      <w:pPr>
        <w:jc w:val="center"/>
        <w:ind w:left="5000"/>
        <w:spacing w:after="0"/>
        <w:rPr>
          <w:sz w:val="20"/>
          <w:szCs w:val="20"/>
          <w:color w:val="auto"/>
        </w:rPr>
      </w:pPr>
      <w:r>
        <w:rPr>
          <w:rFonts w:ascii="Arial" w:cs="Arial" w:eastAsia="Arial" w:hAnsi="Arial"/>
          <w:sz w:val="14"/>
          <w:szCs w:val="14"/>
          <w:b w:val="1"/>
          <w:bCs w:val="1"/>
          <w:color w:val="auto"/>
        </w:rPr>
        <w:t>consolidated statements</w:t>
      </w:r>
    </w:p>
    <w:p>
      <w:pPr>
        <w:ind w:left="6860"/>
        <w:spacing w:after="0" w:line="232" w:lineRule="auto"/>
        <w:rPr>
          <w:sz w:val="20"/>
          <w:szCs w:val="20"/>
          <w:color w:val="auto"/>
        </w:rPr>
      </w:pPr>
      <w:r>
        <w:rPr>
          <w:rFonts w:ascii="Arial" w:cs="Arial" w:eastAsia="Arial" w:hAnsi="Arial"/>
          <w:sz w:val="14"/>
          <w:szCs w:val="14"/>
          <w:b w:val="1"/>
          <w:bCs w:val="1"/>
          <w:color w:val="auto"/>
        </w:rPr>
        <w:t>of financial position</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19"/>
        </w:trPr>
        <w:tc>
          <w:tcPr>
            <w:tcW w:w="2480" w:type="dxa"/>
            <w:vAlign w:val="bottom"/>
          </w:tcPr>
          <w:p>
            <w:pPr>
              <w:spacing w:after="0"/>
              <w:rPr>
                <w:sz w:val="10"/>
                <w:szCs w:val="10"/>
                <w:color w:val="auto"/>
              </w:rPr>
            </w:pPr>
          </w:p>
        </w:tc>
        <w:tc>
          <w:tcPr>
            <w:tcW w:w="25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60" w:type="dxa"/>
            <w:vAlign w:val="bottom"/>
          </w:tcPr>
          <w:p>
            <w:pPr>
              <w:jc w:val="center"/>
              <w:ind w:right="22"/>
              <w:spacing w:after="0" w:line="119" w:lineRule="exact"/>
              <w:rPr>
                <w:sz w:val="20"/>
                <w:szCs w:val="20"/>
                <w:color w:val="auto"/>
              </w:rPr>
            </w:pPr>
            <w:r>
              <w:rPr>
                <w:rFonts w:ascii="Arial" w:cs="Arial" w:eastAsia="Arial" w:hAnsi="Arial"/>
                <w:sz w:val="13"/>
                <w:szCs w:val="13"/>
                <w:b w:val="1"/>
                <w:bCs w:val="1"/>
                <w:color w:val="auto"/>
                <w:w w:val="97"/>
              </w:rPr>
              <w:t>Gross amount</w:t>
            </w:r>
          </w:p>
        </w:tc>
        <w:tc>
          <w:tcPr>
            <w:tcW w:w="200" w:type="dxa"/>
            <w:vAlign w:val="bottom"/>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1000" w:type="dxa"/>
            <w:vAlign w:val="bottom"/>
            <w:tcBorders>
              <w:top w:val="single" w:sz="8" w:color="auto"/>
            </w:tcBorders>
            <w:gridSpan w:val="2"/>
            <w:vMerge w:val="restart"/>
          </w:tcPr>
          <w:p>
            <w:pPr>
              <w:jc w:val="right"/>
              <w:ind w:right="340"/>
              <w:spacing w:after="0"/>
              <w:rPr>
                <w:sz w:val="20"/>
                <w:szCs w:val="20"/>
                <w:color w:val="auto"/>
              </w:rPr>
            </w:pPr>
            <w:r>
              <w:rPr>
                <w:rFonts w:ascii="Arial" w:cs="Arial" w:eastAsia="Arial" w:hAnsi="Arial"/>
                <w:sz w:val="14"/>
                <w:szCs w:val="14"/>
                <w:b w:val="1"/>
                <w:bCs w:val="1"/>
                <w:color w:val="auto"/>
              </w:rPr>
              <w:t>Financial</w:t>
            </w:r>
          </w:p>
        </w:tc>
        <w:tc>
          <w:tcPr>
            <w:tcW w:w="100" w:type="dxa"/>
            <w:vAlign w:val="bottom"/>
            <w:tcBorders>
              <w:top w:val="single" w:sz="8" w:color="auto"/>
            </w:tcBorders>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920" w:type="dxa"/>
            <w:vAlign w:val="bottom"/>
            <w:tcBorders>
              <w:top w:val="single" w:sz="8" w:color="auto"/>
            </w:tcBorders>
            <w:vMerge w:val="restart"/>
          </w:tcPr>
          <w:p>
            <w:pPr>
              <w:jc w:val="right"/>
              <w:ind w:right="139"/>
              <w:spacing w:after="0"/>
              <w:rPr>
                <w:sz w:val="20"/>
                <w:szCs w:val="20"/>
                <w:color w:val="auto"/>
              </w:rPr>
            </w:pPr>
            <w:r>
              <w:rPr>
                <w:rFonts w:ascii="Arial" w:cs="Arial" w:eastAsia="Arial" w:hAnsi="Arial"/>
                <w:sz w:val="14"/>
                <w:szCs w:val="14"/>
                <w:b w:val="1"/>
                <w:bCs w:val="1"/>
                <w:color w:val="auto"/>
              </w:rPr>
              <w:t>Collateral</w:t>
            </w:r>
          </w:p>
        </w:tc>
        <w:tc>
          <w:tcPr>
            <w:tcW w:w="200" w:type="dxa"/>
            <w:vAlign w:val="bottom"/>
            <w:vMerge w:val="restart"/>
          </w:tcPr>
          <w:p>
            <w:pPr>
              <w:spacing w:after="0"/>
              <w:rPr>
                <w:sz w:val="10"/>
                <w:szCs w:val="10"/>
                <w:color w:val="auto"/>
              </w:rPr>
            </w:pPr>
          </w:p>
        </w:tc>
        <w:tc>
          <w:tcPr>
            <w:tcW w:w="14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8"/>
        </w:trPr>
        <w:tc>
          <w:tcPr>
            <w:tcW w:w="2480" w:type="dxa"/>
            <w:vAlign w:val="bottom"/>
          </w:tcPr>
          <w:p>
            <w:pPr>
              <w:spacing w:after="0"/>
              <w:rPr>
                <w:sz w:val="12"/>
                <w:szCs w:val="12"/>
                <w:color w:val="auto"/>
              </w:rPr>
            </w:pPr>
          </w:p>
        </w:tc>
        <w:tc>
          <w:tcPr>
            <w:tcW w:w="25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60" w:type="dxa"/>
            <w:vAlign w:val="bottom"/>
          </w:tcPr>
          <w:p>
            <w:pPr>
              <w:jc w:val="center"/>
              <w:ind w:right="22"/>
              <w:spacing w:after="0" w:line="149" w:lineRule="exact"/>
              <w:rPr>
                <w:sz w:val="20"/>
                <w:szCs w:val="20"/>
                <w:color w:val="auto"/>
              </w:rPr>
            </w:pPr>
            <w:r>
              <w:rPr>
                <w:rFonts w:ascii="Arial" w:cs="Arial" w:eastAsia="Arial" w:hAnsi="Arial"/>
                <w:sz w:val="14"/>
                <w:szCs w:val="14"/>
                <w:b w:val="1"/>
                <w:bCs w:val="1"/>
                <w:color w:val="auto"/>
                <w:w w:val="90"/>
              </w:rPr>
              <w:t>of recognized</w:t>
            </w: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20" w:type="dxa"/>
            <w:vAlign w:val="bottom"/>
            <w:vMerge w:val="continue"/>
          </w:tcPr>
          <w:p>
            <w:pPr>
              <w:spacing w:after="0"/>
              <w:rPr>
                <w:sz w:val="12"/>
                <w:szCs w:val="12"/>
                <w:color w:val="auto"/>
              </w:rPr>
            </w:pPr>
          </w:p>
        </w:tc>
        <w:tc>
          <w:tcPr>
            <w:tcW w:w="20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940" w:type="dxa"/>
            <w:vAlign w:val="bottom"/>
            <w:vMerge w:val="restart"/>
          </w:tcPr>
          <w:p>
            <w:pPr>
              <w:jc w:val="right"/>
              <w:ind w:right="96"/>
              <w:spacing w:after="0"/>
              <w:rPr>
                <w:sz w:val="20"/>
                <w:szCs w:val="20"/>
                <w:color w:val="auto"/>
              </w:rPr>
            </w:pPr>
            <w:r>
              <w:rPr>
                <w:rFonts w:ascii="Arial" w:cs="Arial" w:eastAsia="Arial" w:hAnsi="Arial"/>
                <w:sz w:val="14"/>
                <w:szCs w:val="14"/>
                <w:b w:val="1"/>
                <w:bCs w:val="1"/>
                <w:color w:val="auto"/>
                <w:w w:val="96"/>
              </w:rPr>
              <w:t>Net amount</w:t>
            </w:r>
          </w:p>
        </w:tc>
        <w:tc>
          <w:tcPr>
            <w:tcW w:w="0" w:type="dxa"/>
            <w:vAlign w:val="bottom"/>
          </w:tcPr>
          <w:p>
            <w:pPr>
              <w:spacing w:after="0"/>
              <w:rPr>
                <w:sz w:val="1"/>
                <w:szCs w:val="1"/>
                <w:color w:val="auto"/>
              </w:rPr>
            </w:pPr>
          </w:p>
        </w:tc>
      </w:tr>
      <w:tr>
        <w:trPr>
          <w:trHeight w:val="171"/>
        </w:trPr>
        <w:tc>
          <w:tcPr>
            <w:tcW w:w="2480" w:type="dxa"/>
            <w:vAlign w:val="bottom"/>
          </w:tcPr>
          <w:p>
            <w:pPr>
              <w:spacing w:after="0"/>
              <w:rPr>
                <w:sz w:val="14"/>
                <w:szCs w:val="14"/>
                <w:color w:val="auto"/>
              </w:rPr>
            </w:pPr>
          </w:p>
        </w:tc>
        <w:tc>
          <w:tcPr>
            <w:tcW w:w="25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tcPr>
          <w:p>
            <w:pPr>
              <w:jc w:val="center"/>
              <w:ind w:right="2"/>
              <w:spacing w:after="0"/>
              <w:rPr>
                <w:sz w:val="20"/>
                <w:szCs w:val="20"/>
                <w:color w:val="auto"/>
              </w:rPr>
            </w:pPr>
            <w:r>
              <w:rPr>
                <w:rFonts w:ascii="Arial" w:cs="Arial" w:eastAsia="Arial" w:hAnsi="Arial"/>
                <w:sz w:val="14"/>
                <w:szCs w:val="14"/>
                <w:b w:val="1"/>
                <w:bCs w:val="1"/>
                <w:color w:val="auto"/>
                <w:w w:val="93"/>
              </w:rPr>
              <w:t>liabilities (1)</w:t>
            </w:r>
          </w:p>
        </w:tc>
        <w:tc>
          <w:tcPr>
            <w:tcW w:w="200" w:type="dxa"/>
            <w:vAlign w:val="bottom"/>
          </w:tcPr>
          <w:p>
            <w:pPr>
              <w:spacing w:after="0"/>
              <w:rPr>
                <w:sz w:val="14"/>
                <w:szCs w:val="14"/>
                <w:color w:val="auto"/>
              </w:rPr>
            </w:pPr>
          </w:p>
        </w:tc>
        <w:tc>
          <w:tcPr>
            <w:tcW w:w="106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6"/>
              </w:rPr>
              <w:t>instruments (2)</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right"/>
              <w:ind w:right="219"/>
              <w:spacing w:after="0"/>
              <w:rPr>
                <w:sz w:val="20"/>
                <w:szCs w:val="20"/>
                <w:color w:val="auto"/>
              </w:rPr>
            </w:pPr>
            <w:r>
              <w:rPr>
                <w:rFonts w:ascii="Arial" w:cs="Arial" w:eastAsia="Arial" w:hAnsi="Arial"/>
                <w:sz w:val="14"/>
                <w:szCs w:val="14"/>
                <w:b w:val="1"/>
                <w:bCs w:val="1"/>
                <w:color w:val="auto"/>
              </w:rPr>
              <w:t>pledged</w:t>
            </w:r>
          </w:p>
        </w:tc>
        <w:tc>
          <w:tcPr>
            <w:tcW w:w="20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28"/>
        </w:trPr>
        <w:tc>
          <w:tcPr>
            <w:tcW w:w="2480" w:type="dxa"/>
            <w:vAlign w:val="bottom"/>
          </w:tcPr>
          <w:p>
            <w:pPr>
              <w:spacing w:after="0"/>
              <w:rPr>
                <w:sz w:val="11"/>
                <w:szCs w:val="11"/>
                <w:color w:val="auto"/>
              </w:rPr>
            </w:pPr>
          </w:p>
        </w:tc>
        <w:tc>
          <w:tcPr>
            <w:tcW w:w="2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180" w:type="dxa"/>
            <w:vAlign w:val="bottom"/>
            <w:gridSpan w:val="5"/>
          </w:tcPr>
          <w:p>
            <w:pPr>
              <w:jc w:val="right"/>
              <w:ind w:right="719"/>
              <w:spacing w:after="0" w:line="129" w:lineRule="exact"/>
              <w:rPr>
                <w:sz w:val="20"/>
                <w:szCs w:val="20"/>
                <w:color w:val="auto"/>
              </w:rPr>
            </w:pPr>
            <w:r>
              <w:rPr>
                <w:rFonts w:ascii="Arial" w:cs="Arial" w:eastAsia="Arial" w:hAnsi="Arial"/>
                <w:sz w:val="14"/>
                <w:szCs w:val="14"/>
                <w:i w:val="1"/>
                <w:iCs w:val="1"/>
                <w:color w:val="auto"/>
              </w:rPr>
              <w:t>(in millions)</w:t>
            </w: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50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June 30, 2022</w:t>
            </w:r>
          </w:p>
        </w:tc>
        <w:tc>
          <w:tcPr>
            <w:tcW w:w="1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56"/>
        </w:trPr>
        <w:tc>
          <w:tcPr>
            <w:tcW w:w="5040" w:type="dxa"/>
            <w:vAlign w:val="bottom"/>
            <w:gridSpan w:val="2"/>
          </w:tcPr>
          <w:p>
            <w:pPr>
              <w:spacing w:after="0"/>
              <w:rPr>
                <w:sz w:val="20"/>
                <w:szCs w:val="20"/>
                <w:color w:val="auto"/>
              </w:rPr>
            </w:pPr>
            <w:r>
              <w:rPr>
                <w:rFonts w:ascii="Arial" w:cs="Arial" w:eastAsia="Arial" w:hAnsi="Arial"/>
                <w:sz w:val="18"/>
                <w:szCs w:val="18"/>
                <w:color w:val="auto"/>
              </w:rPr>
              <w:t>Derivative liabilities</w:t>
            </w:r>
          </w:p>
        </w:tc>
        <w:tc>
          <w:tcPr>
            <w:tcW w:w="10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960" w:type="dxa"/>
            <w:vAlign w:val="bottom"/>
          </w:tcPr>
          <w:p>
            <w:pPr>
              <w:jc w:val="right"/>
              <w:spacing w:after="0"/>
              <w:rPr>
                <w:sz w:val="20"/>
                <w:szCs w:val="20"/>
                <w:color w:val="auto"/>
              </w:rPr>
            </w:pPr>
            <w:r>
              <w:rPr>
                <w:rFonts w:ascii="Arial" w:cs="Arial" w:eastAsia="Arial" w:hAnsi="Arial"/>
                <w:sz w:val="18"/>
                <w:szCs w:val="18"/>
                <w:b w:val="1"/>
                <w:bCs w:val="1"/>
                <w:color w:val="auto"/>
              </w:rPr>
              <w:t>566.4</w:t>
            </w:r>
          </w:p>
        </w:tc>
        <w:tc>
          <w:tcPr>
            <w:tcW w:w="36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0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(115.5)</w:t>
            </w:r>
          </w:p>
        </w:tc>
        <w:tc>
          <w:tcPr>
            <w:tcW w:w="26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w:t>
            </w:r>
          </w:p>
        </w:tc>
        <w:tc>
          <w:tcPr>
            <w:tcW w:w="112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(393.2)</w:t>
            </w:r>
          </w:p>
        </w:tc>
        <w:tc>
          <w:tcPr>
            <w:tcW w:w="14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57.7</w:t>
            </w:r>
          </w:p>
        </w:tc>
        <w:tc>
          <w:tcPr>
            <w:tcW w:w="0" w:type="dxa"/>
            <w:vAlign w:val="bottom"/>
          </w:tcPr>
          <w:p>
            <w:pPr>
              <w:spacing w:after="0"/>
              <w:rPr>
                <w:sz w:val="1"/>
                <w:szCs w:val="1"/>
                <w:color w:val="auto"/>
              </w:rPr>
            </w:pPr>
          </w:p>
        </w:tc>
      </w:tr>
      <w:tr>
        <w:trPr>
          <w:trHeight w:val="197"/>
        </w:trPr>
        <w:tc>
          <w:tcPr>
            <w:tcW w:w="5040" w:type="dxa"/>
            <w:vAlign w:val="bottom"/>
            <w:tcBorders>
              <w:top w:val="single" w:sz="8" w:color="CCEEFF"/>
            </w:tcBorders>
            <w:gridSpan w:val="2"/>
            <w:shd w:val="clear" w:color="auto" w:fill="CCEEFF"/>
          </w:tcPr>
          <w:p>
            <w:pPr>
              <w:spacing w:after="0" w:line="195" w:lineRule="exact"/>
              <w:rPr>
                <w:sz w:val="20"/>
                <w:szCs w:val="20"/>
                <w:color w:val="auto"/>
              </w:rPr>
            </w:pPr>
            <w:r>
              <w:rPr>
                <w:rFonts w:ascii="Arial" w:cs="Arial" w:eastAsia="Arial" w:hAnsi="Arial"/>
                <w:sz w:val="18"/>
                <w:szCs w:val="18"/>
                <w:b w:val="1"/>
                <w:bCs w:val="1"/>
                <w:color w:val="auto"/>
              </w:rPr>
              <w:t>December 31, 2021</w:t>
            </w:r>
          </w:p>
        </w:tc>
        <w:tc>
          <w:tcPr>
            <w:tcW w:w="100" w:type="dxa"/>
            <w:vAlign w:val="bottom"/>
            <w:tcBorders>
              <w:top w:val="single" w:sz="8" w:color="auto"/>
            </w:tcBorders>
            <w:shd w:val="clear" w:color="auto" w:fill="CCEEFF"/>
          </w:tcPr>
          <w:p>
            <w:pPr>
              <w:spacing w:after="0"/>
              <w:rPr>
                <w:sz w:val="17"/>
                <w:szCs w:val="17"/>
                <w:color w:val="auto"/>
              </w:rPr>
            </w:pPr>
          </w:p>
        </w:tc>
        <w:tc>
          <w:tcPr>
            <w:tcW w:w="96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spacing w:after="0"/>
              <w:rPr>
                <w:sz w:val="17"/>
                <w:szCs w:val="17"/>
                <w:color w:val="auto"/>
              </w:rPr>
            </w:pPr>
          </w:p>
        </w:tc>
        <w:tc>
          <w:tcPr>
            <w:tcW w:w="92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940" w:type="dxa"/>
            <w:vAlign w:val="bottom"/>
            <w:tcBorders>
              <w:top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5040" w:type="dxa"/>
            <w:vAlign w:val="bottom"/>
            <w:gridSpan w:val="2"/>
          </w:tcPr>
          <w:p>
            <w:pPr>
              <w:spacing w:after="0"/>
              <w:rPr>
                <w:sz w:val="20"/>
                <w:szCs w:val="20"/>
                <w:color w:val="auto"/>
              </w:rPr>
            </w:pPr>
            <w:r>
              <w:rPr>
                <w:rFonts w:ascii="Arial" w:cs="Arial" w:eastAsia="Arial" w:hAnsi="Arial"/>
                <w:sz w:val="18"/>
                <w:szCs w:val="18"/>
                <w:color w:val="auto"/>
              </w:rPr>
              <w:t>Derivative liabilities</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225.3</w:t>
            </w: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(100.1)</w:t>
            </w:r>
          </w:p>
        </w:tc>
        <w:tc>
          <w:tcPr>
            <w:tcW w:w="2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200"/>
              <w:spacing w:after="0"/>
              <w:rPr>
                <w:sz w:val="20"/>
                <w:szCs w:val="20"/>
                <w:color w:val="auto"/>
              </w:rPr>
            </w:pPr>
            <w:r>
              <w:rPr>
                <w:rFonts w:ascii="Arial" w:cs="Arial" w:eastAsia="Arial" w:hAnsi="Arial"/>
                <w:sz w:val="18"/>
                <w:szCs w:val="18"/>
                <w:color w:val="auto"/>
              </w:rPr>
              <w:t>(115.2)</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0"/>
        </w:trPr>
        <w:tc>
          <w:tcPr>
            <w:tcW w:w="2480" w:type="dxa"/>
            <w:vAlign w:val="bottom"/>
          </w:tcPr>
          <w:p>
            <w:pPr>
              <w:spacing w:after="0" w:line="20" w:lineRule="exact"/>
              <w:rPr>
                <w:sz w:val="1"/>
                <w:szCs w:val="1"/>
                <w:color w:val="auto"/>
              </w:rPr>
            </w:pPr>
          </w:p>
        </w:tc>
        <w:tc>
          <w:tcPr>
            <w:tcW w:w="25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8"/>
        </w:trPr>
        <w:tc>
          <w:tcPr>
            <w:tcW w:w="2480" w:type="dxa"/>
            <w:vAlign w:val="bottom"/>
            <w:tcBorders>
              <w:bottom w:val="single" w:sz="8" w:color="auto"/>
            </w:tcBorders>
          </w:tcPr>
          <w:p>
            <w:pPr>
              <w:spacing w:after="0"/>
              <w:rPr>
                <w:sz w:val="7"/>
                <w:szCs w:val="7"/>
                <w:color w:val="auto"/>
              </w:rPr>
            </w:pPr>
          </w:p>
        </w:tc>
        <w:tc>
          <w:tcPr>
            <w:tcW w:w="2560" w:type="dxa"/>
            <w:vAlign w:val="bottom"/>
          </w:tcPr>
          <w:p>
            <w:pPr>
              <w:spacing w:after="0"/>
              <w:rPr>
                <w:sz w:val="7"/>
                <w:szCs w:val="7"/>
                <w:color w:val="auto"/>
              </w:rPr>
            </w:pPr>
          </w:p>
        </w:tc>
        <w:tc>
          <w:tcPr>
            <w:tcW w:w="100" w:type="dxa"/>
            <w:vAlign w:val="bottom"/>
          </w:tcPr>
          <w:p>
            <w:pPr>
              <w:spacing w:after="0"/>
              <w:rPr>
                <w:sz w:val="7"/>
                <w:szCs w:val="7"/>
                <w:color w:val="auto"/>
              </w:rPr>
            </w:pPr>
          </w:p>
        </w:tc>
        <w:tc>
          <w:tcPr>
            <w:tcW w:w="960" w:type="dxa"/>
            <w:vAlign w:val="bottom"/>
          </w:tcPr>
          <w:p>
            <w:pPr>
              <w:spacing w:after="0"/>
              <w:rPr>
                <w:sz w:val="7"/>
                <w:szCs w:val="7"/>
                <w:color w:val="auto"/>
              </w:rPr>
            </w:pPr>
          </w:p>
        </w:tc>
        <w:tc>
          <w:tcPr>
            <w:tcW w:w="200" w:type="dxa"/>
            <w:vAlign w:val="bottom"/>
          </w:tcPr>
          <w:p>
            <w:pPr>
              <w:spacing w:after="0"/>
              <w:rPr>
                <w:sz w:val="7"/>
                <w:szCs w:val="7"/>
                <w:color w:val="auto"/>
              </w:rPr>
            </w:pPr>
          </w:p>
        </w:tc>
        <w:tc>
          <w:tcPr>
            <w:tcW w:w="160" w:type="dxa"/>
            <w:vAlign w:val="bottom"/>
          </w:tcPr>
          <w:p>
            <w:pPr>
              <w:spacing w:after="0"/>
              <w:rPr>
                <w:sz w:val="7"/>
                <w:szCs w:val="7"/>
                <w:color w:val="auto"/>
              </w:rPr>
            </w:pPr>
          </w:p>
        </w:tc>
        <w:tc>
          <w:tcPr>
            <w:tcW w:w="90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160" w:type="dxa"/>
            <w:vAlign w:val="bottom"/>
          </w:tcPr>
          <w:p>
            <w:pPr>
              <w:spacing w:after="0"/>
              <w:rPr>
                <w:sz w:val="7"/>
                <w:szCs w:val="7"/>
                <w:color w:val="auto"/>
              </w:rPr>
            </w:pPr>
          </w:p>
        </w:tc>
        <w:tc>
          <w:tcPr>
            <w:tcW w:w="920" w:type="dxa"/>
            <w:vAlign w:val="bottom"/>
          </w:tcPr>
          <w:p>
            <w:pPr>
              <w:spacing w:after="0"/>
              <w:rPr>
                <w:sz w:val="7"/>
                <w:szCs w:val="7"/>
                <w:color w:val="auto"/>
              </w:rPr>
            </w:pPr>
          </w:p>
        </w:tc>
        <w:tc>
          <w:tcPr>
            <w:tcW w:w="200" w:type="dxa"/>
            <w:vAlign w:val="bottom"/>
          </w:tcPr>
          <w:p>
            <w:pPr>
              <w:spacing w:after="0"/>
              <w:rPr>
                <w:sz w:val="7"/>
                <w:szCs w:val="7"/>
                <w:color w:val="auto"/>
              </w:rPr>
            </w:pPr>
          </w:p>
        </w:tc>
        <w:tc>
          <w:tcPr>
            <w:tcW w:w="140" w:type="dxa"/>
            <w:vAlign w:val="bottom"/>
          </w:tcPr>
          <w:p>
            <w:pPr>
              <w:spacing w:after="0"/>
              <w:rPr>
                <w:sz w:val="7"/>
                <w:szCs w:val="7"/>
                <w:color w:val="auto"/>
              </w:rPr>
            </w:pPr>
          </w:p>
        </w:tc>
        <w:tc>
          <w:tcPr>
            <w:tcW w:w="94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80" w:lineRule="exact"/>
        <w:rPr>
          <w:sz w:val="20"/>
          <w:szCs w:val="20"/>
          <w:color w:val="auto"/>
        </w:rPr>
      </w:pPr>
    </w:p>
    <w:p>
      <w:pPr>
        <w:ind w:left="340" w:right="80" w:hanging="332"/>
        <w:spacing w:after="0" w:line="254" w:lineRule="auto"/>
        <w:tabs>
          <w:tab w:leader="none" w:pos="3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gross amount of recognized derivative liabilities is reported with other liabilities on the consolidated statements of financial position. The above excludes derivative liabilities, which are primarily embedded derivatives that are not subject to master netting agreements or similar agreements. The gross amounts of derivative liabilities are not netted against offsetting assets for presentation on the consolidated statements of financial position.</w:t>
      </w:r>
    </w:p>
    <w:p>
      <w:pPr>
        <w:spacing w:after="0" w:line="2" w:lineRule="exact"/>
        <w:rPr>
          <w:rFonts w:ascii="Arial" w:cs="Arial" w:eastAsia="Arial" w:hAnsi="Arial"/>
          <w:sz w:val="18"/>
          <w:szCs w:val="18"/>
          <w:color w:val="auto"/>
        </w:rPr>
      </w:pPr>
    </w:p>
    <w:p>
      <w:pPr>
        <w:ind w:left="340" w:right="240" w:hanging="332"/>
        <w:spacing w:after="0" w:line="323" w:lineRule="auto"/>
        <w:tabs>
          <w:tab w:leader="none" w:pos="340" w:val="left"/>
        </w:tabs>
        <w:numPr>
          <w:ilvl w:val="0"/>
          <w:numId w:val="16"/>
        </w:numPr>
        <w:rPr>
          <w:rFonts w:ascii="Arial" w:cs="Arial" w:eastAsia="Arial" w:hAnsi="Arial"/>
          <w:sz w:val="16"/>
          <w:szCs w:val="16"/>
          <w:color w:val="auto"/>
        </w:rPr>
      </w:pPr>
      <w:r>
        <w:rPr>
          <w:rFonts w:ascii="Arial" w:cs="Arial" w:eastAsia="Arial" w:hAnsi="Arial"/>
          <w:sz w:val="16"/>
          <w:szCs w:val="16"/>
          <w:color w:val="auto"/>
        </w:rPr>
        <w:t>Represents amount of offsetting derivative assets that are subject to an enforceable master netting agreement or similar agreement that are not netted against the gross derivative liabilities for presentation on the consolidated statements of financial position.</w:t>
      </w:r>
    </w:p>
    <w:p>
      <w:pPr>
        <w:spacing w:after="0" w:line="71" w:lineRule="exact"/>
        <w:rPr>
          <w:sz w:val="20"/>
          <w:szCs w:val="20"/>
          <w:color w:val="auto"/>
        </w:rPr>
      </w:pPr>
    </w:p>
    <w:p>
      <w:pPr>
        <w:ind w:right="120" w:firstLine="648"/>
        <w:spacing w:after="0" w:line="257" w:lineRule="auto"/>
        <w:rPr>
          <w:sz w:val="20"/>
          <w:szCs w:val="20"/>
          <w:color w:val="auto"/>
        </w:rPr>
      </w:pPr>
      <w:r>
        <w:rPr>
          <w:rFonts w:ascii="Arial" w:cs="Arial" w:eastAsia="Arial" w:hAnsi="Arial"/>
          <w:sz w:val="18"/>
          <w:szCs w:val="18"/>
          <w:color w:val="auto"/>
        </w:rPr>
        <w:t>The financial instruments that are subject to master netting agreements or similar agreements include right of setoff provisions. Derivative instruments include provisions to setoff positions covered under the agreements with the same counterparties and provisions to setoff positions outside of the agreements with the same counterparties in the event of default by one of the parties. Derivative instruments also include collateral or variation margin provisions, which are generally settled daily with each counterparty. See Note 4, Derivative Financial Instruments, for further details.</w:t>
      </w:r>
    </w:p>
    <w:p>
      <w:pPr>
        <w:spacing w:after="0" w:line="188" w:lineRule="exact"/>
        <w:rPr>
          <w:sz w:val="20"/>
          <w:szCs w:val="20"/>
          <w:color w:val="auto"/>
        </w:rPr>
      </w:pPr>
    </w:p>
    <w:p>
      <w:pPr>
        <w:ind w:right="40" w:firstLine="648"/>
        <w:spacing w:after="0" w:line="290" w:lineRule="auto"/>
        <w:rPr>
          <w:sz w:val="20"/>
          <w:szCs w:val="20"/>
          <w:color w:val="auto"/>
        </w:rPr>
      </w:pPr>
      <w:r>
        <w:rPr>
          <w:rFonts w:ascii="Arial" w:cs="Arial" w:eastAsia="Arial" w:hAnsi="Arial"/>
          <w:sz w:val="16"/>
          <w:szCs w:val="16"/>
          <w:color w:val="auto"/>
        </w:rPr>
        <w:t>Repurchase and reverse repurchase agreements include provisions to setoff other repurchase and reverse repurchase balances with the same counterparty. Repurchase and reverse repurchase agreements also include collateral provisions with the counterparties. For reverse repurchase agreements we require the counterparties to pledge collateral with a value greater than the amount of cash transferred. We have the right but do not sell or repledge collateral received in reverse repurchase agreements. Repurchase agreements are structured as secured borrowings for all counterparties. We pledge fixed maturities available-for-sale, which the counterparties have the right to sell or repledge. Interest incurred on repurchase agreements is reported as part of operating expenses on the consolidated statements of operations. Net proceeds related to repurchase agreements are reported as a component of financing activities on the consolidated statements of cash flows. We did not have any outstanding repurchase agreements as of June 30, 2022 and December 31, 2021.</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Derivative Financial Instruments</w:t>
      </w:r>
    </w:p>
    <w:p>
      <w:pPr>
        <w:spacing w:after="0" w:line="229" w:lineRule="exact"/>
        <w:rPr>
          <w:sz w:val="20"/>
          <w:szCs w:val="20"/>
          <w:color w:val="auto"/>
        </w:rPr>
      </w:pPr>
    </w:p>
    <w:p>
      <w:pPr>
        <w:ind w:right="640" w:firstLine="648"/>
        <w:spacing w:after="0" w:line="311" w:lineRule="auto"/>
        <w:rPr>
          <w:sz w:val="20"/>
          <w:szCs w:val="20"/>
          <w:color w:val="auto"/>
        </w:rPr>
      </w:pPr>
      <w:r>
        <w:rPr>
          <w:rFonts w:ascii="Arial" w:cs="Arial" w:eastAsia="Arial" w:hAnsi="Arial"/>
          <w:sz w:val="16"/>
          <w:szCs w:val="16"/>
          <w:color w:val="auto"/>
        </w:rPr>
        <w:t>Derivatives are generally used to hedge or reduce exposure to market risks associated with assets held or expected to be purchased or sold and liabilities incurred or expected to be incurred. Derivatives are used to change the characteristics of our asset/liability mix consistent with our risk management activities. Derivatives are also used in asset replication strategies.</w:t>
      </w:r>
    </w:p>
    <w:p>
      <w:pPr>
        <w:spacing w:after="0" w:line="1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Types of Derivative Instruments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Rate Contracts</w:t>
      </w:r>
    </w:p>
    <w:p>
      <w:pPr>
        <w:spacing w:after="0" w:line="225" w:lineRule="exact"/>
        <w:rPr>
          <w:sz w:val="20"/>
          <w:szCs w:val="20"/>
          <w:color w:val="auto"/>
        </w:rPr>
      </w:pPr>
    </w:p>
    <w:p>
      <w:pPr>
        <w:ind w:right="20" w:firstLine="648"/>
        <w:spacing w:after="0" w:line="257" w:lineRule="auto"/>
        <w:rPr>
          <w:sz w:val="20"/>
          <w:szCs w:val="20"/>
          <w:color w:val="auto"/>
        </w:rPr>
      </w:pPr>
      <w:r>
        <w:rPr>
          <w:rFonts w:ascii="Arial" w:cs="Arial" w:eastAsia="Arial" w:hAnsi="Arial"/>
          <w:sz w:val="18"/>
          <w:szCs w:val="18"/>
          <w:color w:val="auto"/>
        </w:rPr>
        <w:t>Interest rate risk is the risk we will incur economic losses due to adverse changes in interest rates. Sources of interest rate risk include the difference between the maturity and interest rate changes of assets with the liabilities they support, timing differences between the pricing of liabilities and the purchase or procurement of assets and changing cash flow profiles from original projections due to prepayment options embedded within asset and liability contracts. We use various derivatives to manage our exposure to fluctuations in interest rates.</w:t>
      </w: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171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6292215" cy="17145"/>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37" w:name="page38"/>
    <w:bookmarkEnd w:id="37"/>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firstLine="648"/>
        <w:spacing w:after="0" w:line="289" w:lineRule="auto"/>
        <w:rPr>
          <w:sz w:val="20"/>
          <w:szCs w:val="20"/>
          <w:color w:val="auto"/>
        </w:rPr>
      </w:pPr>
      <w:r>
        <w:rPr>
          <w:rFonts w:ascii="Arial" w:cs="Arial" w:eastAsia="Arial" w:hAnsi="Arial"/>
          <w:sz w:val="16"/>
          <w:szCs w:val="16"/>
          <w:color w:val="auto"/>
        </w:rPr>
        <w:t>Interest rate swaps are contracts in which we agree with other parties to exchange, at specified intervals, the difference between fixed rate and/or floating rate interest amounts based upon designated market rates or rate indices and an agreed upon notional principal amount. Generally, no cash is exchanged at the outset of the contract and no principal payments are made by any party. Cash is paid or received based on the terms of the swap. We use interest rate swaps primarily to more closely match the interest rate characteristics of assets and liabilities and to mitigate the risks arising from timing mismatches between assets and liabilities (including duration mismatches). We also use interest rate swaps to hedge against changes in the value of assets we anticipate acquiring and other anticipated transactions and commitments. Interest rate swaps are used to hedge against changes in the value of the guaranteed minimum withdrawal benefit (“GMWB”) liability. The GMWB rider on our variable annuity products provides for guaranteed minimum withdrawal benefits regardless of the actual performance of various equity and/or fixed income funds available with the product.</w:t>
      </w:r>
    </w:p>
    <w:p>
      <w:pPr>
        <w:spacing w:after="0" w:line="166" w:lineRule="exact"/>
        <w:rPr>
          <w:sz w:val="20"/>
          <w:szCs w:val="20"/>
          <w:color w:val="auto"/>
        </w:rPr>
      </w:pPr>
    </w:p>
    <w:p>
      <w:pPr>
        <w:ind w:right="40" w:firstLine="648"/>
        <w:spacing w:after="0" w:line="279" w:lineRule="auto"/>
        <w:rPr>
          <w:sz w:val="20"/>
          <w:szCs w:val="20"/>
          <w:color w:val="auto"/>
        </w:rPr>
      </w:pPr>
      <w:r>
        <w:rPr>
          <w:rFonts w:ascii="Arial" w:cs="Arial" w:eastAsia="Arial" w:hAnsi="Arial"/>
          <w:sz w:val="17"/>
          <w:szCs w:val="17"/>
          <w:color w:val="auto"/>
        </w:rPr>
        <w:t>Interest rate options, including interest rate caps and interest rate floors, which can be combined to form interest rate collars, are contracts that entitle the purchaser to pay or receive the amounts, if any, by which a specified market rate exceeds a cap strike interest rate, or falls below a floor strike interest rate, respectively, at specified dates. We use interest rate options to manage prepayment risks in our assets and minimum guaranteed interest rates and lapse risks in our liabilities.</w:t>
      </w:r>
    </w:p>
    <w:p>
      <w:pPr>
        <w:spacing w:after="0" w:line="171" w:lineRule="exact"/>
        <w:rPr>
          <w:sz w:val="20"/>
          <w:szCs w:val="20"/>
          <w:color w:val="auto"/>
        </w:rPr>
      </w:pPr>
    </w:p>
    <w:p>
      <w:pPr>
        <w:ind w:right="40" w:firstLine="648"/>
        <w:spacing w:after="0" w:line="263" w:lineRule="auto"/>
        <w:rPr>
          <w:sz w:val="20"/>
          <w:szCs w:val="20"/>
          <w:color w:val="auto"/>
        </w:rPr>
      </w:pPr>
      <w:r>
        <w:rPr>
          <w:rFonts w:ascii="Arial" w:cs="Arial" w:eastAsia="Arial" w:hAnsi="Arial"/>
          <w:sz w:val="18"/>
          <w:szCs w:val="18"/>
          <w:color w:val="auto"/>
        </w:rPr>
        <w:t>A swaption is an option to enter into an interest rate swap at a future date. We have purchased swaptions to hedge interest rate exposure for certain assets and liabilities. Swaptions not only hedge against the downside risk, but also allow us to take advantage of any upside benefits.</w:t>
      </w:r>
    </w:p>
    <w:p>
      <w:pPr>
        <w:spacing w:after="0" w:line="184" w:lineRule="exact"/>
        <w:rPr>
          <w:sz w:val="20"/>
          <w:szCs w:val="20"/>
          <w:color w:val="auto"/>
        </w:rPr>
      </w:pPr>
    </w:p>
    <w:p>
      <w:pPr>
        <w:ind w:right="260" w:firstLine="648"/>
        <w:spacing w:after="0" w:line="257" w:lineRule="auto"/>
        <w:rPr>
          <w:sz w:val="20"/>
          <w:szCs w:val="20"/>
          <w:color w:val="auto"/>
        </w:rPr>
      </w:pPr>
      <w:r>
        <w:rPr>
          <w:rFonts w:ascii="Arial" w:cs="Arial" w:eastAsia="Arial" w:hAnsi="Arial"/>
          <w:sz w:val="18"/>
          <w:szCs w:val="18"/>
          <w:color w:val="auto"/>
        </w:rPr>
        <w:t>In exchange-traded futures transactions, we agree to purchase or sell a specified number of contracts, the values of which are determined by the values of designated classes of securities, and to post variation margin on a daily basis in an amount equal to the difference in the daily market values of those contracts. We enter into exchange-traded futures with regulated futures commissions merchants who are members of a trading exchange. We use exchange-traded futures to hedge against changes in value of the GMWB liability.</w:t>
      </w:r>
    </w:p>
    <w:p>
      <w:pPr>
        <w:spacing w:after="0" w:line="188" w:lineRule="exact"/>
        <w:rPr>
          <w:sz w:val="20"/>
          <w:szCs w:val="20"/>
          <w:color w:val="auto"/>
        </w:rPr>
      </w:pPr>
    </w:p>
    <w:p>
      <w:pPr>
        <w:ind w:right="60" w:firstLine="648"/>
        <w:spacing w:after="0" w:line="271" w:lineRule="auto"/>
        <w:rPr>
          <w:sz w:val="20"/>
          <w:szCs w:val="20"/>
          <w:color w:val="auto"/>
        </w:rPr>
      </w:pPr>
      <w:r>
        <w:rPr>
          <w:rFonts w:ascii="Arial" w:cs="Arial" w:eastAsia="Arial" w:hAnsi="Arial"/>
          <w:sz w:val="17"/>
          <w:szCs w:val="17"/>
          <w:color w:val="auto"/>
        </w:rPr>
        <w:t>Interest rate forwards, including to be announced (“TBA”) forwards, bond forwards and treasury forwards, are contracts to take delivery of a fixed income security at a specified price at a future date. TBA forwards deliver government guaranteed mortgage-backed securities. Bond forwards and treasury forwards deliver corporate and U.S. Treasury bonds, respectively. At inception of the TBA and treasury forward contracts we do not intend to take physical delivery. We intend to take delivery of the bond forwards referencing corporate bonds. We have used TBA forwards to gain exposure to the investment risk and return of agency mortgage-backed security pools in order to reduce asset and liability duration mismatch. Treasury forwards are used to hedge against changes in the value of the GMWB liability. Bond forwards are used to gain leverage through synthetic exposure during the forward period and fix the purchase price of a bond at a specified date in future.</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Foreign Exchange Contracts</w:t>
      </w:r>
    </w:p>
    <w:p>
      <w:pPr>
        <w:spacing w:after="0" w:line="225" w:lineRule="exact"/>
        <w:rPr>
          <w:sz w:val="20"/>
          <w:szCs w:val="20"/>
          <w:color w:val="auto"/>
        </w:rPr>
      </w:pPr>
    </w:p>
    <w:p>
      <w:pPr>
        <w:ind w:right="80" w:firstLine="648"/>
        <w:spacing w:after="0" w:line="257" w:lineRule="auto"/>
        <w:rPr>
          <w:sz w:val="20"/>
          <w:szCs w:val="20"/>
          <w:color w:val="auto"/>
        </w:rPr>
      </w:pPr>
      <w:r>
        <w:rPr>
          <w:rFonts w:ascii="Arial" w:cs="Arial" w:eastAsia="Arial" w:hAnsi="Arial"/>
          <w:sz w:val="18"/>
          <w:szCs w:val="18"/>
          <w:color w:val="auto"/>
        </w:rPr>
        <w:t>Foreign currency risk is the risk we will incur economic losses due to adverse fluctuations in foreign currency exchange rates. This risk arises from foreign currency-denominated funding agreements issued to nonqualified institutional investors in the international market, foreign currency-denominated fixed maturity and equity securities, and our international operations, including expected cash flows and potential acquisition and divestiture activity. We use various derivatives to manage our exposure to fluctuations in foreign currency exchange rates.</w:t>
      </w:r>
    </w:p>
    <w:p>
      <w:pPr>
        <w:spacing w:after="0" w:line="188" w:lineRule="exact"/>
        <w:rPr>
          <w:sz w:val="20"/>
          <w:szCs w:val="20"/>
          <w:color w:val="auto"/>
        </w:rPr>
      </w:pPr>
    </w:p>
    <w:p>
      <w:pPr>
        <w:ind w:firstLine="648"/>
        <w:spacing w:after="0" w:line="272" w:lineRule="auto"/>
        <w:rPr>
          <w:sz w:val="20"/>
          <w:szCs w:val="20"/>
          <w:color w:val="auto"/>
        </w:rPr>
      </w:pPr>
      <w:r>
        <w:rPr>
          <w:rFonts w:ascii="Arial" w:cs="Arial" w:eastAsia="Arial" w:hAnsi="Arial"/>
          <w:sz w:val="17"/>
          <w:szCs w:val="17"/>
          <w:color w:val="auto"/>
        </w:rPr>
        <w:t>Currency swaps are contracts in which we agree with other parties to exchange, at specified intervals, a series of principal and interest payments in one currency for that of another currency. Generally, the principal amount of each currency is exchanged at the beginning and termination of the currency swap by each party. The interest payments are primarily fixed-to-fixed rate; however, they may also be fixed-to-floating rate or floating-to-fixed rate. These transactions are entered into pursuant to master agreements that provide for a single net payment to be made by one counterparty for payments made in the same currency at each due date. We use currency swaps to reduce market risks from changes in currency exchange rates with respect to investments or liabilities denominated in foreign currencies that we either hold or intend to acquire or sell.</w:t>
      </w:r>
    </w:p>
    <w:p>
      <w:pPr>
        <w:spacing w:after="0" w:line="39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603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900"/>
          </w:cols>
          <w:pgMar w:left="980" w:top="665" w:right="1019" w:bottom="1440" w:gutter="0" w:footer="0" w:header="0"/>
        </w:sectPr>
      </w:pPr>
    </w:p>
    <w:bookmarkStart w:id="38" w:name="page39"/>
    <w:bookmarkEnd w:id="38"/>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right="60" w:firstLine="648"/>
        <w:spacing w:after="0" w:line="255" w:lineRule="auto"/>
        <w:rPr>
          <w:sz w:val="20"/>
          <w:szCs w:val="20"/>
          <w:color w:val="auto"/>
        </w:rPr>
      </w:pPr>
      <w:r>
        <w:rPr>
          <w:rFonts w:ascii="Arial" w:cs="Arial" w:eastAsia="Arial" w:hAnsi="Arial"/>
          <w:sz w:val="18"/>
          <w:szCs w:val="18"/>
          <w:color w:val="auto"/>
        </w:rPr>
        <w:t>Currency forwards are contracts in which we agree with other parties to deliver or receive a specified amount of an identified currency at a specified future date. Typically, the price is agreed upon at the time of the contract and payment for such a contract is made at the specified future date. We use currency forwards to reduce market risks from changes in currency exchange rates with respect to investments or liabilities denominated in foreign currencies that we either hold or intend to acquire or sell. We use currency forwards to hedge certain foreign-denominated real estate funds in our domestic operations and net equity investments in foreign operations, including certain sponsored investment funds.</w:t>
      </w:r>
    </w:p>
    <w:p>
      <w:pPr>
        <w:spacing w:after="0" w:line="192" w:lineRule="exact"/>
        <w:rPr>
          <w:sz w:val="20"/>
          <w:szCs w:val="20"/>
          <w:color w:val="auto"/>
        </w:rPr>
      </w:pPr>
    </w:p>
    <w:p>
      <w:pPr>
        <w:ind w:right="120" w:firstLine="648"/>
        <w:spacing w:after="0" w:line="255" w:lineRule="auto"/>
        <w:rPr>
          <w:sz w:val="20"/>
          <w:szCs w:val="20"/>
          <w:color w:val="auto"/>
        </w:rPr>
      </w:pPr>
      <w:r>
        <w:rPr>
          <w:rFonts w:ascii="Arial" w:cs="Arial" w:eastAsia="Arial" w:hAnsi="Arial"/>
          <w:sz w:val="18"/>
          <w:szCs w:val="18"/>
          <w:color w:val="auto"/>
        </w:rPr>
        <w:t>Currency options are contracts that give the holder the right, but not the obligation to buy or sell a specified amount of the identified currency within a limited period of time at a contracted price. The contracts are net settled in cash, based on the differential in the current foreign exchange rate and the strike price. Purchased and sold options can be combined to form a foreign currency collar where we receive a payment if the foreign exchange rate is below the purchased option strike price and make a payment if the foreign exchange rate is above the sold option strike price. We have used currency options to hedge expected cash flows from our foreign operations.</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Equity Contracts</w:t>
      </w:r>
    </w:p>
    <w:p>
      <w:pPr>
        <w:spacing w:after="0" w:line="225" w:lineRule="exact"/>
        <w:rPr>
          <w:sz w:val="20"/>
          <w:szCs w:val="20"/>
          <w:color w:val="auto"/>
        </w:rPr>
      </w:pPr>
    </w:p>
    <w:p>
      <w:pPr>
        <w:ind w:right="280" w:firstLine="648"/>
        <w:spacing w:after="0" w:line="263" w:lineRule="auto"/>
        <w:rPr>
          <w:sz w:val="20"/>
          <w:szCs w:val="20"/>
          <w:color w:val="auto"/>
        </w:rPr>
      </w:pPr>
      <w:r>
        <w:rPr>
          <w:rFonts w:ascii="Arial" w:cs="Arial" w:eastAsia="Arial" w:hAnsi="Arial"/>
          <w:sz w:val="18"/>
          <w:szCs w:val="18"/>
          <w:color w:val="auto"/>
        </w:rPr>
        <w:t>Equity risk is the risk that we will incur economic losses due to adverse fluctuations in common stock prices. We use various derivatives to manage our exposure to equity risk, which arises from products in which the return or interest we credit is tied to an external equity index as well as products subject to minimum contractual guarantees.</w:t>
      </w:r>
    </w:p>
    <w:p>
      <w:pPr>
        <w:spacing w:after="0" w:line="184" w:lineRule="exact"/>
        <w:rPr>
          <w:sz w:val="20"/>
          <w:szCs w:val="20"/>
          <w:color w:val="auto"/>
        </w:rPr>
      </w:pPr>
    </w:p>
    <w:p>
      <w:pPr>
        <w:ind w:right="160" w:firstLine="648"/>
        <w:spacing w:after="0" w:line="257" w:lineRule="auto"/>
        <w:rPr>
          <w:sz w:val="20"/>
          <w:szCs w:val="20"/>
          <w:color w:val="auto"/>
        </w:rPr>
      </w:pPr>
      <w:r>
        <w:rPr>
          <w:rFonts w:ascii="Arial" w:cs="Arial" w:eastAsia="Arial" w:hAnsi="Arial"/>
          <w:sz w:val="18"/>
          <w:szCs w:val="18"/>
          <w:color w:val="auto"/>
        </w:rPr>
        <w:t>We purchase equity call spreads (“option collars”) to hedge the equity participation rates promised to contractholders in conjunction with our fixed deferred annuity and universal life products that credit interest based on changes in an external equity index. We use exchange-traded futures and equity put options to hedge against changes in the value of the GMWB liability related to the GMWB rider on our variable annuity product. The premium associated with certain options is paid quarterly over the life of the option contract.</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Credit Contracts</w:t>
      </w:r>
    </w:p>
    <w:p>
      <w:pPr>
        <w:spacing w:after="0" w:line="225" w:lineRule="exact"/>
        <w:rPr>
          <w:sz w:val="20"/>
          <w:szCs w:val="20"/>
          <w:color w:val="auto"/>
        </w:rPr>
      </w:pPr>
    </w:p>
    <w:p>
      <w:pPr>
        <w:ind w:right="160" w:firstLine="648"/>
        <w:spacing w:after="0" w:line="289" w:lineRule="auto"/>
        <w:rPr>
          <w:sz w:val="20"/>
          <w:szCs w:val="20"/>
          <w:color w:val="auto"/>
        </w:rPr>
      </w:pPr>
      <w:r>
        <w:rPr>
          <w:rFonts w:ascii="Arial" w:cs="Arial" w:eastAsia="Arial" w:hAnsi="Arial"/>
          <w:sz w:val="16"/>
          <w:szCs w:val="16"/>
          <w:color w:val="auto"/>
        </w:rPr>
        <w:t>Credit risk relates to the uncertainty associated with the continued ability of a given obligor to make timely payments of principal and interest. We use credit default swaps to enhance the return on our investment portfolio by providing comparable exposure to fixed income securities that might not be available in the primary market. They are also used to hedge credit exposures in our investment portfolio. Credit derivatives are used to sell or buy credit protection on an identified name or names on an unfunded or synthetic basis in return for receiving or paying a quarterly premium. The premium generally corresponds to a referenced name’s credit spread at the time the agreement is executed. In cases where we sell protection, we also buy a quality cash bond to match against the credit default swap, thereby entering into a synthetic transaction replicating a cash security. When selling protection, if there is an event of default by the referenced name, as defined by the agreement, we are obligated to pay the counterparty the referenced amount of the contract and receive in return the referenced security in a principal amount equal to the notional value of the credit default swap.</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Contracts</w:t>
      </w:r>
    </w:p>
    <w:p>
      <w:pPr>
        <w:spacing w:after="0" w:line="225"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b w:val="1"/>
          <w:bCs w:val="1"/>
          <w:i w:val="1"/>
          <w:iCs w:val="1"/>
          <w:color w:val="auto"/>
        </w:rPr>
        <w:t xml:space="preserve">Embedded Derivatives. </w:t>
      </w:r>
      <w:r>
        <w:rPr>
          <w:rFonts w:ascii="Arial" w:cs="Arial" w:eastAsia="Arial" w:hAnsi="Arial"/>
          <w:sz w:val="18"/>
          <w:szCs w:val="18"/>
          <w:color w:val="auto"/>
        </w:rPr>
        <w:t>We purchase or issue certain financial instruments or products that contain a derivative instrument that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is embedded in the financial instrument or product. When it is determined that the embedded derivative possesses economic characteristics that are not clearly or closely related to the economic characteristics of the host contract and a separate instrument with the same terms would qualify as a derivative instrument, the embedded derivative is bifurcated from the host instrument for measurement purposes. The embedded derivative, which is reported with the host instrument in the consolidated statements of financial position, is carried at fair value.</w:t>
      </w:r>
    </w:p>
    <w:p>
      <w:pPr>
        <w:spacing w:after="0" w:line="192" w:lineRule="exact"/>
        <w:rPr>
          <w:sz w:val="20"/>
          <w:szCs w:val="20"/>
          <w:color w:val="auto"/>
        </w:rPr>
      </w:pPr>
    </w:p>
    <w:p>
      <w:pPr>
        <w:ind w:right="440" w:firstLine="648"/>
        <w:spacing w:after="0" w:line="277" w:lineRule="auto"/>
        <w:rPr>
          <w:sz w:val="20"/>
          <w:szCs w:val="20"/>
          <w:color w:val="auto"/>
        </w:rPr>
      </w:pPr>
      <w:r>
        <w:rPr>
          <w:rFonts w:ascii="Arial" w:cs="Arial" w:eastAsia="Arial" w:hAnsi="Arial"/>
          <w:sz w:val="18"/>
          <w:szCs w:val="18"/>
          <w:color w:val="auto"/>
        </w:rPr>
        <w:t>We offer group annuity contracts that have guaranteed separate accounts as an investment option. We also offer funds with embedded fixed rate guarantees as investment options in our defined contribution plans in Hong Kong.</w:t>
      </w:r>
    </w:p>
    <w:p>
      <w:pPr>
        <w:spacing w:after="0" w:line="3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60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39" w:name="page40"/>
    <w:bookmarkEnd w:id="39"/>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right="280" w:firstLine="648"/>
        <w:spacing w:after="0" w:line="257" w:lineRule="auto"/>
        <w:rPr>
          <w:sz w:val="20"/>
          <w:szCs w:val="20"/>
          <w:color w:val="auto"/>
        </w:rPr>
      </w:pPr>
      <w:r>
        <w:rPr>
          <w:rFonts w:ascii="Arial" w:cs="Arial" w:eastAsia="Arial" w:hAnsi="Arial"/>
          <w:sz w:val="18"/>
          <w:szCs w:val="18"/>
          <w:color w:val="auto"/>
        </w:rPr>
        <w:t>We have fixed deferred annuities and universal life products that credit interest based on changes in an external equity index. We also have certain variable annuity products with a GMWB rider, which allows the customer to make withdrawals of a specified annual amount, either for a fixed number of years or for the lifetime of the customer, even if the account value is fully exhausted. Declines in the equity markets may increase our exposure to benefits under contracts with the GMWB. We economically hedge the exposure in these contracts, as previously explained.</w:t>
      </w:r>
    </w:p>
    <w:p>
      <w:pPr>
        <w:spacing w:after="0" w:line="188" w:lineRule="exact"/>
        <w:rPr>
          <w:sz w:val="20"/>
          <w:szCs w:val="20"/>
          <w:color w:val="auto"/>
        </w:rPr>
      </w:pPr>
    </w:p>
    <w:p>
      <w:pPr>
        <w:ind w:right="100" w:firstLine="648"/>
        <w:spacing w:after="0" w:line="263" w:lineRule="auto"/>
        <w:rPr>
          <w:sz w:val="20"/>
          <w:szCs w:val="20"/>
          <w:color w:val="auto"/>
        </w:rPr>
      </w:pPr>
      <w:r>
        <w:rPr>
          <w:rFonts w:ascii="Arial" w:cs="Arial" w:eastAsia="Arial" w:hAnsi="Arial"/>
          <w:sz w:val="18"/>
          <w:szCs w:val="18"/>
          <w:color w:val="auto"/>
        </w:rPr>
        <w:t>We have a funds withheld payable associated with our coinsurance with funds withheld agreement with Talcott Life &amp; Annuity Re. The funds withheld payable has an embedded total return swap as the total return of the funds withheld assets are transferred to Talcott Life &amp; Annuity Re, which is not based on our own creditworthiness.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Exposure</w:t>
      </w:r>
    </w:p>
    <w:p>
      <w:pPr>
        <w:spacing w:after="0" w:line="229" w:lineRule="exact"/>
        <w:rPr>
          <w:sz w:val="20"/>
          <w:szCs w:val="20"/>
          <w:color w:val="auto"/>
        </w:rPr>
      </w:pPr>
    </w:p>
    <w:p>
      <w:pPr>
        <w:ind w:right="80" w:firstLine="648"/>
        <w:spacing w:after="0" w:line="296" w:lineRule="auto"/>
        <w:rPr>
          <w:sz w:val="20"/>
          <w:szCs w:val="20"/>
          <w:color w:val="auto"/>
        </w:rPr>
      </w:pPr>
      <w:r>
        <w:rPr>
          <w:rFonts w:ascii="Arial" w:cs="Arial" w:eastAsia="Arial" w:hAnsi="Arial"/>
          <w:sz w:val="16"/>
          <w:szCs w:val="16"/>
          <w:color w:val="auto"/>
        </w:rPr>
        <w:t>Our risk of loss is typically limited to the fair value of our derivative instruments and not to the notional or contractual amounts of these derivatives. We are also exposed to credit losses in the event of nonperformance of the counterparties. Our current credit exposure is limited to the value of derivatives that have become favorable to us. This credit risk is minimized by purchasing such agreements from financial institutions with high credit ratings and by establishing and monitoring exposure limits. We also utilize various credit enhancements, including collateral and credit triggers to reduce the credit exposure to our derivative instruments.</w:t>
      </w:r>
    </w:p>
    <w:p>
      <w:pPr>
        <w:spacing w:after="0" w:line="161" w:lineRule="exact"/>
        <w:rPr>
          <w:sz w:val="20"/>
          <w:szCs w:val="20"/>
          <w:color w:val="auto"/>
        </w:rPr>
      </w:pPr>
    </w:p>
    <w:p>
      <w:pPr>
        <w:ind w:right="100" w:firstLine="648"/>
        <w:spacing w:after="0" w:line="269" w:lineRule="auto"/>
        <w:rPr>
          <w:sz w:val="20"/>
          <w:szCs w:val="20"/>
          <w:color w:val="auto"/>
        </w:rPr>
      </w:pPr>
      <w:r>
        <w:rPr>
          <w:rFonts w:ascii="Arial" w:cs="Arial" w:eastAsia="Arial" w:hAnsi="Arial"/>
          <w:sz w:val="17"/>
          <w:szCs w:val="17"/>
          <w:color w:val="auto"/>
        </w:rPr>
        <w:t>Derivatives may be exchange-traded or they may be privately negotiated contracts, which are usually referred to as over-the-counter (“OTC”) derivatives. Certain of our OTC derivatives are cleared and settled through central clearing counterparties (“OTC cleared”), while others are bilateral contracts between two counterparties (“bilateral OTC”). Our derivative transactions are generally documented under International Swaps and Derivatives Association, Inc. (“ISDA”) Master Agreements. Management believes that such agreements provide for legally enforceable set-off and close-out netting of exposures to specific counterparties. Under such agreements, in connection with an early termination of a transaction, we are permitted to set off our receivable from a counterparty against our payables to the same counterparty arising out of all included transactions. For reporting purposes, we do not offset fair value amounts of bilateral OTC derivatives for the right to reclaim cash collateral or the obligation to return cash collateral against fair value amounts recognized for derivative instruments executed with the same counterparties under master netting agreements. OTC cleared derivatives have variation margin that is legally characterized as settlement of the derivative exposure, which reduces their fair value in the consolidated statements of financial position.</w:t>
      </w:r>
    </w:p>
    <w:p>
      <w:pPr>
        <w:spacing w:after="0" w:line="182" w:lineRule="exact"/>
        <w:rPr>
          <w:sz w:val="20"/>
          <w:szCs w:val="20"/>
          <w:color w:val="auto"/>
        </w:rPr>
      </w:pPr>
    </w:p>
    <w:p>
      <w:pPr>
        <w:jc w:val="both"/>
        <w:ind w:right="500" w:firstLine="648"/>
        <w:spacing w:after="0" w:line="263" w:lineRule="auto"/>
        <w:rPr>
          <w:sz w:val="20"/>
          <w:szCs w:val="20"/>
          <w:color w:val="auto"/>
        </w:rPr>
      </w:pPr>
      <w:r>
        <w:rPr>
          <w:rFonts w:ascii="Arial" w:cs="Arial" w:eastAsia="Arial" w:hAnsi="Arial"/>
          <w:sz w:val="18"/>
          <w:szCs w:val="18"/>
          <w:color w:val="auto"/>
        </w:rPr>
        <w:t>We posted $653.8 million and $240.8 million in cash and securities under collateral arrangements as of June 30, 2022 and December 31, 2021, respectively, to satisfy collateral and initial margin requirements associated with our derivative credit support agreements and FCM agreements.</w:t>
      </w:r>
    </w:p>
    <w:p>
      <w:pPr>
        <w:spacing w:after="0" w:line="184" w:lineRule="exact"/>
        <w:rPr>
          <w:sz w:val="20"/>
          <w:szCs w:val="20"/>
          <w:color w:val="auto"/>
        </w:rPr>
      </w:pPr>
    </w:p>
    <w:p>
      <w:pPr>
        <w:ind w:firstLine="648"/>
        <w:spacing w:after="0" w:line="287" w:lineRule="auto"/>
        <w:rPr>
          <w:sz w:val="20"/>
          <w:szCs w:val="20"/>
          <w:color w:val="auto"/>
        </w:rPr>
      </w:pPr>
      <w:r>
        <w:rPr>
          <w:rFonts w:ascii="Arial" w:cs="Arial" w:eastAsia="Arial" w:hAnsi="Arial"/>
          <w:sz w:val="16"/>
          <w:szCs w:val="16"/>
          <w:color w:val="auto"/>
        </w:rPr>
        <w:t>Certain of our derivative instruments contain provisions that require us to maintain an investment grade rating from each of the major credit rating agencies on our debt. If the ratings on our debt were to fall below investment grade, it would be in violation of these provisions and the counterparties to the derivative instruments could request immediate payment or demand immediate and ongoing full overnight collateralization on derivative instruments in net liability positions. The aggregate fair value, inclusive of accrued interest, of all derivative instruments with credit-risk-related contingent features that were in a liability position without regard to netting under derivative credit support annex agreements as of June 30, 2022 and December 31, 2021, was $504.9 million and $146.3 million, respectively. Cleared derivatives have contingent features that require us to post excess margin as required by the FCM. The terms surrounding excess margin vary by FCM agreement. With respect to derivatives containing collateral provisions, we posted collateral and initial margin of $653.8 million and $240.8 million as of June 30, 2022 and December 31, 2021, respectively, in the normal course of business, which reflects netting under derivative agreements. If the credit-risk-related contingent features underlying these agreements were triggered on June 30, 2022, we would be required to post an additional $78.7 million of collateral to our counterparties.</w:t>
      </w:r>
    </w:p>
    <w:p>
      <w:pPr>
        <w:spacing w:after="0" w:line="172" w:lineRule="exact"/>
        <w:rPr>
          <w:sz w:val="20"/>
          <w:szCs w:val="20"/>
          <w:color w:val="auto"/>
        </w:rPr>
      </w:pPr>
    </w:p>
    <w:p>
      <w:pPr>
        <w:ind w:right="20" w:firstLine="648"/>
        <w:spacing w:after="0" w:line="263" w:lineRule="auto"/>
        <w:rPr>
          <w:sz w:val="20"/>
          <w:szCs w:val="20"/>
          <w:color w:val="auto"/>
        </w:rPr>
      </w:pPr>
      <w:r>
        <w:rPr>
          <w:rFonts w:ascii="Arial" w:cs="Arial" w:eastAsia="Arial" w:hAnsi="Arial"/>
          <w:sz w:val="18"/>
          <w:szCs w:val="18"/>
          <w:color w:val="auto"/>
        </w:rPr>
        <w:t>As of June 30, 2022 and December 31, 2021, we had received $145.6 million and $214.9 million, respectively, of cash collateral associated with our derivative credit support annex agreements and FCM agreements, for which we recorded a corresponding liability reflecting our obligation to return the collateral.</w:t>
      </w:r>
    </w:p>
    <w:p>
      <w:pPr>
        <w:spacing w:after="0" w:line="40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603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40" w:name="page41"/>
    <w:bookmarkEnd w:id="40"/>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Notional amounts are used to express the extent of our involvement in derivative transactions and represent a standard measurement of the volume of our derivative activity. Notional amounts represent those amounts used to calculate contractual flows to be exchanged and are not paid or received, except for contracts such as currency swaps. Credit exposure represents the gross amount owed to us under derivative contracts as of the valuation date. The notional amounts and credit exposure of our derivative financial instruments by type were as follows:</w:t>
      </w:r>
    </w:p>
    <w:p>
      <w:pPr>
        <w:spacing w:after="0" w:line="193"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4100" w:type="dxa"/>
            <w:vAlign w:val="bottom"/>
          </w:tcPr>
          <w:p>
            <w:pPr>
              <w:spacing w:after="0"/>
              <w:rPr>
                <w:sz w:val="14"/>
                <w:szCs w:val="14"/>
                <w:color w:val="auto"/>
              </w:rPr>
            </w:pPr>
          </w:p>
        </w:tc>
        <w:tc>
          <w:tcPr>
            <w:tcW w:w="282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tcPr>
          <w:p>
            <w:pPr>
              <w:jc w:val="right"/>
              <w:ind w:right="192"/>
              <w:spacing w:after="0"/>
              <w:rPr>
                <w:sz w:val="20"/>
                <w:szCs w:val="20"/>
                <w:color w:val="auto"/>
              </w:rPr>
            </w:pPr>
            <w:r>
              <w:rPr>
                <w:rFonts w:ascii="Arial" w:cs="Arial" w:eastAsia="Arial" w:hAnsi="Arial"/>
                <w:sz w:val="14"/>
                <w:szCs w:val="14"/>
                <w:b w:val="1"/>
                <w:bCs w:val="1"/>
                <w:color w:val="auto"/>
                <w:w w:val="98"/>
              </w:rPr>
              <w:t>June 30, 2022</w:t>
            </w:r>
          </w:p>
        </w:tc>
        <w:tc>
          <w:tcPr>
            <w:tcW w:w="2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280" w:type="dxa"/>
            <w:vAlign w:val="bottom"/>
            <w:tcBorders>
              <w:bottom w:val="single" w:sz="8" w:color="auto"/>
            </w:tcBorders>
          </w:tcPr>
          <w:p>
            <w:pPr>
              <w:jc w:val="right"/>
              <w:ind w:right="31"/>
              <w:spacing w:after="0"/>
              <w:rPr>
                <w:sz w:val="20"/>
                <w:szCs w:val="20"/>
                <w:color w:val="auto"/>
              </w:rPr>
            </w:pPr>
            <w:r>
              <w:rPr>
                <w:rFonts w:ascii="Arial" w:cs="Arial" w:eastAsia="Arial" w:hAnsi="Arial"/>
                <w:sz w:val="14"/>
                <w:szCs w:val="14"/>
                <w:b w:val="1"/>
                <w:bCs w:val="1"/>
                <w:color w:val="auto"/>
                <w:w w:val="90"/>
              </w:rPr>
              <w:t>December 31, 2021</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4100" w:type="dxa"/>
            <w:vAlign w:val="bottom"/>
          </w:tcPr>
          <w:p>
            <w:pPr>
              <w:spacing w:after="0"/>
              <w:rPr>
                <w:sz w:val="11"/>
                <w:szCs w:val="11"/>
                <w:color w:val="auto"/>
              </w:rPr>
            </w:pPr>
          </w:p>
        </w:tc>
        <w:tc>
          <w:tcPr>
            <w:tcW w:w="28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0" w:type="dxa"/>
            <w:vAlign w:val="bottom"/>
            <w:gridSpan w:val="4"/>
          </w:tcPr>
          <w:p>
            <w:pPr>
              <w:jc w:val="right"/>
              <w:ind w:right="1051"/>
              <w:spacing w:after="0" w:line="129" w:lineRule="exact"/>
              <w:rPr>
                <w:sz w:val="20"/>
                <w:szCs w:val="20"/>
                <w:color w:val="auto"/>
              </w:rPr>
            </w:pPr>
            <w:r>
              <w:rPr>
                <w:rFonts w:ascii="Arial" w:cs="Arial" w:eastAsia="Arial" w:hAnsi="Arial"/>
                <w:sz w:val="14"/>
                <w:szCs w:val="14"/>
                <w:i w:val="1"/>
                <w:iCs w:val="1"/>
                <w:color w:val="auto"/>
              </w:rPr>
              <w:t>(in millions)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Notional amounts of derivative instruments</w:t>
            </w:r>
          </w:p>
        </w:tc>
        <w:tc>
          <w:tcPr>
            <w:tcW w:w="28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tcPr>
          <w:p>
            <w:pPr>
              <w:spacing w:after="0"/>
              <w:rPr>
                <w:sz w:val="20"/>
                <w:szCs w:val="20"/>
                <w:color w:val="auto"/>
              </w:rPr>
            </w:pPr>
            <w:r>
              <w:rPr>
                <w:rFonts w:ascii="Arial" w:cs="Arial" w:eastAsia="Arial" w:hAnsi="Arial"/>
                <w:sz w:val="18"/>
                <w:szCs w:val="18"/>
                <w:b w:val="1"/>
                <w:bCs w:val="1"/>
                <w:i w:val="1"/>
                <w:iCs w:val="1"/>
                <w:color w:val="auto"/>
              </w:rPr>
              <w:t>Interest rate contracts:</w:t>
            </w:r>
          </w:p>
        </w:tc>
        <w:tc>
          <w:tcPr>
            <w:tcW w:w="28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shd w:val="clear" w:color="auto" w:fill="CCEEFF"/>
          </w:tcPr>
          <w:p>
            <w:pPr>
              <w:ind w:left="100"/>
              <w:spacing w:after="0"/>
              <w:rPr>
                <w:sz w:val="20"/>
                <w:szCs w:val="20"/>
                <w:color w:val="auto"/>
              </w:rPr>
            </w:pPr>
            <w:r>
              <w:rPr>
                <w:rFonts w:ascii="Arial" w:cs="Arial" w:eastAsia="Arial" w:hAnsi="Arial"/>
                <w:sz w:val="18"/>
                <w:szCs w:val="18"/>
                <w:color w:val="auto"/>
              </w:rPr>
              <w:t>Interest rate swaps</w:t>
            </w:r>
          </w:p>
        </w:tc>
        <w:tc>
          <w:tcPr>
            <w:tcW w:w="300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50,917.9</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47,927.4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tcPr>
          <w:p>
            <w:pPr>
              <w:ind w:left="100"/>
              <w:spacing w:after="0"/>
              <w:rPr>
                <w:sz w:val="20"/>
                <w:szCs w:val="20"/>
                <w:color w:val="auto"/>
              </w:rPr>
            </w:pPr>
            <w:r>
              <w:rPr>
                <w:rFonts w:ascii="Arial" w:cs="Arial" w:eastAsia="Arial" w:hAnsi="Arial"/>
                <w:sz w:val="18"/>
                <w:szCs w:val="18"/>
                <w:color w:val="auto"/>
              </w:rPr>
              <w:t>Interest rate forwards</w:t>
            </w:r>
          </w:p>
        </w:tc>
        <w:tc>
          <w:tcPr>
            <w:tcW w:w="28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b w:val="1"/>
                <w:bCs w:val="1"/>
                <w:color w:val="auto"/>
              </w:rPr>
              <w:t>2,891.1</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2,181.6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shd w:val="clear" w:color="auto" w:fill="CCEEFF"/>
          </w:tcPr>
          <w:p>
            <w:pPr>
              <w:ind w:left="100"/>
              <w:spacing w:after="0"/>
              <w:rPr>
                <w:sz w:val="20"/>
                <w:szCs w:val="20"/>
                <w:color w:val="auto"/>
              </w:rPr>
            </w:pPr>
            <w:r>
              <w:rPr>
                <w:rFonts w:ascii="Arial" w:cs="Arial" w:eastAsia="Arial" w:hAnsi="Arial"/>
                <w:sz w:val="18"/>
                <w:szCs w:val="18"/>
                <w:color w:val="auto"/>
              </w:rPr>
              <w:t>Interest rate options</w:t>
            </w:r>
          </w:p>
        </w:tc>
        <w:tc>
          <w:tcPr>
            <w:tcW w:w="28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2,845.9</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2,373.9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tcPr>
          <w:p>
            <w:pPr>
              <w:ind w:left="100"/>
              <w:spacing w:after="0"/>
              <w:rPr>
                <w:sz w:val="20"/>
                <w:szCs w:val="20"/>
                <w:color w:val="auto"/>
              </w:rPr>
            </w:pPr>
            <w:r>
              <w:rPr>
                <w:rFonts w:ascii="Arial" w:cs="Arial" w:eastAsia="Arial" w:hAnsi="Arial"/>
                <w:sz w:val="18"/>
                <w:szCs w:val="18"/>
                <w:color w:val="auto"/>
              </w:rPr>
              <w:t>Interest rate futures</w:t>
            </w:r>
          </w:p>
        </w:tc>
        <w:tc>
          <w:tcPr>
            <w:tcW w:w="28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b w:val="1"/>
                <w:bCs w:val="1"/>
                <w:color w:val="auto"/>
              </w:rPr>
              <w:t>1,039.5</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1,774.5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shd w:val="clear" w:color="auto" w:fill="CCEEFF"/>
          </w:tcPr>
          <w:p>
            <w:pPr>
              <w:spacing w:after="0"/>
              <w:rPr>
                <w:sz w:val="20"/>
                <w:szCs w:val="20"/>
                <w:color w:val="auto"/>
              </w:rPr>
            </w:pPr>
            <w:r>
              <w:rPr>
                <w:rFonts w:ascii="Arial" w:cs="Arial" w:eastAsia="Arial" w:hAnsi="Arial"/>
                <w:sz w:val="18"/>
                <w:szCs w:val="18"/>
                <w:b w:val="1"/>
                <w:bCs w:val="1"/>
                <w:i w:val="1"/>
                <w:iCs w:val="1"/>
                <w:color w:val="auto"/>
              </w:rPr>
              <w:t>Foreign exchange contracts:</w:t>
            </w:r>
          </w:p>
        </w:tc>
        <w:tc>
          <w:tcPr>
            <w:tcW w:w="28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tcPr>
          <w:p>
            <w:pPr>
              <w:ind w:left="100"/>
              <w:spacing w:after="0"/>
              <w:rPr>
                <w:sz w:val="20"/>
                <w:szCs w:val="20"/>
                <w:color w:val="auto"/>
              </w:rPr>
            </w:pPr>
            <w:r>
              <w:rPr>
                <w:rFonts w:ascii="Arial" w:cs="Arial" w:eastAsia="Arial" w:hAnsi="Arial"/>
                <w:sz w:val="18"/>
                <w:szCs w:val="18"/>
                <w:color w:val="auto"/>
              </w:rPr>
              <w:t>Currency swaps</w:t>
            </w:r>
          </w:p>
        </w:tc>
        <w:tc>
          <w:tcPr>
            <w:tcW w:w="28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b w:val="1"/>
                <w:bCs w:val="1"/>
                <w:color w:val="auto"/>
              </w:rPr>
              <w:t>1,420.0</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1,242.7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shd w:val="clear" w:color="auto" w:fill="CCEEFF"/>
          </w:tcPr>
          <w:p>
            <w:pPr>
              <w:ind w:left="100"/>
              <w:spacing w:after="0"/>
              <w:rPr>
                <w:sz w:val="20"/>
                <w:szCs w:val="20"/>
                <w:color w:val="auto"/>
              </w:rPr>
            </w:pPr>
            <w:r>
              <w:rPr>
                <w:rFonts w:ascii="Arial" w:cs="Arial" w:eastAsia="Arial" w:hAnsi="Arial"/>
                <w:sz w:val="18"/>
                <w:szCs w:val="18"/>
                <w:color w:val="auto"/>
              </w:rPr>
              <w:t>Currency forwards</w:t>
            </w:r>
          </w:p>
        </w:tc>
        <w:tc>
          <w:tcPr>
            <w:tcW w:w="28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1,063.8</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1,043.6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tcPr>
          <w:p>
            <w:pPr>
              <w:spacing w:after="0"/>
              <w:rPr>
                <w:sz w:val="20"/>
                <w:szCs w:val="20"/>
                <w:color w:val="auto"/>
              </w:rPr>
            </w:pPr>
            <w:r>
              <w:rPr>
                <w:rFonts w:ascii="Arial" w:cs="Arial" w:eastAsia="Arial" w:hAnsi="Arial"/>
                <w:sz w:val="18"/>
                <w:szCs w:val="18"/>
                <w:b w:val="1"/>
                <w:bCs w:val="1"/>
                <w:i w:val="1"/>
                <w:iCs w:val="1"/>
                <w:color w:val="auto"/>
              </w:rPr>
              <w:t>Equity contracts:</w:t>
            </w:r>
          </w:p>
        </w:tc>
        <w:tc>
          <w:tcPr>
            <w:tcW w:w="28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shd w:val="clear" w:color="auto" w:fill="CCEEFF"/>
          </w:tcPr>
          <w:p>
            <w:pPr>
              <w:ind w:left="100"/>
              <w:spacing w:after="0"/>
              <w:rPr>
                <w:sz w:val="20"/>
                <w:szCs w:val="20"/>
                <w:color w:val="auto"/>
              </w:rPr>
            </w:pPr>
            <w:r>
              <w:rPr>
                <w:rFonts w:ascii="Arial" w:cs="Arial" w:eastAsia="Arial" w:hAnsi="Arial"/>
                <w:sz w:val="18"/>
                <w:szCs w:val="18"/>
                <w:color w:val="auto"/>
              </w:rPr>
              <w:t>Equity options</w:t>
            </w:r>
          </w:p>
        </w:tc>
        <w:tc>
          <w:tcPr>
            <w:tcW w:w="28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2,319.1</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2,378.2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tcPr>
          <w:p>
            <w:pPr>
              <w:ind w:left="100"/>
              <w:spacing w:after="0"/>
              <w:rPr>
                <w:sz w:val="20"/>
                <w:szCs w:val="20"/>
                <w:color w:val="auto"/>
              </w:rPr>
            </w:pPr>
            <w:r>
              <w:rPr>
                <w:rFonts w:ascii="Arial" w:cs="Arial" w:eastAsia="Arial" w:hAnsi="Arial"/>
                <w:sz w:val="18"/>
                <w:szCs w:val="18"/>
                <w:color w:val="auto"/>
              </w:rPr>
              <w:t>Equity futures</w:t>
            </w:r>
          </w:p>
        </w:tc>
        <w:tc>
          <w:tcPr>
            <w:tcW w:w="28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b w:val="1"/>
                <w:bCs w:val="1"/>
                <w:color w:val="auto"/>
              </w:rPr>
              <w:t>557.1</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150.4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shd w:val="clear" w:color="auto" w:fill="CCEEFF"/>
          </w:tcPr>
          <w:p>
            <w:pPr>
              <w:spacing w:after="0"/>
              <w:rPr>
                <w:sz w:val="20"/>
                <w:szCs w:val="20"/>
                <w:color w:val="auto"/>
              </w:rPr>
            </w:pPr>
            <w:r>
              <w:rPr>
                <w:rFonts w:ascii="Arial" w:cs="Arial" w:eastAsia="Arial" w:hAnsi="Arial"/>
                <w:sz w:val="18"/>
                <w:szCs w:val="18"/>
                <w:b w:val="1"/>
                <w:bCs w:val="1"/>
                <w:i w:val="1"/>
                <w:iCs w:val="1"/>
                <w:color w:val="auto"/>
              </w:rPr>
              <w:t>Credit contracts:</w:t>
            </w:r>
          </w:p>
        </w:tc>
        <w:tc>
          <w:tcPr>
            <w:tcW w:w="28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tcPr>
          <w:p>
            <w:pPr>
              <w:ind w:left="100"/>
              <w:spacing w:after="0"/>
              <w:rPr>
                <w:sz w:val="20"/>
                <w:szCs w:val="20"/>
                <w:color w:val="auto"/>
              </w:rPr>
            </w:pPr>
            <w:r>
              <w:rPr>
                <w:rFonts w:ascii="Arial" w:cs="Arial" w:eastAsia="Arial" w:hAnsi="Arial"/>
                <w:sz w:val="18"/>
                <w:szCs w:val="18"/>
                <w:color w:val="auto"/>
              </w:rPr>
              <w:t>Credit default swaps</w:t>
            </w:r>
          </w:p>
        </w:tc>
        <w:tc>
          <w:tcPr>
            <w:tcW w:w="28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b w:val="1"/>
                <w:bCs w:val="1"/>
                <w:color w:val="auto"/>
              </w:rPr>
              <w:t>400.0</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295.0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shd w:val="clear" w:color="auto" w:fill="CCEEFF"/>
          </w:tcPr>
          <w:p>
            <w:pPr>
              <w:spacing w:after="0"/>
              <w:rPr>
                <w:sz w:val="20"/>
                <w:szCs w:val="20"/>
                <w:color w:val="auto"/>
              </w:rPr>
            </w:pPr>
            <w:r>
              <w:rPr>
                <w:rFonts w:ascii="Arial" w:cs="Arial" w:eastAsia="Arial" w:hAnsi="Arial"/>
                <w:sz w:val="18"/>
                <w:szCs w:val="18"/>
                <w:b w:val="1"/>
                <w:bCs w:val="1"/>
                <w:i w:val="1"/>
                <w:iCs w:val="1"/>
                <w:color w:val="auto"/>
              </w:rPr>
              <w:t>Other contracts:</w:t>
            </w:r>
          </w:p>
        </w:tc>
        <w:tc>
          <w:tcPr>
            <w:tcW w:w="28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tcBorders>
              <w:bottom w:val="single" w:sz="8" w:color="CCEEFF"/>
            </w:tcBorders>
          </w:tcPr>
          <w:p>
            <w:pPr>
              <w:ind w:left="100"/>
              <w:spacing w:after="0"/>
              <w:rPr>
                <w:sz w:val="20"/>
                <w:szCs w:val="20"/>
                <w:color w:val="auto"/>
              </w:rPr>
            </w:pPr>
            <w:r>
              <w:rPr>
                <w:rFonts w:ascii="Arial" w:cs="Arial" w:eastAsia="Arial" w:hAnsi="Arial"/>
                <w:sz w:val="18"/>
                <w:szCs w:val="18"/>
                <w:color w:val="auto"/>
              </w:rPr>
              <w:t>Embedded derivatives</w:t>
            </w:r>
          </w:p>
        </w:tc>
        <w:tc>
          <w:tcPr>
            <w:tcW w:w="282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28,307.8</w:t>
            </w:r>
          </w:p>
        </w:tc>
        <w:tc>
          <w:tcPr>
            <w:tcW w:w="20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10,060.8</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1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notional amounts at end of period</w:t>
            </w:r>
          </w:p>
        </w:tc>
        <w:tc>
          <w:tcPr>
            <w:tcW w:w="282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91,762.2</w:t>
            </w:r>
          </w:p>
        </w:tc>
        <w:tc>
          <w:tcPr>
            <w:tcW w:w="20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69,428.1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100" w:type="dxa"/>
            <w:vAlign w:val="bottom"/>
          </w:tcPr>
          <w:p>
            <w:pPr>
              <w:spacing w:after="0" w:line="20" w:lineRule="exact"/>
              <w:rPr>
                <w:sz w:val="1"/>
                <w:szCs w:val="1"/>
                <w:color w:val="auto"/>
              </w:rPr>
            </w:pPr>
          </w:p>
        </w:tc>
        <w:tc>
          <w:tcPr>
            <w:tcW w:w="28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4100" w:type="dxa"/>
            <w:vAlign w:val="bottom"/>
          </w:tcPr>
          <w:p>
            <w:pPr>
              <w:spacing w:after="0"/>
              <w:rPr>
                <w:sz w:val="17"/>
                <w:szCs w:val="17"/>
                <w:color w:val="auto"/>
              </w:rPr>
            </w:pPr>
          </w:p>
        </w:tc>
        <w:tc>
          <w:tcPr>
            <w:tcW w:w="28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1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Credit exposure of derivative instruments</w:t>
            </w:r>
          </w:p>
        </w:tc>
        <w:tc>
          <w:tcPr>
            <w:tcW w:w="28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tcPr>
          <w:p>
            <w:pPr>
              <w:spacing w:after="0"/>
              <w:rPr>
                <w:sz w:val="20"/>
                <w:szCs w:val="20"/>
                <w:color w:val="auto"/>
              </w:rPr>
            </w:pPr>
            <w:r>
              <w:rPr>
                <w:rFonts w:ascii="Arial" w:cs="Arial" w:eastAsia="Arial" w:hAnsi="Arial"/>
                <w:sz w:val="18"/>
                <w:szCs w:val="18"/>
                <w:b w:val="1"/>
                <w:bCs w:val="1"/>
                <w:i w:val="1"/>
                <w:iCs w:val="1"/>
                <w:color w:val="auto"/>
              </w:rPr>
              <w:t>Interest rate contracts:</w:t>
            </w:r>
          </w:p>
        </w:tc>
        <w:tc>
          <w:tcPr>
            <w:tcW w:w="28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shd w:val="clear" w:color="auto" w:fill="CCEEFF"/>
          </w:tcPr>
          <w:p>
            <w:pPr>
              <w:ind w:left="100"/>
              <w:spacing w:after="0"/>
              <w:rPr>
                <w:sz w:val="20"/>
                <w:szCs w:val="20"/>
                <w:color w:val="auto"/>
              </w:rPr>
            </w:pPr>
            <w:r>
              <w:rPr>
                <w:rFonts w:ascii="Arial" w:cs="Arial" w:eastAsia="Arial" w:hAnsi="Arial"/>
                <w:sz w:val="18"/>
                <w:szCs w:val="18"/>
                <w:color w:val="auto"/>
              </w:rPr>
              <w:t>Interest rate swaps</w:t>
            </w:r>
          </w:p>
        </w:tc>
        <w:tc>
          <w:tcPr>
            <w:tcW w:w="300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83.2</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205.9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tcPr>
          <w:p>
            <w:pPr>
              <w:ind w:left="100"/>
              <w:spacing w:after="0"/>
              <w:rPr>
                <w:sz w:val="20"/>
                <w:szCs w:val="20"/>
                <w:color w:val="auto"/>
              </w:rPr>
            </w:pPr>
            <w:r>
              <w:rPr>
                <w:rFonts w:ascii="Arial" w:cs="Arial" w:eastAsia="Arial" w:hAnsi="Arial"/>
                <w:sz w:val="18"/>
                <w:szCs w:val="18"/>
                <w:color w:val="auto"/>
              </w:rPr>
              <w:t>Interest rate options</w:t>
            </w:r>
          </w:p>
        </w:tc>
        <w:tc>
          <w:tcPr>
            <w:tcW w:w="28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b w:val="1"/>
                <w:bCs w:val="1"/>
                <w:color w:val="auto"/>
              </w:rPr>
              <w:t>25.9</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24.5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shd w:val="clear" w:color="auto" w:fill="CCEEFF"/>
          </w:tcPr>
          <w:p>
            <w:pPr>
              <w:ind w:left="100"/>
              <w:spacing w:after="0"/>
              <w:rPr>
                <w:sz w:val="20"/>
                <w:szCs w:val="20"/>
                <w:color w:val="auto"/>
              </w:rPr>
            </w:pPr>
            <w:r>
              <w:rPr>
                <w:rFonts w:ascii="Arial" w:cs="Arial" w:eastAsia="Arial" w:hAnsi="Arial"/>
                <w:sz w:val="18"/>
                <w:szCs w:val="18"/>
                <w:color w:val="auto"/>
              </w:rPr>
              <w:t>Interest rate forwards</w:t>
            </w:r>
          </w:p>
        </w:tc>
        <w:tc>
          <w:tcPr>
            <w:tcW w:w="28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5.8</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tcPr>
          <w:p>
            <w:pPr>
              <w:spacing w:after="0"/>
              <w:rPr>
                <w:sz w:val="20"/>
                <w:szCs w:val="20"/>
                <w:color w:val="auto"/>
              </w:rPr>
            </w:pPr>
            <w:r>
              <w:rPr>
                <w:rFonts w:ascii="Arial" w:cs="Arial" w:eastAsia="Arial" w:hAnsi="Arial"/>
                <w:sz w:val="18"/>
                <w:szCs w:val="18"/>
                <w:b w:val="1"/>
                <w:bCs w:val="1"/>
                <w:i w:val="1"/>
                <w:iCs w:val="1"/>
                <w:color w:val="auto"/>
              </w:rPr>
              <w:t>Foreign exchange contracts:</w:t>
            </w:r>
          </w:p>
        </w:tc>
        <w:tc>
          <w:tcPr>
            <w:tcW w:w="28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shd w:val="clear" w:color="auto" w:fill="CCEEFF"/>
          </w:tcPr>
          <w:p>
            <w:pPr>
              <w:ind w:left="100"/>
              <w:spacing w:after="0"/>
              <w:rPr>
                <w:sz w:val="20"/>
                <w:szCs w:val="20"/>
                <w:color w:val="auto"/>
              </w:rPr>
            </w:pPr>
            <w:r>
              <w:rPr>
                <w:rFonts w:ascii="Arial" w:cs="Arial" w:eastAsia="Arial" w:hAnsi="Arial"/>
                <w:sz w:val="18"/>
                <w:szCs w:val="18"/>
                <w:color w:val="auto"/>
              </w:rPr>
              <w:t>Currency swaps</w:t>
            </w:r>
          </w:p>
        </w:tc>
        <w:tc>
          <w:tcPr>
            <w:tcW w:w="28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106.2</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tcPr>
          <w:p>
            <w:pPr>
              <w:ind w:left="100"/>
              <w:spacing w:after="0"/>
              <w:rPr>
                <w:sz w:val="20"/>
                <w:szCs w:val="20"/>
                <w:color w:val="auto"/>
              </w:rPr>
            </w:pPr>
            <w:r>
              <w:rPr>
                <w:rFonts w:ascii="Arial" w:cs="Arial" w:eastAsia="Arial" w:hAnsi="Arial"/>
                <w:sz w:val="18"/>
                <w:szCs w:val="18"/>
                <w:color w:val="auto"/>
              </w:rPr>
              <w:t>Currency forwards</w:t>
            </w:r>
          </w:p>
        </w:tc>
        <w:tc>
          <w:tcPr>
            <w:tcW w:w="28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b w:val="1"/>
                <w:bCs w:val="1"/>
                <w:color w:val="auto"/>
              </w:rPr>
              <w:t>20.7</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11.3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shd w:val="clear" w:color="auto" w:fill="CCEEFF"/>
          </w:tcPr>
          <w:p>
            <w:pPr>
              <w:spacing w:after="0"/>
              <w:rPr>
                <w:sz w:val="20"/>
                <w:szCs w:val="20"/>
                <w:color w:val="auto"/>
              </w:rPr>
            </w:pPr>
            <w:r>
              <w:rPr>
                <w:rFonts w:ascii="Arial" w:cs="Arial" w:eastAsia="Arial" w:hAnsi="Arial"/>
                <w:sz w:val="18"/>
                <w:szCs w:val="18"/>
                <w:b w:val="1"/>
                <w:bCs w:val="1"/>
                <w:i w:val="1"/>
                <w:iCs w:val="1"/>
                <w:color w:val="auto"/>
              </w:rPr>
              <w:t>Equity contracts:</w:t>
            </w:r>
          </w:p>
        </w:tc>
        <w:tc>
          <w:tcPr>
            <w:tcW w:w="28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tcPr>
          <w:p>
            <w:pPr>
              <w:ind w:left="100"/>
              <w:spacing w:after="0"/>
              <w:rPr>
                <w:sz w:val="20"/>
                <w:szCs w:val="20"/>
                <w:color w:val="auto"/>
              </w:rPr>
            </w:pPr>
            <w:r>
              <w:rPr>
                <w:rFonts w:ascii="Arial" w:cs="Arial" w:eastAsia="Arial" w:hAnsi="Arial"/>
                <w:sz w:val="18"/>
                <w:szCs w:val="18"/>
                <w:color w:val="auto"/>
              </w:rPr>
              <w:t>Equity options</w:t>
            </w:r>
          </w:p>
        </w:tc>
        <w:tc>
          <w:tcPr>
            <w:tcW w:w="28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b w:val="1"/>
                <w:bCs w:val="1"/>
                <w:color w:val="auto"/>
              </w:rPr>
              <w:t>20.7</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37.3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shd w:val="clear" w:color="auto" w:fill="CCEEFF"/>
          </w:tcPr>
          <w:p>
            <w:pPr>
              <w:spacing w:after="0"/>
              <w:rPr>
                <w:sz w:val="20"/>
                <w:szCs w:val="20"/>
                <w:color w:val="auto"/>
              </w:rPr>
            </w:pPr>
            <w:r>
              <w:rPr>
                <w:rFonts w:ascii="Arial" w:cs="Arial" w:eastAsia="Arial" w:hAnsi="Arial"/>
                <w:sz w:val="18"/>
                <w:szCs w:val="18"/>
                <w:b w:val="1"/>
                <w:bCs w:val="1"/>
                <w:i w:val="1"/>
                <w:iCs w:val="1"/>
                <w:color w:val="auto"/>
              </w:rPr>
              <w:t>Credit contracts:</w:t>
            </w:r>
          </w:p>
        </w:tc>
        <w:tc>
          <w:tcPr>
            <w:tcW w:w="28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tcBorders>
              <w:bottom w:val="single" w:sz="8" w:color="CCEEFF"/>
            </w:tcBorders>
          </w:tcPr>
          <w:p>
            <w:pPr>
              <w:ind w:left="100"/>
              <w:spacing w:after="0"/>
              <w:rPr>
                <w:sz w:val="20"/>
                <w:szCs w:val="20"/>
                <w:color w:val="auto"/>
              </w:rPr>
            </w:pPr>
            <w:r>
              <w:rPr>
                <w:rFonts w:ascii="Arial" w:cs="Arial" w:eastAsia="Arial" w:hAnsi="Arial"/>
                <w:sz w:val="18"/>
                <w:szCs w:val="18"/>
                <w:color w:val="auto"/>
              </w:rPr>
              <w:t>Credit default swaps</w:t>
            </w:r>
          </w:p>
        </w:tc>
        <w:tc>
          <w:tcPr>
            <w:tcW w:w="282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3.0</w:t>
            </w:r>
          </w:p>
        </w:tc>
        <w:tc>
          <w:tcPr>
            <w:tcW w:w="20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100" w:type="dxa"/>
            <w:vAlign w:val="bottom"/>
            <w:shd w:val="clear" w:color="auto" w:fill="CCEEFF"/>
          </w:tcPr>
          <w:p>
            <w:pPr>
              <w:spacing w:after="0"/>
              <w:rPr>
                <w:sz w:val="20"/>
                <w:szCs w:val="20"/>
                <w:color w:val="auto"/>
              </w:rPr>
            </w:pPr>
            <w:r>
              <w:rPr>
                <w:rFonts w:ascii="Arial" w:cs="Arial" w:eastAsia="Arial" w:hAnsi="Arial"/>
                <w:sz w:val="18"/>
                <w:szCs w:val="18"/>
                <w:color w:val="auto"/>
              </w:rPr>
              <w:t>Total gross credit exposure</w:t>
            </w:r>
          </w:p>
        </w:tc>
        <w:tc>
          <w:tcPr>
            <w:tcW w:w="28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265.5</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348.1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Less: collateral received</w:t>
            </w:r>
          </w:p>
        </w:tc>
        <w:tc>
          <w:tcPr>
            <w:tcW w:w="282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160.2</w:t>
            </w:r>
          </w:p>
        </w:tc>
        <w:tc>
          <w:tcPr>
            <w:tcW w:w="20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244.6</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1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credit exposure</w:t>
            </w:r>
          </w:p>
        </w:tc>
        <w:tc>
          <w:tcPr>
            <w:tcW w:w="282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105.3</w:t>
            </w:r>
          </w:p>
        </w:tc>
        <w:tc>
          <w:tcPr>
            <w:tcW w:w="20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103.5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100" w:type="dxa"/>
            <w:vAlign w:val="bottom"/>
          </w:tcPr>
          <w:p>
            <w:pPr>
              <w:spacing w:after="0" w:line="20" w:lineRule="exact"/>
              <w:rPr>
                <w:sz w:val="1"/>
                <w:szCs w:val="1"/>
                <w:color w:val="auto"/>
              </w:rPr>
            </w:pPr>
          </w:p>
        </w:tc>
        <w:tc>
          <w:tcPr>
            <w:tcW w:w="2820" w:type="dxa"/>
            <w:vAlign w:val="bottom"/>
            <w:vMerge w:val="restart"/>
          </w:tcPr>
          <w:p>
            <w:pPr>
              <w:jc w:val="right"/>
              <w:ind w:right="1790"/>
              <w:spacing w:after="0"/>
              <w:rPr>
                <w:sz w:val="20"/>
                <w:szCs w:val="20"/>
                <w:color w:val="auto"/>
              </w:rPr>
            </w:pPr>
            <w:r>
              <w:rPr>
                <w:rFonts w:ascii="Arial" w:cs="Arial" w:eastAsia="Arial" w:hAnsi="Arial"/>
                <w:sz w:val="18"/>
                <w:szCs w:val="18"/>
                <w:color w:val="auto"/>
              </w:rPr>
              <w:t>41</w:t>
            </w:r>
          </w:p>
        </w:tc>
        <w:tc>
          <w:tcPr>
            <w:tcW w:w="1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4"/>
        </w:trPr>
        <w:tc>
          <w:tcPr>
            <w:tcW w:w="20" w:type="dxa"/>
            <w:vAlign w:val="bottom"/>
          </w:tcPr>
          <w:p>
            <w:pPr>
              <w:spacing w:after="0"/>
              <w:rPr>
                <w:sz w:val="24"/>
                <w:szCs w:val="24"/>
                <w:color w:val="auto"/>
              </w:rPr>
            </w:pPr>
          </w:p>
        </w:tc>
        <w:tc>
          <w:tcPr>
            <w:tcW w:w="4100" w:type="dxa"/>
            <w:vAlign w:val="bottom"/>
          </w:tcPr>
          <w:p>
            <w:pPr>
              <w:spacing w:after="0"/>
              <w:rPr>
                <w:sz w:val="24"/>
                <w:szCs w:val="24"/>
                <w:color w:val="auto"/>
              </w:rPr>
            </w:pPr>
          </w:p>
        </w:tc>
        <w:tc>
          <w:tcPr>
            <w:tcW w:w="2820" w:type="dxa"/>
            <w:vAlign w:val="bottom"/>
            <w:vMerge w:val="continue"/>
          </w:tcPr>
          <w:p>
            <w:pPr>
              <w:spacing w:after="0"/>
              <w:rPr>
                <w:sz w:val="24"/>
                <w:szCs w:val="24"/>
                <w:color w:val="auto"/>
              </w:rPr>
            </w:pPr>
          </w:p>
        </w:tc>
        <w:tc>
          <w:tcPr>
            <w:tcW w:w="18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60"/>
        </w:trPr>
        <w:tc>
          <w:tcPr>
            <w:tcW w:w="20" w:type="dxa"/>
            <w:vAlign w:val="bottom"/>
          </w:tcPr>
          <w:p>
            <w:pPr>
              <w:spacing w:after="0"/>
              <w:rPr>
                <w:sz w:val="24"/>
                <w:szCs w:val="24"/>
                <w:color w:val="auto"/>
              </w:rPr>
            </w:pPr>
          </w:p>
        </w:tc>
        <w:tc>
          <w:tcPr>
            <w:tcW w:w="4100" w:type="dxa"/>
            <w:vAlign w:val="bottom"/>
            <w:tcBorders>
              <w:bottom w:val="single" w:sz="8" w:color="auto"/>
            </w:tcBorders>
          </w:tcPr>
          <w:p>
            <w:pPr>
              <w:spacing w:after="0"/>
              <w:rPr>
                <w:sz w:val="24"/>
                <w:szCs w:val="24"/>
                <w:color w:val="auto"/>
              </w:rPr>
            </w:pPr>
          </w:p>
        </w:tc>
        <w:tc>
          <w:tcPr>
            <w:tcW w:w="28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2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920"/>
          </w:cols>
          <w:pgMar w:left="980" w:top="665" w:right="999" w:bottom="1440" w:gutter="0" w:footer="0" w:header="0"/>
        </w:sectPr>
      </w:pPr>
    </w:p>
    <w:bookmarkStart w:id="41" w:name="page42"/>
    <w:bookmarkEnd w:id="41"/>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fair value of our derivative instruments classified as assets and liabilities was as follows: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18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840" w:type="dxa"/>
            <w:vAlign w:val="bottom"/>
            <w:tcBorders>
              <w:bottom w:val="single" w:sz="8" w:color="auto"/>
            </w:tcBorders>
            <w:gridSpan w:val="3"/>
          </w:tcPr>
          <w:p>
            <w:pPr>
              <w:ind w:left="520"/>
              <w:spacing w:after="0"/>
              <w:rPr>
                <w:sz w:val="20"/>
                <w:szCs w:val="20"/>
                <w:color w:val="auto"/>
              </w:rPr>
            </w:pPr>
            <w:r>
              <w:rPr>
                <w:rFonts w:ascii="Arial" w:cs="Arial" w:eastAsia="Arial" w:hAnsi="Arial"/>
                <w:sz w:val="14"/>
                <w:szCs w:val="14"/>
                <w:b w:val="1"/>
                <w:bCs w:val="1"/>
                <w:color w:val="auto"/>
                <w:w w:val="95"/>
              </w:rPr>
              <w:t>Derivative assets (1)</w:t>
            </w:r>
          </w:p>
        </w:tc>
        <w:tc>
          <w:tcPr>
            <w:tcW w:w="560" w:type="dxa"/>
            <w:vAlign w:val="bottom"/>
            <w:tcBorders>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920" w:type="dxa"/>
            <w:vAlign w:val="bottom"/>
            <w:tcBorders>
              <w:bottom w:val="single" w:sz="8" w:color="auto"/>
            </w:tcBorders>
            <w:gridSpan w:val="3"/>
          </w:tcPr>
          <w:p>
            <w:pPr>
              <w:ind w:left="440"/>
              <w:spacing w:after="0"/>
              <w:rPr>
                <w:sz w:val="20"/>
                <w:szCs w:val="20"/>
                <w:color w:val="auto"/>
              </w:rPr>
            </w:pPr>
            <w:r>
              <w:rPr>
                <w:rFonts w:ascii="Arial" w:cs="Arial" w:eastAsia="Arial" w:hAnsi="Arial"/>
                <w:sz w:val="14"/>
                <w:szCs w:val="14"/>
                <w:b w:val="1"/>
                <w:bCs w:val="1"/>
                <w:color w:val="auto"/>
                <w:w w:val="96"/>
              </w:rPr>
              <w:t>Derivative liabilities (2)</w:t>
            </w:r>
          </w:p>
        </w:tc>
        <w:tc>
          <w:tcPr>
            <w:tcW w:w="52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460" w:type="dxa"/>
            <w:vAlign w:val="bottom"/>
          </w:tcPr>
          <w:p>
            <w:pPr>
              <w:spacing w:after="0"/>
              <w:rPr>
                <w:sz w:val="12"/>
                <w:szCs w:val="12"/>
                <w:color w:val="auto"/>
              </w:rPr>
            </w:pPr>
          </w:p>
        </w:tc>
        <w:tc>
          <w:tcPr>
            <w:tcW w:w="18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1040" w:type="dxa"/>
            <w:vAlign w:val="bottom"/>
            <w:tcBorders>
              <w:bottom w:val="single" w:sz="8" w:color="auto"/>
            </w:tcBorders>
          </w:tcPr>
          <w:p>
            <w:pPr>
              <w:jc w:val="right"/>
              <w:ind w:right="73"/>
              <w:spacing w:after="0" w:line="142" w:lineRule="exact"/>
              <w:rPr>
                <w:sz w:val="20"/>
                <w:szCs w:val="20"/>
                <w:color w:val="auto"/>
              </w:rPr>
            </w:pPr>
            <w:r>
              <w:rPr>
                <w:rFonts w:ascii="Arial" w:cs="Arial" w:eastAsia="Arial" w:hAnsi="Arial"/>
                <w:sz w:val="14"/>
                <w:szCs w:val="14"/>
                <w:b w:val="1"/>
                <w:bCs w:val="1"/>
                <w:color w:val="auto"/>
                <w:w w:val="94"/>
              </w:rPr>
              <w:t>June 30, 2022</w:t>
            </w:r>
          </w:p>
        </w:tc>
        <w:tc>
          <w:tcPr>
            <w:tcW w:w="180" w:type="dxa"/>
            <w:vAlign w:val="bottom"/>
          </w:tcPr>
          <w:p>
            <w:pPr>
              <w:spacing w:after="0"/>
              <w:rPr>
                <w:sz w:val="12"/>
                <w:szCs w:val="12"/>
                <w:color w:val="auto"/>
              </w:rPr>
            </w:pPr>
          </w:p>
        </w:tc>
        <w:tc>
          <w:tcPr>
            <w:tcW w:w="1180" w:type="dxa"/>
            <w:vAlign w:val="bottom"/>
            <w:tcBorders>
              <w:bottom w:val="single" w:sz="8" w:color="auto"/>
            </w:tcBorders>
            <w:gridSpan w:val="2"/>
          </w:tcPr>
          <w:p>
            <w:pPr>
              <w:ind w:left="20"/>
              <w:spacing w:after="0" w:line="142" w:lineRule="exact"/>
              <w:rPr>
                <w:sz w:val="20"/>
                <w:szCs w:val="20"/>
                <w:color w:val="auto"/>
              </w:rPr>
            </w:pPr>
            <w:r>
              <w:rPr>
                <w:rFonts w:ascii="Arial" w:cs="Arial" w:eastAsia="Arial" w:hAnsi="Arial"/>
                <w:sz w:val="14"/>
                <w:szCs w:val="14"/>
                <w:b w:val="1"/>
                <w:bCs w:val="1"/>
                <w:color w:val="auto"/>
                <w:w w:val="90"/>
              </w:rPr>
              <w:t>December 31, 2021</w:t>
            </w:r>
          </w:p>
        </w:tc>
        <w:tc>
          <w:tcPr>
            <w:tcW w:w="18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1040" w:type="dxa"/>
            <w:vAlign w:val="bottom"/>
            <w:tcBorders>
              <w:bottom w:val="single" w:sz="8" w:color="auto"/>
            </w:tcBorders>
          </w:tcPr>
          <w:p>
            <w:pPr>
              <w:jc w:val="right"/>
              <w:ind w:right="73"/>
              <w:spacing w:after="0" w:line="142" w:lineRule="exact"/>
              <w:rPr>
                <w:sz w:val="20"/>
                <w:szCs w:val="20"/>
                <w:color w:val="auto"/>
              </w:rPr>
            </w:pPr>
            <w:r>
              <w:rPr>
                <w:rFonts w:ascii="Arial" w:cs="Arial" w:eastAsia="Arial" w:hAnsi="Arial"/>
                <w:sz w:val="14"/>
                <w:szCs w:val="14"/>
                <w:b w:val="1"/>
                <w:bCs w:val="1"/>
                <w:color w:val="auto"/>
                <w:w w:val="94"/>
              </w:rPr>
              <w:t>June 30, 2022</w:t>
            </w:r>
          </w:p>
        </w:tc>
        <w:tc>
          <w:tcPr>
            <w:tcW w:w="200" w:type="dxa"/>
            <w:vAlign w:val="bottom"/>
          </w:tcPr>
          <w:p>
            <w:pPr>
              <w:spacing w:after="0"/>
              <w:rPr>
                <w:sz w:val="12"/>
                <w:szCs w:val="12"/>
                <w:color w:val="auto"/>
              </w:rPr>
            </w:pPr>
          </w:p>
        </w:tc>
        <w:tc>
          <w:tcPr>
            <w:tcW w:w="1200" w:type="dxa"/>
            <w:vAlign w:val="bottom"/>
            <w:tcBorders>
              <w:bottom w:val="single" w:sz="8" w:color="auto"/>
            </w:tcBorders>
            <w:gridSpan w:val="2"/>
          </w:tcPr>
          <w:p>
            <w:pPr>
              <w:ind w:left="20"/>
              <w:spacing w:after="0" w:line="142" w:lineRule="exact"/>
              <w:rPr>
                <w:sz w:val="20"/>
                <w:szCs w:val="20"/>
                <w:color w:val="auto"/>
              </w:rPr>
            </w:pPr>
            <w:r>
              <w:rPr>
                <w:rFonts w:ascii="Arial" w:cs="Arial" w:eastAsia="Arial" w:hAnsi="Arial"/>
                <w:sz w:val="14"/>
                <w:szCs w:val="14"/>
                <w:b w:val="1"/>
                <w:bCs w:val="1"/>
                <w:color w:val="auto"/>
                <w:w w:val="91"/>
              </w:rPr>
              <w:t>December 31, 2021</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2460" w:type="dxa"/>
            <w:vAlign w:val="bottom"/>
          </w:tcPr>
          <w:p>
            <w:pPr>
              <w:spacing w:after="0"/>
              <w:rPr>
                <w:sz w:val="11"/>
                <w:szCs w:val="11"/>
                <w:color w:val="auto"/>
              </w:rPr>
            </w:pPr>
          </w:p>
        </w:tc>
        <w:tc>
          <w:tcPr>
            <w:tcW w:w="18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920" w:type="dxa"/>
            <w:vAlign w:val="bottom"/>
            <w:gridSpan w:val="4"/>
          </w:tcPr>
          <w:p>
            <w:pPr>
              <w:jc w:val="right"/>
              <w:ind w:right="813"/>
              <w:spacing w:after="0" w:line="129" w:lineRule="exact"/>
              <w:rPr>
                <w:sz w:val="20"/>
                <w:szCs w:val="20"/>
                <w:color w:val="auto"/>
              </w:rPr>
            </w:pPr>
            <w:r>
              <w:rPr>
                <w:rFonts w:ascii="Arial" w:cs="Arial" w:eastAsia="Arial" w:hAnsi="Arial"/>
                <w:sz w:val="14"/>
                <w:szCs w:val="14"/>
                <w:i w:val="1"/>
                <w:iCs w:val="1"/>
                <w:color w:val="auto"/>
              </w:rPr>
              <w:t>(in millions)</w:t>
            </w:r>
          </w:p>
        </w:tc>
        <w:tc>
          <w:tcPr>
            <w:tcW w:w="2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Derivatives designated as hedging instruments</w:t>
            </w: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2"/>
          </w:tcPr>
          <w:p>
            <w:pPr>
              <w:spacing w:after="0"/>
              <w:rPr>
                <w:sz w:val="20"/>
                <w:szCs w:val="20"/>
                <w:color w:val="auto"/>
              </w:rPr>
            </w:pPr>
            <w:r>
              <w:rPr>
                <w:rFonts w:ascii="Arial" w:cs="Arial" w:eastAsia="Arial" w:hAnsi="Arial"/>
                <w:sz w:val="18"/>
                <w:szCs w:val="18"/>
                <w:color w:val="auto"/>
              </w:rPr>
              <w:t>Interest rate contracts</w:t>
            </w:r>
          </w:p>
        </w:tc>
        <w:tc>
          <w:tcPr>
            <w:tcW w:w="44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040" w:type="dxa"/>
            <w:vAlign w:val="bottom"/>
          </w:tcPr>
          <w:p>
            <w:pPr>
              <w:jc w:val="right"/>
              <w:spacing w:after="0"/>
              <w:rPr>
                <w:sz w:val="20"/>
                <w:szCs w:val="20"/>
                <w:color w:val="auto"/>
              </w:rPr>
            </w:pPr>
            <w:r>
              <w:rPr>
                <w:rFonts w:ascii="Arial" w:cs="Arial" w:eastAsia="Arial" w:hAnsi="Arial"/>
                <w:sz w:val="18"/>
                <w:szCs w:val="18"/>
                <w:b w:val="1"/>
                <w:bCs w:val="1"/>
                <w:color w:val="auto"/>
              </w:rPr>
              <w:t>16.1</w:t>
            </w:r>
          </w:p>
        </w:tc>
        <w:tc>
          <w:tcPr>
            <w:tcW w:w="80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4.1</w:t>
            </w:r>
          </w:p>
        </w:tc>
        <w:tc>
          <w:tcPr>
            <w:tcW w:w="18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040" w:type="dxa"/>
            <w:vAlign w:val="bottom"/>
          </w:tcPr>
          <w:p>
            <w:pPr>
              <w:jc w:val="right"/>
              <w:spacing w:after="0"/>
              <w:rPr>
                <w:sz w:val="20"/>
                <w:szCs w:val="20"/>
                <w:color w:val="auto"/>
              </w:rPr>
            </w:pPr>
            <w:r>
              <w:rPr>
                <w:rFonts w:ascii="Arial" w:cs="Arial" w:eastAsia="Arial" w:hAnsi="Arial"/>
                <w:sz w:val="18"/>
                <w:szCs w:val="18"/>
                <w:b w:val="1"/>
                <w:bCs w:val="1"/>
                <w:color w:val="auto"/>
              </w:rPr>
              <w:t>108.0</w:t>
            </w:r>
          </w:p>
        </w:tc>
        <w:tc>
          <w:tcPr>
            <w:tcW w:w="200" w:type="dxa"/>
            <w:vAlign w:val="bottom"/>
          </w:tcPr>
          <w:p>
            <w:pPr>
              <w:spacing w:after="0"/>
              <w:rPr>
                <w:sz w:val="18"/>
                <w:szCs w:val="18"/>
                <w:color w:val="auto"/>
              </w:rPr>
            </w:pPr>
          </w:p>
        </w:tc>
        <w:tc>
          <w:tcPr>
            <w:tcW w:w="680" w:type="dxa"/>
            <w:vAlign w:val="bottom"/>
          </w:tcPr>
          <w:p>
            <w:pPr>
              <w:spacing w:after="0"/>
              <w:rPr>
                <w:sz w:val="20"/>
                <w:szCs w:val="20"/>
                <w:color w:val="auto"/>
              </w:rPr>
            </w:pPr>
            <w:r>
              <w:rPr>
                <w:rFonts w:ascii="Arial" w:cs="Arial" w:eastAsia="Arial" w:hAnsi="Arial"/>
                <w:sz w:val="18"/>
                <w:szCs w:val="18"/>
                <w:color w:val="auto"/>
              </w:rPr>
              <w:t>$</w:t>
            </w:r>
          </w:p>
        </w:tc>
        <w:tc>
          <w:tcPr>
            <w:tcW w:w="520" w:type="dxa"/>
            <w:vAlign w:val="bottom"/>
          </w:tcPr>
          <w:p>
            <w:pPr>
              <w:jc w:val="right"/>
              <w:spacing w:after="0"/>
              <w:rPr>
                <w:sz w:val="20"/>
                <w:szCs w:val="20"/>
                <w:color w:val="auto"/>
              </w:rPr>
            </w:pPr>
            <w:r>
              <w:rPr>
                <w:rFonts w:ascii="Arial" w:cs="Arial" w:eastAsia="Arial" w:hAnsi="Arial"/>
                <w:sz w:val="18"/>
                <w:szCs w:val="18"/>
                <w:color w:val="auto"/>
              </w:rPr>
              <w:t>19.0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Foreign exchange contracts</w:t>
            </w:r>
          </w:p>
        </w:tc>
        <w:tc>
          <w:tcPr>
            <w:tcW w:w="30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102.0</w:t>
            </w:r>
          </w:p>
        </w:tc>
        <w:tc>
          <w:tcPr>
            <w:tcW w:w="180" w:type="dxa"/>
            <w:vAlign w:val="bottom"/>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spacing w:after="0"/>
              <w:rPr>
                <w:sz w:val="18"/>
                <w:szCs w:val="18"/>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48.4</w:t>
            </w:r>
          </w:p>
        </w:tc>
        <w:tc>
          <w:tcPr>
            <w:tcW w:w="18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3.0</w:t>
            </w:r>
          </w:p>
        </w:tc>
        <w:tc>
          <w:tcPr>
            <w:tcW w:w="200" w:type="dxa"/>
            <w:vAlign w:val="bottom"/>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spacing w:after="0"/>
              <w:rPr>
                <w:sz w:val="18"/>
                <w:szCs w:val="18"/>
                <w:color w:val="auto"/>
              </w:rPr>
            </w:pPr>
          </w:p>
        </w:tc>
        <w:tc>
          <w:tcPr>
            <w:tcW w:w="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17.6</w:t>
            </w: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4300" w:type="dxa"/>
            <w:vAlign w:val="bottom"/>
            <w:tcBorders>
              <w:bottom w:val="single" w:sz="8" w:color="CCEEFF"/>
            </w:tcBorders>
            <w:gridSpan w:val="2"/>
          </w:tcPr>
          <w:p>
            <w:pPr>
              <w:spacing w:after="0"/>
              <w:rPr>
                <w:sz w:val="20"/>
                <w:szCs w:val="20"/>
                <w:color w:val="auto"/>
              </w:rPr>
            </w:pPr>
            <w:r>
              <w:rPr>
                <w:rFonts w:ascii="Arial" w:cs="Arial" w:eastAsia="Arial" w:hAnsi="Arial"/>
                <w:sz w:val="18"/>
                <w:szCs w:val="18"/>
                <w:color w:val="auto"/>
              </w:rPr>
              <w:t>Total derivatives designated as hedging instruments</w:t>
            </w:r>
          </w:p>
        </w:tc>
        <w:tc>
          <w:tcPr>
            <w:tcW w:w="300" w:type="dxa"/>
            <w:vAlign w:val="bottom"/>
            <w:tcBorders>
              <w:bottom w:val="single" w:sz="8" w:color="CCEEFF"/>
            </w:tcBorders>
          </w:tcPr>
          <w:p>
            <w:pPr>
              <w:spacing w:after="0"/>
              <w:rPr>
                <w:sz w:val="21"/>
                <w:szCs w:val="21"/>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118.1</w:t>
            </w:r>
          </w:p>
        </w:tc>
        <w:tc>
          <w:tcPr>
            <w:tcW w:w="180" w:type="dxa"/>
            <w:vAlign w:val="bottom"/>
            <w:tcBorders>
              <w:bottom w:val="single" w:sz="8" w:color="CCEEFF"/>
            </w:tcBorders>
          </w:tcPr>
          <w:p>
            <w:pPr>
              <w:spacing w:after="0"/>
              <w:rPr>
                <w:sz w:val="21"/>
                <w:szCs w:val="21"/>
                <w:color w:val="auto"/>
              </w:rPr>
            </w:pPr>
          </w:p>
        </w:tc>
        <w:tc>
          <w:tcPr>
            <w:tcW w:w="6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52.5</w:t>
            </w:r>
          </w:p>
        </w:tc>
        <w:tc>
          <w:tcPr>
            <w:tcW w:w="180" w:type="dxa"/>
            <w:vAlign w:val="bottom"/>
            <w:tcBorders>
              <w:bottom w:val="single" w:sz="8" w:color="CCEEFF"/>
            </w:tcBorders>
          </w:tcPr>
          <w:p>
            <w:pPr>
              <w:spacing w:after="0"/>
              <w:rPr>
                <w:sz w:val="21"/>
                <w:szCs w:val="21"/>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111.0</w:t>
            </w:r>
          </w:p>
        </w:tc>
        <w:tc>
          <w:tcPr>
            <w:tcW w:w="200" w:type="dxa"/>
            <w:vAlign w:val="bottom"/>
            <w:tcBorders>
              <w:bottom w:val="single" w:sz="8" w:color="CCEEFF"/>
            </w:tcBorders>
          </w:tcPr>
          <w:p>
            <w:pPr>
              <w:spacing w:after="0"/>
              <w:rPr>
                <w:sz w:val="21"/>
                <w:szCs w:val="21"/>
                <w:color w:val="auto"/>
              </w:rPr>
            </w:pPr>
          </w:p>
        </w:tc>
        <w:tc>
          <w:tcPr>
            <w:tcW w:w="6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36.6</w:t>
            </w:r>
          </w:p>
        </w:tc>
        <w:tc>
          <w:tcPr>
            <w:tcW w:w="0" w:type="dxa"/>
            <w:vAlign w:val="bottom"/>
          </w:tcPr>
          <w:p>
            <w:pPr>
              <w:spacing w:after="0"/>
              <w:rPr>
                <w:sz w:val="1"/>
                <w:szCs w:val="1"/>
                <w:color w:val="auto"/>
              </w:rPr>
            </w:pPr>
          </w:p>
        </w:tc>
      </w:tr>
      <w:tr>
        <w:trPr>
          <w:trHeight w:val="197"/>
        </w:trPr>
        <w:tc>
          <w:tcPr>
            <w:tcW w:w="20" w:type="dxa"/>
            <w:vAlign w:val="bottom"/>
            <w:vMerge w:val="restart"/>
          </w:tcPr>
          <w:p>
            <w:pPr>
              <w:spacing w:after="0"/>
              <w:rPr>
                <w:sz w:val="17"/>
                <w:szCs w:val="17"/>
                <w:color w:val="auto"/>
              </w:rPr>
            </w:pPr>
          </w:p>
        </w:tc>
        <w:tc>
          <w:tcPr>
            <w:tcW w:w="2460" w:type="dxa"/>
            <w:vAlign w:val="bottom"/>
            <w:shd w:val="clear" w:color="auto" w:fill="CCEEFF"/>
          </w:tcPr>
          <w:p>
            <w:pPr>
              <w:spacing w:after="0"/>
              <w:rPr>
                <w:sz w:val="17"/>
                <w:szCs w:val="17"/>
                <w:color w:val="auto"/>
              </w:rPr>
            </w:pPr>
          </w:p>
        </w:tc>
        <w:tc>
          <w:tcPr>
            <w:tcW w:w="18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300" w:type="dxa"/>
            <w:vAlign w:val="bottom"/>
            <w:gridSpan w:val="2"/>
          </w:tcPr>
          <w:p>
            <w:pPr>
              <w:spacing w:after="0"/>
              <w:rPr>
                <w:sz w:val="20"/>
                <w:szCs w:val="20"/>
                <w:color w:val="auto"/>
              </w:rPr>
            </w:pPr>
            <w:r>
              <w:rPr>
                <w:rFonts w:ascii="Arial" w:cs="Arial" w:eastAsia="Arial" w:hAnsi="Arial"/>
                <w:sz w:val="18"/>
                <w:szCs w:val="18"/>
                <w:b w:val="1"/>
                <w:bCs w:val="1"/>
                <w:color w:val="auto"/>
                <w:w w:val="97"/>
              </w:rPr>
              <w:t>Derivatives not designated as hedging instruments</w:t>
            </w: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 rate contracts</w:t>
            </w:r>
          </w:p>
        </w:tc>
        <w:tc>
          <w:tcPr>
            <w:tcW w:w="44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94.7</w:t>
            </w:r>
          </w:p>
        </w:tc>
        <w:tc>
          <w:tcPr>
            <w:tcW w:w="8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233.4</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347.6</w:t>
            </w:r>
          </w:p>
        </w:tc>
        <w:tc>
          <w:tcPr>
            <w:tcW w:w="2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2"/>
          </w:tcPr>
          <w:p>
            <w:pPr>
              <w:spacing w:after="0"/>
              <w:rPr>
                <w:sz w:val="20"/>
                <w:szCs w:val="20"/>
                <w:color w:val="auto"/>
              </w:rPr>
            </w:pPr>
            <w:r>
              <w:rPr>
                <w:rFonts w:ascii="Arial" w:cs="Arial" w:eastAsia="Arial" w:hAnsi="Arial"/>
                <w:sz w:val="18"/>
                <w:szCs w:val="18"/>
                <w:color w:val="auto"/>
              </w:rPr>
              <w:t>Foreign exchange contracts</w:t>
            </w: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b w:val="1"/>
                <w:bCs w:val="1"/>
                <w:color w:val="auto"/>
              </w:rPr>
              <w:t>20.9</w:t>
            </w: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11.3</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b w:val="1"/>
                <w:bCs w:val="1"/>
                <w:color w:val="auto"/>
              </w:rPr>
              <w:t>62.8</w:t>
            </w:r>
          </w:p>
        </w:tc>
        <w:tc>
          <w:tcPr>
            <w:tcW w:w="2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83.3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Equity contracts</w:t>
            </w: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20.8</w:t>
            </w:r>
          </w:p>
        </w:tc>
        <w:tc>
          <w:tcPr>
            <w:tcW w:w="1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37.3</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41.4</w:t>
            </w:r>
          </w:p>
        </w:tc>
        <w:tc>
          <w:tcPr>
            <w:tcW w:w="2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90.9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2"/>
          </w:tcPr>
          <w:p>
            <w:pPr>
              <w:spacing w:after="0"/>
              <w:rPr>
                <w:sz w:val="20"/>
                <w:szCs w:val="20"/>
                <w:color w:val="auto"/>
              </w:rPr>
            </w:pPr>
            <w:r>
              <w:rPr>
                <w:rFonts w:ascii="Arial" w:cs="Arial" w:eastAsia="Arial" w:hAnsi="Arial"/>
                <w:sz w:val="18"/>
                <w:szCs w:val="18"/>
                <w:color w:val="auto"/>
              </w:rPr>
              <w:t>Credit contracts</w:t>
            </w: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b w:val="1"/>
                <w:bCs w:val="1"/>
                <w:color w:val="auto"/>
              </w:rPr>
              <w:t>2.9</w:t>
            </w: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2.6</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b w:val="1"/>
                <w:bCs w:val="1"/>
                <w:color w:val="auto"/>
              </w:rPr>
              <w:t>3.9</w:t>
            </w:r>
          </w:p>
        </w:tc>
        <w:tc>
          <w:tcPr>
            <w:tcW w:w="2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2.2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 contracts</w:t>
            </w: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(2,991.8)</w:t>
            </w:r>
          </w:p>
        </w:tc>
        <w:tc>
          <w:tcPr>
            <w:tcW w:w="68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356.3</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4300" w:type="dxa"/>
            <w:vAlign w:val="bottom"/>
            <w:tcBorders>
              <w:bottom w:val="single" w:sz="8" w:color="CCEEFF"/>
            </w:tcBorders>
            <w:gridSpan w:val="2"/>
          </w:tcPr>
          <w:p>
            <w:pPr>
              <w:spacing w:after="0"/>
              <w:rPr>
                <w:sz w:val="20"/>
                <w:szCs w:val="20"/>
                <w:color w:val="auto"/>
              </w:rPr>
            </w:pPr>
            <w:r>
              <w:rPr>
                <w:rFonts w:ascii="Arial" w:cs="Arial" w:eastAsia="Arial" w:hAnsi="Arial"/>
                <w:sz w:val="18"/>
                <w:szCs w:val="18"/>
                <w:color w:val="auto"/>
                <w:w w:val="96"/>
              </w:rPr>
              <w:t>Total derivatives not designated as hedging instruments</w:t>
            </w:r>
          </w:p>
        </w:tc>
        <w:tc>
          <w:tcPr>
            <w:tcW w:w="300" w:type="dxa"/>
            <w:vAlign w:val="bottom"/>
            <w:tcBorders>
              <w:bottom w:val="single" w:sz="8" w:color="CCEEFF"/>
            </w:tcBorders>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139.3</w:t>
            </w:r>
          </w:p>
        </w:tc>
        <w:tc>
          <w:tcPr>
            <w:tcW w:w="180" w:type="dxa"/>
            <w:vAlign w:val="bottom"/>
            <w:tcBorders>
              <w:bottom w:val="single" w:sz="8" w:color="CCEEFF"/>
            </w:tcBorders>
          </w:tcPr>
          <w:p>
            <w:pPr>
              <w:spacing w:after="0"/>
              <w:rPr>
                <w:sz w:val="18"/>
                <w:szCs w:val="18"/>
                <w:color w:val="auto"/>
              </w:rPr>
            </w:pPr>
          </w:p>
        </w:tc>
        <w:tc>
          <w:tcPr>
            <w:tcW w:w="620" w:type="dxa"/>
            <w:vAlign w:val="bottom"/>
            <w:tcBorders>
              <w:top w:val="single" w:sz="8" w:color="auto"/>
              <w:bottom w:val="single" w:sz="8" w:color="auto"/>
            </w:tcBorders>
          </w:tcPr>
          <w:p>
            <w:pPr>
              <w:spacing w:after="0"/>
              <w:rPr>
                <w:sz w:val="18"/>
                <w:szCs w:val="18"/>
                <w:color w:val="auto"/>
              </w:rPr>
            </w:pP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284.6</w:t>
            </w:r>
          </w:p>
        </w:tc>
        <w:tc>
          <w:tcPr>
            <w:tcW w:w="180" w:type="dxa"/>
            <w:vAlign w:val="bottom"/>
            <w:tcBorders>
              <w:bottom w:val="single" w:sz="8" w:color="CCEEFF"/>
            </w:tcBorders>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(2,536.1)</w:t>
            </w:r>
          </w:p>
        </w:tc>
        <w:tc>
          <w:tcPr>
            <w:tcW w:w="200" w:type="dxa"/>
            <w:vAlign w:val="bottom"/>
            <w:tcBorders>
              <w:bottom w:val="single" w:sz="8" w:color="CCEEFF"/>
            </w:tcBorders>
          </w:tcPr>
          <w:p>
            <w:pPr>
              <w:spacing w:after="0"/>
              <w:rPr>
                <w:sz w:val="18"/>
                <w:szCs w:val="18"/>
                <w:color w:val="auto"/>
              </w:rPr>
            </w:pPr>
          </w:p>
        </w:tc>
        <w:tc>
          <w:tcPr>
            <w:tcW w:w="680" w:type="dxa"/>
            <w:vAlign w:val="bottom"/>
            <w:tcBorders>
              <w:top w:val="single" w:sz="8" w:color="auto"/>
              <w:bottom w:val="single" w:sz="8" w:color="auto"/>
            </w:tcBorders>
          </w:tcPr>
          <w:p>
            <w:pPr>
              <w:spacing w:after="0"/>
              <w:rPr>
                <w:sz w:val="18"/>
                <w:szCs w:val="18"/>
                <w:color w:val="auto"/>
              </w:rPr>
            </w:pP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7"/>
              </w:rPr>
              <w:t>545.7</w:t>
            </w:r>
          </w:p>
        </w:tc>
        <w:tc>
          <w:tcPr>
            <w:tcW w:w="0" w:type="dxa"/>
            <w:vAlign w:val="bottom"/>
          </w:tcPr>
          <w:p>
            <w:pPr>
              <w:spacing w:after="0"/>
              <w:rPr>
                <w:sz w:val="1"/>
                <w:szCs w:val="1"/>
                <w:color w:val="auto"/>
              </w:rPr>
            </w:pPr>
          </w:p>
        </w:tc>
      </w:tr>
      <w:tr>
        <w:trPr>
          <w:trHeight w:val="209"/>
        </w:trPr>
        <w:tc>
          <w:tcPr>
            <w:tcW w:w="20" w:type="dxa"/>
            <w:vAlign w:val="bottom"/>
            <w:vMerge w:val="restart"/>
          </w:tcPr>
          <w:p>
            <w:pPr>
              <w:spacing w:after="0"/>
              <w:rPr>
                <w:sz w:val="18"/>
                <w:szCs w:val="18"/>
                <w:color w:val="auto"/>
              </w:rPr>
            </w:pPr>
          </w:p>
        </w:tc>
        <w:tc>
          <w:tcPr>
            <w:tcW w:w="2460" w:type="dxa"/>
            <w:vAlign w:val="bottom"/>
            <w:shd w:val="clear" w:color="auto" w:fill="CCEEFF"/>
          </w:tcPr>
          <w:p>
            <w:pPr>
              <w:spacing w:after="0"/>
              <w:rPr>
                <w:sz w:val="18"/>
                <w:szCs w:val="18"/>
                <w:color w:val="auto"/>
              </w:rPr>
            </w:pPr>
          </w:p>
        </w:tc>
        <w:tc>
          <w:tcPr>
            <w:tcW w:w="18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300" w:type="dxa"/>
            <w:vAlign w:val="bottom"/>
            <w:gridSpan w:val="2"/>
          </w:tcPr>
          <w:p>
            <w:pPr>
              <w:spacing w:after="0"/>
              <w:rPr>
                <w:sz w:val="20"/>
                <w:szCs w:val="20"/>
                <w:color w:val="auto"/>
              </w:rPr>
            </w:pPr>
            <w:r>
              <w:rPr>
                <w:rFonts w:ascii="Arial" w:cs="Arial" w:eastAsia="Arial" w:hAnsi="Arial"/>
                <w:sz w:val="18"/>
                <w:szCs w:val="18"/>
                <w:color w:val="auto"/>
              </w:rPr>
              <w:t>Total derivative instruments</w:t>
            </w:r>
          </w:p>
        </w:tc>
        <w:tc>
          <w:tcPr>
            <w:tcW w:w="44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040" w:type="dxa"/>
            <w:vAlign w:val="bottom"/>
          </w:tcPr>
          <w:p>
            <w:pPr>
              <w:jc w:val="right"/>
              <w:spacing w:after="0"/>
              <w:rPr>
                <w:sz w:val="20"/>
                <w:szCs w:val="20"/>
                <w:color w:val="auto"/>
              </w:rPr>
            </w:pPr>
            <w:r>
              <w:rPr>
                <w:rFonts w:ascii="Arial" w:cs="Arial" w:eastAsia="Arial" w:hAnsi="Arial"/>
                <w:sz w:val="18"/>
                <w:szCs w:val="18"/>
                <w:b w:val="1"/>
                <w:bCs w:val="1"/>
                <w:color w:val="auto"/>
              </w:rPr>
              <w:t>257.4</w:t>
            </w:r>
          </w:p>
        </w:tc>
        <w:tc>
          <w:tcPr>
            <w:tcW w:w="80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337.1</w:t>
            </w:r>
          </w:p>
        </w:tc>
        <w:tc>
          <w:tcPr>
            <w:tcW w:w="18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24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(2,425.1)</w:t>
            </w:r>
          </w:p>
        </w:tc>
        <w:tc>
          <w:tcPr>
            <w:tcW w:w="680" w:type="dxa"/>
            <w:vAlign w:val="bottom"/>
          </w:tcPr>
          <w:p>
            <w:pPr>
              <w:spacing w:after="0"/>
              <w:rPr>
                <w:sz w:val="20"/>
                <w:szCs w:val="20"/>
                <w:color w:val="auto"/>
              </w:rPr>
            </w:pPr>
            <w:r>
              <w:rPr>
                <w:rFonts w:ascii="Arial" w:cs="Arial" w:eastAsia="Arial" w:hAnsi="Arial"/>
                <w:sz w:val="18"/>
                <w:szCs w:val="18"/>
                <w:color w:val="auto"/>
              </w:rPr>
              <w:t>$</w:t>
            </w:r>
          </w:p>
        </w:tc>
        <w:tc>
          <w:tcPr>
            <w:tcW w:w="520" w:type="dxa"/>
            <w:vAlign w:val="bottom"/>
          </w:tcPr>
          <w:p>
            <w:pPr>
              <w:jc w:val="right"/>
              <w:spacing w:after="0"/>
              <w:rPr>
                <w:sz w:val="20"/>
                <w:szCs w:val="20"/>
                <w:color w:val="auto"/>
              </w:rPr>
            </w:pPr>
            <w:r>
              <w:rPr>
                <w:rFonts w:ascii="Arial" w:cs="Arial" w:eastAsia="Arial" w:hAnsi="Arial"/>
                <w:sz w:val="18"/>
                <w:szCs w:val="18"/>
                <w:color w:val="auto"/>
                <w:w w:val="97"/>
              </w:rPr>
              <w:t>582.3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c>
          <w:tcPr>
            <w:tcW w:w="18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8"/>
        </w:trPr>
        <w:tc>
          <w:tcPr>
            <w:tcW w:w="20" w:type="dxa"/>
            <w:vAlign w:val="bottom"/>
          </w:tcPr>
          <w:p>
            <w:pPr>
              <w:spacing w:after="0"/>
              <w:rPr>
                <w:sz w:val="7"/>
                <w:szCs w:val="7"/>
                <w:color w:val="auto"/>
              </w:rPr>
            </w:pPr>
          </w:p>
        </w:tc>
        <w:tc>
          <w:tcPr>
            <w:tcW w:w="2460" w:type="dxa"/>
            <w:vAlign w:val="bottom"/>
            <w:tcBorders>
              <w:bottom w:val="single" w:sz="8" w:color="auto"/>
            </w:tcBorders>
          </w:tcPr>
          <w:p>
            <w:pPr>
              <w:spacing w:after="0"/>
              <w:rPr>
                <w:sz w:val="7"/>
                <w:szCs w:val="7"/>
                <w:color w:val="auto"/>
              </w:rPr>
            </w:pPr>
          </w:p>
        </w:tc>
        <w:tc>
          <w:tcPr>
            <w:tcW w:w="1840" w:type="dxa"/>
            <w:vAlign w:val="bottom"/>
          </w:tcPr>
          <w:p>
            <w:pPr>
              <w:spacing w:after="0"/>
              <w:rPr>
                <w:sz w:val="7"/>
                <w:szCs w:val="7"/>
                <w:color w:val="auto"/>
              </w:rPr>
            </w:pPr>
          </w:p>
        </w:tc>
        <w:tc>
          <w:tcPr>
            <w:tcW w:w="30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8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18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40" w:type="dxa"/>
            <w:vAlign w:val="bottom"/>
          </w:tcPr>
          <w:p>
            <w:pPr>
              <w:spacing w:after="0"/>
              <w:rPr>
                <w:sz w:val="7"/>
                <w:szCs w:val="7"/>
                <w:color w:val="auto"/>
              </w:rPr>
            </w:pPr>
          </w:p>
        </w:tc>
        <w:tc>
          <w:tcPr>
            <w:tcW w:w="200" w:type="dxa"/>
            <w:vAlign w:val="bottom"/>
          </w:tcPr>
          <w:p>
            <w:pPr>
              <w:spacing w:after="0"/>
              <w:rPr>
                <w:sz w:val="7"/>
                <w:szCs w:val="7"/>
                <w:color w:val="auto"/>
              </w:rPr>
            </w:pPr>
          </w:p>
        </w:tc>
        <w:tc>
          <w:tcPr>
            <w:tcW w:w="680" w:type="dxa"/>
            <w:vAlign w:val="bottom"/>
          </w:tcPr>
          <w:p>
            <w:pPr>
              <w:spacing w:after="0"/>
              <w:rPr>
                <w:sz w:val="7"/>
                <w:szCs w:val="7"/>
                <w:color w:val="auto"/>
              </w:rPr>
            </w:pPr>
          </w:p>
        </w:tc>
        <w:tc>
          <w:tcPr>
            <w:tcW w:w="52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80" w:lineRule="exact"/>
        <w:rPr>
          <w:sz w:val="20"/>
          <w:szCs w:val="20"/>
          <w:color w:val="auto"/>
        </w:rPr>
      </w:pPr>
    </w:p>
    <w:p>
      <w:pPr>
        <w:ind w:left="340" w:hanging="332"/>
        <w:spacing w:after="0"/>
        <w:tabs>
          <w:tab w:leader="none" w:pos="340" w:val="left"/>
        </w:tabs>
        <w:numPr>
          <w:ilvl w:val="0"/>
          <w:numId w:val="17"/>
        </w:numPr>
        <w:rPr>
          <w:rFonts w:ascii="Arial" w:cs="Arial" w:eastAsia="Arial" w:hAnsi="Arial"/>
          <w:sz w:val="17"/>
          <w:szCs w:val="17"/>
          <w:color w:val="auto"/>
        </w:rPr>
      </w:pPr>
      <w:r>
        <w:rPr>
          <w:rFonts w:ascii="Arial" w:cs="Arial" w:eastAsia="Arial" w:hAnsi="Arial"/>
          <w:sz w:val="17"/>
          <w:szCs w:val="17"/>
          <w:color w:val="auto"/>
        </w:rPr>
        <w:t>The fair value of derivative assets is reported with other investments on the consolidated statements of financial position.</w:t>
      </w:r>
    </w:p>
    <w:p>
      <w:pPr>
        <w:spacing w:after="0" w:line="34" w:lineRule="exact"/>
        <w:rPr>
          <w:rFonts w:ascii="Arial" w:cs="Arial" w:eastAsia="Arial" w:hAnsi="Arial"/>
          <w:sz w:val="17"/>
          <w:szCs w:val="17"/>
          <w:color w:val="auto"/>
        </w:rPr>
      </w:pPr>
    </w:p>
    <w:p>
      <w:pPr>
        <w:ind w:left="340" w:right="60" w:hanging="332"/>
        <w:spacing w:after="0" w:line="271" w:lineRule="auto"/>
        <w:tabs>
          <w:tab w:leader="none" w:pos="340" w:val="left"/>
        </w:tabs>
        <w:numPr>
          <w:ilvl w:val="0"/>
          <w:numId w:val="17"/>
        </w:numPr>
        <w:rPr>
          <w:rFonts w:ascii="Arial" w:cs="Arial" w:eastAsia="Arial" w:hAnsi="Arial"/>
          <w:sz w:val="17"/>
          <w:szCs w:val="17"/>
          <w:color w:val="auto"/>
        </w:rPr>
      </w:pPr>
      <w:r>
        <w:rPr>
          <w:rFonts w:ascii="Arial" w:cs="Arial" w:eastAsia="Arial" w:hAnsi="Arial"/>
          <w:sz w:val="17"/>
          <w:szCs w:val="17"/>
          <w:color w:val="auto"/>
        </w:rPr>
        <w:t>The fair value of derivative liabilities is reported with other liabilities on the consolidated statements of financial position, with the exception of certain embedded derivative liabilities. Embedded derivatives with a net liability fair value of $75.5 million and $356.3 million as of June 30, 2022 and December 31, 2021, respectively, are reported with contractholder funds on the consolidated statements of financial position. Embedded derivatives with a net (asset) liability fair value of $(3,067.3) million as of June 30, 2022, are reported with funds withheld payable on the consolidated statements of financial position.</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Credit Derivatives Sold</w:t>
      </w:r>
    </w:p>
    <w:p>
      <w:pPr>
        <w:spacing w:after="0" w:line="229" w:lineRule="exact"/>
        <w:rPr>
          <w:sz w:val="20"/>
          <w:szCs w:val="20"/>
          <w:color w:val="auto"/>
        </w:rPr>
      </w:pPr>
    </w:p>
    <w:p>
      <w:pPr>
        <w:ind w:right="20" w:firstLine="648"/>
        <w:spacing w:after="0" w:line="259" w:lineRule="auto"/>
        <w:rPr>
          <w:sz w:val="20"/>
          <w:szCs w:val="20"/>
          <w:color w:val="auto"/>
        </w:rPr>
      </w:pPr>
      <w:r>
        <w:rPr>
          <w:rFonts w:ascii="Arial" w:cs="Arial" w:eastAsia="Arial" w:hAnsi="Arial"/>
          <w:sz w:val="18"/>
          <w:szCs w:val="18"/>
          <w:color w:val="auto"/>
        </w:rPr>
        <w:t>When we sell credit protection, we are exposed to the underlying credit risk similar to purchasing a fixed maturity security instrument. Our credit derivative contracts sold reference a single name or reference security (referred to as “single name credit default swaps”). These instruments are either referenced in an OTC credit derivative transaction or embedded within an investment structure that has been fully consolidated into our financial statements.</w:t>
      </w:r>
    </w:p>
    <w:p>
      <w:pPr>
        <w:spacing w:after="0" w:line="187" w:lineRule="exact"/>
        <w:rPr>
          <w:sz w:val="20"/>
          <w:szCs w:val="20"/>
          <w:color w:val="auto"/>
        </w:rPr>
      </w:pPr>
    </w:p>
    <w:p>
      <w:pPr>
        <w:ind w:right="220" w:firstLine="648"/>
        <w:spacing w:after="0" w:line="291" w:lineRule="auto"/>
        <w:rPr>
          <w:sz w:val="20"/>
          <w:szCs w:val="20"/>
          <w:color w:val="auto"/>
        </w:rPr>
      </w:pPr>
      <w:r>
        <w:rPr>
          <w:rFonts w:ascii="Arial" w:cs="Arial" w:eastAsia="Arial" w:hAnsi="Arial"/>
          <w:sz w:val="16"/>
          <w:szCs w:val="16"/>
          <w:color w:val="auto"/>
        </w:rPr>
        <w:t>These credit derivative transactions are subject to events of default defined within the terms of the contract, which normally consist of bankruptcy, failure to pay, or modified restructuring of the reference entity and/or issue. If a default event occurs for a reference name or security, we are obligated to pay the counterparty an amount equal to the notional amount of the credit derivative transaction. As a result, our maximum future payment is equal to the notional amount of the credit derivative. In certain cases, we also may have purchased credit protection with identical underlyings to certain of our sold protection transactions. As of June 30, 2022 and December 31, 2021, we did not purchase credit protection relating to our sold protection transactions. In certain circumstances, our potential loss could also be reduced by any amount recovered in the default proceedings of the underlying credit name.</w:t>
      </w: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540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42" w:name="page43"/>
    <w:bookmarkEnd w:id="42"/>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jc w:val="both"/>
        <w:ind w:right="360" w:firstLine="648"/>
        <w:spacing w:after="0" w:line="286" w:lineRule="auto"/>
        <w:rPr>
          <w:sz w:val="20"/>
          <w:szCs w:val="20"/>
          <w:color w:val="auto"/>
        </w:rPr>
      </w:pPr>
      <w:r>
        <w:rPr>
          <w:rFonts w:ascii="Arial" w:cs="Arial" w:eastAsia="Arial" w:hAnsi="Arial"/>
          <w:sz w:val="17"/>
          <w:szCs w:val="17"/>
          <w:color w:val="auto"/>
        </w:rPr>
        <w:t>The following tables show our credit default swap protection sold by types of contract, types of referenced/underlying asset class and external agency rating for the underlying reference security. The maximum future payments are undiscounted and have not been reduced by the effect of any offsetting transactions, collateral or recourse features described above.</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18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100" w:type="dxa"/>
            <w:vAlign w:val="bottom"/>
            <w:tcBorders>
              <w:bottom w:val="single" w:sz="8" w:color="auto"/>
            </w:tcBorders>
            <w:gridSpan w:val="5"/>
          </w:tcPr>
          <w:p>
            <w:pPr>
              <w:jc w:val="right"/>
              <w:ind w:right="677"/>
              <w:spacing w:after="0"/>
              <w:rPr>
                <w:sz w:val="20"/>
                <w:szCs w:val="20"/>
                <w:color w:val="auto"/>
              </w:rPr>
            </w:pPr>
            <w:r>
              <w:rPr>
                <w:rFonts w:ascii="Arial" w:cs="Arial" w:eastAsia="Arial" w:hAnsi="Arial"/>
                <w:sz w:val="14"/>
                <w:szCs w:val="14"/>
                <w:b w:val="1"/>
                <w:bCs w:val="1"/>
                <w:color w:val="auto"/>
              </w:rPr>
              <w:t>June 30, 2022</w:t>
            </w:r>
          </w:p>
        </w:tc>
        <w:tc>
          <w:tcPr>
            <w:tcW w:w="20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4180" w:type="dxa"/>
            <w:vAlign w:val="bottom"/>
          </w:tcPr>
          <w:p>
            <w:pPr>
              <w:spacing w:after="0"/>
              <w:rPr>
                <w:sz w:val="10"/>
                <w:szCs w:val="10"/>
                <w:color w:val="auto"/>
              </w:rPr>
            </w:pPr>
          </w:p>
        </w:tc>
        <w:tc>
          <w:tcPr>
            <w:tcW w:w="12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80" w:type="dxa"/>
            <w:vAlign w:val="bottom"/>
            <w:vMerge w:val="restart"/>
          </w:tcPr>
          <w:p>
            <w:pPr>
              <w:jc w:val="center"/>
              <w:ind w:right="77"/>
              <w:spacing w:after="0"/>
              <w:rPr>
                <w:sz w:val="20"/>
                <w:szCs w:val="20"/>
                <w:color w:val="auto"/>
              </w:rPr>
            </w:pPr>
            <w:r>
              <w:rPr>
                <w:rFonts w:ascii="Arial" w:cs="Arial" w:eastAsia="Arial" w:hAnsi="Arial"/>
                <w:sz w:val="14"/>
                <w:szCs w:val="14"/>
                <w:b w:val="1"/>
                <w:bCs w:val="1"/>
                <w:color w:val="auto"/>
                <w:w w:val="99"/>
              </w:rPr>
              <w:t>Maximum</w:t>
            </w:r>
          </w:p>
        </w:tc>
        <w:tc>
          <w:tcPr>
            <w:tcW w:w="200" w:type="dxa"/>
            <w:vAlign w:val="bottom"/>
          </w:tcPr>
          <w:p>
            <w:pPr>
              <w:spacing w:after="0"/>
              <w:rPr>
                <w:sz w:val="10"/>
                <w:szCs w:val="10"/>
                <w:color w:val="auto"/>
              </w:rPr>
            </w:pPr>
          </w:p>
        </w:tc>
        <w:tc>
          <w:tcPr>
            <w:tcW w:w="860" w:type="dxa"/>
            <w:vAlign w:val="bottom"/>
          </w:tcPr>
          <w:p>
            <w:pPr>
              <w:jc w:val="center"/>
              <w:spacing w:after="0" w:line="119" w:lineRule="exact"/>
              <w:rPr>
                <w:sz w:val="20"/>
                <w:szCs w:val="20"/>
                <w:color w:val="auto"/>
              </w:rPr>
            </w:pPr>
            <w:r>
              <w:rPr>
                <w:rFonts w:ascii="Arial" w:cs="Arial" w:eastAsia="Arial" w:hAnsi="Arial"/>
                <w:sz w:val="13"/>
                <w:szCs w:val="13"/>
                <w:b w:val="1"/>
                <w:bCs w:val="1"/>
                <w:color w:val="auto"/>
                <w:w w:val="99"/>
              </w:rPr>
              <w:t>Weighted</w:t>
            </w:r>
          </w:p>
        </w:tc>
        <w:tc>
          <w:tcPr>
            <w:tcW w:w="0" w:type="dxa"/>
            <w:vAlign w:val="bottom"/>
          </w:tcPr>
          <w:p>
            <w:pPr>
              <w:spacing w:after="0"/>
              <w:rPr>
                <w:sz w:val="1"/>
                <w:szCs w:val="1"/>
                <w:color w:val="auto"/>
              </w:rPr>
            </w:pPr>
          </w:p>
        </w:tc>
      </w:tr>
      <w:tr>
        <w:trPr>
          <w:trHeight w:val="148"/>
        </w:trPr>
        <w:tc>
          <w:tcPr>
            <w:tcW w:w="418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40" w:type="dxa"/>
            <w:vAlign w:val="bottom"/>
            <w:gridSpan w:val="2"/>
            <w:vMerge w:val="restart"/>
          </w:tcPr>
          <w:p>
            <w:pPr>
              <w:jc w:val="center"/>
              <w:ind w:right="380"/>
              <w:spacing w:after="0"/>
              <w:rPr>
                <w:sz w:val="20"/>
                <w:szCs w:val="20"/>
                <w:color w:val="auto"/>
              </w:rPr>
            </w:pPr>
            <w:r>
              <w:rPr>
                <w:rFonts w:ascii="Arial" w:cs="Arial" w:eastAsia="Arial" w:hAnsi="Arial"/>
                <w:sz w:val="14"/>
                <w:szCs w:val="14"/>
                <w:b w:val="1"/>
                <w:bCs w:val="1"/>
                <w:color w:val="auto"/>
                <w:w w:val="96"/>
              </w:rPr>
              <w:t>Notional</w:t>
            </w:r>
          </w:p>
        </w:tc>
        <w:tc>
          <w:tcPr>
            <w:tcW w:w="120" w:type="dxa"/>
            <w:vAlign w:val="bottom"/>
          </w:tcPr>
          <w:p>
            <w:pPr>
              <w:spacing w:after="0"/>
              <w:rPr>
                <w:sz w:val="12"/>
                <w:szCs w:val="12"/>
                <w:color w:val="auto"/>
              </w:rPr>
            </w:pPr>
          </w:p>
        </w:tc>
        <w:tc>
          <w:tcPr>
            <w:tcW w:w="1080" w:type="dxa"/>
            <w:vAlign w:val="bottom"/>
            <w:gridSpan w:val="2"/>
            <w:vMerge w:val="restart"/>
          </w:tcPr>
          <w:p>
            <w:pPr>
              <w:jc w:val="center"/>
              <w:ind w:right="340"/>
              <w:spacing w:after="0"/>
              <w:rPr>
                <w:sz w:val="20"/>
                <w:szCs w:val="20"/>
                <w:color w:val="auto"/>
              </w:rPr>
            </w:pPr>
            <w:r>
              <w:rPr>
                <w:rFonts w:ascii="Arial" w:cs="Arial" w:eastAsia="Arial" w:hAnsi="Arial"/>
                <w:sz w:val="14"/>
                <w:szCs w:val="14"/>
                <w:b w:val="1"/>
                <w:bCs w:val="1"/>
                <w:color w:val="auto"/>
              </w:rPr>
              <w:t>Fair</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vMerge w:val="continue"/>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48"/>
        </w:trPr>
        <w:tc>
          <w:tcPr>
            <w:tcW w:w="418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4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gridSpan w:val="2"/>
            <w:vMerge w:val="continue"/>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tcPr>
          <w:p>
            <w:pPr>
              <w:jc w:val="center"/>
              <w:ind w:right="57"/>
              <w:spacing w:after="0" w:line="149" w:lineRule="exact"/>
              <w:rPr>
                <w:sz w:val="20"/>
                <w:szCs w:val="20"/>
                <w:color w:val="auto"/>
              </w:rPr>
            </w:pPr>
            <w:r>
              <w:rPr>
                <w:rFonts w:ascii="Arial" w:cs="Arial" w:eastAsia="Arial" w:hAnsi="Arial"/>
                <w:sz w:val="14"/>
                <w:szCs w:val="14"/>
                <w:b w:val="1"/>
                <w:bCs w:val="1"/>
                <w:color w:val="auto"/>
                <w:w w:val="95"/>
              </w:rPr>
              <w:t>future</w:t>
            </w:r>
          </w:p>
        </w:tc>
        <w:tc>
          <w:tcPr>
            <w:tcW w:w="200" w:type="dxa"/>
            <w:vAlign w:val="bottom"/>
          </w:tcPr>
          <w:p>
            <w:pPr>
              <w:spacing w:after="0"/>
              <w:rPr>
                <w:sz w:val="12"/>
                <w:szCs w:val="12"/>
                <w:color w:val="auto"/>
              </w:rPr>
            </w:pPr>
          </w:p>
        </w:tc>
        <w:tc>
          <w:tcPr>
            <w:tcW w:w="8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expected life</w:t>
            </w:r>
          </w:p>
        </w:tc>
        <w:tc>
          <w:tcPr>
            <w:tcW w:w="0" w:type="dxa"/>
            <w:vAlign w:val="bottom"/>
          </w:tcPr>
          <w:p>
            <w:pPr>
              <w:spacing w:after="0"/>
              <w:rPr>
                <w:sz w:val="1"/>
                <w:szCs w:val="1"/>
                <w:color w:val="auto"/>
              </w:rPr>
            </w:pPr>
          </w:p>
        </w:tc>
      </w:tr>
      <w:tr>
        <w:trPr>
          <w:trHeight w:val="171"/>
        </w:trPr>
        <w:tc>
          <w:tcPr>
            <w:tcW w:w="418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4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0"/>
              </w:rPr>
              <w:t>amount</w:t>
            </w:r>
          </w:p>
        </w:tc>
        <w:tc>
          <w:tcPr>
            <w:tcW w:w="120" w:type="dxa"/>
            <w:vAlign w:val="bottom"/>
          </w:tcPr>
          <w:p>
            <w:pPr>
              <w:spacing w:after="0"/>
              <w:rPr>
                <w:sz w:val="14"/>
                <w:szCs w:val="14"/>
                <w:color w:val="auto"/>
              </w:rPr>
            </w:pPr>
          </w:p>
        </w:tc>
        <w:tc>
          <w:tcPr>
            <w:tcW w:w="108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4"/>
              </w:rPr>
              <w:t>value</w:t>
            </w: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80" w:type="dxa"/>
            <w:vAlign w:val="bottom"/>
          </w:tcPr>
          <w:p>
            <w:pPr>
              <w:jc w:val="center"/>
              <w:ind w:right="57"/>
              <w:spacing w:after="0"/>
              <w:rPr>
                <w:sz w:val="20"/>
                <w:szCs w:val="20"/>
                <w:color w:val="auto"/>
              </w:rPr>
            </w:pPr>
            <w:r>
              <w:rPr>
                <w:rFonts w:ascii="Arial" w:cs="Arial" w:eastAsia="Arial" w:hAnsi="Arial"/>
                <w:sz w:val="14"/>
                <w:szCs w:val="14"/>
                <w:b w:val="1"/>
                <w:bCs w:val="1"/>
                <w:color w:val="auto"/>
                <w:w w:val="88"/>
              </w:rPr>
              <w:t>payments</w:t>
            </w:r>
          </w:p>
        </w:tc>
        <w:tc>
          <w:tcPr>
            <w:tcW w:w="200" w:type="dxa"/>
            <w:vAlign w:val="bottom"/>
          </w:tcPr>
          <w:p>
            <w:pPr>
              <w:spacing w:after="0"/>
              <w:rPr>
                <w:sz w:val="14"/>
                <w:szCs w:val="14"/>
                <w:color w:val="auto"/>
              </w:rPr>
            </w:pPr>
          </w:p>
        </w:tc>
        <w:tc>
          <w:tcPr>
            <w:tcW w:w="860" w:type="dxa"/>
            <w:vAlign w:val="bottom"/>
          </w:tcPr>
          <w:p>
            <w:pPr>
              <w:jc w:val="center"/>
              <w:spacing w:after="0"/>
              <w:rPr>
                <w:sz w:val="20"/>
                <w:szCs w:val="20"/>
                <w:color w:val="auto"/>
              </w:rPr>
            </w:pPr>
            <w:r>
              <w:rPr>
                <w:rFonts w:ascii="Arial" w:cs="Arial" w:eastAsia="Arial" w:hAnsi="Arial"/>
                <w:sz w:val="14"/>
                <w:szCs w:val="14"/>
                <w:b w:val="1"/>
                <w:bCs w:val="1"/>
                <w:color w:val="auto"/>
                <w:w w:val="93"/>
              </w:rPr>
              <w:t>(in years)</w:t>
            </w:r>
          </w:p>
        </w:tc>
        <w:tc>
          <w:tcPr>
            <w:tcW w:w="0" w:type="dxa"/>
            <w:vAlign w:val="bottom"/>
          </w:tcPr>
          <w:p>
            <w:pPr>
              <w:spacing w:after="0"/>
              <w:rPr>
                <w:sz w:val="1"/>
                <w:szCs w:val="1"/>
                <w:color w:val="auto"/>
              </w:rPr>
            </w:pPr>
          </w:p>
        </w:tc>
      </w:tr>
      <w:tr>
        <w:trPr>
          <w:trHeight w:val="128"/>
        </w:trPr>
        <w:tc>
          <w:tcPr>
            <w:tcW w:w="41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820" w:type="dxa"/>
            <w:vAlign w:val="bottom"/>
            <w:tcBorders>
              <w:top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86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i w:val="1"/>
                <w:iCs w:val="1"/>
                <w:color w:val="auto"/>
                <w:w w:val="98"/>
              </w:rPr>
              <w:t>(in millions)</w:t>
            </w:r>
          </w:p>
        </w:tc>
        <w:tc>
          <w:tcPr>
            <w:tcW w:w="2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880" w:type="dxa"/>
            <w:vAlign w:val="bottom"/>
            <w:tcBorders>
              <w:top w:val="single" w:sz="8" w:color="auto"/>
            </w:tcBorders>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Borders>
              <w:top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41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Single name credit default swaps</w:t>
            </w:r>
          </w:p>
        </w:tc>
        <w:tc>
          <w:tcPr>
            <w:tcW w:w="1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80" w:type="dxa"/>
            <w:vAlign w:val="bottom"/>
          </w:tcPr>
          <w:p>
            <w:pPr>
              <w:ind w:left="120"/>
              <w:spacing w:after="0"/>
              <w:rPr>
                <w:sz w:val="20"/>
                <w:szCs w:val="20"/>
                <w:color w:val="auto"/>
              </w:rPr>
            </w:pPr>
            <w:r>
              <w:rPr>
                <w:rFonts w:ascii="Arial" w:cs="Arial" w:eastAsia="Arial" w:hAnsi="Arial"/>
                <w:sz w:val="18"/>
                <w:szCs w:val="18"/>
                <w:color w:val="auto"/>
              </w:rPr>
              <w:t>Corporate debt</w:t>
            </w:r>
          </w:p>
        </w:tc>
        <w:tc>
          <w:tcPr>
            <w:tcW w:w="1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A</w:t>
            </w:r>
          </w:p>
        </w:tc>
        <w:tc>
          <w:tcPr>
            <w:tcW w:w="1420" w:type="dxa"/>
            <w:vAlign w:val="bottom"/>
            <w:gridSpan w:val="2"/>
            <w:shd w:val="clear" w:color="auto" w:fill="CCEEFF"/>
          </w:tcPr>
          <w:p>
            <w:pPr>
              <w:jc w:val="right"/>
              <w:ind w:right="7"/>
              <w:spacing w:after="0"/>
              <w:rPr>
                <w:sz w:val="20"/>
                <w:szCs w:val="20"/>
                <w:color w:val="auto"/>
              </w:rPr>
            </w:pPr>
            <w:r>
              <w:rPr>
                <w:rFonts w:ascii="Arial" w:cs="Arial" w:eastAsia="Arial" w:hAnsi="Arial"/>
                <w:sz w:val="18"/>
                <w:szCs w:val="18"/>
                <w:b w:val="1"/>
                <w:bCs w:val="1"/>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50.0</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(0.1)</w:t>
            </w:r>
          </w:p>
        </w:tc>
        <w:tc>
          <w:tcPr>
            <w:tcW w:w="140" w:type="dxa"/>
            <w:vAlign w:val="bottom"/>
            <w:gridSpan w:val="2"/>
            <w:shd w:val="clear" w:color="auto" w:fill="CCEEFF"/>
          </w:tcPr>
          <w:p>
            <w:pPr>
              <w:jc w:val="right"/>
              <w:ind w:right="9"/>
              <w:spacing w:after="0"/>
              <w:rPr>
                <w:sz w:val="20"/>
                <w:szCs w:val="20"/>
                <w:color w:val="auto"/>
              </w:rPr>
            </w:pPr>
            <w:r>
              <w:rPr>
                <w:rFonts w:ascii="Arial" w:cs="Arial" w:eastAsia="Arial" w:hAnsi="Arial"/>
                <w:sz w:val="15"/>
                <w:szCs w:val="15"/>
                <w:b w:val="1"/>
                <w:bCs w:val="1"/>
                <w:color w:val="auto"/>
                <w:w w:val="71"/>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50.0</w:t>
            </w:r>
          </w:p>
        </w:tc>
        <w:tc>
          <w:tcPr>
            <w:tcW w:w="10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3.3</w:t>
            </w:r>
          </w:p>
        </w:tc>
        <w:tc>
          <w:tcPr>
            <w:tcW w:w="0" w:type="dxa"/>
            <w:vAlign w:val="bottom"/>
          </w:tcPr>
          <w:p>
            <w:pPr>
              <w:spacing w:after="0"/>
              <w:rPr>
                <w:sz w:val="1"/>
                <w:szCs w:val="1"/>
                <w:color w:val="auto"/>
              </w:rPr>
            </w:pPr>
          </w:p>
        </w:tc>
      </w:tr>
      <w:tr>
        <w:trPr>
          <w:trHeight w:val="216"/>
        </w:trPr>
        <w:tc>
          <w:tcPr>
            <w:tcW w:w="4180" w:type="dxa"/>
            <w:vAlign w:val="bottom"/>
          </w:tcPr>
          <w:p>
            <w:pPr>
              <w:ind w:left="220"/>
              <w:spacing w:after="0"/>
              <w:rPr>
                <w:sz w:val="20"/>
                <w:szCs w:val="20"/>
                <w:color w:val="auto"/>
              </w:rPr>
            </w:pPr>
            <w:r>
              <w:rPr>
                <w:rFonts w:ascii="Arial" w:cs="Arial" w:eastAsia="Arial" w:hAnsi="Arial"/>
                <w:sz w:val="18"/>
                <w:szCs w:val="18"/>
                <w:color w:val="auto"/>
              </w:rPr>
              <w:t>BBB</w:t>
            </w:r>
          </w:p>
        </w:tc>
        <w:tc>
          <w:tcPr>
            <w:tcW w:w="1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b w:val="1"/>
                <w:bCs w:val="1"/>
                <w:color w:val="auto"/>
              </w:rPr>
              <w:t>180.0</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1.1</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b w:val="1"/>
                <w:bCs w:val="1"/>
                <w:color w:val="auto"/>
              </w:rPr>
              <w:t>180.0</w:t>
            </w:r>
          </w:p>
        </w:tc>
        <w:tc>
          <w:tcPr>
            <w:tcW w:w="1060" w:type="dxa"/>
            <w:vAlign w:val="bottom"/>
            <w:gridSpan w:val="2"/>
          </w:tcPr>
          <w:p>
            <w:pPr>
              <w:jc w:val="right"/>
              <w:spacing w:after="0"/>
              <w:rPr>
                <w:sz w:val="20"/>
                <w:szCs w:val="20"/>
                <w:color w:val="auto"/>
              </w:rPr>
            </w:pPr>
            <w:r>
              <w:rPr>
                <w:rFonts w:ascii="Arial" w:cs="Arial" w:eastAsia="Arial" w:hAnsi="Arial"/>
                <w:sz w:val="18"/>
                <w:szCs w:val="18"/>
                <w:b w:val="1"/>
                <w:bCs w:val="1"/>
                <w:color w:val="auto"/>
              </w:rPr>
              <w:t>3.6</w:t>
            </w:r>
          </w:p>
        </w:tc>
        <w:tc>
          <w:tcPr>
            <w:tcW w:w="0" w:type="dxa"/>
            <w:vAlign w:val="bottom"/>
          </w:tcPr>
          <w:p>
            <w:pPr>
              <w:spacing w:after="0"/>
              <w:rPr>
                <w:sz w:val="1"/>
                <w:szCs w:val="1"/>
                <w:color w:val="auto"/>
              </w:rPr>
            </w:pPr>
          </w:p>
        </w:tc>
      </w:tr>
      <w:tr>
        <w:trPr>
          <w:trHeight w:val="216"/>
        </w:trPr>
        <w:tc>
          <w:tcPr>
            <w:tcW w:w="41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BB</w:t>
            </w:r>
          </w:p>
        </w:tc>
        <w:tc>
          <w:tcPr>
            <w:tcW w:w="1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20.0</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(1.0)</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20.0</w:t>
            </w:r>
          </w:p>
        </w:tc>
        <w:tc>
          <w:tcPr>
            <w:tcW w:w="10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5.0</w:t>
            </w:r>
          </w:p>
        </w:tc>
        <w:tc>
          <w:tcPr>
            <w:tcW w:w="0" w:type="dxa"/>
            <w:vAlign w:val="bottom"/>
          </w:tcPr>
          <w:p>
            <w:pPr>
              <w:spacing w:after="0"/>
              <w:rPr>
                <w:sz w:val="1"/>
                <w:szCs w:val="1"/>
                <w:color w:val="auto"/>
              </w:rPr>
            </w:pPr>
          </w:p>
        </w:tc>
      </w:tr>
      <w:tr>
        <w:trPr>
          <w:trHeight w:val="216"/>
        </w:trPr>
        <w:tc>
          <w:tcPr>
            <w:tcW w:w="4180" w:type="dxa"/>
            <w:vAlign w:val="bottom"/>
          </w:tcPr>
          <w:p>
            <w:pPr>
              <w:ind w:left="120"/>
              <w:spacing w:after="0"/>
              <w:rPr>
                <w:sz w:val="20"/>
                <w:szCs w:val="20"/>
                <w:color w:val="auto"/>
              </w:rPr>
            </w:pPr>
            <w:r>
              <w:rPr>
                <w:rFonts w:ascii="Arial" w:cs="Arial" w:eastAsia="Arial" w:hAnsi="Arial"/>
                <w:sz w:val="18"/>
                <w:szCs w:val="18"/>
                <w:color w:val="auto"/>
              </w:rPr>
              <w:t>Sovereign</w:t>
            </w:r>
          </w:p>
        </w:tc>
        <w:tc>
          <w:tcPr>
            <w:tcW w:w="1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A</w:t>
            </w:r>
          </w:p>
        </w:tc>
        <w:tc>
          <w:tcPr>
            <w:tcW w:w="126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20.0</w:t>
            </w:r>
          </w:p>
        </w:tc>
        <w:tc>
          <w:tcPr>
            <w:tcW w:w="22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0.2</w:t>
            </w:r>
          </w:p>
        </w:tc>
        <w:tc>
          <w:tcPr>
            <w:tcW w:w="2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20.0</w:t>
            </w:r>
          </w:p>
        </w:tc>
        <w:tc>
          <w:tcPr>
            <w:tcW w:w="10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3.0</w:t>
            </w:r>
          </w:p>
        </w:tc>
        <w:tc>
          <w:tcPr>
            <w:tcW w:w="0" w:type="dxa"/>
            <w:vAlign w:val="bottom"/>
          </w:tcPr>
          <w:p>
            <w:pPr>
              <w:spacing w:after="0"/>
              <w:rPr>
                <w:sz w:val="1"/>
                <w:szCs w:val="1"/>
                <w:color w:val="auto"/>
              </w:rPr>
            </w:pPr>
          </w:p>
        </w:tc>
      </w:tr>
      <w:tr>
        <w:trPr>
          <w:trHeight w:val="210"/>
        </w:trPr>
        <w:tc>
          <w:tcPr>
            <w:tcW w:w="4180" w:type="dxa"/>
            <w:vAlign w:val="bottom"/>
          </w:tcPr>
          <w:p>
            <w:pPr>
              <w:spacing w:after="0"/>
              <w:rPr>
                <w:sz w:val="20"/>
                <w:szCs w:val="20"/>
                <w:color w:val="auto"/>
              </w:rPr>
            </w:pPr>
            <w:r>
              <w:rPr>
                <w:rFonts w:ascii="Arial" w:cs="Arial" w:eastAsia="Arial" w:hAnsi="Arial"/>
                <w:sz w:val="18"/>
                <w:szCs w:val="18"/>
                <w:color w:val="auto"/>
              </w:rPr>
              <w:t>Total credit default swap protection sold</w:t>
            </w:r>
          </w:p>
        </w:tc>
        <w:tc>
          <w:tcPr>
            <w:tcW w:w="1260" w:type="dxa"/>
            <w:vAlign w:val="bottom"/>
          </w:tcPr>
          <w:p>
            <w:pPr>
              <w:spacing w:after="0"/>
              <w:rPr>
                <w:sz w:val="18"/>
                <w:szCs w:val="18"/>
                <w:color w:val="auto"/>
              </w:rPr>
            </w:pPr>
          </w:p>
        </w:tc>
        <w:tc>
          <w:tcPr>
            <w:tcW w:w="160" w:type="dxa"/>
            <w:vAlign w:val="bottom"/>
            <w:tcBorders>
              <w:bottom w:val="single" w:sz="8" w:color="auto"/>
            </w:tcBorders>
          </w:tcPr>
          <w:p>
            <w:pPr>
              <w:jc w:val="right"/>
              <w:ind w:right="7"/>
              <w:spacing w:after="0"/>
              <w:rPr>
                <w:sz w:val="20"/>
                <w:szCs w:val="20"/>
                <w:color w:val="auto"/>
              </w:rPr>
            </w:pPr>
            <w:r>
              <w:rPr>
                <w:rFonts w:ascii="Arial" w:cs="Arial" w:eastAsia="Arial" w:hAnsi="Arial"/>
                <w:sz w:val="15"/>
                <w:szCs w:val="15"/>
                <w:b w:val="1"/>
                <w:bCs w:val="1"/>
                <w:color w:val="auto"/>
                <w:w w:val="71"/>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270.0</w:t>
            </w:r>
          </w:p>
        </w:tc>
        <w:tc>
          <w:tcPr>
            <w:tcW w:w="220" w:type="dxa"/>
            <w:vAlign w:val="bottom"/>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0.2</w:t>
            </w:r>
          </w:p>
        </w:tc>
        <w:tc>
          <w:tcPr>
            <w:tcW w:w="22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jc w:val="right"/>
              <w:ind w:right="9"/>
              <w:spacing w:after="0"/>
              <w:rPr>
                <w:sz w:val="20"/>
                <w:szCs w:val="20"/>
                <w:color w:val="auto"/>
              </w:rPr>
            </w:pPr>
            <w:r>
              <w:rPr>
                <w:rFonts w:ascii="Arial" w:cs="Arial" w:eastAsia="Arial" w:hAnsi="Arial"/>
                <w:sz w:val="10"/>
                <w:szCs w:val="10"/>
                <w:b w:val="1"/>
                <w:bCs w:val="1"/>
                <w:color w:val="auto"/>
                <w:w w:val="71"/>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270.0</w:t>
            </w:r>
          </w:p>
        </w:tc>
        <w:tc>
          <w:tcPr>
            <w:tcW w:w="1060" w:type="dxa"/>
            <w:vAlign w:val="bottom"/>
            <w:gridSpan w:val="2"/>
          </w:tcPr>
          <w:p>
            <w:pPr>
              <w:jc w:val="right"/>
              <w:spacing w:after="0"/>
              <w:rPr>
                <w:sz w:val="20"/>
                <w:szCs w:val="20"/>
                <w:color w:val="auto"/>
              </w:rPr>
            </w:pPr>
            <w:r>
              <w:rPr>
                <w:rFonts w:ascii="Arial" w:cs="Arial" w:eastAsia="Arial" w:hAnsi="Arial"/>
                <w:sz w:val="18"/>
                <w:szCs w:val="18"/>
                <w:b w:val="1"/>
                <w:bCs w:val="1"/>
                <w:color w:val="auto"/>
              </w:rPr>
              <w:t>3.6</w:t>
            </w:r>
          </w:p>
        </w:tc>
        <w:tc>
          <w:tcPr>
            <w:tcW w:w="0" w:type="dxa"/>
            <w:vAlign w:val="bottom"/>
          </w:tcPr>
          <w:p>
            <w:pPr>
              <w:spacing w:after="0"/>
              <w:rPr>
                <w:sz w:val="1"/>
                <w:szCs w:val="1"/>
                <w:color w:val="auto"/>
              </w:rPr>
            </w:pPr>
          </w:p>
        </w:tc>
      </w:tr>
      <w:tr>
        <w:trPr>
          <w:trHeight w:val="20"/>
        </w:trPr>
        <w:tc>
          <w:tcPr>
            <w:tcW w:w="418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1000" w:type="dxa"/>
            <w:vAlign w:val="bottom"/>
            <w:tcBorders>
              <w:bottom w:val="single" w:sz="8" w:color="auto"/>
            </w:tcBorders>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8"/>
        </w:trPr>
        <w:tc>
          <w:tcPr>
            <w:tcW w:w="41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100" w:type="dxa"/>
            <w:vAlign w:val="bottom"/>
            <w:tcBorders>
              <w:bottom w:val="single" w:sz="8" w:color="auto"/>
            </w:tcBorders>
            <w:gridSpan w:val="5"/>
          </w:tcPr>
          <w:p>
            <w:pPr>
              <w:jc w:val="right"/>
              <w:ind w:right="517"/>
              <w:spacing w:after="0"/>
              <w:rPr>
                <w:sz w:val="20"/>
                <w:szCs w:val="20"/>
                <w:color w:val="auto"/>
              </w:rPr>
            </w:pPr>
            <w:r>
              <w:rPr>
                <w:rFonts w:ascii="Arial" w:cs="Arial" w:eastAsia="Arial" w:hAnsi="Arial"/>
                <w:sz w:val="14"/>
                <w:szCs w:val="14"/>
                <w:b w:val="1"/>
                <w:bCs w:val="1"/>
                <w:color w:val="auto"/>
              </w:rPr>
              <w:t>December 31, 2021</w:t>
            </w:r>
          </w:p>
        </w:tc>
        <w:tc>
          <w:tcPr>
            <w:tcW w:w="20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4180" w:type="dxa"/>
            <w:vAlign w:val="bottom"/>
          </w:tcPr>
          <w:p>
            <w:pPr>
              <w:spacing w:after="0"/>
              <w:rPr>
                <w:sz w:val="10"/>
                <w:szCs w:val="10"/>
                <w:color w:val="auto"/>
              </w:rPr>
            </w:pPr>
          </w:p>
        </w:tc>
        <w:tc>
          <w:tcPr>
            <w:tcW w:w="12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80" w:type="dxa"/>
            <w:vAlign w:val="bottom"/>
            <w:vMerge w:val="restart"/>
          </w:tcPr>
          <w:p>
            <w:pPr>
              <w:jc w:val="center"/>
              <w:ind w:right="77"/>
              <w:spacing w:after="0"/>
              <w:rPr>
                <w:sz w:val="20"/>
                <w:szCs w:val="20"/>
                <w:color w:val="auto"/>
              </w:rPr>
            </w:pPr>
            <w:r>
              <w:rPr>
                <w:rFonts w:ascii="Arial" w:cs="Arial" w:eastAsia="Arial" w:hAnsi="Arial"/>
                <w:sz w:val="14"/>
                <w:szCs w:val="14"/>
                <w:b w:val="1"/>
                <w:bCs w:val="1"/>
                <w:color w:val="auto"/>
                <w:w w:val="99"/>
              </w:rPr>
              <w:t>Maximum</w:t>
            </w:r>
          </w:p>
        </w:tc>
        <w:tc>
          <w:tcPr>
            <w:tcW w:w="200" w:type="dxa"/>
            <w:vAlign w:val="bottom"/>
          </w:tcPr>
          <w:p>
            <w:pPr>
              <w:spacing w:after="0"/>
              <w:rPr>
                <w:sz w:val="10"/>
                <w:szCs w:val="10"/>
                <w:color w:val="auto"/>
              </w:rPr>
            </w:pPr>
          </w:p>
        </w:tc>
        <w:tc>
          <w:tcPr>
            <w:tcW w:w="860" w:type="dxa"/>
            <w:vAlign w:val="bottom"/>
          </w:tcPr>
          <w:p>
            <w:pPr>
              <w:jc w:val="center"/>
              <w:spacing w:after="0" w:line="119" w:lineRule="exact"/>
              <w:rPr>
                <w:sz w:val="20"/>
                <w:szCs w:val="20"/>
                <w:color w:val="auto"/>
              </w:rPr>
            </w:pPr>
            <w:r>
              <w:rPr>
                <w:rFonts w:ascii="Arial" w:cs="Arial" w:eastAsia="Arial" w:hAnsi="Arial"/>
                <w:sz w:val="13"/>
                <w:szCs w:val="13"/>
                <w:b w:val="1"/>
                <w:bCs w:val="1"/>
                <w:color w:val="auto"/>
                <w:w w:val="99"/>
              </w:rPr>
              <w:t>Weighted</w:t>
            </w:r>
          </w:p>
        </w:tc>
        <w:tc>
          <w:tcPr>
            <w:tcW w:w="0" w:type="dxa"/>
            <w:vAlign w:val="bottom"/>
          </w:tcPr>
          <w:p>
            <w:pPr>
              <w:spacing w:after="0"/>
              <w:rPr>
                <w:sz w:val="1"/>
                <w:szCs w:val="1"/>
                <w:color w:val="auto"/>
              </w:rPr>
            </w:pPr>
          </w:p>
        </w:tc>
      </w:tr>
      <w:tr>
        <w:trPr>
          <w:trHeight w:val="148"/>
        </w:trPr>
        <w:tc>
          <w:tcPr>
            <w:tcW w:w="418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40" w:type="dxa"/>
            <w:vAlign w:val="bottom"/>
            <w:gridSpan w:val="2"/>
            <w:vMerge w:val="restart"/>
          </w:tcPr>
          <w:p>
            <w:pPr>
              <w:jc w:val="center"/>
              <w:ind w:right="380"/>
              <w:spacing w:after="0"/>
              <w:rPr>
                <w:sz w:val="20"/>
                <w:szCs w:val="20"/>
                <w:color w:val="auto"/>
              </w:rPr>
            </w:pPr>
            <w:r>
              <w:rPr>
                <w:rFonts w:ascii="Arial" w:cs="Arial" w:eastAsia="Arial" w:hAnsi="Arial"/>
                <w:sz w:val="14"/>
                <w:szCs w:val="14"/>
                <w:b w:val="1"/>
                <w:bCs w:val="1"/>
                <w:color w:val="auto"/>
                <w:w w:val="96"/>
              </w:rPr>
              <w:t>Notional</w:t>
            </w:r>
          </w:p>
        </w:tc>
        <w:tc>
          <w:tcPr>
            <w:tcW w:w="120" w:type="dxa"/>
            <w:vAlign w:val="bottom"/>
          </w:tcPr>
          <w:p>
            <w:pPr>
              <w:spacing w:after="0"/>
              <w:rPr>
                <w:sz w:val="12"/>
                <w:szCs w:val="12"/>
                <w:color w:val="auto"/>
              </w:rPr>
            </w:pPr>
          </w:p>
        </w:tc>
        <w:tc>
          <w:tcPr>
            <w:tcW w:w="1080" w:type="dxa"/>
            <w:vAlign w:val="bottom"/>
            <w:gridSpan w:val="2"/>
            <w:vMerge w:val="restart"/>
          </w:tcPr>
          <w:p>
            <w:pPr>
              <w:jc w:val="center"/>
              <w:ind w:right="340"/>
              <w:spacing w:after="0"/>
              <w:rPr>
                <w:sz w:val="20"/>
                <w:szCs w:val="20"/>
                <w:color w:val="auto"/>
              </w:rPr>
            </w:pPr>
            <w:r>
              <w:rPr>
                <w:rFonts w:ascii="Arial" w:cs="Arial" w:eastAsia="Arial" w:hAnsi="Arial"/>
                <w:sz w:val="14"/>
                <w:szCs w:val="14"/>
                <w:b w:val="1"/>
                <w:bCs w:val="1"/>
                <w:color w:val="auto"/>
              </w:rPr>
              <w:t>Fair</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vMerge w:val="continue"/>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48"/>
        </w:trPr>
        <w:tc>
          <w:tcPr>
            <w:tcW w:w="418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4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gridSpan w:val="2"/>
            <w:vMerge w:val="continue"/>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tcPr>
          <w:p>
            <w:pPr>
              <w:jc w:val="center"/>
              <w:ind w:right="57"/>
              <w:spacing w:after="0" w:line="149" w:lineRule="exact"/>
              <w:rPr>
                <w:sz w:val="20"/>
                <w:szCs w:val="20"/>
                <w:color w:val="auto"/>
              </w:rPr>
            </w:pPr>
            <w:r>
              <w:rPr>
                <w:rFonts w:ascii="Arial" w:cs="Arial" w:eastAsia="Arial" w:hAnsi="Arial"/>
                <w:sz w:val="14"/>
                <w:szCs w:val="14"/>
                <w:b w:val="1"/>
                <w:bCs w:val="1"/>
                <w:color w:val="auto"/>
                <w:w w:val="95"/>
              </w:rPr>
              <w:t>future</w:t>
            </w:r>
          </w:p>
        </w:tc>
        <w:tc>
          <w:tcPr>
            <w:tcW w:w="200" w:type="dxa"/>
            <w:vAlign w:val="bottom"/>
          </w:tcPr>
          <w:p>
            <w:pPr>
              <w:spacing w:after="0"/>
              <w:rPr>
                <w:sz w:val="12"/>
                <w:szCs w:val="12"/>
                <w:color w:val="auto"/>
              </w:rPr>
            </w:pPr>
          </w:p>
        </w:tc>
        <w:tc>
          <w:tcPr>
            <w:tcW w:w="8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expected life</w:t>
            </w:r>
          </w:p>
        </w:tc>
        <w:tc>
          <w:tcPr>
            <w:tcW w:w="0" w:type="dxa"/>
            <w:vAlign w:val="bottom"/>
          </w:tcPr>
          <w:p>
            <w:pPr>
              <w:spacing w:after="0"/>
              <w:rPr>
                <w:sz w:val="1"/>
                <w:szCs w:val="1"/>
                <w:color w:val="auto"/>
              </w:rPr>
            </w:pPr>
          </w:p>
        </w:tc>
      </w:tr>
      <w:tr>
        <w:trPr>
          <w:trHeight w:val="171"/>
        </w:trPr>
        <w:tc>
          <w:tcPr>
            <w:tcW w:w="418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4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0"/>
              </w:rPr>
              <w:t>amount</w:t>
            </w:r>
          </w:p>
        </w:tc>
        <w:tc>
          <w:tcPr>
            <w:tcW w:w="120" w:type="dxa"/>
            <w:vAlign w:val="bottom"/>
          </w:tcPr>
          <w:p>
            <w:pPr>
              <w:spacing w:after="0"/>
              <w:rPr>
                <w:sz w:val="14"/>
                <w:szCs w:val="14"/>
                <w:color w:val="auto"/>
              </w:rPr>
            </w:pPr>
          </w:p>
        </w:tc>
        <w:tc>
          <w:tcPr>
            <w:tcW w:w="108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4"/>
              </w:rPr>
              <w:t>value</w:t>
            </w: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80" w:type="dxa"/>
            <w:vAlign w:val="bottom"/>
          </w:tcPr>
          <w:p>
            <w:pPr>
              <w:jc w:val="center"/>
              <w:ind w:right="57"/>
              <w:spacing w:after="0"/>
              <w:rPr>
                <w:sz w:val="20"/>
                <w:szCs w:val="20"/>
                <w:color w:val="auto"/>
              </w:rPr>
            </w:pPr>
            <w:r>
              <w:rPr>
                <w:rFonts w:ascii="Arial" w:cs="Arial" w:eastAsia="Arial" w:hAnsi="Arial"/>
                <w:sz w:val="14"/>
                <w:szCs w:val="14"/>
                <w:b w:val="1"/>
                <w:bCs w:val="1"/>
                <w:color w:val="auto"/>
                <w:w w:val="88"/>
              </w:rPr>
              <w:t>payments</w:t>
            </w:r>
          </w:p>
        </w:tc>
        <w:tc>
          <w:tcPr>
            <w:tcW w:w="200" w:type="dxa"/>
            <w:vAlign w:val="bottom"/>
          </w:tcPr>
          <w:p>
            <w:pPr>
              <w:spacing w:after="0"/>
              <w:rPr>
                <w:sz w:val="14"/>
                <w:szCs w:val="14"/>
                <w:color w:val="auto"/>
              </w:rPr>
            </w:pPr>
          </w:p>
        </w:tc>
        <w:tc>
          <w:tcPr>
            <w:tcW w:w="860" w:type="dxa"/>
            <w:vAlign w:val="bottom"/>
          </w:tcPr>
          <w:p>
            <w:pPr>
              <w:jc w:val="center"/>
              <w:spacing w:after="0"/>
              <w:rPr>
                <w:sz w:val="20"/>
                <w:szCs w:val="20"/>
                <w:color w:val="auto"/>
              </w:rPr>
            </w:pPr>
            <w:r>
              <w:rPr>
                <w:rFonts w:ascii="Arial" w:cs="Arial" w:eastAsia="Arial" w:hAnsi="Arial"/>
                <w:sz w:val="14"/>
                <w:szCs w:val="14"/>
                <w:b w:val="1"/>
                <w:bCs w:val="1"/>
                <w:color w:val="auto"/>
                <w:w w:val="93"/>
              </w:rPr>
              <w:t>(in years)</w:t>
            </w:r>
          </w:p>
        </w:tc>
        <w:tc>
          <w:tcPr>
            <w:tcW w:w="0" w:type="dxa"/>
            <w:vAlign w:val="bottom"/>
          </w:tcPr>
          <w:p>
            <w:pPr>
              <w:spacing w:after="0"/>
              <w:rPr>
                <w:sz w:val="1"/>
                <w:szCs w:val="1"/>
                <w:color w:val="auto"/>
              </w:rPr>
            </w:pPr>
          </w:p>
        </w:tc>
      </w:tr>
      <w:tr>
        <w:trPr>
          <w:trHeight w:val="129"/>
        </w:trPr>
        <w:tc>
          <w:tcPr>
            <w:tcW w:w="41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820" w:type="dxa"/>
            <w:vAlign w:val="bottom"/>
            <w:tcBorders>
              <w:top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86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i w:val="1"/>
                <w:iCs w:val="1"/>
                <w:color w:val="auto"/>
                <w:w w:val="98"/>
              </w:rPr>
              <w:t>(in millions)</w:t>
            </w:r>
          </w:p>
        </w:tc>
        <w:tc>
          <w:tcPr>
            <w:tcW w:w="2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880" w:type="dxa"/>
            <w:vAlign w:val="bottom"/>
            <w:tcBorders>
              <w:top w:val="single" w:sz="8" w:color="auto"/>
            </w:tcBorders>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Borders>
              <w:top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41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Single name credit default swaps</w:t>
            </w:r>
          </w:p>
        </w:tc>
        <w:tc>
          <w:tcPr>
            <w:tcW w:w="1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80" w:type="dxa"/>
            <w:vAlign w:val="bottom"/>
          </w:tcPr>
          <w:p>
            <w:pPr>
              <w:ind w:left="120"/>
              <w:spacing w:after="0"/>
              <w:rPr>
                <w:sz w:val="20"/>
                <w:szCs w:val="20"/>
                <w:color w:val="auto"/>
              </w:rPr>
            </w:pPr>
            <w:r>
              <w:rPr>
                <w:rFonts w:ascii="Arial" w:cs="Arial" w:eastAsia="Arial" w:hAnsi="Arial"/>
                <w:sz w:val="18"/>
                <w:szCs w:val="18"/>
                <w:color w:val="auto"/>
              </w:rPr>
              <w:t>Corporate debt</w:t>
            </w:r>
          </w:p>
        </w:tc>
        <w:tc>
          <w:tcPr>
            <w:tcW w:w="1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A</w:t>
            </w:r>
          </w:p>
        </w:tc>
        <w:tc>
          <w:tcPr>
            <w:tcW w:w="1420" w:type="dxa"/>
            <w:vAlign w:val="bottom"/>
            <w:gridSpan w:val="2"/>
            <w:shd w:val="clear" w:color="auto" w:fill="CCEEFF"/>
          </w:tcPr>
          <w:p>
            <w:pPr>
              <w:jc w:val="right"/>
              <w:ind w:right="7"/>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ind w:right="16"/>
              <w:spacing w:after="0"/>
              <w:rPr>
                <w:sz w:val="20"/>
                <w:szCs w:val="20"/>
                <w:color w:val="auto"/>
              </w:rPr>
            </w:pPr>
            <w:r>
              <w:rPr>
                <w:rFonts w:ascii="Arial" w:cs="Arial" w:eastAsia="Arial" w:hAnsi="Arial"/>
                <w:sz w:val="18"/>
                <w:szCs w:val="18"/>
                <w:color w:val="auto"/>
              </w:rPr>
              <w:t>20.0</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shd w:val="clear" w:color="auto" w:fill="CCEEFF"/>
          </w:tcPr>
          <w:p>
            <w:pPr>
              <w:jc w:val="right"/>
              <w:ind w:right="19"/>
              <w:spacing w:after="0"/>
              <w:rPr>
                <w:sz w:val="20"/>
                <w:szCs w:val="20"/>
                <w:color w:val="auto"/>
              </w:rPr>
            </w:pPr>
            <w:r>
              <w:rPr>
                <w:rFonts w:ascii="Arial" w:cs="Arial" w:eastAsia="Arial" w:hAnsi="Arial"/>
                <w:sz w:val="18"/>
                <w:szCs w:val="18"/>
                <w:color w:val="auto"/>
              </w:rPr>
              <w:t>0.4</w:t>
            </w:r>
          </w:p>
        </w:tc>
        <w:tc>
          <w:tcPr>
            <w:tcW w:w="220" w:type="dxa"/>
            <w:vAlign w:val="bottom"/>
            <w:shd w:val="clear" w:color="auto" w:fill="CCEEFF"/>
          </w:tcPr>
          <w:p>
            <w:pPr>
              <w:spacing w:after="0"/>
              <w:rPr>
                <w:sz w:val="18"/>
                <w:szCs w:val="18"/>
                <w:color w:val="auto"/>
              </w:rPr>
            </w:pPr>
          </w:p>
        </w:tc>
        <w:tc>
          <w:tcPr>
            <w:tcW w:w="140" w:type="dxa"/>
            <w:vAlign w:val="bottom"/>
            <w:gridSpan w:val="2"/>
            <w:shd w:val="clear" w:color="auto" w:fill="CCEEFF"/>
          </w:tcPr>
          <w:p>
            <w:pPr>
              <w:jc w:val="right"/>
              <w:ind w:right="9"/>
              <w:spacing w:after="0"/>
              <w:rPr>
                <w:sz w:val="20"/>
                <w:szCs w:val="20"/>
                <w:color w:val="auto"/>
              </w:rPr>
            </w:pPr>
            <w:r>
              <w:rPr>
                <w:rFonts w:ascii="Arial" w:cs="Arial" w:eastAsia="Arial" w:hAnsi="Arial"/>
                <w:sz w:val="15"/>
                <w:szCs w:val="15"/>
                <w:color w:val="auto"/>
                <w:w w:val="71"/>
              </w:rPr>
              <w:t>$</w:t>
            </w:r>
          </w:p>
        </w:tc>
        <w:tc>
          <w:tcPr>
            <w:tcW w:w="88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rPr>
              <w:t>20.0</w:t>
            </w:r>
          </w:p>
        </w:tc>
        <w:tc>
          <w:tcPr>
            <w:tcW w:w="1060" w:type="dxa"/>
            <w:vAlign w:val="bottom"/>
            <w:gridSpan w:val="2"/>
            <w:shd w:val="clear" w:color="auto" w:fill="CCEEFF"/>
          </w:tcPr>
          <w:p>
            <w:pPr>
              <w:jc w:val="right"/>
              <w:ind w:right="29"/>
              <w:spacing w:after="0"/>
              <w:rPr>
                <w:sz w:val="20"/>
                <w:szCs w:val="20"/>
                <w:color w:val="auto"/>
              </w:rPr>
            </w:pPr>
            <w:r>
              <w:rPr>
                <w:rFonts w:ascii="Arial" w:cs="Arial" w:eastAsia="Arial" w:hAnsi="Arial"/>
                <w:sz w:val="18"/>
                <w:szCs w:val="18"/>
                <w:color w:val="auto"/>
              </w:rPr>
              <w:t>3.5</w:t>
            </w:r>
          </w:p>
        </w:tc>
        <w:tc>
          <w:tcPr>
            <w:tcW w:w="0" w:type="dxa"/>
            <w:vAlign w:val="bottom"/>
          </w:tcPr>
          <w:p>
            <w:pPr>
              <w:spacing w:after="0"/>
              <w:rPr>
                <w:sz w:val="1"/>
                <w:szCs w:val="1"/>
                <w:color w:val="auto"/>
              </w:rPr>
            </w:pPr>
          </w:p>
        </w:tc>
      </w:tr>
      <w:tr>
        <w:trPr>
          <w:trHeight w:val="216"/>
        </w:trPr>
        <w:tc>
          <w:tcPr>
            <w:tcW w:w="4180" w:type="dxa"/>
            <w:vAlign w:val="bottom"/>
          </w:tcPr>
          <w:p>
            <w:pPr>
              <w:ind w:left="220"/>
              <w:spacing w:after="0"/>
              <w:rPr>
                <w:sz w:val="20"/>
                <w:szCs w:val="20"/>
                <w:color w:val="auto"/>
              </w:rPr>
            </w:pPr>
            <w:r>
              <w:rPr>
                <w:rFonts w:ascii="Arial" w:cs="Arial" w:eastAsia="Arial" w:hAnsi="Arial"/>
                <w:sz w:val="18"/>
                <w:szCs w:val="18"/>
                <w:color w:val="auto"/>
              </w:rPr>
              <w:t>BBB</w:t>
            </w:r>
          </w:p>
        </w:tc>
        <w:tc>
          <w:tcPr>
            <w:tcW w:w="1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ind w:right="16"/>
              <w:spacing w:after="0"/>
              <w:rPr>
                <w:sz w:val="20"/>
                <w:szCs w:val="20"/>
                <w:color w:val="auto"/>
              </w:rPr>
            </w:pPr>
            <w:r>
              <w:rPr>
                <w:rFonts w:ascii="Arial" w:cs="Arial" w:eastAsia="Arial" w:hAnsi="Arial"/>
                <w:sz w:val="18"/>
                <w:szCs w:val="18"/>
                <w:color w:val="auto"/>
              </w:rPr>
              <w:t>110.0</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jc w:val="right"/>
              <w:ind w:right="19"/>
              <w:spacing w:after="0"/>
              <w:rPr>
                <w:sz w:val="20"/>
                <w:szCs w:val="20"/>
                <w:color w:val="auto"/>
              </w:rPr>
            </w:pPr>
            <w:r>
              <w:rPr>
                <w:rFonts w:ascii="Arial" w:cs="Arial" w:eastAsia="Arial" w:hAnsi="Arial"/>
                <w:sz w:val="18"/>
                <w:szCs w:val="18"/>
                <w:color w:val="auto"/>
              </w:rPr>
              <w:t>1.7</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tcPr>
          <w:p>
            <w:pPr>
              <w:jc w:val="right"/>
              <w:ind w:right="17"/>
              <w:spacing w:after="0"/>
              <w:rPr>
                <w:sz w:val="20"/>
                <w:szCs w:val="20"/>
                <w:color w:val="auto"/>
              </w:rPr>
            </w:pPr>
            <w:r>
              <w:rPr>
                <w:rFonts w:ascii="Arial" w:cs="Arial" w:eastAsia="Arial" w:hAnsi="Arial"/>
                <w:sz w:val="18"/>
                <w:szCs w:val="18"/>
                <w:color w:val="auto"/>
              </w:rPr>
              <w:t>110.0</w:t>
            </w:r>
          </w:p>
        </w:tc>
        <w:tc>
          <w:tcPr>
            <w:tcW w:w="1060" w:type="dxa"/>
            <w:vAlign w:val="bottom"/>
            <w:gridSpan w:val="2"/>
          </w:tcPr>
          <w:p>
            <w:pPr>
              <w:jc w:val="right"/>
              <w:ind w:right="29"/>
              <w:spacing w:after="0"/>
              <w:rPr>
                <w:sz w:val="20"/>
                <w:szCs w:val="20"/>
                <w:color w:val="auto"/>
              </w:rPr>
            </w:pPr>
            <w:r>
              <w:rPr>
                <w:rFonts w:ascii="Arial" w:cs="Arial" w:eastAsia="Arial" w:hAnsi="Arial"/>
                <w:sz w:val="18"/>
                <w:szCs w:val="18"/>
                <w:color w:val="auto"/>
              </w:rPr>
              <w:t>3.0</w:t>
            </w:r>
          </w:p>
        </w:tc>
        <w:tc>
          <w:tcPr>
            <w:tcW w:w="0" w:type="dxa"/>
            <w:vAlign w:val="bottom"/>
          </w:tcPr>
          <w:p>
            <w:pPr>
              <w:spacing w:after="0"/>
              <w:rPr>
                <w:sz w:val="1"/>
                <w:szCs w:val="1"/>
                <w:color w:val="auto"/>
              </w:rPr>
            </w:pPr>
          </w:p>
        </w:tc>
      </w:tr>
      <w:tr>
        <w:trPr>
          <w:trHeight w:val="216"/>
        </w:trPr>
        <w:tc>
          <w:tcPr>
            <w:tcW w:w="41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Sovereign</w:t>
            </w:r>
          </w:p>
        </w:tc>
        <w:tc>
          <w:tcPr>
            <w:tcW w:w="1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80" w:type="dxa"/>
            <w:vAlign w:val="bottom"/>
            <w:tcBorders>
              <w:bottom w:val="single" w:sz="8" w:color="CCEEFF"/>
            </w:tcBorders>
          </w:tcPr>
          <w:p>
            <w:pPr>
              <w:ind w:left="220"/>
              <w:spacing w:after="0"/>
              <w:rPr>
                <w:sz w:val="20"/>
                <w:szCs w:val="20"/>
                <w:color w:val="auto"/>
              </w:rPr>
            </w:pPr>
            <w:r>
              <w:rPr>
                <w:rFonts w:ascii="Arial" w:cs="Arial" w:eastAsia="Arial" w:hAnsi="Arial"/>
                <w:sz w:val="18"/>
                <w:szCs w:val="18"/>
                <w:color w:val="auto"/>
              </w:rPr>
              <w:t>A</w:t>
            </w:r>
          </w:p>
        </w:tc>
        <w:tc>
          <w:tcPr>
            <w:tcW w:w="126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ind w:right="16"/>
              <w:spacing w:after="0"/>
              <w:rPr>
                <w:sz w:val="20"/>
                <w:szCs w:val="20"/>
                <w:color w:val="auto"/>
              </w:rPr>
            </w:pPr>
            <w:r>
              <w:rPr>
                <w:rFonts w:ascii="Arial" w:cs="Arial" w:eastAsia="Arial" w:hAnsi="Arial"/>
                <w:sz w:val="18"/>
                <w:szCs w:val="18"/>
                <w:color w:val="auto"/>
              </w:rPr>
              <w:t>20.0</w:t>
            </w:r>
          </w:p>
        </w:tc>
        <w:tc>
          <w:tcPr>
            <w:tcW w:w="22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ind w:right="19"/>
              <w:spacing w:after="0"/>
              <w:rPr>
                <w:sz w:val="20"/>
                <w:szCs w:val="20"/>
                <w:color w:val="auto"/>
              </w:rPr>
            </w:pPr>
            <w:r>
              <w:rPr>
                <w:rFonts w:ascii="Arial" w:cs="Arial" w:eastAsia="Arial" w:hAnsi="Arial"/>
                <w:sz w:val="18"/>
                <w:szCs w:val="18"/>
                <w:color w:val="auto"/>
              </w:rPr>
              <w:t>0.5</w:t>
            </w:r>
          </w:p>
        </w:tc>
        <w:tc>
          <w:tcPr>
            <w:tcW w:w="220" w:type="dxa"/>
            <w:vAlign w:val="bottom"/>
            <w:tcBorders>
              <w:bottom w:val="single" w:sz="8" w:color="CCEEFF"/>
            </w:tcBorders>
          </w:tcPr>
          <w:p>
            <w:pPr>
              <w:spacing w:after="0"/>
              <w:rPr>
                <w:sz w:val="18"/>
                <w:szCs w:val="18"/>
                <w:color w:val="auto"/>
              </w:rPr>
            </w:pPr>
          </w:p>
        </w:tc>
        <w:tc>
          <w:tcPr>
            <w:tcW w:w="2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ind w:right="17"/>
              <w:spacing w:after="0"/>
              <w:rPr>
                <w:sz w:val="20"/>
                <w:szCs w:val="20"/>
                <w:color w:val="auto"/>
              </w:rPr>
            </w:pPr>
            <w:r>
              <w:rPr>
                <w:rFonts w:ascii="Arial" w:cs="Arial" w:eastAsia="Arial" w:hAnsi="Arial"/>
                <w:sz w:val="18"/>
                <w:szCs w:val="18"/>
                <w:color w:val="auto"/>
              </w:rPr>
              <w:t>20.0</w:t>
            </w:r>
          </w:p>
        </w:tc>
        <w:tc>
          <w:tcPr>
            <w:tcW w:w="1060" w:type="dxa"/>
            <w:vAlign w:val="bottom"/>
            <w:tcBorders>
              <w:bottom w:val="single" w:sz="8" w:color="CCEEFF"/>
            </w:tcBorders>
            <w:gridSpan w:val="2"/>
          </w:tcPr>
          <w:p>
            <w:pPr>
              <w:jc w:val="right"/>
              <w:ind w:right="29"/>
              <w:spacing w:after="0"/>
              <w:rPr>
                <w:sz w:val="20"/>
                <w:szCs w:val="20"/>
                <w:color w:val="auto"/>
              </w:rPr>
            </w:pPr>
            <w:r>
              <w:rPr>
                <w:rFonts w:ascii="Arial" w:cs="Arial" w:eastAsia="Arial" w:hAnsi="Arial"/>
                <w:sz w:val="18"/>
                <w:szCs w:val="18"/>
                <w:color w:val="auto"/>
              </w:rPr>
              <w:t>3.5</w:t>
            </w:r>
          </w:p>
        </w:tc>
        <w:tc>
          <w:tcPr>
            <w:tcW w:w="0" w:type="dxa"/>
            <w:vAlign w:val="bottom"/>
          </w:tcPr>
          <w:p>
            <w:pPr>
              <w:spacing w:after="0"/>
              <w:rPr>
                <w:sz w:val="1"/>
                <w:szCs w:val="1"/>
                <w:color w:val="auto"/>
              </w:rPr>
            </w:pPr>
          </w:p>
        </w:tc>
      </w:tr>
      <w:tr>
        <w:trPr>
          <w:trHeight w:val="210"/>
        </w:trPr>
        <w:tc>
          <w:tcPr>
            <w:tcW w:w="41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credit default swap protection sold</w:t>
            </w:r>
          </w:p>
        </w:tc>
        <w:tc>
          <w:tcPr>
            <w:tcW w:w="126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jc w:val="right"/>
              <w:ind w:right="7"/>
              <w:spacing w:after="0"/>
              <w:rPr>
                <w:sz w:val="20"/>
                <w:szCs w:val="20"/>
                <w:color w:val="auto"/>
              </w:rPr>
            </w:pPr>
            <w:r>
              <w:rPr>
                <w:rFonts w:ascii="Arial" w:cs="Arial" w:eastAsia="Arial" w:hAnsi="Arial"/>
                <w:sz w:val="15"/>
                <w:szCs w:val="15"/>
                <w:color w:val="auto"/>
                <w:w w:val="71"/>
              </w:rPr>
              <w:t>$</w:t>
            </w:r>
          </w:p>
        </w:tc>
        <w:tc>
          <w:tcPr>
            <w:tcW w:w="820" w:type="dxa"/>
            <w:vAlign w:val="bottom"/>
            <w:tcBorders>
              <w:bottom w:val="single" w:sz="8" w:color="auto"/>
            </w:tcBorders>
            <w:shd w:val="clear" w:color="auto" w:fill="CCEEFF"/>
          </w:tcPr>
          <w:p>
            <w:pPr>
              <w:jc w:val="right"/>
              <w:ind w:right="16"/>
              <w:spacing w:after="0"/>
              <w:rPr>
                <w:sz w:val="20"/>
                <w:szCs w:val="20"/>
                <w:color w:val="auto"/>
              </w:rPr>
            </w:pPr>
            <w:r>
              <w:rPr>
                <w:rFonts w:ascii="Arial" w:cs="Arial" w:eastAsia="Arial" w:hAnsi="Arial"/>
                <w:sz w:val="18"/>
                <w:szCs w:val="18"/>
                <w:color w:val="auto"/>
              </w:rPr>
              <w:t>150.</w:t>
            </w:r>
            <w:r>
              <w:rPr>
                <w:rFonts w:ascii="Arial" w:cs="Arial" w:eastAsia="Arial" w:hAnsi="Arial"/>
                <w:sz w:val="18"/>
                <w:szCs w:val="18"/>
                <w:u w:val="single" w:color="auto"/>
                <w:color w:val="auto"/>
              </w:rPr>
              <w:t>0</w:t>
            </w:r>
          </w:p>
        </w:tc>
        <w:tc>
          <w:tcPr>
            <w:tcW w:w="22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8"/>
                <w:szCs w:val="18"/>
                <w:color w:val="auto"/>
              </w:rPr>
              <w:t>2.6</w:t>
            </w:r>
          </w:p>
        </w:tc>
        <w:tc>
          <w:tcPr>
            <w:tcW w:w="220" w:type="dxa"/>
            <w:vAlign w:val="bottom"/>
            <w:tcBorders>
              <w:bottom w:val="single" w:sz="8" w:color="CCEEFF"/>
            </w:tcBorders>
            <w:shd w:val="clear" w:color="auto" w:fill="CCEEFF"/>
          </w:tcPr>
          <w:p>
            <w:pPr>
              <w:spacing w:after="0"/>
              <w:rPr>
                <w:sz w:val="18"/>
                <w:szCs w:val="18"/>
                <w:color w:val="auto"/>
              </w:rPr>
            </w:pPr>
          </w:p>
        </w:tc>
        <w:tc>
          <w:tcPr>
            <w:tcW w:w="2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0"/>
                <w:szCs w:val="10"/>
                <w:color w:val="auto"/>
                <w:w w:val="71"/>
              </w:rPr>
              <w:t>$</w:t>
            </w:r>
          </w:p>
        </w:tc>
        <w:tc>
          <w:tcPr>
            <w:tcW w:w="880" w:type="dxa"/>
            <w:vAlign w:val="bottom"/>
            <w:tcBorders>
              <w:bottom w:val="single" w:sz="8" w:color="auto"/>
            </w:tcBorders>
            <w:shd w:val="clear" w:color="auto" w:fill="CCEEFF"/>
          </w:tcPr>
          <w:p>
            <w:pPr>
              <w:jc w:val="right"/>
              <w:ind w:right="17"/>
              <w:spacing w:after="0"/>
              <w:rPr>
                <w:sz w:val="20"/>
                <w:szCs w:val="20"/>
                <w:color w:val="auto"/>
              </w:rPr>
            </w:pPr>
            <w:r>
              <w:rPr>
                <w:rFonts w:ascii="Arial" w:cs="Arial" w:eastAsia="Arial" w:hAnsi="Arial"/>
                <w:sz w:val="18"/>
                <w:szCs w:val="18"/>
                <w:color w:val="auto"/>
              </w:rPr>
              <w:t>150.0</w:t>
            </w:r>
          </w:p>
        </w:tc>
        <w:tc>
          <w:tcPr>
            <w:tcW w:w="1060" w:type="dxa"/>
            <w:vAlign w:val="bottom"/>
            <w:tcBorders>
              <w:bottom w:val="single" w:sz="8" w:color="CCEEFF"/>
            </w:tcBorders>
            <w:gridSpan w:val="2"/>
            <w:shd w:val="clear" w:color="auto" w:fill="CCEEFF"/>
          </w:tcPr>
          <w:p>
            <w:pPr>
              <w:jc w:val="right"/>
              <w:ind w:right="29"/>
              <w:spacing w:after="0"/>
              <w:rPr>
                <w:sz w:val="20"/>
                <w:szCs w:val="20"/>
                <w:color w:val="auto"/>
              </w:rPr>
            </w:pPr>
            <w:r>
              <w:rPr>
                <w:rFonts w:ascii="Arial" w:cs="Arial" w:eastAsia="Arial" w:hAnsi="Arial"/>
                <w:sz w:val="18"/>
                <w:szCs w:val="18"/>
                <w:color w:val="auto"/>
              </w:rPr>
              <w:t>3.1</w:t>
            </w:r>
          </w:p>
        </w:tc>
        <w:tc>
          <w:tcPr>
            <w:tcW w:w="0" w:type="dxa"/>
            <w:vAlign w:val="bottom"/>
          </w:tcPr>
          <w:p>
            <w:pPr>
              <w:spacing w:after="0"/>
              <w:rPr>
                <w:sz w:val="1"/>
                <w:szCs w:val="1"/>
                <w:color w:val="auto"/>
              </w:rPr>
            </w:pPr>
          </w:p>
        </w:tc>
      </w:tr>
      <w:tr>
        <w:trPr>
          <w:trHeight w:val="20"/>
        </w:trPr>
        <w:tc>
          <w:tcPr>
            <w:tcW w:w="418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Fair Value and Cash Flow Hedges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Fair Value Hedges</w:t>
      </w:r>
    </w:p>
    <w:p>
      <w:pPr>
        <w:spacing w:after="0" w:line="225" w:lineRule="exact"/>
        <w:rPr>
          <w:sz w:val="20"/>
          <w:szCs w:val="20"/>
          <w:color w:val="auto"/>
        </w:rPr>
      </w:pPr>
    </w:p>
    <w:p>
      <w:pPr>
        <w:jc w:val="both"/>
        <w:ind w:right="60" w:firstLine="648"/>
        <w:spacing w:after="0" w:line="263" w:lineRule="auto"/>
        <w:rPr>
          <w:sz w:val="20"/>
          <w:szCs w:val="20"/>
          <w:color w:val="auto"/>
        </w:rPr>
      </w:pPr>
      <w:r>
        <w:rPr>
          <w:rFonts w:ascii="Arial" w:cs="Arial" w:eastAsia="Arial" w:hAnsi="Arial"/>
          <w:sz w:val="18"/>
          <w:szCs w:val="18"/>
          <w:color w:val="auto"/>
        </w:rPr>
        <w:t>We use fixed-to-floating rate interest rate swaps to more closely align the interest rate characteristics of certain assets and have used them to align the interest rate characteristics of certain liabilities. In general, these swaps are used in asset and liability management to modify duration, which is a measure of sensitivity to interest rate changes.</w:t>
      </w:r>
    </w:p>
    <w:p>
      <w:pPr>
        <w:spacing w:after="0" w:line="184" w:lineRule="exact"/>
        <w:rPr>
          <w:sz w:val="20"/>
          <w:szCs w:val="20"/>
          <w:color w:val="auto"/>
        </w:rPr>
      </w:pPr>
    </w:p>
    <w:p>
      <w:pPr>
        <w:ind w:right="480" w:firstLine="648"/>
        <w:spacing w:after="0" w:line="277" w:lineRule="auto"/>
        <w:rPr>
          <w:sz w:val="20"/>
          <w:szCs w:val="20"/>
          <w:color w:val="auto"/>
        </w:rPr>
      </w:pPr>
      <w:r>
        <w:rPr>
          <w:rFonts w:ascii="Arial" w:cs="Arial" w:eastAsia="Arial" w:hAnsi="Arial"/>
          <w:sz w:val="18"/>
          <w:szCs w:val="18"/>
          <w:color w:val="auto"/>
        </w:rPr>
        <w:t>The net interest effect of interest rate swap transactions for derivatives in fair value hedges is recorded as an adjustment to income or expense of the underlying hedged item in our consolidated statements of operations.</w:t>
      </w: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603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43" w:name="page44"/>
    <w:bookmarkEnd w:id="43"/>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right="440" w:firstLine="648"/>
        <w:spacing w:after="0" w:line="342" w:lineRule="auto"/>
        <w:rPr>
          <w:sz w:val="20"/>
          <w:szCs w:val="20"/>
          <w:color w:val="auto"/>
        </w:rPr>
      </w:pPr>
      <w:r>
        <w:rPr>
          <w:rFonts w:ascii="Arial" w:cs="Arial" w:eastAsia="Arial" w:hAnsi="Arial"/>
          <w:sz w:val="16"/>
          <w:szCs w:val="16"/>
          <w:color w:val="auto"/>
        </w:rPr>
        <w:t>The following amounts were recorded on the consolidated statements of financial position related to cumulative basis adjustments for fair value hedges. The amortized cost includes the amortized cost basis and the fair value hedging basis adjustment.</w:t>
      </w:r>
    </w:p>
    <w:p>
      <w:pPr>
        <w:spacing w:after="0" w:line="11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48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740" w:type="dxa"/>
            <w:vAlign w:val="bottom"/>
            <w:gridSpan w:val="5"/>
          </w:tcPr>
          <w:p>
            <w:pPr>
              <w:jc w:val="center"/>
              <w:ind w:right="300"/>
              <w:spacing w:after="0"/>
              <w:rPr>
                <w:sz w:val="20"/>
                <w:szCs w:val="20"/>
                <w:color w:val="auto"/>
              </w:rPr>
            </w:pPr>
            <w:r>
              <w:rPr>
                <w:rFonts w:ascii="Arial" w:cs="Arial" w:eastAsia="Arial" w:hAnsi="Arial"/>
                <w:sz w:val="14"/>
                <w:szCs w:val="14"/>
                <w:b w:val="1"/>
                <w:bCs w:val="1"/>
                <w:color w:val="auto"/>
                <w:w w:val="94"/>
              </w:rPr>
              <w:t>Cumulative amount of fair</w:t>
            </w:r>
          </w:p>
        </w:tc>
        <w:tc>
          <w:tcPr>
            <w:tcW w:w="0" w:type="dxa"/>
            <w:vAlign w:val="bottom"/>
          </w:tcPr>
          <w:p>
            <w:pPr>
              <w:spacing w:after="0"/>
              <w:rPr>
                <w:sz w:val="1"/>
                <w:szCs w:val="1"/>
                <w:color w:val="auto"/>
              </w:rPr>
            </w:pPr>
          </w:p>
        </w:tc>
      </w:tr>
      <w:tr>
        <w:trPr>
          <w:trHeight w:val="149"/>
        </w:trPr>
        <w:tc>
          <w:tcPr>
            <w:tcW w:w="3540" w:type="dxa"/>
            <w:vAlign w:val="bottom"/>
            <w:gridSpan w:val="2"/>
            <w:vMerge w:val="restart"/>
          </w:tcPr>
          <w:p>
            <w:pPr>
              <w:jc w:val="center"/>
              <w:spacing w:after="0"/>
              <w:rPr>
                <w:sz w:val="20"/>
                <w:szCs w:val="20"/>
                <w:color w:val="auto"/>
              </w:rPr>
            </w:pPr>
            <w:r>
              <w:rPr>
                <w:rFonts w:ascii="Arial" w:cs="Arial" w:eastAsia="Arial" w:hAnsi="Arial"/>
                <w:sz w:val="14"/>
                <w:szCs w:val="14"/>
                <w:b w:val="1"/>
                <w:bCs w:val="1"/>
                <w:color w:val="auto"/>
                <w:w w:val="91"/>
              </w:rPr>
              <w:t>Line item in the consolidated statements</w:t>
            </w:r>
          </w:p>
        </w:tc>
        <w:tc>
          <w:tcPr>
            <w:tcW w:w="2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740" w:type="dxa"/>
            <w:vAlign w:val="bottom"/>
            <w:gridSpan w:val="5"/>
          </w:tcPr>
          <w:p>
            <w:pPr>
              <w:jc w:val="center"/>
              <w:ind w:right="300"/>
              <w:spacing w:after="0" w:line="149" w:lineRule="exact"/>
              <w:rPr>
                <w:sz w:val="20"/>
                <w:szCs w:val="20"/>
                <w:color w:val="auto"/>
              </w:rPr>
            </w:pPr>
            <w:r>
              <w:rPr>
                <w:rFonts w:ascii="Arial" w:cs="Arial" w:eastAsia="Arial" w:hAnsi="Arial"/>
                <w:sz w:val="14"/>
                <w:szCs w:val="14"/>
                <w:b w:val="1"/>
                <w:bCs w:val="1"/>
                <w:color w:val="auto"/>
                <w:w w:val="90"/>
              </w:rPr>
              <w:t>value hedging basis adjustment</w:t>
            </w:r>
          </w:p>
        </w:tc>
        <w:tc>
          <w:tcPr>
            <w:tcW w:w="0" w:type="dxa"/>
            <w:vAlign w:val="bottom"/>
          </w:tcPr>
          <w:p>
            <w:pPr>
              <w:spacing w:after="0"/>
              <w:rPr>
                <w:sz w:val="1"/>
                <w:szCs w:val="1"/>
                <w:color w:val="auto"/>
              </w:rPr>
            </w:pPr>
          </w:p>
        </w:tc>
      </w:tr>
      <w:tr>
        <w:trPr>
          <w:trHeight w:val="148"/>
        </w:trPr>
        <w:tc>
          <w:tcPr>
            <w:tcW w:w="3540" w:type="dxa"/>
            <w:vAlign w:val="bottom"/>
            <w:gridSpan w:val="2"/>
            <w:vMerge w:val="continue"/>
          </w:tcPr>
          <w:p>
            <w:pPr>
              <w:spacing w:after="0"/>
              <w:rPr>
                <w:sz w:val="12"/>
                <w:szCs w:val="12"/>
                <w:color w:val="auto"/>
              </w:rPr>
            </w:pPr>
          </w:p>
        </w:tc>
        <w:tc>
          <w:tcPr>
            <w:tcW w:w="2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000" w:type="dxa"/>
            <w:vAlign w:val="bottom"/>
            <w:gridSpan w:val="5"/>
            <w:vMerge w:val="restart"/>
          </w:tcPr>
          <w:p>
            <w:pPr>
              <w:ind w:left="360"/>
              <w:spacing w:after="0"/>
              <w:rPr>
                <w:sz w:val="20"/>
                <w:szCs w:val="20"/>
                <w:color w:val="auto"/>
              </w:rPr>
            </w:pPr>
            <w:r>
              <w:rPr>
                <w:rFonts w:ascii="Arial" w:cs="Arial" w:eastAsia="Arial" w:hAnsi="Arial"/>
                <w:sz w:val="14"/>
                <w:szCs w:val="14"/>
                <w:b w:val="1"/>
                <w:bCs w:val="1"/>
                <w:color w:val="auto"/>
              </w:rPr>
              <w:t>Amortized cost of hedged item</w:t>
            </w:r>
          </w:p>
        </w:tc>
        <w:tc>
          <w:tcPr>
            <w:tcW w:w="260" w:type="dxa"/>
            <w:vAlign w:val="bottom"/>
          </w:tcPr>
          <w:p>
            <w:pPr>
              <w:spacing w:after="0"/>
              <w:rPr>
                <w:sz w:val="12"/>
                <w:szCs w:val="12"/>
                <w:color w:val="auto"/>
              </w:rPr>
            </w:pPr>
          </w:p>
        </w:tc>
        <w:tc>
          <w:tcPr>
            <w:tcW w:w="2740" w:type="dxa"/>
            <w:vAlign w:val="bottom"/>
            <w:gridSpan w:val="5"/>
          </w:tcPr>
          <w:p>
            <w:pPr>
              <w:jc w:val="center"/>
              <w:ind w:right="320"/>
              <w:spacing w:after="0" w:line="149" w:lineRule="exact"/>
              <w:rPr>
                <w:sz w:val="20"/>
                <w:szCs w:val="20"/>
                <w:color w:val="auto"/>
              </w:rPr>
            </w:pPr>
            <w:r>
              <w:rPr>
                <w:rFonts w:ascii="Arial" w:cs="Arial" w:eastAsia="Arial" w:hAnsi="Arial"/>
                <w:sz w:val="14"/>
                <w:szCs w:val="14"/>
                <w:b w:val="1"/>
                <w:bCs w:val="1"/>
                <w:color w:val="auto"/>
                <w:w w:val="89"/>
              </w:rPr>
              <w:t>increase/(decrease) included in the</w:t>
            </w:r>
          </w:p>
        </w:tc>
        <w:tc>
          <w:tcPr>
            <w:tcW w:w="0" w:type="dxa"/>
            <w:vAlign w:val="bottom"/>
          </w:tcPr>
          <w:p>
            <w:pPr>
              <w:spacing w:after="0"/>
              <w:rPr>
                <w:sz w:val="1"/>
                <w:szCs w:val="1"/>
                <w:color w:val="auto"/>
              </w:rPr>
            </w:pPr>
          </w:p>
        </w:tc>
      </w:tr>
      <w:tr>
        <w:trPr>
          <w:trHeight w:val="171"/>
        </w:trPr>
        <w:tc>
          <w:tcPr>
            <w:tcW w:w="3540" w:type="dxa"/>
            <w:vAlign w:val="bottom"/>
            <w:gridSpan w:val="2"/>
          </w:tcPr>
          <w:p>
            <w:pPr>
              <w:jc w:val="center"/>
              <w:spacing w:after="0"/>
              <w:rPr>
                <w:sz w:val="20"/>
                <w:szCs w:val="20"/>
                <w:color w:val="auto"/>
              </w:rPr>
            </w:pPr>
            <w:r>
              <w:rPr>
                <w:rFonts w:ascii="Arial" w:cs="Arial" w:eastAsia="Arial" w:hAnsi="Arial"/>
                <w:sz w:val="14"/>
                <w:szCs w:val="14"/>
                <w:b w:val="1"/>
                <w:bCs w:val="1"/>
                <w:color w:val="auto"/>
                <w:w w:val="92"/>
              </w:rPr>
              <w:t>of financial position in which the</w:t>
            </w:r>
          </w:p>
        </w:tc>
        <w:tc>
          <w:tcPr>
            <w:tcW w:w="2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3000" w:type="dxa"/>
            <w:vAlign w:val="bottom"/>
            <w:gridSpan w:val="5"/>
            <w:vMerge w:val="continue"/>
          </w:tcPr>
          <w:p>
            <w:pPr>
              <w:spacing w:after="0"/>
              <w:rPr>
                <w:sz w:val="14"/>
                <w:szCs w:val="14"/>
                <w:color w:val="auto"/>
              </w:rPr>
            </w:pPr>
          </w:p>
        </w:tc>
        <w:tc>
          <w:tcPr>
            <w:tcW w:w="260" w:type="dxa"/>
            <w:vAlign w:val="bottom"/>
          </w:tcPr>
          <w:p>
            <w:pPr>
              <w:spacing w:after="0"/>
              <w:rPr>
                <w:sz w:val="14"/>
                <w:szCs w:val="14"/>
                <w:color w:val="auto"/>
              </w:rPr>
            </w:pPr>
          </w:p>
        </w:tc>
        <w:tc>
          <w:tcPr>
            <w:tcW w:w="2740" w:type="dxa"/>
            <w:vAlign w:val="bottom"/>
            <w:gridSpan w:val="5"/>
          </w:tcPr>
          <w:p>
            <w:pPr>
              <w:jc w:val="center"/>
              <w:ind w:right="280"/>
              <w:spacing w:after="0"/>
              <w:rPr>
                <w:sz w:val="20"/>
                <w:szCs w:val="20"/>
                <w:color w:val="auto"/>
              </w:rPr>
            </w:pPr>
            <w:r>
              <w:rPr>
                <w:rFonts w:ascii="Arial" w:cs="Arial" w:eastAsia="Arial" w:hAnsi="Arial"/>
                <w:sz w:val="14"/>
                <w:szCs w:val="14"/>
                <w:b w:val="1"/>
                <w:bCs w:val="1"/>
                <w:color w:val="auto"/>
                <w:w w:val="90"/>
              </w:rPr>
              <w:t>amortized cost of the hedged item</w:t>
            </w:r>
          </w:p>
        </w:tc>
        <w:tc>
          <w:tcPr>
            <w:tcW w:w="0" w:type="dxa"/>
            <w:vAlign w:val="bottom"/>
          </w:tcPr>
          <w:p>
            <w:pPr>
              <w:spacing w:after="0"/>
              <w:rPr>
                <w:sz w:val="1"/>
                <w:szCs w:val="1"/>
                <w:color w:val="auto"/>
              </w:rPr>
            </w:pPr>
          </w:p>
        </w:tc>
      </w:tr>
      <w:tr>
        <w:trPr>
          <w:trHeight w:val="142"/>
        </w:trPr>
        <w:tc>
          <w:tcPr>
            <w:tcW w:w="3540" w:type="dxa"/>
            <w:vAlign w:val="bottom"/>
            <w:tcBorders>
              <w:bottom w:val="single" w:sz="8" w:color="auto"/>
            </w:tcBorders>
            <w:gridSpan w:val="2"/>
          </w:tcPr>
          <w:p>
            <w:pPr>
              <w:jc w:val="center"/>
              <w:spacing w:after="0" w:line="142" w:lineRule="exact"/>
              <w:rPr>
                <w:sz w:val="20"/>
                <w:szCs w:val="20"/>
                <w:color w:val="auto"/>
              </w:rPr>
            </w:pPr>
            <w:r>
              <w:rPr>
                <w:rFonts w:ascii="Arial" w:cs="Arial" w:eastAsia="Arial" w:hAnsi="Arial"/>
                <w:sz w:val="14"/>
                <w:szCs w:val="14"/>
                <w:b w:val="1"/>
                <w:bCs w:val="1"/>
                <w:color w:val="auto"/>
                <w:w w:val="90"/>
              </w:rPr>
              <w:t>hedged item is included</w:t>
            </w:r>
          </w:p>
        </w:tc>
        <w:tc>
          <w:tcPr>
            <w:tcW w:w="220" w:type="dxa"/>
            <w:vAlign w:val="bottom"/>
          </w:tcPr>
          <w:p>
            <w:pPr>
              <w:spacing w:after="0"/>
              <w:rPr>
                <w:sz w:val="12"/>
                <w:szCs w:val="12"/>
                <w:color w:val="auto"/>
              </w:rPr>
            </w:pPr>
          </w:p>
        </w:tc>
        <w:tc>
          <w:tcPr>
            <w:tcW w:w="180" w:type="dxa"/>
            <w:vAlign w:val="bottom"/>
            <w:tcBorders>
              <w:top w:val="single" w:sz="8" w:color="auto"/>
              <w:bottom w:val="single" w:sz="8" w:color="auto"/>
            </w:tcBorders>
          </w:tcPr>
          <w:p>
            <w:pPr>
              <w:spacing w:after="0"/>
              <w:rPr>
                <w:sz w:val="12"/>
                <w:szCs w:val="12"/>
                <w:color w:val="auto"/>
              </w:rPr>
            </w:pPr>
          </w:p>
        </w:tc>
        <w:tc>
          <w:tcPr>
            <w:tcW w:w="1180" w:type="dxa"/>
            <w:vAlign w:val="bottom"/>
            <w:tcBorders>
              <w:top w:val="single" w:sz="8" w:color="auto"/>
              <w:bottom w:val="single" w:sz="8" w:color="auto"/>
            </w:tcBorders>
          </w:tcPr>
          <w:p>
            <w:pPr>
              <w:jc w:val="right"/>
              <w:ind w:right="177"/>
              <w:spacing w:after="0" w:line="142" w:lineRule="exact"/>
              <w:rPr>
                <w:sz w:val="20"/>
                <w:szCs w:val="20"/>
                <w:color w:val="auto"/>
              </w:rPr>
            </w:pPr>
            <w:r>
              <w:rPr>
                <w:rFonts w:ascii="Arial" w:cs="Arial" w:eastAsia="Arial" w:hAnsi="Arial"/>
                <w:sz w:val="14"/>
                <w:szCs w:val="14"/>
                <w:b w:val="1"/>
                <w:bCs w:val="1"/>
                <w:color w:val="auto"/>
                <w:w w:val="98"/>
              </w:rPr>
              <w:t>June 30, 2022</w:t>
            </w:r>
          </w:p>
        </w:tc>
        <w:tc>
          <w:tcPr>
            <w:tcW w:w="220" w:type="dxa"/>
            <w:vAlign w:val="bottom"/>
            <w:tcBorders>
              <w:top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1280" w:type="dxa"/>
            <w:vAlign w:val="bottom"/>
            <w:tcBorders>
              <w:top w:val="single" w:sz="8" w:color="auto"/>
              <w:bottom w:val="single" w:sz="8" w:color="auto"/>
            </w:tcBorders>
          </w:tcPr>
          <w:p>
            <w:pPr>
              <w:jc w:val="right"/>
              <w:ind w:right="17"/>
              <w:spacing w:after="0" w:line="142" w:lineRule="exact"/>
              <w:rPr>
                <w:sz w:val="20"/>
                <w:szCs w:val="20"/>
                <w:color w:val="auto"/>
              </w:rPr>
            </w:pPr>
            <w:r>
              <w:rPr>
                <w:rFonts w:ascii="Arial" w:cs="Arial" w:eastAsia="Arial" w:hAnsi="Arial"/>
                <w:sz w:val="14"/>
                <w:szCs w:val="14"/>
                <w:b w:val="1"/>
                <w:bCs w:val="1"/>
                <w:color w:val="auto"/>
                <w:w w:val="91"/>
              </w:rPr>
              <w:t>December 31, 2021</w:t>
            </w:r>
          </w:p>
        </w:tc>
        <w:tc>
          <w:tcPr>
            <w:tcW w:w="220" w:type="dxa"/>
            <w:vAlign w:val="bottom"/>
          </w:tcPr>
          <w:p>
            <w:pPr>
              <w:spacing w:after="0"/>
              <w:rPr>
                <w:sz w:val="12"/>
                <w:szCs w:val="12"/>
                <w:color w:val="auto"/>
              </w:rPr>
            </w:pPr>
          </w:p>
        </w:tc>
        <w:tc>
          <w:tcPr>
            <w:tcW w:w="260" w:type="dxa"/>
            <w:vAlign w:val="bottom"/>
            <w:tcBorders>
              <w:top w:val="single" w:sz="8" w:color="auto"/>
              <w:bottom w:val="single" w:sz="8" w:color="auto"/>
            </w:tcBorders>
          </w:tcPr>
          <w:p>
            <w:pPr>
              <w:spacing w:after="0"/>
              <w:rPr>
                <w:sz w:val="12"/>
                <w:szCs w:val="12"/>
                <w:color w:val="auto"/>
              </w:rPr>
            </w:pPr>
          </w:p>
        </w:tc>
        <w:tc>
          <w:tcPr>
            <w:tcW w:w="1120" w:type="dxa"/>
            <w:vAlign w:val="bottom"/>
            <w:tcBorders>
              <w:top w:val="single" w:sz="8" w:color="auto"/>
              <w:bottom w:val="single" w:sz="8" w:color="auto"/>
            </w:tcBorders>
          </w:tcPr>
          <w:p>
            <w:pPr>
              <w:jc w:val="right"/>
              <w:ind w:right="201"/>
              <w:spacing w:after="0" w:line="142" w:lineRule="exact"/>
              <w:rPr>
                <w:sz w:val="20"/>
                <w:szCs w:val="20"/>
                <w:color w:val="auto"/>
              </w:rPr>
            </w:pPr>
            <w:r>
              <w:rPr>
                <w:rFonts w:ascii="Arial" w:cs="Arial" w:eastAsia="Arial" w:hAnsi="Arial"/>
                <w:sz w:val="14"/>
                <w:szCs w:val="14"/>
                <w:b w:val="1"/>
                <w:bCs w:val="1"/>
                <w:color w:val="auto"/>
                <w:w w:val="90"/>
              </w:rPr>
              <w:t>June 30, 2022</w:t>
            </w:r>
          </w:p>
        </w:tc>
        <w:tc>
          <w:tcPr>
            <w:tcW w:w="200" w:type="dxa"/>
            <w:vAlign w:val="bottom"/>
            <w:tcBorders>
              <w:top w:val="single" w:sz="8" w:color="auto"/>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1280" w:type="dxa"/>
            <w:vAlign w:val="bottom"/>
            <w:tcBorders>
              <w:top w:val="single" w:sz="8" w:color="auto"/>
              <w:bottom w:val="single" w:sz="8" w:color="auto"/>
            </w:tcBorders>
          </w:tcPr>
          <w:p>
            <w:pPr>
              <w:jc w:val="right"/>
              <w:ind w:right="35"/>
              <w:spacing w:after="0" w:line="142" w:lineRule="exact"/>
              <w:rPr>
                <w:sz w:val="20"/>
                <w:szCs w:val="20"/>
                <w:color w:val="auto"/>
              </w:rPr>
            </w:pPr>
            <w:r>
              <w:rPr>
                <w:rFonts w:ascii="Arial" w:cs="Arial" w:eastAsia="Arial" w:hAnsi="Arial"/>
                <w:sz w:val="14"/>
                <w:szCs w:val="14"/>
                <w:b w:val="1"/>
                <w:bCs w:val="1"/>
                <w:color w:val="auto"/>
                <w:w w:val="90"/>
              </w:rPr>
              <w:t>December 31, 2021</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4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760" w:type="dxa"/>
            <w:vAlign w:val="bottom"/>
            <w:gridSpan w:val="3"/>
          </w:tcPr>
          <w:p>
            <w:pPr>
              <w:jc w:val="right"/>
              <w:spacing w:after="0" w:line="142" w:lineRule="exact"/>
              <w:rPr>
                <w:sz w:val="20"/>
                <w:szCs w:val="20"/>
                <w:color w:val="auto"/>
              </w:rPr>
            </w:pPr>
            <w:r>
              <w:rPr>
                <w:rFonts w:ascii="Arial" w:cs="Arial" w:eastAsia="Arial" w:hAnsi="Arial"/>
                <w:sz w:val="14"/>
                <w:szCs w:val="14"/>
                <w:i w:val="1"/>
                <w:iCs w:val="1"/>
                <w:color w:val="auto"/>
              </w:rPr>
              <w:t>(in millions)</w:t>
            </w:r>
          </w:p>
        </w:tc>
        <w:tc>
          <w:tcPr>
            <w:tcW w:w="1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35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Fixed maturities, available-for-sale (1):</w:t>
            </w: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540" w:type="dxa"/>
            <w:vAlign w:val="bottom"/>
            <w:gridSpan w:val="2"/>
          </w:tcPr>
          <w:p>
            <w:pPr>
              <w:ind w:left="120"/>
              <w:spacing w:after="0"/>
              <w:rPr>
                <w:sz w:val="20"/>
                <w:szCs w:val="20"/>
                <w:color w:val="auto"/>
              </w:rPr>
            </w:pPr>
            <w:r>
              <w:rPr>
                <w:rFonts w:ascii="Arial" w:cs="Arial" w:eastAsia="Arial" w:hAnsi="Arial"/>
                <w:sz w:val="18"/>
                <w:szCs w:val="18"/>
                <w:color w:val="auto"/>
              </w:rPr>
              <w:t>Active hedging relationships</w:t>
            </w:r>
          </w:p>
        </w:tc>
        <w:tc>
          <w:tcPr>
            <w:tcW w:w="40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1180" w:type="dxa"/>
            <w:vAlign w:val="bottom"/>
          </w:tcPr>
          <w:p>
            <w:pPr>
              <w:jc w:val="right"/>
              <w:spacing w:after="0"/>
              <w:rPr>
                <w:sz w:val="20"/>
                <w:szCs w:val="20"/>
                <w:color w:val="auto"/>
              </w:rPr>
            </w:pPr>
            <w:r>
              <w:rPr>
                <w:rFonts w:ascii="Arial" w:cs="Arial" w:eastAsia="Arial" w:hAnsi="Arial"/>
                <w:sz w:val="18"/>
                <w:szCs w:val="18"/>
                <w:b w:val="1"/>
                <w:bCs w:val="1"/>
                <w:color w:val="auto"/>
              </w:rPr>
              <w:t>3,761.3</w:t>
            </w:r>
          </w:p>
        </w:tc>
        <w:tc>
          <w:tcPr>
            <w:tcW w:w="22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80" w:type="dxa"/>
            <w:vAlign w:val="bottom"/>
          </w:tcPr>
          <w:p>
            <w:pPr>
              <w:jc w:val="right"/>
              <w:spacing w:after="0"/>
              <w:rPr>
                <w:sz w:val="20"/>
                <w:szCs w:val="20"/>
                <w:color w:val="auto"/>
              </w:rPr>
            </w:pPr>
            <w:r>
              <w:rPr>
                <w:rFonts w:ascii="Arial" w:cs="Arial" w:eastAsia="Arial" w:hAnsi="Arial"/>
                <w:sz w:val="18"/>
                <w:szCs w:val="18"/>
                <w:color w:val="auto"/>
              </w:rPr>
              <w:t>1,859.9</w:t>
            </w:r>
          </w:p>
        </w:tc>
        <w:tc>
          <w:tcPr>
            <w:tcW w:w="220" w:type="dxa"/>
            <w:vAlign w:val="bottom"/>
          </w:tcPr>
          <w:p>
            <w:pPr>
              <w:spacing w:after="0"/>
              <w:rPr>
                <w:sz w:val="18"/>
                <w:szCs w:val="18"/>
                <w:color w:val="auto"/>
              </w:rPr>
            </w:pPr>
          </w:p>
        </w:tc>
        <w:tc>
          <w:tcPr>
            <w:tcW w:w="260" w:type="dxa"/>
            <w:vAlign w:val="bottom"/>
          </w:tcPr>
          <w:p>
            <w:pPr>
              <w:jc w:val="right"/>
              <w:ind w:right="107"/>
              <w:spacing w:after="0"/>
              <w:rPr>
                <w:sz w:val="20"/>
                <w:szCs w:val="20"/>
                <w:color w:val="auto"/>
              </w:rPr>
            </w:pPr>
            <w:r>
              <w:rPr>
                <w:rFonts w:ascii="Arial" w:cs="Arial" w:eastAsia="Arial" w:hAnsi="Arial"/>
                <w:sz w:val="15"/>
                <w:szCs w:val="15"/>
                <w:b w:val="1"/>
                <w:bCs w:val="1"/>
                <w:color w:val="auto"/>
                <w:w w:val="71"/>
              </w:rPr>
              <w:t>$</w:t>
            </w:r>
          </w:p>
        </w:tc>
        <w:tc>
          <w:tcPr>
            <w:tcW w:w="132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(113.3)</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80" w:type="dxa"/>
            <w:vAlign w:val="bottom"/>
          </w:tcPr>
          <w:p>
            <w:pPr>
              <w:jc w:val="right"/>
              <w:spacing w:after="0"/>
              <w:rPr>
                <w:sz w:val="20"/>
                <w:szCs w:val="20"/>
                <w:color w:val="auto"/>
              </w:rPr>
            </w:pPr>
            <w:r>
              <w:rPr>
                <w:rFonts w:ascii="Arial" w:cs="Arial" w:eastAsia="Arial" w:hAnsi="Arial"/>
                <w:sz w:val="18"/>
                <w:szCs w:val="18"/>
                <w:color w:val="auto"/>
              </w:rPr>
              <w:t>(7.1)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54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Discontinued hedging relationships</w:t>
            </w:r>
          </w:p>
        </w:tc>
        <w:tc>
          <w:tcPr>
            <w:tcW w:w="22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74.0</w:t>
            </w:r>
          </w:p>
        </w:tc>
        <w:tc>
          <w:tcPr>
            <w:tcW w:w="2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79.7</w:t>
            </w:r>
          </w:p>
        </w:tc>
        <w:tc>
          <w:tcPr>
            <w:tcW w:w="22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2.0</w:t>
            </w:r>
          </w:p>
        </w:tc>
        <w:tc>
          <w:tcPr>
            <w:tcW w:w="20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82"/>
        </w:trPr>
        <w:tc>
          <w:tcPr>
            <w:tcW w:w="3540" w:type="dxa"/>
            <w:vAlign w:val="bottom"/>
            <w:gridSpan w:val="2"/>
          </w:tcPr>
          <w:p>
            <w:pPr>
              <w:spacing w:after="0" w:line="182" w:lineRule="exact"/>
              <w:rPr>
                <w:sz w:val="20"/>
                <w:szCs w:val="20"/>
                <w:color w:val="auto"/>
              </w:rPr>
            </w:pPr>
            <w:r>
              <w:rPr>
                <w:rFonts w:ascii="Arial" w:cs="Arial" w:eastAsia="Arial" w:hAnsi="Arial"/>
                <w:sz w:val="18"/>
                <w:szCs w:val="18"/>
                <w:color w:val="auto"/>
              </w:rPr>
              <w:t>Total fixed maturities, available-for-sale in</w:t>
            </w:r>
          </w:p>
        </w:tc>
        <w:tc>
          <w:tcPr>
            <w:tcW w:w="400" w:type="dxa"/>
            <w:vAlign w:val="bottom"/>
            <w:gridSpan w:val="2"/>
            <w:vMerge w:val="restart"/>
          </w:tcPr>
          <w:p>
            <w:pPr>
              <w:jc w:val="right"/>
              <w:ind w:right="80"/>
              <w:spacing w:after="0"/>
              <w:rPr>
                <w:sz w:val="20"/>
                <w:szCs w:val="20"/>
                <w:color w:val="auto"/>
              </w:rPr>
            </w:pPr>
            <w:r>
              <w:rPr>
                <w:rFonts w:ascii="Arial" w:cs="Arial" w:eastAsia="Arial" w:hAnsi="Arial"/>
                <w:sz w:val="18"/>
                <w:szCs w:val="18"/>
                <w:b w:val="1"/>
                <w:bCs w:val="1"/>
                <w:color w:val="auto"/>
              </w:rPr>
              <w:t>$</w:t>
            </w:r>
          </w:p>
        </w:tc>
        <w:tc>
          <w:tcPr>
            <w:tcW w:w="118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3,835.3</w:t>
            </w:r>
          </w:p>
        </w:tc>
        <w:tc>
          <w:tcPr>
            <w:tcW w:w="220" w:type="dxa"/>
            <w:vAlign w:val="bottom"/>
          </w:tcPr>
          <w:p>
            <w:pPr>
              <w:spacing w:after="0"/>
              <w:rPr>
                <w:sz w:val="15"/>
                <w:szCs w:val="15"/>
                <w:color w:val="auto"/>
              </w:rPr>
            </w:pPr>
          </w:p>
        </w:tc>
        <w:tc>
          <w:tcPr>
            <w:tcW w:w="100" w:type="dxa"/>
            <w:vAlign w:val="bottom"/>
            <w:vMerge w:val="restart"/>
          </w:tcPr>
          <w:p>
            <w:pPr>
              <w:jc w:val="right"/>
              <w:spacing w:after="0"/>
              <w:rPr>
                <w:sz w:val="20"/>
                <w:szCs w:val="20"/>
                <w:color w:val="auto"/>
              </w:rPr>
            </w:pPr>
            <w:r>
              <w:rPr>
                <w:rFonts w:ascii="Arial" w:cs="Arial" w:eastAsia="Arial" w:hAnsi="Arial"/>
                <w:sz w:val="18"/>
                <w:szCs w:val="18"/>
                <w:color w:val="auto"/>
                <w:w w:val="79"/>
              </w:rPr>
              <w:t>$</w:t>
            </w:r>
          </w:p>
        </w:tc>
        <w:tc>
          <w:tcPr>
            <w:tcW w:w="1280" w:type="dxa"/>
            <w:vAlign w:val="bottom"/>
            <w:vMerge w:val="restart"/>
          </w:tcPr>
          <w:p>
            <w:pPr>
              <w:jc w:val="right"/>
              <w:spacing w:after="0"/>
              <w:rPr>
                <w:sz w:val="20"/>
                <w:szCs w:val="20"/>
                <w:color w:val="auto"/>
              </w:rPr>
            </w:pPr>
            <w:r>
              <w:rPr>
                <w:rFonts w:ascii="Arial" w:cs="Arial" w:eastAsia="Arial" w:hAnsi="Arial"/>
                <w:sz w:val="18"/>
                <w:szCs w:val="18"/>
                <w:color w:val="auto"/>
              </w:rPr>
              <w:t>1,939.6</w:t>
            </w:r>
          </w:p>
        </w:tc>
        <w:tc>
          <w:tcPr>
            <w:tcW w:w="220" w:type="dxa"/>
            <w:vAlign w:val="bottom"/>
          </w:tcPr>
          <w:p>
            <w:pPr>
              <w:spacing w:after="0"/>
              <w:rPr>
                <w:sz w:val="15"/>
                <w:szCs w:val="15"/>
                <w:color w:val="auto"/>
              </w:rPr>
            </w:pPr>
          </w:p>
        </w:tc>
        <w:tc>
          <w:tcPr>
            <w:tcW w:w="260" w:type="dxa"/>
            <w:vAlign w:val="bottom"/>
            <w:vMerge w:val="restart"/>
          </w:tcPr>
          <w:p>
            <w:pPr>
              <w:jc w:val="right"/>
              <w:ind w:right="107"/>
              <w:spacing w:after="0"/>
              <w:rPr>
                <w:sz w:val="20"/>
                <w:szCs w:val="20"/>
                <w:color w:val="auto"/>
              </w:rPr>
            </w:pPr>
            <w:r>
              <w:rPr>
                <w:rFonts w:ascii="Arial" w:cs="Arial" w:eastAsia="Arial" w:hAnsi="Arial"/>
                <w:sz w:val="15"/>
                <w:szCs w:val="15"/>
                <w:b w:val="1"/>
                <w:bCs w:val="1"/>
                <w:color w:val="auto"/>
                <w:w w:val="71"/>
              </w:rPr>
              <w:t>$</w:t>
            </w:r>
          </w:p>
        </w:tc>
        <w:tc>
          <w:tcPr>
            <w:tcW w:w="1320" w:type="dxa"/>
            <w:vAlign w:val="bottom"/>
            <w:gridSpan w:val="2"/>
            <w:vMerge w:val="restart"/>
          </w:tcPr>
          <w:p>
            <w:pPr>
              <w:jc w:val="right"/>
              <w:ind w:right="200"/>
              <w:spacing w:after="0"/>
              <w:rPr>
                <w:sz w:val="20"/>
                <w:szCs w:val="20"/>
                <w:color w:val="auto"/>
              </w:rPr>
            </w:pPr>
            <w:r>
              <w:rPr>
                <w:rFonts w:ascii="Arial" w:cs="Arial" w:eastAsia="Arial" w:hAnsi="Arial"/>
                <w:sz w:val="18"/>
                <w:szCs w:val="18"/>
                <w:b w:val="1"/>
                <w:bCs w:val="1"/>
                <w:color w:val="auto"/>
              </w:rPr>
              <w:t>(111.3)</w:t>
            </w:r>
          </w:p>
        </w:tc>
        <w:tc>
          <w:tcPr>
            <w:tcW w:w="120" w:type="dxa"/>
            <w:vAlign w:val="bottom"/>
            <w:vMerge w:val="restart"/>
          </w:tcPr>
          <w:p>
            <w:pPr>
              <w:jc w:val="right"/>
              <w:spacing w:after="0"/>
              <w:rPr>
                <w:sz w:val="20"/>
                <w:szCs w:val="20"/>
                <w:color w:val="auto"/>
              </w:rPr>
            </w:pPr>
            <w:r>
              <w:rPr>
                <w:rFonts w:ascii="Arial" w:cs="Arial" w:eastAsia="Arial" w:hAnsi="Arial"/>
                <w:sz w:val="18"/>
                <w:szCs w:val="18"/>
                <w:color w:val="auto"/>
                <w:w w:val="79"/>
              </w:rPr>
              <w:t>$</w:t>
            </w:r>
          </w:p>
        </w:tc>
        <w:tc>
          <w:tcPr>
            <w:tcW w:w="1300" w:type="dxa"/>
            <w:vAlign w:val="bottom"/>
            <w:gridSpan w:val="2"/>
            <w:vMerge w:val="restart"/>
          </w:tcPr>
          <w:p>
            <w:pPr>
              <w:jc w:val="right"/>
              <w:ind w:right="20"/>
              <w:spacing w:after="0"/>
              <w:rPr>
                <w:sz w:val="20"/>
                <w:szCs w:val="20"/>
                <w:color w:val="auto"/>
              </w:rPr>
            </w:pPr>
            <w:r>
              <w:rPr>
                <w:rFonts w:ascii="Arial" w:cs="Arial" w:eastAsia="Arial" w:hAnsi="Arial"/>
                <w:sz w:val="18"/>
                <w:szCs w:val="18"/>
                <w:color w:val="auto"/>
              </w:rPr>
              <w:t>(4.3)</w:t>
            </w:r>
          </w:p>
        </w:tc>
        <w:tc>
          <w:tcPr>
            <w:tcW w:w="0" w:type="dxa"/>
            <w:vAlign w:val="bottom"/>
          </w:tcPr>
          <w:p>
            <w:pPr>
              <w:spacing w:after="0"/>
              <w:rPr>
                <w:sz w:val="1"/>
                <w:szCs w:val="1"/>
                <w:color w:val="auto"/>
              </w:rPr>
            </w:pPr>
          </w:p>
        </w:tc>
      </w:tr>
      <w:tr>
        <w:trPr>
          <w:trHeight w:val="217"/>
        </w:trPr>
        <w:tc>
          <w:tcPr>
            <w:tcW w:w="3540" w:type="dxa"/>
            <w:vAlign w:val="bottom"/>
            <w:gridSpan w:val="2"/>
          </w:tcPr>
          <w:p>
            <w:pPr>
              <w:ind w:left="140"/>
              <w:spacing w:after="0"/>
              <w:rPr>
                <w:sz w:val="20"/>
                <w:szCs w:val="20"/>
                <w:color w:val="auto"/>
              </w:rPr>
            </w:pPr>
            <w:r>
              <w:rPr>
                <w:rFonts w:ascii="Arial" w:cs="Arial" w:eastAsia="Arial" w:hAnsi="Arial"/>
                <w:sz w:val="18"/>
                <w:szCs w:val="18"/>
                <w:color w:val="auto"/>
                <w:w w:val="96"/>
              </w:rPr>
              <w:t>active or discontinued hedging relationships</w:t>
            </w:r>
          </w:p>
        </w:tc>
        <w:tc>
          <w:tcPr>
            <w:tcW w:w="400" w:type="dxa"/>
            <w:vAlign w:val="bottom"/>
            <w:gridSpan w:val="2"/>
            <w:vMerge w:val="continue"/>
          </w:tcPr>
          <w:p>
            <w:pPr>
              <w:spacing w:after="0"/>
              <w:rPr>
                <w:sz w:val="18"/>
                <w:szCs w:val="18"/>
                <w:color w:val="auto"/>
              </w:rPr>
            </w:pPr>
          </w:p>
        </w:tc>
        <w:tc>
          <w:tcPr>
            <w:tcW w:w="1180" w:type="dxa"/>
            <w:vAlign w:val="bottom"/>
            <w:vMerge w:val="continue"/>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vMerge w:val="continue"/>
          </w:tcPr>
          <w:p>
            <w:pPr>
              <w:spacing w:after="0"/>
              <w:rPr>
                <w:sz w:val="18"/>
                <w:szCs w:val="18"/>
                <w:color w:val="auto"/>
              </w:rPr>
            </w:pPr>
          </w:p>
        </w:tc>
        <w:tc>
          <w:tcPr>
            <w:tcW w:w="1280" w:type="dxa"/>
            <w:vAlign w:val="bottom"/>
            <w:vMerge w:val="continue"/>
          </w:tcPr>
          <w:p>
            <w:pPr>
              <w:spacing w:after="0"/>
              <w:rPr>
                <w:sz w:val="18"/>
                <w:szCs w:val="18"/>
                <w:color w:val="auto"/>
              </w:rPr>
            </w:pPr>
          </w:p>
        </w:tc>
        <w:tc>
          <w:tcPr>
            <w:tcW w:w="220" w:type="dxa"/>
            <w:vAlign w:val="bottom"/>
          </w:tcPr>
          <w:p>
            <w:pPr>
              <w:spacing w:after="0"/>
              <w:rPr>
                <w:sz w:val="18"/>
                <w:szCs w:val="18"/>
                <w:color w:val="auto"/>
              </w:rPr>
            </w:pPr>
          </w:p>
        </w:tc>
        <w:tc>
          <w:tcPr>
            <w:tcW w:w="260" w:type="dxa"/>
            <w:vAlign w:val="bottom"/>
            <w:vMerge w:val="continue"/>
          </w:tcPr>
          <w:p>
            <w:pPr>
              <w:spacing w:after="0"/>
              <w:rPr>
                <w:sz w:val="18"/>
                <w:szCs w:val="18"/>
                <w:color w:val="auto"/>
              </w:rPr>
            </w:pPr>
          </w:p>
        </w:tc>
        <w:tc>
          <w:tcPr>
            <w:tcW w:w="1320" w:type="dxa"/>
            <w:vAlign w:val="bottom"/>
            <w:gridSpan w:val="2"/>
            <w:vMerge w:val="continue"/>
          </w:tcPr>
          <w:p>
            <w:pPr>
              <w:spacing w:after="0"/>
              <w:rPr>
                <w:sz w:val="18"/>
                <w:szCs w:val="18"/>
                <w:color w:val="auto"/>
              </w:rPr>
            </w:pPr>
          </w:p>
        </w:tc>
        <w:tc>
          <w:tcPr>
            <w:tcW w:w="120" w:type="dxa"/>
            <w:vAlign w:val="bottom"/>
            <w:vMerge w:val="continue"/>
          </w:tcPr>
          <w:p>
            <w:pPr>
              <w:spacing w:after="0"/>
              <w:rPr>
                <w:sz w:val="18"/>
                <w:szCs w:val="18"/>
                <w:color w:val="auto"/>
              </w:rPr>
            </w:pPr>
          </w:p>
        </w:tc>
        <w:tc>
          <w:tcPr>
            <w:tcW w:w="1300" w:type="dxa"/>
            <w:vAlign w:val="bottom"/>
            <w:gridSpan w:val="2"/>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48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8"/>
        </w:trPr>
        <w:tc>
          <w:tcPr>
            <w:tcW w:w="2480" w:type="dxa"/>
            <w:vAlign w:val="bottom"/>
            <w:tcBorders>
              <w:bottom w:val="single" w:sz="8" w:color="auto"/>
            </w:tcBorders>
          </w:tcPr>
          <w:p>
            <w:pPr>
              <w:spacing w:after="0"/>
              <w:rPr>
                <w:sz w:val="7"/>
                <w:szCs w:val="7"/>
                <w:color w:val="auto"/>
              </w:rPr>
            </w:pPr>
          </w:p>
        </w:tc>
        <w:tc>
          <w:tcPr>
            <w:tcW w:w="1060" w:type="dxa"/>
            <w:vAlign w:val="bottom"/>
          </w:tcPr>
          <w:p>
            <w:pPr>
              <w:spacing w:after="0"/>
              <w:rPr>
                <w:sz w:val="7"/>
                <w:szCs w:val="7"/>
                <w:color w:val="auto"/>
              </w:rPr>
            </w:pPr>
          </w:p>
        </w:tc>
        <w:tc>
          <w:tcPr>
            <w:tcW w:w="220" w:type="dxa"/>
            <w:vAlign w:val="bottom"/>
          </w:tcPr>
          <w:p>
            <w:pPr>
              <w:spacing w:after="0"/>
              <w:rPr>
                <w:sz w:val="7"/>
                <w:szCs w:val="7"/>
                <w:color w:val="auto"/>
              </w:rPr>
            </w:pPr>
          </w:p>
        </w:tc>
        <w:tc>
          <w:tcPr>
            <w:tcW w:w="180" w:type="dxa"/>
            <w:vAlign w:val="bottom"/>
          </w:tcPr>
          <w:p>
            <w:pPr>
              <w:spacing w:after="0"/>
              <w:rPr>
                <w:sz w:val="7"/>
                <w:szCs w:val="7"/>
                <w:color w:val="auto"/>
              </w:rPr>
            </w:pPr>
          </w:p>
        </w:tc>
        <w:tc>
          <w:tcPr>
            <w:tcW w:w="1180" w:type="dxa"/>
            <w:vAlign w:val="bottom"/>
          </w:tcPr>
          <w:p>
            <w:pPr>
              <w:spacing w:after="0"/>
              <w:rPr>
                <w:sz w:val="7"/>
                <w:szCs w:val="7"/>
                <w:color w:val="auto"/>
              </w:rPr>
            </w:pPr>
          </w:p>
        </w:tc>
        <w:tc>
          <w:tcPr>
            <w:tcW w:w="2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80" w:type="dxa"/>
            <w:vAlign w:val="bottom"/>
          </w:tcPr>
          <w:p>
            <w:pPr>
              <w:spacing w:after="0"/>
              <w:rPr>
                <w:sz w:val="7"/>
                <w:szCs w:val="7"/>
                <w:color w:val="auto"/>
              </w:rPr>
            </w:pPr>
          </w:p>
        </w:tc>
        <w:tc>
          <w:tcPr>
            <w:tcW w:w="220" w:type="dxa"/>
            <w:vAlign w:val="bottom"/>
          </w:tcPr>
          <w:p>
            <w:pPr>
              <w:spacing w:after="0"/>
              <w:rPr>
                <w:sz w:val="7"/>
                <w:szCs w:val="7"/>
                <w:color w:val="auto"/>
              </w:rPr>
            </w:pPr>
          </w:p>
        </w:tc>
        <w:tc>
          <w:tcPr>
            <w:tcW w:w="260" w:type="dxa"/>
            <w:vAlign w:val="bottom"/>
          </w:tcPr>
          <w:p>
            <w:pPr>
              <w:spacing w:after="0"/>
              <w:rPr>
                <w:sz w:val="7"/>
                <w:szCs w:val="7"/>
                <w:color w:val="auto"/>
              </w:rPr>
            </w:pPr>
          </w:p>
        </w:tc>
        <w:tc>
          <w:tcPr>
            <w:tcW w:w="1120" w:type="dxa"/>
            <w:vAlign w:val="bottom"/>
          </w:tcPr>
          <w:p>
            <w:pPr>
              <w:spacing w:after="0"/>
              <w:rPr>
                <w:sz w:val="7"/>
                <w:szCs w:val="7"/>
                <w:color w:val="auto"/>
              </w:rPr>
            </w:pPr>
          </w:p>
        </w:tc>
        <w:tc>
          <w:tcPr>
            <w:tcW w:w="2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2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80" w:lineRule="exact"/>
        <w:rPr>
          <w:sz w:val="20"/>
          <w:szCs w:val="20"/>
          <w:color w:val="auto"/>
        </w:rPr>
      </w:pPr>
    </w:p>
    <w:p>
      <w:pPr>
        <w:ind w:left="340" w:right="240" w:hanging="332"/>
        <w:spacing w:after="0" w:line="296" w:lineRule="auto"/>
        <w:tabs>
          <w:tab w:leader="none" w:pos="340" w:val="left"/>
        </w:tabs>
        <w:numPr>
          <w:ilvl w:val="0"/>
          <w:numId w:val="18"/>
        </w:numPr>
        <w:rPr>
          <w:rFonts w:ascii="Arial" w:cs="Arial" w:eastAsia="Arial" w:hAnsi="Arial"/>
          <w:sz w:val="16"/>
          <w:szCs w:val="16"/>
          <w:color w:val="auto"/>
        </w:rPr>
      </w:pPr>
      <w:r>
        <w:rPr>
          <w:rFonts w:ascii="Arial" w:cs="Arial" w:eastAsia="Arial" w:hAnsi="Arial"/>
          <w:sz w:val="16"/>
          <w:szCs w:val="16"/>
          <w:color w:val="auto"/>
        </w:rPr>
        <w:t>These amounts include the amortized cost basis of closed portfolios used to designate last-of-layer hedging relationships in which the hedged last layer amount is expected to remain at the end of the hedging relationship. As of June 30, 2022 and December 31, 2021, the amortized cost basis of the closed portfolios used in these hedging relationships was $3,401.9 million and $1,390.4 million, respectively, the cumulative basis adjustments associated with these hedging relationships was $(70.6) million and $(3.9) million, respectively, and the amount of the designated hedged items were $1,110.0 million and $510.0 million, respectively.</w:t>
      </w:r>
    </w:p>
    <w:p>
      <w:pPr>
        <w:spacing w:after="0" w:line="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 Hedges</w:t>
      </w:r>
    </w:p>
    <w:p>
      <w:pPr>
        <w:spacing w:after="0" w:line="144" w:lineRule="exact"/>
        <w:rPr>
          <w:sz w:val="20"/>
          <w:szCs w:val="20"/>
          <w:color w:val="auto"/>
        </w:rPr>
      </w:pPr>
    </w:p>
    <w:p>
      <w:pPr>
        <w:ind w:right="200" w:firstLine="648"/>
        <w:spacing w:after="0" w:line="277" w:lineRule="auto"/>
        <w:rPr>
          <w:sz w:val="20"/>
          <w:szCs w:val="20"/>
          <w:color w:val="auto"/>
        </w:rPr>
      </w:pPr>
      <w:r>
        <w:rPr>
          <w:rFonts w:ascii="Arial" w:cs="Arial" w:eastAsia="Arial" w:hAnsi="Arial"/>
          <w:sz w:val="18"/>
          <w:szCs w:val="18"/>
          <w:color w:val="auto"/>
        </w:rPr>
        <w:t>We utilize floating-to-fixed rate interest rate swaps to eliminate the variability in cash flows of recognized financial assets and liabilities.</w:t>
      </w:r>
    </w:p>
    <w:p>
      <w:pPr>
        <w:spacing w:after="0" w:line="103" w:lineRule="exact"/>
        <w:rPr>
          <w:sz w:val="20"/>
          <w:szCs w:val="20"/>
          <w:color w:val="auto"/>
        </w:rPr>
      </w:pPr>
    </w:p>
    <w:p>
      <w:pPr>
        <w:ind w:right="560" w:firstLine="648"/>
        <w:spacing w:after="0" w:line="263" w:lineRule="auto"/>
        <w:rPr>
          <w:sz w:val="20"/>
          <w:szCs w:val="20"/>
          <w:color w:val="auto"/>
        </w:rPr>
      </w:pPr>
      <w:r>
        <w:rPr>
          <w:rFonts w:ascii="Arial" w:cs="Arial" w:eastAsia="Arial" w:hAnsi="Arial"/>
          <w:sz w:val="18"/>
          <w:szCs w:val="18"/>
          <w:color w:val="auto"/>
        </w:rPr>
        <w:t>We enter into currency exchange swap agreements to convert both principal and interest payments of certain foreign denominated assets and liabilities into U.S. dollar denominated fixed rate instruments to eliminate the exposure to future currency volatility on those items.</w:t>
      </w:r>
    </w:p>
    <w:p>
      <w:pPr>
        <w:spacing w:after="0" w:line="10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We use bond forwards and have used floating-to-fixed rate interest rate swaps to hedge forecasted transactions.</w:t>
      </w:r>
    </w:p>
    <w:p>
      <w:pPr>
        <w:spacing w:after="0" w:line="158" w:lineRule="exact"/>
        <w:rPr>
          <w:sz w:val="20"/>
          <w:szCs w:val="20"/>
          <w:color w:val="auto"/>
        </w:rPr>
      </w:pPr>
    </w:p>
    <w:p>
      <w:pPr>
        <w:ind w:right="80" w:firstLine="648"/>
        <w:spacing w:after="0" w:line="308" w:lineRule="auto"/>
        <w:rPr>
          <w:sz w:val="20"/>
          <w:szCs w:val="20"/>
          <w:color w:val="auto"/>
        </w:rPr>
      </w:pPr>
      <w:r>
        <w:rPr>
          <w:rFonts w:ascii="Arial" w:cs="Arial" w:eastAsia="Arial" w:hAnsi="Arial"/>
          <w:sz w:val="17"/>
          <w:szCs w:val="17"/>
          <w:color w:val="auto"/>
        </w:rPr>
        <w:t>The net interest effect of interest rate swap and currency swap transactions for derivatives in cash flow hedges is recorded as an adjustment to income or expense of the underlying hedged item in our consolidated statements of operations.</w:t>
      </w:r>
    </w:p>
    <w:p>
      <w:pPr>
        <w:spacing w:after="0" w:line="79" w:lineRule="exact"/>
        <w:rPr>
          <w:sz w:val="20"/>
          <w:szCs w:val="20"/>
          <w:color w:val="auto"/>
        </w:rPr>
      </w:pPr>
    </w:p>
    <w:p>
      <w:pPr>
        <w:ind w:right="180" w:firstLine="648"/>
        <w:spacing w:after="0" w:line="255" w:lineRule="auto"/>
        <w:rPr>
          <w:sz w:val="20"/>
          <w:szCs w:val="20"/>
          <w:color w:val="auto"/>
        </w:rPr>
      </w:pPr>
      <w:r>
        <w:rPr>
          <w:rFonts w:ascii="Arial" w:cs="Arial" w:eastAsia="Arial" w:hAnsi="Arial"/>
          <w:sz w:val="18"/>
          <w:szCs w:val="18"/>
          <w:color w:val="auto"/>
        </w:rPr>
        <w:t>The maximum length of time we are hedging our exposure to the variability in future cash flows for forecasted transactions, excluding those related to the payments of variable interest on existing financial assets and liabilities, is 4.7 years. As of June 30, 2022, we had $99.7 million of net losses reported in AOCI on the consolidated statements of financial position related to active hedges of forecasted transactions. If a hedged forecasted transaction is no longer probable of occurring, cash flow hedge accounting is discontinued. If it is probable that the hedged forecasted transaction will not occur, the deferred gain or loss is immediately reclassified from AOCI into net income.</w:t>
      </w:r>
    </w:p>
    <w:p>
      <w:pPr>
        <w:spacing w:after="0" w:line="111" w:lineRule="exact"/>
        <w:rPr>
          <w:sz w:val="20"/>
          <w:szCs w:val="20"/>
          <w:color w:val="auto"/>
        </w:rPr>
      </w:pPr>
    </w:p>
    <w:p>
      <w:pPr>
        <w:ind w:right="640" w:firstLine="648"/>
        <w:spacing w:after="0" w:line="277" w:lineRule="auto"/>
        <w:rPr>
          <w:sz w:val="20"/>
          <w:szCs w:val="20"/>
          <w:color w:val="auto"/>
        </w:rPr>
      </w:pPr>
      <w:r>
        <w:rPr>
          <w:rFonts w:ascii="Arial" w:cs="Arial" w:eastAsia="Arial" w:hAnsi="Arial"/>
          <w:sz w:val="18"/>
          <w:szCs w:val="18"/>
          <w:color w:val="auto"/>
        </w:rPr>
        <w:t>The following table shows the effect of derivatives in cash flow hedging relationships on the consolidated statements of financial position.</w:t>
      </w:r>
    </w:p>
    <w:p>
      <w:pPr>
        <w:spacing w:after="0" w:line="256"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3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6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4340" w:type="dxa"/>
            <w:vAlign w:val="bottom"/>
            <w:tcBorders>
              <w:bottom w:val="single" w:sz="8" w:color="auto"/>
            </w:tcBorders>
            <w:gridSpan w:val="11"/>
          </w:tcPr>
          <w:p>
            <w:pPr>
              <w:jc w:val="center"/>
              <w:ind w:right="74"/>
              <w:spacing w:after="0"/>
              <w:rPr>
                <w:sz w:val="20"/>
                <w:szCs w:val="20"/>
                <w:color w:val="auto"/>
              </w:rPr>
            </w:pPr>
            <w:r>
              <w:rPr>
                <w:rFonts w:ascii="Arial" w:cs="Arial" w:eastAsia="Arial" w:hAnsi="Arial"/>
                <w:sz w:val="14"/>
                <w:szCs w:val="14"/>
                <w:b w:val="1"/>
                <w:bCs w:val="1"/>
                <w:color w:val="auto"/>
                <w:w w:val="92"/>
              </w:rPr>
              <w:t>Amount of gain (loss) recognized in AOCI on derivatives</w:t>
            </w:r>
          </w:p>
        </w:tc>
        <w:tc>
          <w:tcPr>
            <w:tcW w:w="0" w:type="dxa"/>
            <w:vAlign w:val="bottom"/>
          </w:tcPr>
          <w:p>
            <w:pPr>
              <w:spacing w:after="0"/>
              <w:rPr>
                <w:sz w:val="1"/>
                <w:szCs w:val="1"/>
                <w:color w:val="auto"/>
              </w:rPr>
            </w:pPr>
          </w:p>
        </w:tc>
      </w:tr>
      <w:tr>
        <w:trPr>
          <w:trHeight w:val="119"/>
        </w:trPr>
        <w:tc>
          <w:tcPr>
            <w:tcW w:w="2380" w:type="dxa"/>
            <w:vAlign w:val="bottom"/>
            <w:vMerge w:val="restart"/>
          </w:tcPr>
          <w:p>
            <w:pPr>
              <w:ind w:left="620"/>
              <w:spacing w:after="0"/>
              <w:rPr>
                <w:sz w:val="20"/>
                <w:szCs w:val="20"/>
                <w:color w:val="auto"/>
              </w:rPr>
            </w:pPr>
            <w:r>
              <w:rPr>
                <w:rFonts w:ascii="Arial" w:cs="Arial" w:eastAsia="Arial" w:hAnsi="Arial"/>
                <w:sz w:val="14"/>
                <w:szCs w:val="14"/>
                <w:b w:val="1"/>
                <w:bCs w:val="1"/>
                <w:color w:val="auto"/>
              </w:rPr>
              <w:t>Derivatives in cash</w:t>
            </w:r>
          </w:p>
        </w:tc>
        <w:tc>
          <w:tcPr>
            <w:tcW w:w="220" w:type="dxa"/>
            <w:vAlign w:val="bottom"/>
          </w:tcPr>
          <w:p>
            <w:pPr>
              <w:spacing w:after="0"/>
              <w:rPr>
                <w:sz w:val="10"/>
                <w:szCs w:val="10"/>
                <w:color w:val="auto"/>
              </w:rPr>
            </w:pPr>
          </w:p>
        </w:tc>
        <w:tc>
          <w:tcPr>
            <w:tcW w:w="26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240" w:type="dxa"/>
            <w:vAlign w:val="bottom"/>
            <w:gridSpan w:val="5"/>
          </w:tcPr>
          <w:p>
            <w:pPr>
              <w:ind w:left="80"/>
              <w:spacing w:after="0" w:line="119" w:lineRule="exact"/>
              <w:rPr>
                <w:sz w:val="20"/>
                <w:szCs w:val="20"/>
                <w:color w:val="auto"/>
              </w:rPr>
            </w:pPr>
            <w:r>
              <w:rPr>
                <w:rFonts w:ascii="Arial" w:cs="Arial" w:eastAsia="Arial" w:hAnsi="Arial"/>
                <w:sz w:val="13"/>
                <w:szCs w:val="13"/>
                <w:b w:val="1"/>
                <w:bCs w:val="1"/>
                <w:color w:val="auto"/>
              </w:rPr>
              <w:t>For the three months ended</w:t>
            </w:r>
          </w:p>
        </w:tc>
        <w:tc>
          <w:tcPr>
            <w:tcW w:w="240" w:type="dxa"/>
            <w:vAlign w:val="bottom"/>
          </w:tcPr>
          <w:p>
            <w:pPr>
              <w:spacing w:after="0"/>
              <w:rPr>
                <w:sz w:val="10"/>
                <w:szCs w:val="10"/>
                <w:color w:val="auto"/>
              </w:rPr>
            </w:pPr>
          </w:p>
        </w:tc>
        <w:tc>
          <w:tcPr>
            <w:tcW w:w="1860" w:type="dxa"/>
            <w:vAlign w:val="bottom"/>
            <w:gridSpan w:val="5"/>
          </w:tcPr>
          <w:p>
            <w:pPr>
              <w:jc w:val="right"/>
              <w:ind w:right="194"/>
              <w:spacing w:after="0" w:line="119" w:lineRule="exact"/>
              <w:rPr>
                <w:sz w:val="20"/>
                <w:szCs w:val="20"/>
                <w:color w:val="auto"/>
              </w:rPr>
            </w:pPr>
            <w:r>
              <w:rPr>
                <w:rFonts w:ascii="Arial" w:cs="Arial" w:eastAsia="Arial" w:hAnsi="Arial"/>
                <w:sz w:val="13"/>
                <w:szCs w:val="13"/>
                <w:b w:val="1"/>
                <w:bCs w:val="1"/>
                <w:color w:val="auto"/>
                <w:w w:val="98"/>
              </w:rPr>
              <w:t>For the six months ended</w:t>
            </w:r>
          </w:p>
        </w:tc>
        <w:tc>
          <w:tcPr>
            <w:tcW w:w="0" w:type="dxa"/>
            <w:vAlign w:val="bottom"/>
          </w:tcPr>
          <w:p>
            <w:pPr>
              <w:spacing w:after="0"/>
              <w:rPr>
                <w:sz w:val="1"/>
                <w:szCs w:val="1"/>
                <w:color w:val="auto"/>
              </w:rPr>
            </w:pPr>
          </w:p>
        </w:tc>
      </w:tr>
      <w:tr>
        <w:trPr>
          <w:trHeight w:val="171"/>
        </w:trPr>
        <w:tc>
          <w:tcPr>
            <w:tcW w:w="2380" w:type="dxa"/>
            <w:vAlign w:val="bottom"/>
            <w:vMerge w:val="continue"/>
          </w:tcPr>
          <w:p>
            <w:pPr>
              <w:spacing w:after="0"/>
              <w:rPr>
                <w:sz w:val="14"/>
                <w:szCs w:val="14"/>
                <w:color w:val="auto"/>
              </w:rPr>
            </w:pPr>
          </w:p>
        </w:tc>
        <w:tc>
          <w:tcPr>
            <w:tcW w:w="220" w:type="dxa"/>
            <w:vAlign w:val="bottom"/>
          </w:tcPr>
          <w:p>
            <w:pPr>
              <w:spacing w:after="0"/>
              <w:rPr>
                <w:sz w:val="14"/>
                <w:szCs w:val="14"/>
                <w:color w:val="auto"/>
              </w:rPr>
            </w:pPr>
          </w:p>
        </w:tc>
        <w:tc>
          <w:tcPr>
            <w:tcW w:w="26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280" w:type="dxa"/>
            <w:vAlign w:val="bottom"/>
            <w:tcBorders>
              <w:bottom w:val="single" w:sz="8" w:color="auto"/>
            </w:tcBorders>
            <w:gridSpan w:val="3"/>
          </w:tcPr>
          <w:p>
            <w:pPr>
              <w:jc w:val="right"/>
              <w:ind w:right="27"/>
              <w:spacing w:after="0"/>
              <w:rPr>
                <w:sz w:val="20"/>
                <w:szCs w:val="20"/>
                <w:color w:val="auto"/>
              </w:rPr>
            </w:pPr>
            <w:r>
              <w:rPr>
                <w:rFonts w:ascii="Arial" w:cs="Arial" w:eastAsia="Arial" w:hAnsi="Arial"/>
                <w:sz w:val="14"/>
                <w:szCs w:val="14"/>
                <w:b w:val="1"/>
                <w:bCs w:val="1"/>
                <w:color w:val="auto"/>
              </w:rPr>
              <w:t>June 30,</w:t>
            </w:r>
          </w:p>
        </w:tc>
        <w:tc>
          <w:tcPr>
            <w:tcW w:w="740" w:type="dxa"/>
            <w:vAlign w:val="bottom"/>
            <w:tcBorders>
              <w:bottom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gridSpan w:val="4"/>
          </w:tcPr>
          <w:p>
            <w:pPr>
              <w:jc w:val="right"/>
              <w:ind w:right="29"/>
              <w:spacing w:after="0"/>
              <w:rPr>
                <w:sz w:val="20"/>
                <w:szCs w:val="20"/>
                <w:color w:val="auto"/>
              </w:rPr>
            </w:pPr>
            <w:r>
              <w:rPr>
                <w:rFonts w:ascii="Arial" w:cs="Arial" w:eastAsia="Arial" w:hAnsi="Arial"/>
                <w:sz w:val="14"/>
                <w:szCs w:val="14"/>
                <w:b w:val="1"/>
                <w:bCs w:val="1"/>
                <w:color w:val="auto"/>
              </w:rPr>
              <w:t>June 30,</w:t>
            </w:r>
          </w:p>
        </w:tc>
        <w:tc>
          <w:tcPr>
            <w:tcW w:w="72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380" w:type="dxa"/>
            <w:vAlign w:val="bottom"/>
            <w:tcBorders>
              <w:bottom w:val="single" w:sz="8" w:color="auto"/>
            </w:tcBorders>
          </w:tcPr>
          <w:p>
            <w:pPr>
              <w:ind w:left="380"/>
              <w:spacing w:after="0" w:line="142" w:lineRule="exact"/>
              <w:rPr>
                <w:sz w:val="20"/>
                <w:szCs w:val="20"/>
                <w:color w:val="auto"/>
              </w:rPr>
            </w:pPr>
            <w:r>
              <w:rPr>
                <w:rFonts w:ascii="Arial" w:cs="Arial" w:eastAsia="Arial" w:hAnsi="Arial"/>
                <w:sz w:val="14"/>
                <w:szCs w:val="14"/>
                <w:b w:val="1"/>
                <w:bCs w:val="1"/>
                <w:color w:val="auto"/>
              </w:rPr>
              <w:t>flow hedging relationships</w:t>
            </w:r>
          </w:p>
        </w:tc>
        <w:tc>
          <w:tcPr>
            <w:tcW w:w="220" w:type="dxa"/>
            <w:vAlign w:val="bottom"/>
          </w:tcPr>
          <w:p>
            <w:pPr>
              <w:spacing w:after="0"/>
              <w:rPr>
                <w:sz w:val="12"/>
                <w:szCs w:val="12"/>
                <w:color w:val="auto"/>
              </w:rPr>
            </w:pPr>
          </w:p>
        </w:tc>
        <w:tc>
          <w:tcPr>
            <w:tcW w:w="2600" w:type="dxa"/>
            <w:vAlign w:val="bottom"/>
            <w:tcBorders>
              <w:bottom w:val="single" w:sz="8" w:color="auto"/>
            </w:tcBorders>
          </w:tcPr>
          <w:p>
            <w:pPr>
              <w:ind w:left="680"/>
              <w:spacing w:after="0" w:line="142" w:lineRule="exact"/>
              <w:rPr>
                <w:sz w:val="20"/>
                <w:szCs w:val="20"/>
                <w:color w:val="auto"/>
              </w:rPr>
            </w:pPr>
            <w:r>
              <w:rPr>
                <w:rFonts w:ascii="Arial" w:cs="Arial" w:eastAsia="Arial" w:hAnsi="Arial"/>
                <w:sz w:val="14"/>
                <w:szCs w:val="14"/>
                <w:b w:val="1"/>
                <w:bCs w:val="1"/>
                <w:color w:val="auto"/>
              </w:rPr>
              <w:t>Related hedged item</w:t>
            </w:r>
          </w:p>
        </w:tc>
        <w:tc>
          <w:tcPr>
            <w:tcW w:w="22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jc w:val="right"/>
              <w:ind w:right="260"/>
              <w:spacing w:after="0" w:line="142" w:lineRule="exact"/>
              <w:rPr>
                <w:sz w:val="20"/>
                <w:szCs w:val="20"/>
                <w:color w:val="auto"/>
              </w:rPr>
            </w:pPr>
            <w:r>
              <w:rPr>
                <w:rFonts w:ascii="Arial" w:cs="Arial" w:eastAsia="Arial" w:hAnsi="Arial"/>
                <w:sz w:val="14"/>
                <w:szCs w:val="14"/>
                <w:b w:val="1"/>
                <w:bCs w:val="1"/>
                <w:color w:val="auto"/>
              </w:rPr>
              <w:t>2022</w:t>
            </w:r>
          </w:p>
        </w:tc>
        <w:tc>
          <w:tcPr>
            <w:tcW w:w="240" w:type="dxa"/>
            <w:vAlign w:val="bottom"/>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740" w:type="dxa"/>
            <w:vAlign w:val="bottom"/>
            <w:tcBorders>
              <w:bottom w:val="single" w:sz="8" w:color="auto"/>
            </w:tcBorders>
          </w:tcPr>
          <w:p>
            <w:pPr>
              <w:jc w:val="right"/>
              <w:ind w:right="276"/>
              <w:spacing w:after="0" w:line="142" w:lineRule="exact"/>
              <w:rPr>
                <w:sz w:val="20"/>
                <w:szCs w:val="20"/>
                <w:color w:val="auto"/>
              </w:rPr>
            </w:pPr>
            <w:r>
              <w:rPr>
                <w:rFonts w:ascii="Arial" w:cs="Arial" w:eastAsia="Arial" w:hAnsi="Arial"/>
                <w:sz w:val="14"/>
                <w:szCs w:val="14"/>
                <w:b w:val="1"/>
                <w:bCs w:val="1"/>
                <w:color w:val="auto"/>
              </w:rPr>
              <w:t>2021</w:t>
            </w:r>
          </w:p>
        </w:tc>
        <w:tc>
          <w:tcPr>
            <w:tcW w:w="220" w:type="dxa"/>
            <w:vAlign w:val="bottom"/>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tcPr>
          <w:p>
            <w:pPr>
              <w:jc w:val="right"/>
              <w:ind w:right="258"/>
              <w:spacing w:after="0" w:line="142" w:lineRule="exact"/>
              <w:rPr>
                <w:sz w:val="20"/>
                <w:szCs w:val="20"/>
                <w:color w:val="auto"/>
              </w:rPr>
            </w:pPr>
            <w:r>
              <w:rPr>
                <w:rFonts w:ascii="Arial" w:cs="Arial" w:eastAsia="Arial" w:hAnsi="Arial"/>
                <w:sz w:val="14"/>
                <w:szCs w:val="14"/>
                <w:b w:val="1"/>
                <w:bCs w:val="1"/>
                <w:color w:val="auto"/>
              </w:rPr>
              <w:t>2022</w:t>
            </w:r>
          </w:p>
        </w:tc>
        <w:tc>
          <w:tcPr>
            <w:tcW w:w="2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tcPr>
          <w:p>
            <w:pPr>
              <w:jc w:val="right"/>
              <w:ind w:right="254"/>
              <w:spacing w:after="0" w:line="142" w:lineRule="exact"/>
              <w:rPr>
                <w:sz w:val="20"/>
                <w:szCs w:val="20"/>
                <w:color w:val="auto"/>
              </w:rPr>
            </w:pPr>
            <w:r>
              <w:rPr>
                <w:rFonts w:ascii="Arial" w:cs="Arial" w:eastAsia="Arial" w:hAnsi="Arial"/>
                <w:sz w:val="14"/>
                <w:szCs w:val="14"/>
                <w:b w:val="1"/>
                <w:bCs w:val="1"/>
                <w:color w:val="auto"/>
              </w:rPr>
              <w:t>2021</w:t>
            </w:r>
          </w:p>
        </w:tc>
        <w:tc>
          <w:tcPr>
            <w:tcW w:w="0" w:type="dxa"/>
            <w:vAlign w:val="bottom"/>
          </w:tcPr>
          <w:p>
            <w:pPr>
              <w:spacing w:after="0"/>
              <w:rPr>
                <w:sz w:val="1"/>
                <w:szCs w:val="1"/>
                <w:color w:val="auto"/>
              </w:rPr>
            </w:pPr>
          </w:p>
        </w:tc>
      </w:tr>
      <w:tr>
        <w:trPr>
          <w:trHeight w:val="142"/>
        </w:trPr>
        <w:tc>
          <w:tcPr>
            <w:tcW w:w="23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6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00" w:type="dxa"/>
            <w:vAlign w:val="bottom"/>
            <w:gridSpan w:val="3"/>
          </w:tcPr>
          <w:p>
            <w:pPr>
              <w:jc w:val="center"/>
              <w:ind w:left="336"/>
              <w:spacing w:after="0" w:line="142" w:lineRule="exact"/>
              <w:rPr>
                <w:sz w:val="20"/>
                <w:szCs w:val="20"/>
                <w:color w:val="auto"/>
              </w:rPr>
            </w:pPr>
            <w:r>
              <w:rPr>
                <w:rFonts w:ascii="Arial" w:cs="Arial" w:eastAsia="Arial" w:hAnsi="Arial"/>
                <w:sz w:val="14"/>
                <w:szCs w:val="14"/>
                <w:i w:val="1"/>
                <w:iCs w:val="1"/>
                <w:color w:val="auto"/>
                <w:w w:val="98"/>
              </w:rPr>
              <w:t>(in millions)</w:t>
            </w: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380" w:type="dxa"/>
            <w:vAlign w:val="bottom"/>
            <w:shd w:val="clear" w:color="auto" w:fill="CCEEFF"/>
          </w:tcPr>
          <w:p>
            <w:pPr>
              <w:spacing w:after="0"/>
              <w:rPr>
                <w:sz w:val="20"/>
                <w:szCs w:val="20"/>
                <w:color w:val="auto"/>
              </w:rPr>
            </w:pPr>
            <w:r>
              <w:rPr>
                <w:rFonts w:ascii="Arial" w:cs="Arial" w:eastAsia="Arial" w:hAnsi="Arial"/>
                <w:sz w:val="18"/>
                <w:szCs w:val="18"/>
                <w:color w:val="auto"/>
              </w:rPr>
              <w:t>Interest rate contracts</w:t>
            </w:r>
          </w:p>
        </w:tc>
        <w:tc>
          <w:tcPr>
            <w:tcW w:w="3040" w:type="dxa"/>
            <w:vAlign w:val="bottom"/>
            <w:gridSpan w:val="3"/>
            <w:shd w:val="clear" w:color="auto" w:fill="CCEEFF"/>
          </w:tcPr>
          <w:p>
            <w:pPr>
              <w:ind w:left="220"/>
              <w:spacing w:after="0"/>
              <w:rPr>
                <w:sz w:val="20"/>
                <w:szCs w:val="20"/>
                <w:color w:val="auto"/>
              </w:rPr>
            </w:pPr>
            <w:r>
              <w:rPr>
                <w:rFonts w:ascii="Arial" w:cs="Arial" w:eastAsia="Arial" w:hAnsi="Arial"/>
                <w:sz w:val="18"/>
                <w:szCs w:val="18"/>
                <w:color w:val="auto"/>
              </w:rPr>
              <w:t>Fixed maturities, available-for-sale</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(55.5)</w:t>
            </w:r>
          </w:p>
        </w:tc>
        <w:tc>
          <w:tcPr>
            <w:tcW w:w="240" w:type="dxa"/>
            <w:vAlign w:val="bottom"/>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960" w:type="dxa"/>
            <w:vAlign w:val="bottom"/>
            <w:gridSpan w:val="2"/>
            <w:shd w:val="clear" w:color="auto" w:fill="CCEEFF"/>
          </w:tcPr>
          <w:p>
            <w:pPr>
              <w:ind w:left="5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b w:val="1"/>
                <w:bCs w:val="1"/>
                <w:color w:val="auto"/>
                <w:w w:val="79"/>
              </w:rPr>
              <w:t>$</w:t>
            </w:r>
          </w:p>
        </w:tc>
        <w:tc>
          <w:tcPr>
            <w:tcW w:w="9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(99.7)</w:t>
            </w:r>
          </w:p>
        </w:tc>
        <w:tc>
          <w:tcPr>
            <w:tcW w:w="220" w:type="dxa"/>
            <w:vAlign w:val="bottom"/>
            <w:gridSpan w:val="2"/>
            <w:shd w:val="clear" w:color="auto" w:fill="CCEEFF"/>
          </w:tcPr>
          <w:p>
            <w:pPr>
              <w:jc w:val="right"/>
              <w:ind w:right="89"/>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380" w:type="dxa"/>
            <w:vAlign w:val="bottom"/>
          </w:tcPr>
          <w:p>
            <w:pPr>
              <w:spacing w:after="0"/>
              <w:rPr>
                <w:sz w:val="20"/>
                <w:szCs w:val="20"/>
                <w:color w:val="auto"/>
              </w:rPr>
            </w:pPr>
            <w:r>
              <w:rPr>
                <w:rFonts w:ascii="Arial" w:cs="Arial" w:eastAsia="Arial" w:hAnsi="Arial"/>
                <w:sz w:val="18"/>
                <w:szCs w:val="18"/>
                <w:color w:val="auto"/>
              </w:rPr>
              <w:t>Interest rate contracts</w:t>
            </w:r>
          </w:p>
        </w:tc>
        <w:tc>
          <w:tcPr>
            <w:tcW w:w="3040" w:type="dxa"/>
            <w:vAlign w:val="bottom"/>
            <w:gridSpan w:val="3"/>
          </w:tcPr>
          <w:p>
            <w:pPr>
              <w:ind w:left="220"/>
              <w:spacing w:after="0"/>
              <w:rPr>
                <w:sz w:val="20"/>
                <w:szCs w:val="20"/>
                <w:color w:val="auto"/>
              </w:rPr>
            </w:pPr>
            <w:r>
              <w:rPr>
                <w:rFonts w:ascii="Arial" w:cs="Arial" w:eastAsia="Arial" w:hAnsi="Arial"/>
                <w:sz w:val="18"/>
                <w:szCs w:val="18"/>
                <w:color w:val="auto"/>
              </w:rPr>
              <w:t>Investment contracts</w:t>
            </w:r>
          </w:p>
        </w:tc>
        <w:tc>
          <w:tcPr>
            <w:tcW w:w="1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b w:val="1"/>
                <w:bCs w:val="1"/>
                <w:color w:val="auto"/>
              </w:rPr>
              <w:t>2.5</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60" w:type="dxa"/>
            <w:vAlign w:val="bottom"/>
            <w:gridSpan w:val="2"/>
          </w:tcPr>
          <w:p>
            <w:pPr>
              <w:ind w:left="5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rPr>
              <w:t>12.0</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380" w:type="dxa"/>
            <w:vAlign w:val="bottom"/>
            <w:shd w:val="clear" w:color="auto" w:fill="CCEEFF"/>
          </w:tcPr>
          <w:p>
            <w:pPr>
              <w:spacing w:after="0"/>
              <w:rPr>
                <w:sz w:val="20"/>
                <w:szCs w:val="20"/>
                <w:color w:val="auto"/>
              </w:rPr>
            </w:pPr>
            <w:r>
              <w:rPr>
                <w:rFonts w:ascii="Arial" w:cs="Arial" w:eastAsia="Arial" w:hAnsi="Arial"/>
                <w:sz w:val="18"/>
                <w:szCs w:val="18"/>
                <w:color w:val="auto"/>
              </w:rPr>
              <w:t>Foreign exchange contracts</w:t>
            </w:r>
          </w:p>
        </w:tc>
        <w:tc>
          <w:tcPr>
            <w:tcW w:w="3040" w:type="dxa"/>
            <w:vAlign w:val="bottom"/>
            <w:gridSpan w:val="3"/>
            <w:shd w:val="clear" w:color="auto" w:fill="CCEEFF"/>
          </w:tcPr>
          <w:p>
            <w:pPr>
              <w:ind w:left="220"/>
              <w:spacing w:after="0"/>
              <w:rPr>
                <w:sz w:val="20"/>
                <w:szCs w:val="20"/>
                <w:color w:val="auto"/>
              </w:rPr>
            </w:pPr>
            <w:r>
              <w:rPr>
                <w:rFonts w:ascii="Arial" w:cs="Arial" w:eastAsia="Arial" w:hAnsi="Arial"/>
                <w:sz w:val="18"/>
                <w:szCs w:val="18"/>
                <w:color w:val="auto"/>
              </w:rPr>
              <w:t>Fixed maturities, available-for-sale</w:t>
            </w:r>
          </w:p>
        </w:tc>
        <w:tc>
          <w:tcPr>
            <w:tcW w:w="16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53.5</w:t>
            </w:r>
          </w:p>
        </w:tc>
        <w:tc>
          <w:tcPr>
            <w:tcW w:w="24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ind w:right="16"/>
              <w:spacing w:after="0"/>
              <w:rPr>
                <w:sz w:val="20"/>
                <w:szCs w:val="20"/>
                <w:color w:val="auto"/>
              </w:rPr>
            </w:pPr>
            <w:r>
              <w:rPr>
                <w:rFonts w:ascii="Arial" w:cs="Arial" w:eastAsia="Arial" w:hAnsi="Arial"/>
                <w:sz w:val="18"/>
                <w:szCs w:val="18"/>
                <w:color w:val="auto"/>
              </w:rPr>
              <w:t>21.2</w:t>
            </w:r>
          </w:p>
        </w:tc>
        <w:tc>
          <w:tcPr>
            <w:tcW w:w="22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66.5</w:t>
            </w: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21.8</w:t>
            </w:r>
          </w:p>
        </w:tc>
        <w:tc>
          <w:tcPr>
            <w:tcW w:w="0" w:type="dxa"/>
            <w:vAlign w:val="bottom"/>
          </w:tcPr>
          <w:p>
            <w:pPr>
              <w:spacing w:after="0"/>
              <w:rPr>
                <w:sz w:val="1"/>
                <w:szCs w:val="1"/>
                <w:color w:val="auto"/>
              </w:rPr>
            </w:pPr>
          </w:p>
        </w:tc>
      </w:tr>
      <w:tr>
        <w:trPr>
          <w:trHeight w:val="209"/>
        </w:trPr>
        <w:tc>
          <w:tcPr>
            <w:tcW w:w="2380" w:type="dxa"/>
            <w:vAlign w:val="bottom"/>
          </w:tcPr>
          <w:p>
            <w:pPr>
              <w:spacing w:after="0"/>
              <w:rPr>
                <w:sz w:val="20"/>
                <w:szCs w:val="20"/>
                <w:color w:val="auto"/>
              </w:rPr>
            </w:pPr>
            <w:r>
              <w:rPr>
                <w:rFonts w:ascii="Arial" w:cs="Arial" w:eastAsia="Arial" w:hAnsi="Arial"/>
                <w:sz w:val="18"/>
                <w:szCs w:val="18"/>
                <w:color w:val="auto"/>
              </w:rPr>
              <w:t>Total</w:t>
            </w:r>
          </w:p>
        </w:tc>
        <w:tc>
          <w:tcPr>
            <w:tcW w:w="220" w:type="dxa"/>
            <w:vAlign w:val="bottom"/>
          </w:tcPr>
          <w:p>
            <w:pPr>
              <w:spacing w:after="0"/>
              <w:rPr>
                <w:sz w:val="18"/>
                <w:szCs w:val="18"/>
                <w:color w:val="auto"/>
              </w:rPr>
            </w:pPr>
          </w:p>
        </w:tc>
        <w:tc>
          <w:tcPr>
            <w:tcW w:w="26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0.5</w:t>
            </w:r>
          </w:p>
        </w:tc>
        <w:tc>
          <w:tcPr>
            <w:tcW w:w="240" w:type="dxa"/>
            <w:vAlign w:val="bottom"/>
          </w:tcPr>
          <w:p>
            <w:pPr>
              <w:spacing w:after="0"/>
              <w:rPr>
                <w:sz w:val="18"/>
                <w:szCs w:val="18"/>
                <w:color w:val="auto"/>
              </w:rPr>
            </w:pPr>
          </w:p>
        </w:tc>
        <w:tc>
          <w:tcPr>
            <w:tcW w:w="240" w:type="dxa"/>
            <w:vAlign w:val="bottom"/>
            <w:tcBorders>
              <w:bottom w:val="single" w:sz="8" w:color="auto"/>
            </w:tcBorders>
          </w:tcPr>
          <w:p>
            <w:pPr>
              <w:jc w:val="right"/>
              <w:ind w:right="87"/>
              <w:spacing w:after="0"/>
              <w:rPr>
                <w:sz w:val="20"/>
                <w:szCs w:val="20"/>
                <w:color w:val="auto"/>
              </w:rPr>
            </w:pPr>
            <w:r>
              <w:rPr>
                <w:rFonts w:ascii="Arial" w:cs="Arial" w:eastAsia="Arial" w:hAnsi="Arial"/>
                <w:sz w:val="15"/>
                <w:szCs w:val="15"/>
                <w:color w:val="auto"/>
                <w:w w:val="71"/>
              </w:rPr>
              <w:t>$</w:t>
            </w:r>
          </w:p>
        </w:tc>
        <w:tc>
          <w:tcPr>
            <w:tcW w:w="740" w:type="dxa"/>
            <w:vAlign w:val="bottom"/>
            <w:tcBorders>
              <w:bottom w:val="single" w:sz="8" w:color="auto"/>
            </w:tcBorders>
          </w:tcPr>
          <w:p>
            <w:pPr>
              <w:jc w:val="right"/>
              <w:ind w:right="16"/>
              <w:spacing w:after="0"/>
              <w:rPr>
                <w:sz w:val="20"/>
                <w:szCs w:val="20"/>
                <w:color w:val="auto"/>
              </w:rPr>
            </w:pPr>
            <w:r>
              <w:rPr>
                <w:rFonts w:ascii="Arial" w:cs="Arial" w:eastAsia="Arial" w:hAnsi="Arial"/>
                <w:sz w:val="18"/>
                <w:szCs w:val="18"/>
                <w:color w:val="auto"/>
              </w:rPr>
              <w:t>21.2</w:t>
            </w:r>
          </w:p>
        </w:tc>
        <w:tc>
          <w:tcPr>
            <w:tcW w:w="220" w:type="dxa"/>
            <w:vAlign w:val="bottom"/>
          </w:tcPr>
          <w:p>
            <w:pPr>
              <w:spacing w:after="0"/>
              <w:rPr>
                <w:sz w:val="18"/>
                <w:szCs w:val="18"/>
                <w:color w:val="auto"/>
              </w:rPr>
            </w:pPr>
          </w:p>
        </w:tc>
        <w:tc>
          <w:tcPr>
            <w:tcW w:w="2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w w:val="79"/>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(21.2)</w:t>
            </w:r>
          </w:p>
        </w:tc>
        <w:tc>
          <w:tcPr>
            <w:tcW w:w="20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200" w:type="dxa"/>
            <w:vAlign w:val="bottom"/>
            <w:tcBorders>
              <w:bottom w:val="single" w:sz="8" w:color="auto"/>
            </w:tcBorders>
          </w:tcPr>
          <w:p>
            <w:pPr>
              <w:jc w:val="right"/>
              <w:ind w:right="89"/>
              <w:spacing w:after="0"/>
              <w:rPr>
                <w:sz w:val="20"/>
                <w:szCs w:val="20"/>
                <w:color w:val="auto"/>
              </w:rPr>
            </w:pPr>
            <w:r>
              <w:rPr>
                <w:rFonts w:ascii="Arial" w:cs="Arial" w:eastAsia="Arial" w:hAnsi="Arial"/>
                <w:sz w:val="10"/>
                <w:szCs w:val="10"/>
                <w:color w:val="auto"/>
                <w:w w:val="71"/>
              </w:rPr>
              <w:t>$</w:t>
            </w:r>
          </w:p>
        </w:tc>
        <w:tc>
          <w:tcPr>
            <w:tcW w:w="720" w:type="dxa"/>
            <w:vAlign w:val="bottom"/>
            <w:tcBorders>
              <w:bottom w:val="single" w:sz="8" w:color="auto"/>
            </w:tcBorders>
          </w:tcPr>
          <w:p>
            <w:pPr>
              <w:jc w:val="right"/>
              <w:ind w:right="14"/>
              <w:spacing w:after="0"/>
              <w:rPr>
                <w:sz w:val="20"/>
                <w:szCs w:val="20"/>
                <w:color w:val="auto"/>
              </w:rPr>
            </w:pPr>
            <w:r>
              <w:rPr>
                <w:rFonts w:ascii="Arial" w:cs="Arial" w:eastAsia="Arial" w:hAnsi="Arial"/>
                <w:sz w:val="18"/>
                <w:szCs w:val="18"/>
                <w:color w:val="auto"/>
              </w:rPr>
              <w:t>21.8</w:t>
            </w:r>
          </w:p>
        </w:tc>
        <w:tc>
          <w:tcPr>
            <w:tcW w:w="0" w:type="dxa"/>
            <w:vAlign w:val="bottom"/>
          </w:tcPr>
          <w:p>
            <w:pPr>
              <w:spacing w:after="0"/>
              <w:rPr>
                <w:sz w:val="1"/>
                <w:szCs w:val="1"/>
                <w:color w:val="auto"/>
              </w:rPr>
            </w:pPr>
          </w:p>
        </w:tc>
      </w:tr>
      <w:tr>
        <w:trPr>
          <w:trHeight w:val="20"/>
        </w:trPr>
        <w:tc>
          <w:tcPr>
            <w:tcW w:w="23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9920"/>
          </w:cols>
          <w:pgMar w:left="980" w:top="665" w:right="999" w:bottom="1440" w:gutter="0" w:footer="0" w:header="0"/>
        </w:sectPr>
      </w:pPr>
    </w:p>
    <w:p>
      <w:pPr>
        <w:spacing w:after="0" w:line="200" w:lineRule="exact"/>
        <w:rPr>
          <w:sz w:val="20"/>
          <w:szCs w:val="20"/>
          <w:color w:val="auto"/>
        </w:rPr>
      </w:pPr>
    </w:p>
    <w:p>
      <w:pPr>
        <w:spacing w:after="0" w:line="234"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372110</wp:posOffset>
            </wp:positionV>
            <wp:extent cx="6292215" cy="2603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type w:val="continuous"/>
        </w:sectPr>
      </w:pPr>
    </w:p>
    <w:bookmarkStart w:id="44" w:name="page45"/>
    <w:bookmarkEnd w:id="44"/>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firstLine="648"/>
        <w:spacing w:after="0" w:line="263" w:lineRule="auto"/>
        <w:rPr>
          <w:sz w:val="20"/>
          <w:szCs w:val="20"/>
          <w:color w:val="auto"/>
        </w:rPr>
      </w:pPr>
      <w:r>
        <w:rPr>
          <w:rFonts w:ascii="Arial" w:cs="Arial" w:eastAsia="Arial" w:hAnsi="Arial"/>
          <w:sz w:val="18"/>
          <w:szCs w:val="18"/>
          <w:color w:val="auto"/>
        </w:rPr>
        <w:t>We expect to reclassify net gains of $21.3 million from AOCI into net income in the next 12 months, which includes both net deferred gains on discontinued hedges and net gains on periodic settlements of active hedges. Actual amounts may vary from this amount as a result of market conditions.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Effect of Fair Value and Cash Flow Hedges on Consolidated Statements of Operations</w:t>
      </w:r>
    </w:p>
    <w:p>
      <w:pPr>
        <w:spacing w:after="0" w:line="225" w:lineRule="exact"/>
        <w:rPr>
          <w:sz w:val="20"/>
          <w:szCs w:val="20"/>
          <w:color w:val="auto"/>
        </w:rPr>
      </w:pPr>
    </w:p>
    <w:p>
      <w:pPr>
        <w:ind w:right="380" w:firstLine="648"/>
        <w:spacing w:after="0" w:line="277" w:lineRule="auto"/>
        <w:rPr>
          <w:sz w:val="20"/>
          <w:szCs w:val="20"/>
          <w:color w:val="auto"/>
        </w:rPr>
      </w:pPr>
      <w:r>
        <w:rPr>
          <w:rFonts w:ascii="Arial" w:cs="Arial" w:eastAsia="Arial" w:hAnsi="Arial"/>
          <w:sz w:val="18"/>
          <w:szCs w:val="18"/>
          <w:color w:val="auto"/>
        </w:rPr>
        <w:t>The following tables show the effect of derivatives in fair value and cash flow hedging relationships and the related hedged items on the consolidated statements of operations.</w:t>
      </w:r>
    </w:p>
    <w:p>
      <w:pPr>
        <w:sectPr>
          <w:pgSz w:w="11900" w:h="16838" w:orient="portrait"/>
          <w:cols w:equalWidth="0" w:num="1">
            <w:col w:w="9920"/>
          </w:cols>
          <w:pgMar w:left="980" w:top="665" w:right="99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left="140" w:hanging="129"/>
        <w:spacing w:after="0" w:line="277" w:lineRule="auto"/>
        <w:rPr>
          <w:sz w:val="20"/>
          <w:szCs w:val="20"/>
          <w:color w:val="auto"/>
        </w:rPr>
      </w:pPr>
      <w:r>
        <w:rPr>
          <w:rFonts w:ascii="Arial" w:cs="Arial" w:eastAsia="Arial" w:hAnsi="Arial"/>
          <w:sz w:val="18"/>
          <w:szCs w:val="18"/>
          <w:color w:val="auto"/>
        </w:rPr>
        <w:t>Total amounts of consolidated statement of operations line items in which the effects of fair value and cash flow hedges are reported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-293370</wp:posOffset>
            </wp:positionV>
            <wp:extent cx="6292215" cy="27432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6292215" cy="274320"/>
                    </a:xfrm>
                    <a:prstGeom prst="rect">
                      <a:avLst/>
                    </a:prstGeom>
                    <a:noFill/>
                  </pic:spPr>
                </pic:pic>
              </a:graphicData>
            </a:graphic>
          </wp:anchor>
        </w:drawing>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Losses on fair value hedging relationships: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-121920</wp:posOffset>
            </wp:positionV>
            <wp:extent cx="6292215" cy="13716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6292215" cy="13716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Interest rate contracts: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5715</wp:posOffset>
            </wp:positionV>
            <wp:extent cx="6292215" cy="13716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6292215" cy="137160"/>
                    </a:xfrm>
                    <a:prstGeom prst="rect">
                      <a:avLst/>
                    </a:prstGeom>
                    <a:noFill/>
                  </pic:spPr>
                </pic:pic>
              </a:graphicData>
            </a:graphic>
          </wp:anchor>
        </w:drawing>
      </w:r>
    </w:p>
    <w:p>
      <w:pPr>
        <w:ind w:left="120"/>
        <w:spacing w:after="0"/>
        <w:rPr>
          <w:sz w:val="20"/>
          <w:szCs w:val="20"/>
          <w:color w:val="auto"/>
        </w:rPr>
      </w:pPr>
      <w:r>
        <w:rPr>
          <w:rFonts w:ascii="Arial" w:cs="Arial" w:eastAsia="Arial" w:hAnsi="Arial"/>
          <w:sz w:val="18"/>
          <w:szCs w:val="18"/>
          <w:color w:val="auto"/>
        </w:rPr>
        <w:t>Loss recognized on hedged item</w:t>
      </w:r>
    </w:p>
    <w:p>
      <w:pPr>
        <w:spacing w:after="0" w:line="9" w:lineRule="exact"/>
        <w:rPr>
          <w:sz w:val="20"/>
          <w:szCs w:val="20"/>
          <w:color w:val="auto"/>
        </w:rPr>
      </w:pPr>
    </w:p>
    <w:p>
      <w:pPr>
        <w:ind w:left="120"/>
        <w:spacing w:after="0"/>
        <w:rPr>
          <w:sz w:val="20"/>
          <w:szCs w:val="20"/>
          <w:color w:val="auto"/>
        </w:rPr>
      </w:pPr>
      <w:r>
        <w:rPr>
          <w:rFonts w:ascii="Arial" w:cs="Arial" w:eastAsia="Arial" w:hAnsi="Arial"/>
          <w:sz w:val="18"/>
          <w:szCs w:val="18"/>
          <w:color w:val="auto"/>
        </w:rPr>
        <w:t>Gain recognized on derivatives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5715</wp:posOffset>
            </wp:positionV>
            <wp:extent cx="6292215" cy="13716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6292215" cy="137160"/>
                    </a:xfrm>
                    <a:prstGeom prst="rect">
                      <a:avLst/>
                    </a:prstGeom>
                    <a:noFill/>
                  </pic:spPr>
                </pic:pic>
              </a:graphicData>
            </a:graphic>
          </wp:anchor>
        </w:drawing>
      </w:r>
    </w:p>
    <w:p>
      <w:pPr>
        <w:ind w:left="120"/>
        <w:spacing w:after="0"/>
        <w:rPr>
          <w:sz w:val="20"/>
          <w:szCs w:val="20"/>
          <w:color w:val="auto"/>
        </w:rPr>
      </w:pPr>
      <w:r>
        <w:rPr>
          <w:rFonts w:ascii="Arial" w:cs="Arial" w:eastAsia="Arial" w:hAnsi="Arial"/>
          <w:sz w:val="18"/>
          <w:szCs w:val="18"/>
          <w:color w:val="auto"/>
        </w:rPr>
        <w:t>Amortization of hedged item basis adjustments</w:t>
      </w:r>
    </w:p>
    <w:p>
      <w:pPr>
        <w:spacing w:after="0" w:line="9" w:lineRule="exact"/>
        <w:rPr>
          <w:sz w:val="20"/>
          <w:szCs w:val="20"/>
          <w:color w:val="auto"/>
        </w:rPr>
      </w:pPr>
    </w:p>
    <w:p>
      <w:pPr>
        <w:ind w:left="120"/>
        <w:spacing w:after="0"/>
        <w:rPr>
          <w:sz w:val="20"/>
          <w:szCs w:val="20"/>
          <w:color w:val="auto"/>
        </w:rPr>
      </w:pPr>
      <w:r>
        <w:rPr>
          <w:rFonts w:ascii="Arial" w:cs="Arial" w:eastAsia="Arial" w:hAnsi="Arial"/>
          <w:sz w:val="18"/>
          <w:szCs w:val="18"/>
          <w:color w:val="auto"/>
        </w:rPr>
        <w:t>Amounts related to periodic settlements on derivatives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5715</wp:posOffset>
            </wp:positionV>
            <wp:extent cx="6292215" cy="15430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6292215" cy="154305"/>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Total loss recognized for fair value hedging relationships</w:t>
      </w:r>
    </w:p>
    <w:p>
      <w:pPr>
        <w:spacing w:after="0" w:line="265" w:lineRule="exact"/>
        <w:rPr>
          <w:sz w:val="20"/>
          <w:szCs w:val="20"/>
          <w:color w:val="auto"/>
        </w:rPr>
      </w:pPr>
    </w:p>
    <w:p>
      <w:pPr>
        <w:spacing w:after="0"/>
        <w:rPr>
          <w:sz w:val="20"/>
          <w:szCs w:val="20"/>
          <w:color w:val="auto"/>
        </w:rPr>
      </w:pPr>
      <w:r>
        <w:rPr>
          <w:rFonts w:ascii="Arial" w:cs="Arial" w:eastAsia="Arial" w:hAnsi="Arial"/>
          <w:sz w:val="18"/>
          <w:szCs w:val="18"/>
          <w:color w:val="auto"/>
        </w:rPr>
        <w:t>Gains on cash flow hedging relationships: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-121920</wp:posOffset>
            </wp:positionV>
            <wp:extent cx="6292215" cy="13716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6292215" cy="13716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Interest rate contracts: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5715</wp:posOffset>
            </wp:positionV>
            <wp:extent cx="6292215" cy="13716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6292215" cy="137160"/>
                    </a:xfrm>
                    <a:prstGeom prst="rect">
                      <a:avLst/>
                    </a:prstGeom>
                    <a:noFill/>
                  </pic:spPr>
                </pic:pic>
              </a:graphicData>
            </a:graphic>
          </wp:anchor>
        </w:drawing>
      </w:r>
    </w:p>
    <w:p>
      <w:pPr>
        <w:ind w:left="120"/>
        <w:spacing w:after="0"/>
        <w:rPr>
          <w:sz w:val="20"/>
          <w:szCs w:val="20"/>
          <w:color w:val="auto"/>
        </w:rPr>
      </w:pPr>
      <w:r>
        <w:rPr>
          <w:rFonts w:ascii="Arial" w:cs="Arial" w:eastAsia="Arial" w:hAnsi="Arial"/>
          <w:sz w:val="18"/>
          <w:szCs w:val="18"/>
          <w:color w:val="auto"/>
        </w:rPr>
        <w:t>Gain (loss) reclassified from AOCI on derivatives</w:t>
      </w:r>
    </w:p>
    <w:p>
      <w:pPr>
        <w:spacing w:after="0" w:line="9" w:lineRule="exact"/>
        <w:rPr>
          <w:sz w:val="20"/>
          <w:szCs w:val="20"/>
          <w:color w:val="auto"/>
        </w:rPr>
      </w:pPr>
    </w:p>
    <w:p>
      <w:pPr>
        <w:ind w:left="240" w:right="160" w:hanging="129"/>
        <w:spacing w:after="0" w:line="250" w:lineRule="auto"/>
        <w:rPr>
          <w:sz w:val="20"/>
          <w:szCs w:val="20"/>
          <w:color w:val="auto"/>
        </w:rPr>
      </w:pPr>
      <w:r>
        <w:rPr>
          <w:rFonts w:ascii="Arial" w:cs="Arial" w:eastAsia="Arial" w:hAnsi="Arial"/>
          <w:sz w:val="18"/>
          <w:szCs w:val="18"/>
          <w:color w:val="auto"/>
        </w:rPr>
        <w:t>Gain reclassified from AOCI as a result that a forecasted transaction is no longer probable of occurring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635</wp:posOffset>
            </wp:positionV>
            <wp:extent cx="6292215" cy="13716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6292215" cy="137160"/>
                    </a:xfrm>
                    <a:prstGeom prst="rect">
                      <a:avLst/>
                    </a:prstGeom>
                    <a:noFill/>
                  </pic:spPr>
                </pic:pic>
              </a:graphicData>
            </a:graphic>
          </wp:anchor>
        </w:drawing>
      </w:r>
    </w:p>
    <w:p>
      <w:pPr>
        <w:ind w:left="120"/>
        <w:spacing w:after="0"/>
        <w:rPr>
          <w:sz w:val="20"/>
          <w:szCs w:val="20"/>
          <w:color w:val="auto"/>
        </w:rPr>
      </w:pPr>
      <w:r>
        <w:rPr>
          <w:rFonts w:ascii="Arial" w:cs="Arial" w:eastAsia="Arial" w:hAnsi="Arial"/>
          <w:sz w:val="18"/>
          <w:szCs w:val="18"/>
          <w:color w:val="auto"/>
        </w:rPr>
        <w:t>Amounts related to periodic settlements on derivatives</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Foreign exchange contracts: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-121920</wp:posOffset>
            </wp:positionV>
            <wp:extent cx="6292215" cy="13716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6292215" cy="137160"/>
                    </a:xfrm>
                    <a:prstGeom prst="rect">
                      <a:avLst/>
                    </a:prstGeom>
                    <a:noFill/>
                  </pic:spPr>
                </pic:pic>
              </a:graphicData>
            </a:graphic>
          </wp:anchor>
        </w:drawing>
      </w:r>
    </w:p>
    <w:p>
      <w:pPr>
        <w:spacing w:after="0" w:line="3" w:lineRule="exact"/>
        <w:rPr>
          <w:sz w:val="20"/>
          <w:szCs w:val="20"/>
          <w:color w:val="auto"/>
        </w:rPr>
      </w:pPr>
    </w:p>
    <w:p>
      <w:pPr>
        <w:ind w:left="120"/>
        <w:spacing w:after="0"/>
        <w:rPr>
          <w:sz w:val="20"/>
          <w:szCs w:val="20"/>
          <w:color w:val="auto"/>
        </w:rPr>
      </w:pPr>
      <w:r>
        <w:rPr>
          <w:rFonts w:ascii="Arial" w:cs="Arial" w:eastAsia="Arial" w:hAnsi="Arial"/>
          <w:sz w:val="18"/>
          <w:szCs w:val="18"/>
          <w:color w:val="auto"/>
        </w:rPr>
        <w:t>Gain reclassified from AOCI on derivatives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5715</wp:posOffset>
            </wp:positionV>
            <wp:extent cx="6292215" cy="13716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6292215" cy="137160"/>
                    </a:xfrm>
                    <a:prstGeom prst="rect">
                      <a:avLst/>
                    </a:prstGeom>
                    <a:noFill/>
                  </pic:spPr>
                </pic:pic>
              </a:graphicData>
            </a:graphic>
          </wp:anchor>
        </w:drawing>
      </w:r>
    </w:p>
    <w:p>
      <w:pPr>
        <w:ind w:left="120"/>
        <w:spacing w:after="0"/>
        <w:rPr>
          <w:sz w:val="20"/>
          <w:szCs w:val="20"/>
          <w:color w:val="auto"/>
        </w:rPr>
      </w:pPr>
      <w:r>
        <w:rPr>
          <w:rFonts w:ascii="Arial" w:cs="Arial" w:eastAsia="Arial" w:hAnsi="Arial"/>
          <w:sz w:val="18"/>
          <w:szCs w:val="18"/>
          <w:color w:val="auto"/>
        </w:rPr>
        <w:t>Amounts related to periodic settlements on derivatives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Total gain recognized for cash flow hedging relationships</w:t>
      </w:r>
    </w:p>
    <w:p>
      <w:pPr>
        <w:spacing w:after="0" w:line="20" w:lineRule="exact"/>
        <w:rPr>
          <w:sz w:val="20"/>
          <w:szCs w:val="20"/>
          <w:color w:val="auto"/>
        </w:rPr>
      </w:pPr>
      <w:r>
        <w:rPr>
          <w:sz w:val="20"/>
          <w:szCs w:val="20"/>
          <w:color w:val="auto"/>
        </w:rPr>
        <w:br w:type="column"/>
      </w:r>
    </w:p>
    <w:p>
      <w:pPr>
        <w:spacing w:after="0" w:line="155" w:lineRule="exact"/>
        <w:rPr>
          <w:sz w:val="20"/>
          <w:szCs w:val="20"/>
          <w:color w:val="auto"/>
        </w:rPr>
      </w:pPr>
    </w:p>
    <w:p>
      <w:pPr>
        <w:ind w:left="660"/>
        <w:spacing w:after="0"/>
        <w:rPr>
          <w:sz w:val="20"/>
          <w:szCs w:val="20"/>
          <w:color w:val="auto"/>
        </w:rPr>
      </w:pPr>
      <w:r>
        <w:rPr>
          <w:rFonts w:ascii="Arial" w:cs="Arial" w:eastAsia="Arial" w:hAnsi="Arial"/>
          <w:sz w:val="14"/>
          <w:szCs w:val="14"/>
          <w:b w:val="1"/>
          <w:bCs w:val="1"/>
          <w:color w:val="auto"/>
        </w:rPr>
        <w:t>For the three months ended June 30, 2022</w:t>
      </w:r>
    </w:p>
    <w:p>
      <w:pPr>
        <w:spacing w:after="0" w:line="10" w:lineRule="exact"/>
        <w:rPr>
          <w:sz w:val="20"/>
          <w:szCs w:val="20"/>
          <w:color w:val="auto"/>
        </w:rPr>
      </w:pPr>
    </w:p>
    <w:tbl>
      <w:tblPr>
        <w:tblLayout w:type="fixed"/>
        <w:tblInd w:w="0" w:type="dxa"/>
        <w:tblCellMar>
          <w:top w:w="0" w:type="dxa"/>
          <w:left w:w="0" w:type="dxa"/>
          <w:bottom w:w="0" w:type="dxa"/>
          <w:right w:w="0" w:type="dxa"/>
        </w:tblCellMar>
      </w:tblPr>
      <w:tr>
        <w:trPr>
          <w:trHeight w:val="119"/>
        </w:trPr>
        <w:tc>
          <w:tcPr>
            <w:tcW w:w="1080" w:type="dxa"/>
            <w:vAlign w:val="bottom"/>
            <w:tcBorders>
              <w:top w:val="single" w:sz="8" w:color="auto"/>
            </w:tcBorders>
            <w:gridSpan w:val="3"/>
            <w:vMerge w:val="restart"/>
          </w:tcPr>
          <w:p>
            <w:pPr>
              <w:jc w:val="center"/>
              <w:ind w:right="80"/>
              <w:spacing w:after="0"/>
              <w:rPr>
                <w:sz w:val="20"/>
                <w:szCs w:val="20"/>
                <w:color w:val="auto"/>
              </w:rPr>
            </w:pPr>
            <w:r>
              <w:rPr>
                <w:rFonts w:ascii="Arial" w:cs="Arial" w:eastAsia="Arial" w:hAnsi="Arial"/>
                <w:sz w:val="14"/>
                <w:szCs w:val="14"/>
                <w:b w:val="1"/>
                <w:bCs w:val="1"/>
                <w:color w:val="auto"/>
                <w:w w:val="91"/>
              </w:rPr>
              <w:t>Net investment</w:t>
            </w:r>
          </w:p>
        </w:tc>
        <w:tc>
          <w:tcPr>
            <w:tcW w:w="100" w:type="dxa"/>
            <w:vAlign w:val="bottom"/>
            <w:tcBorders>
              <w:top w:val="single" w:sz="8" w:color="auto"/>
            </w:tcBorders>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1560" w:type="dxa"/>
            <w:vAlign w:val="bottom"/>
            <w:tcBorders>
              <w:top w:val="single" w:sz="8" w:color="auto"/>
            </w:tcBorders>
            <w:gridSpan w:val="2"/>
            <w:vMerge w:val="restart"/>
          </w:tcPr>
          <w:p>
            <w:pPr>
              <w:jc w:val="center"/>
              <w:ind w:right="360"/>
              <w:spacing w:after="0"/>
              <w:rPr>
                <w:sz w:val="20"/>
                <w:szCs w:val="20"/>
                <w:color w:val="auto"/>
              </w:rPr>
            </w:pPr>
            <w:r>
              <w:rPr>
                <w:rFonts w:ascii="Arial" w:cs="Arial" w:eastAsia="Arial" w:hAnsi="Arial"/>
                <w:sz w:val="14"/>
                <w:szCs w:val="14"/>
                <w:b w:val="1"/>
                <w:bCs w:val="1"/>
                <w:color w:val="auto"/>
                <w:w w:val="91"/>
              </w:rPr>
              <w:t>Net realized</w:t>
            </w:r>
          </w:p>
        </w:tc>
        <w:tc>
          <w:tcPr>
            <w:tcW w:w="120" w:type="dxa"/>
            <w:vAlign w:val="bottom"/>
            <w:tcBorders>
              <w:top w:val="single" w:sz="8" w:color="auto"/>
            </w:tcBorders>
          </w:tcPr>
          <w:p>
            <w:pPr>
              <w:spacing w:after="0"/>
              <w:rPr>
                <w:sz w:val="10"/>
                <w:szCs w:val="10"/>
                <w:color w:val="auto"/>
              </w:rPr>
            </w:pPr>
          </w:p>
        </w:tc>
        <w:tc>
          <w:tcPr>
            <w:tcW w:w="860" w:type="dxa"/>
            <w:vAlign w:val="bottom"/>
            <w:tcBorders>
              <w:top w:val="single" w:sz="8" w:color="auto"/>
            </w:tcBorders>
          </w:tcPr>
          <w:p>
            <w:pPr>
              <w:jc w:val="center"/>
              <w:ind w:right="37"/>
              <w:spacing w:after="0" w:line="119" w:lineRule="exact"/>
              <w:rPr>
                <w:sz w:val="20"/>
                <w:szCs w:val="20"/>
                <w:color w:val="auto"/>
              </w:rPr>
            </w:pPr>
            <w:r>
              <w:rPr>
                <w:rFonts w:ascii="Arial" w:cs="Arial" w:eastAsia="Arial" w:hAnsi="Arial"/>
                <w:sz w:val="13"/>
                <w:szCs w:val="13"/>
                <w:b w:val="1"/>
                <w:bCs w:val="1"/>
                <w:color w:val="auto"/>
                <w:w w:val="98"/>
              </w:rPr>
              <w:t>Benefits,</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8"/>
        </w:trPr>
        <w:tc>
          <w:tcPr>
            <w:tcW w:w="1080" w:type="dxa"/>
            <w:vAlign w:val="bottom"/>
            <w:gridSpan w:val="3"/>
            <w:vMerge w:val="continue"/>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56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1"/>
              </w:rPr>
              <w:t>claims and</w:t>
            </w:r>
          </w:p>
        </w:tc>
        <w:tc>
          <w:tcPr>
            <w:tcW w:w="0" w:type="dxa"/>
            <w:vAlign w:val="bottom"/>
          </w:tcPr>
          <w:p>
            <w:pPr>
              <w:spacing w:after="0"/>
              <w:rPr>
                <w:sz w:val="1"/>
                <w:szCs w:val="1"/>
                <w:color w:val="auto"/>
              </w:rPr>
            </w:pPr>
          </w:p>
        </w:tc>
      </w:tr>
      <w:tr>
        <w:trPr>
          <w:trHeight w:val="148"/>
        </w:trPr>
        <w:tc>
          <w:tcPr>
            <w:tcW w:w="108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91"/>
              </w:rPr>
              <w:t>income related</w:t>
            </w: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56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89"/>
              </w:rPr>
              <w:t>capital gains</w:t>
            </w:r>
          </w:p>
        </w:tc>
        <w:tc>
          <w:tcPr>
            <w:tcW w:w="120" w:type="dxa"/>
            <w:vAlign w:val="bottom"/>
          </w:tcPr>
          <w:p>
            <w:pPr>
              <w:spacing w:after="0"/>
              <w:rPr>
                <w:sz w:val="12"/>
                <w:szCs w:val="12"/>
                <w:color w:val="auto"/>
              </w:rPr>
            </w:pPr>
          </w:p>
        </w:tc>
        <w:tc>
          <w:tcPr>
            <w:tcW w:w="88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88"/>
              </w:rPr>
              <w:t>settlement</w:t>
            </w:r>
          </w:p>
        </w:tc>
        <w:tc>
          <w:tcPr>
            <w:tcW w:w="0" w:type="dxa"/>
            <w:vAlign w:val="bottom"/>
          </w:tcPr>
          <w:p>
            <w:pPr>
              <w:spacing w:after="0"/>
              <w:rPr>
                <w:sz w:val="1"/>
                <w:szCs w:val="1"/>
                <w:color w:val="auto"/>
              </w:rPr>
            </w:pPr>
          </w:p>
        </w:tc>
      </w:tr>
      <w:tr>
        <w:trPr>
          <w:trHeight w:val="149"/>
        </w:trPr>
        <w:tc>
          <w:tcPr>
            <w:tcW w:w="120" w:type="dxa"/>
            <w:vAlign w:val="bottom"/>
          </w:tcPr>
          <w:p>
            <w:pPr>
              <w:spacing w:after="0"/>
              <w:rPr>
                <w:sz w:val="12"/>
                <w:szCs w:val="12"/>
                <w:color w:val="auto"/>
              </w:rPr>
            </w:pPr>
          </w:p>
        </w:tc>
        <w:tc>
          <w:tcPr>
            <w:tcW w:w="96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4"/>
              </w:rPr>
              <w:t>to hedges</w:t>
            </w: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56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8"/>
              </w:rPr>
              <w:t>(losses) related to</w:t>
            </w:r>
          </w:p>
        </w:tc>
        <w:tc>
          <w:tcPr>
            <w:tcW w:w="120" w:type="dxa"/>
            <w:vAlign w:val="bottom"/>
          </w:tcPr>
          <w:p>
            <w:pPr>
              <w:spacing w:after="0"/>
              <w:rPr>
                <w:sz w:val="12"/>
                <w:szCs w:val="12"/>
                <w:color w:val="auto"/>
              </w:rPr>
            </w:pPr>
          </w:p>
        </w:tc>
        <w:tc>
          <w:tcPr>
            <w:tcW w:w="88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84"/>
              </w:rPr>
              <w:t>expenses</w:t>
            </w:r>
          </w:p>
        </w:tc>
        <w:tc>
          <w:tcPr>
            <w:tcW w:w="0" w:type="dxa"/>
            <w:vAlign w:val="bottom"/>
          </w:tcPr>
          <w:p>
            <w:pPr>
              <w:spacing w:after="0"/>
              <w:rPr>
                <w:sz w:val="1"/>
                <w:szCs w:val="1"/>
                <w:color w:val="auto"/>
              </w:rPr>
            </w:pPr>
          </w:p>
        </w:tc>
      </w:tr>
      <w:tr>
        <w:trPr>
          <w:trHeight w:val="148"/>
        </w:trPr>
        <w:tc>
          <w:tcPr>
            <w:tcW w:w="120" w:type="dxa"/>
            <w:vAlign w:val="bottom"/>
          </w:tcPr>
          <w:p>
            <w:pPr>
              <w:spacing w:after="0"/>
              <w:rPr>
                <w:sz w:val="12"/>
                <w:szCs w:val="12"/>
                <w:color w:val="auto"/>
              </w:rPr>
            </w:pPr>
          </w:p>
        </w:tc>
        <w:tc>
          <w:tcPr>
            <w:tcW w:w="9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2"/>
              </w:rPr>
              <w:t>of fixed</w:t>
            </w: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56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89"/>
              </w:rPr>
              <w:t>hedges of fixed</w:t>
            </w:r>
          </w:p>
        </w:tc>
        <w:tc>
          <w:tcPr>
            <w:tcW w:w="120" w:type="dxa"/>
            <w:vAlign w:val="bottom"/>
          </w:tcPr>
          <w:p>
            <w:pPr>
              <w:spacing w:after="0"/>
              <w:rPr>
                <w:sz w:val="12"/>
                <w:szCs w:val="12"/>
                <w:color w:val="auto"/>
              </w:rPr>
            </w:pPr>
          </w:p>
        </w:tc>
        <w:tc>
          <w:tcPr>
            <w:tcW w:w="88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1"/>
              </w:rPr>
              <w:t>related to</w:t>
            </w:r>
          </w:p>
        </w:tc>
        <w:tc>
          <w:tcPr>
            <w:tcW w:w="0" w:type="dxa"/>
            <w:vAlign w:val="bottom"/>
          </w:tcPr>
          <w:p>
            <w:pPr>
              <w:spacing w:after="0"/>
              <w:rPr>
                <w:sz w:val="1"/>
                <w:szCs w:val="1"/>
                <w:color w:val="auto"/>
              </w:rPr>
            </w:pPr>
          </w:p>
        </w:tc>
      </w:tr>
      <w:tr>
        <w:trPr>
          <w:trHeight w:val="148"/>
        </w:trPr>
        <w:tc>
          <w:tcPr>
            <w:tcW w:w="120" w:type="dxa"/>
            <w:vAlign w:val="bottom"/>
          </w:tcPr>
          <w:p>
            <w:pPr>
              <w:spacing w:after="0"/>
              <w:rPr>
                <w:sz w:val="12"/>
                <w:szCs w:val="12"/>
                <w:color w:val="auto"/>
              </w:rPr>
            </w:pPr>
          </w:p>
        </w:tc>
        <w:tc>
          <w:tcPr>
            <w:tcW w:w="96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5"/>
              </w:rPr>
              <w:t>maturities,</w:t>
            </w: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56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5"/>
              </w:rPr>
              <w:t>maturities,</w:t>
            </w:r>
          </w:p>
        </w:tc>
        <w:tc>
          <w:tcPr>
            <w:tcW w:w="120" w:type="dxa"/>
            <w:vAlign w:val="bottom"/>
          </w:tcPr>
          <w:p>
            <w:pPr>
              <w:spacing w:after="0"/>
              <w:rPr>
                <w:sz w:val="12"/>
                <w:szCs w:val="12"/>
                <w:color w:val="auto"/>
              </w:rPr>
            </w:pPr>
          </w:p>
        </w:tc>
        <w:tc>
          <w:tcPr>
            <w:tcW w:w="88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87"/>
              </w:rPr>
              <w:t>hedges of</w:t>
            </w:r>
          </w:p>
        </w:tc>
        <w:tc>
          <w:tcPr>
            <w:tcW w:w="0" w:type="dxa"/>
            <w:vAlign w:val="bottom"/>
          </w:tcPr>
          <w:p>
            <w:pPr>
              <w:spacing w:after="0"/>
              <w:rPr>
                <w:sz w:val="1"/>
                <w:szCs w:val="1"/>
                <w:color w:val="auto"/>
              </w:rPr>
            </w:pPr>
          </w:p>
        </w:tc>
      </w:tr>
      <w:tr>
        <w:trPr>
          <w:trHeight w:val="148"/>
        </w:trPr>
        <w:tc>
          <w:tcPr>
            <w:tcW w:w="120" w:type="dxa"/>
            <w:vAlign w:val="bottom"/>
          </w:tcPr>
          <w:p>
            <w:pPr>
              <w:spacing w:after="0"/>
              <w:rPr>
                <w:sz w:val="12"/>
                <w:szCs w:val="12"/>
                <w:color w:val="auto"/>
              </w:rPr>
            </w:pPr>
          </w:p>
        </w:tc>
        <w:tc>
          <w:tcPr>
            <w:tcW w:w="96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3"/>
              </w:rPr>
              <w:t>available-</w:t>
            </w: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56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3"/>
              </w:rPr>
              <w:t>available-</w:t>
            </w:r>
          </w:p>
        </w:tc>
        <w:tc>
          <w:tcPr>
            <w:tcW w:w="120" w:type="dxa"/>
            <w:vAlign w:val="bottom"/>
          </w:tcPr>
          <w:p>
            <w:pPr>
              <w:spacing w:after="0"/>
              <w:rPr>
                <w:sz w:val="12"/>
                <w:szCs w:val="12"/>
                <w:color w:val="auto"/>
              </w:rPr>
            </w:pPr>
          </w:p>
        </w:tc>
        <w:tc>
          <w:tcPr>
            <w:tcW w:w="88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89"/>
              </w:rPr>
              <w:t>investment</w:t>
            </w:r>
          </w:p>
        </w:tc>
        <w:tc>
          <w:tcPr>
            <w:tcW w:w="0" w:type="dxa"/>
            <w:vAlign w:val="bottom"/>
          </w:tcPr>
          <w:p>
            <w:pPr>
              <w:spacing w:after="0"/>
              <w:rPr>
                <w:sz w:val="1"/>
                <w:szCs w:val="1"/>
                <w:color w:val="auto"/>
              </w:rPr>
            </w:pPr>
          </w:p>
        </w:tc>
      </w:tr>
      <w:tr>
        <w:trPr>
          <w:trHeight w:val="171"/>
        </w:trPr>
        <w:tc>
          <w:tcPr>
            <w:tcW w:w="120" w:type="dxa"/>
            <w:vAlign w:val="bottom"/>
          </w:tcPr>
          <w:p>
            <w:pPr>
              <w:spacing w:after="0"/>
              <w:rPr>
                <w:sz w:val="14"/>
                <w:szCs w:val="14"/>
                <w:color w:val="auto"/>
              </w:rPr>
            </w:pPr>
          </w:p>
        </w:tc>
        <w:tc>
          <w:tcPr>
            <w:tcW w:w="96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0"/>
              </w:rPr>
              <w:t>for-sale</w:t>
            </w: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56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0"/>
              </w:rPr>
              <w:t>for-sale</w:t>
            </w:r>
          </w:p>
        </w:tc>
        <w:tc>
          <w:tcPr>
            <w:tcW w:w="120" w:type="dxa"/>
            <w:vAlign w:val="bottom"/>
          </w:tcPr>
          <w:p>
            <w:pPr>
              <w:spacing w:after="0"/>
              <w:rPr>
                <w:sz w:val="14"/>
                <w:szCs w:val="14"/>
                <w:color w:val="auto"/>
              </w:rPr>
            </w:pPr>
          </w:p>
        </w:tc>
        <w:tc>
          <w:tcPr>
            <w:tcW w:w="88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88"/>
              </w:rPr>
              <w:t>contracts</w:t>
            </w:r>
          </w:p>
        </w:tc>
        <w:tc>
          <w:tcPr>
            <w:tcW w:w="0" w:type="dxa"/>
            <w:vAlign w:val="bottom"/>
          </w:tcPr>
          <w:p>
            <w:pPr>
              <w:spacing w:after="0"/>
              <w:rPr>
                <w:sz w:val="1"/>
                <w:szCs w:val="1"/>
                <w:color w:val="auto"/>
              </w:rPr>
            </w:pPr>
          </w:p>
        </w:tc>
      </w:tr>
      <w:tr>
        <w:trPr>
          <w:trHeight w:val="176"/>
        </w:trPr>
        <w:tc>
          <w:tcPr>
            <w:tcW w:w="120" w:type="dxa"/>
            <w:vAlign w:val="bottom"/>
            <w:tcBorders>
              <w:top w:val="single" w:sz="8" w:color="auto"/>
            </w:tcBorders>
          </w:tcPr>
          <w:p>
            <w:pPr>
              <w:spacing w:after="0"/>
              <w:rPr>
                <w:sz w:val="15"/>
                <w:szCs w:val="15"/>
                <w:color w:val="auto"/>
              </w:rPr>
            </w:pPr>
          </w:p>
        </w:tc>
        <w:tc>
          <w:tcPr>
            <w:tcW w:w="860" w:type="dxa"/>
            <w:vAlign w:val="bottom"/>
            <w:tcBorders>
              <w:top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0" w:type="dxa"/>
            <w:vAlign w:val="bottom"/>
            <w:tcBorders>
              <w:top w:val="single" w:sz="8" w:color="auto"/>
            </w:tcBorders>
          </w:tcPr>
          <w:p>
            <w:pPr>
              <w:spacing w:after="0"/>
              <w:rPr>
                <w:sz w:val="15"/>
                <w:szCs w:val="15"/>
                <w:color w:val="auto"/>
              </w:rPr>
            </w:pPr>
          </w:p>
        </w:tc>
        <w:tc>
          <w:tcPr>
            <w:tcW w:w="1360" w:type="dxa"/>
            <w:vAlign w:val="bottom"/>
            <w:tcBorders>
              <w:top w:val="single" w:sz="8" w:color="auto"/>
            </w:tcBorders>
          </w:tcPr>
          <w:p>
            <w:pPr>
              <w:jc w:val="center"/>
              <w:ind w:right="77"/>
              <w:spacing w:after="0"/>
              <w:rPr>
                <w:sz w:val="20"/>
                <w:szCs w:val="20"/>
                <w:color w:val="auto"/>
              </w:rPr>
            </w:pPr>
            <w:r>
              <w:rPr>
                <w:rFonts w:ascii="Arial" w:cs="Arial" w:eastAsia="Arial" w:hAnsi="Arial"/>
                <w:sz w:val="14"/>
                <w:szCs w:val="14"/>
                <w:i w:val="1"/>
                <w:iCs w:val="1"/>
                <w:color w:val="auto"/>
              </w:rPr>
              <w:t>(in millions)</w:t>
            </w:r>
          </w:p>
        </w:tc>
        <w:tc>
          <w:tcPr>
            <w:tcW w:w="200" w:type="dxa"/>
            <w:vAlign w:val="bottom"/>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860" w:type="dxa"/>
            <w:vAlign w:val="bottom"/>
            <w:tcBorders>
              <w:top w:val="single" w:sz="8" w:color="auto"/>
            </w:tcBorders>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71"/>
        </w:trPr>
        <w:tc>
          <w:tcPr>
            <w:tcW w:w="12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816.5</w:t>
            </w:r>
          </w:p>
        </w:tc>
        <w:tc>
          <w:tcPr>
            <w:tcW w:w="100" w:type="dxa"/>
            <w:vAlign w:val="bottom"/>
          </w:tcPr>
          <w:p>
            <w:pPr>
              <w:spacing w:after="0"/>
              <w:rPr>
                <w:sz w:val="24"/>
                <w:szCs w:val="24"/>
                <w:color w:val="auto"/>
              </w:rPr>
            </w:pPr>
          </w:p>
        </w:tc>
        <w:tc>
          <w:tcPr>
            <w:tcW w:w="260" w:type="dxa"/>
            <w:vAlign w:val="bottom"/>
            <w:gridSpan w:val="2"/>
          </w:tcPr>
          <w:p>
            <w:pPr>
              <w:jc w:val="right"/>
              <w:ind w:right="7"/>
              <w:spacing w:after="0"/>
              <w:rPr>
                <w:sz w:val="20"/>
                <w:szCs w:val="20"/>
                <w:color w:val="auto"/>
              </w:rPr>
            </w:pPr>
            <w:r>
              <w:rPr>
                <w:rFonts w:ascii="Arial" w:cs="Arial" w:eastAsia="Arial" w:hAnsi="Arial"/>
                <w:sz w:val="18"/>
                <w:szCs w:val="18"/>
                <w:b w:val="1"/>
                <w:bCs w:val="1"/>
                <w:color w:val="auto"/>
              </w:rPr>
              <w:t>$</w:t>
            </w:r>
          </w:p>
        </w:tc>
        <w:tc>
          <w:tcPr>
            <w:tcW w:w="156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(227.9)</w:t>
            </w:r>
          </w:p>
        </w:tc>
        <w:tc>
          <w:tcPr>
            <w:tcW w:w="12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1,278.</w:t>
            </w:r>
            <w:r>
              <w:rPr>
                <w:rFonts w:ascii="Arial" w:cs="Arial" w:eastAsia="Arial" w:hAnsi="Arial"/>
                <w:sz w:val="18"/>
                <w:szCs w:val="18"/>
                <w:b w:val="1"/>
                <w:bCs w:val="1"/>
                <w:u w:val="single" w:color="auto"/>
                <w:color w:val="auto"/>
              </w:rPr>
              <w:t>6</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12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26"/>
        </w:trPr>
        <w:tc>
          <w:tcPr>
            <w:tcW w:w="12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(35.3)</w:t>
            </w:r>
          </w:p>
        </w:tc>
        <w:tc>
          <w:tcPr>
            <w:tcW w:w="260" w:type="dxa"/>
            <w:vAlign w:val="bottom"/>
            <w:gridSpan w:val="2"/>
          </w:tcPr>
          <w:p>
            <w:pPr>
              <w:jc w:val="right"/>
              <w:ind w:right="7"/>
              <w:spacing w:after="0"/>
              <w:rPr>
                <w:sz w:val="20"/>
                <w:szCs w:val="20"/>
                <w:color w:val="auto"/>
              </w:rPr>
            </w:pPr>
            <w:r>
              <w:rPr>
                <w:rFonts w:ascii="Arial" w:cs="Arial" w:eastAsia="Arial" w:hAnsi="Arial"/>
                <w:sz w:val="18"/>
                <w:szCs w:val="18"/>
                <w:b w:val="1"/>
                <w:bCs w:val="1"/>
                <w:color w:val="auto"/>
              </w:rPr>
              <w:t>$</w:t>
            </w:r>
          </w:p>
        </w:tc>
        <w:tc>
          <w:tcPr>
            <w:tcW w:w="156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88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16"/>
        </w:trPr>
        <w:tc>
          <w:tcPr>
            <w:tcW w:w="1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35.0</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6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88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16"/>
        </w:trPr>
        <w:tc>
          <w:tcPr>
            <w:tcW w:w="12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(0.3)</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6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88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34"/>
        </w:trPr>
        <w:tc>
          <w:tcPr>
            <w:tcW w:w="120" w:type="dxa"/>
            <w:vAlign w:val="bottom"/>
          </w:tcPr>
          <w:p>
            <w:pPr>
              <w:spacing w:after="0"/>
              <w:rPr>
                <w:sz w:val="20"/>
                <w:szCs w:val="20"/>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(2.7)</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56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20"/>
                <w:szCs w:val="20"/>
                <w:color w:val="auto"/>
              </w:rPr>
            </w:pPr>
          </w:p>
        </w:tc>
        <w:tc>
          <w:tcPr>
            <w:tcW w:w="88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10"/>
        </w:trPr>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(3.3)</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Borders>
              <w:top w:val="single" w:sz="8" w:color="auto"/>
              <w:bottom w:val="single" w:sz="8" w:color="auto"/>
            </w:tcBorders>
          </w:tcPr>
          <w:p>
            <w:pPr>
              <w:jc w:val="right"/>
              <w:ind w:right="7"/>
              <w:spacing w:after="0"/>
              <w:rPr>
                <w:sz w:val="20"/>
                <w:szCs w:val="20"/>
                <w:color w:val="auto"/>
              </w:rPr>
            </w:pPr>
            <w:r>
              <w:rPr>
                <w:rFonts w:ascii="Arial" w:cs="Arial" w:eastAsia="Arial" w:hAnsi="Arial"/>
                <w:sz w:val="15"/>
                <w:szCs w:val="15"/>
                <w:b w:val="1"/>
                <w:bCs w:val="1"/>
                <w:color w:val="auto"/>
                <w:w w:val="71"/>
              </w:rPr>
              <w:t>$</w:t>
            </w:r>
          </w:p>
        </w:tc>
        <w:tc>
          <w:tcPr>
            <w:tcW w:w="1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5"/>
        </w:trPr>
        <w:tc>
          <w:tcPr>
            <w:tcW w:w="12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2.7</w:t>
            </w:r>
          </w:p>
        </w:tc>
        <w:tc>
          <w:tcPr>
            <w:tcW w:w="100" w:type="dxa"/>
            <w:vAlign w:val="bottom"/>
          </w:tcPr>
          <w:p>
            <w:pPr>
              <w:spacing w:after="0"/>
              <w:rPr>
                <w:sz w:val="24"/>
                <w:szCs w:val="24"/>
                <w:color w:val="auto"/>
              </w:rPr>
            </w:pPr>
          </w:p>
        </w:tc>
        <w:tc>
          <w:tcPr>
            <w:tcW w:w="260" w:type="dxa"/>
            <w:vAlign w:val="bottom"/>
            <w:gridSpan w:val="2"/>
          </w:tcPr>
          <w:p>
            <w:pPr>
              <w:jc w:val="right"/>
              <w:ind w:right="7"/>
              <w:spacing w:after="0"/>
              <w:rPr>
                <w:sz w:val="20"/>
                <w:szCs w:val="20"/>
                <w:color w:val="auto"/>
              </w:rPr>
            </w:pPr>
            <w:r>
              <w:rPr>
                <w:rFonts w:ascii="Arial" w:cs="Arial" w:eastAsia="Arial" w:hAnsi="Arial"/>
                <w:sz w:val="18"/>
                <w:szCs w:val="18"/>
                <w:b w:val="1"/>
                <w:bCs w:val="1"/>
                <w:color w:val="auto"/>
              </w:rPr>
              <w:t>$</w:t>
            </w:r>
          </w:p>
        </w:tc>
        <w:tc>
          <w:tcPr>
            <w:tcW w:w="156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88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(0.1)</w:t>
            </w:r>
          </w:p>
        </w:tc>
        <w:tc>
          <w:tcPr>
            <w:tcW w:w="0" w:type="dxa"/>
            <w:vAlign w:val="bottom"/>
          </w:tcPr>
          <w:p>
            <w:pPr>
              <w:spacing w:after="0"/>
              <w:rPr>
                <w:sz w:val="1"/>
                <w:szCs w:val="1"/>
                <w:color w:val="auto"/>
              </w:rPr>
            </w:pPr>
          </w:p>
        </w:tc>
      </w:tr>
      <w:tr>
        <w:trPr>
          <w:trHeight w:val="414"/>
        </w:trPr>
        <w:tc>
          <w:tcPr>
            <w:tcW w:w="120" w:type="dxa"/>
            <w:vAlign w:val="bottom"/>
          </w:tcPr>
          <w:p>
            <w:pPr>
              <w:spacing w:after="0"/>
              <w:rPr>
                <w:sz w:val="24"/>
                <w:szCs w:val="24"/>
                <w:color w:val="auto"/>
              </w:rPr>
            </w:pPr>
          </w:p>
        </w:tc>
        <w:tc>
          <w:tcPr>
            <w:tcW w:w="96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60" w:type="dxa"/>
            <w:vAlign w:val="bottom"/>
          </w:tcPr>
          <w:p>
            <w:pPr>
              <w:jc w:val="right"/>
              <w:spacing w:after="0"/>
              <w:rPr>
                <w:sz w:val="20"/>
                <w:szCs w:val="20"/>
                <w:color w:val="auto"/>
              </w:rPr>
            </w:pPr>
            <w:r>
              <w:rPr>
                <w:rFonts w:ascii="Arial" w:cs="Arial" w:eastAsia="Arial" w:hAnsi="Arial"/>
                <w:sz w:val="18"/>
                <w:szCs w:val="18"/>
                <w:b w:val="1"/>
                <w:bCs w:val="1"/>
                <w:color w:val="auto"/>
              </w:rPr>
              <w:t>7.9</w:t>
            </w: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8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34"/>
        </w:trPr>
        <w:tc>
          <w:tcPr>
            <w:tcW w:w="120" w:type="dxa"/>
            <w:vAlign w:val="bottom"/>
          </w:tcPr>
          <w:p>
            <w:pPr>
              <w:spacing w:after="0"/>
              <w:rPr>
                <w:sz w:val="20"/>
                <w:szCs w:val="20"/>
                <w:color w:val="auto"/>
              </w:rPr>
            </w:pPr>
          </w:p>
        </w:tc>
        <w:tc>
          <w:tcPr>
            <w:tcW w:w="96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56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0.2</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30"/>
        </w:trPr>
        <w:tc>
          <w:tcPr>
            <w:tcW w:w="120" w:type="dxa"/>
            <w:vAlign w:val="bottom"/>
          </w:tcPr>
          <w:p>
            <w:pPr>
              <w:spacing w:after="0"/>
              <w:rPr>
                <w:sz w:val="24"/>
                <w:szCs w:val="24"/>
                <w:color w:val="auto"/>
              </w:rPr>
            </w:pPr>
          </w:p>
        </w:tc>
        <w:tc>
          <w:tcPr>
            <w:tcW w:w="96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60" w:type="dxa"/>
            <w:vAlign w:val="bottom"/>
          </w:tcPr>
          <w:p>
            <w:pPr>
              <w:jc w:val="right"/>
              <w:spacing w:after="0"/>
              <w:rPr>
                <w:sz w:val="20"/>
                <w:szCs w:val="20"/>
                <w:color w:val="auto"/>
              </w:rPr>
            </w:pPr>
            <w:r>
              <w:rPr>
                <w:rFonts w:ascii="Arial" w:cs="Arial" w:eastAsia="Arial" w:hAnsi="Arial"/>
                <w:sz w:val="18"/>
                <w:szCs w:val="18"/>
                <w:b w:val="1"/>
                <w:bCs w:val="1"/>
                <w:color w:val="auto"/>
              </w:rPr>
              <w:t>0.1</w:t>
            </w: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8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34"/>
        </w:trPr>
        <w:tc>
          <w:tcPr>
            <w:tcW w:w="12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3.0</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56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20"/>
                <w:szCs w:val="20"/>
                <w:color w:val="auto"/>
              </w:rPr>
            </w:pPr>
          </w:p>
        </w:tc>
        <w:tc>
          <w:tcPr>
            <w:tcW w:w="88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10"/>
        </w:trPr>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5.7</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Borders>
              <w:top w:val="single" w:sz="8" w:color="auto"/>
              <w:bottom w:val="single" w:sz="8" w:color="auto"/>
            </w:tcBorders>
          </w:tcPr>
          <w:p>
            <w:pPr>
              <w:jc w:val="right"/>
              <w:ind w:right="7"/>
              <w:spacing w:after="0"/>
              <w:rPr>
                <w:sz w:val="20"/>
                <w:szCs w:val="20"/>
                <w:color w:val="auto"/>
              </w:rPr>
            </w:pPr>
            <w:r>
              <w:rPr>
                <w:rFonts w:ascii="Arial" w:cs="Arial" w:eastAsia="Arial" w:hAnsi="Arial"/>
                <w:sz w:val="15"/>
                <w:szCs w:val="15"/>
                <w:b w:val="1"/>
                <w:bCs w:val="1"/>
                <w:color w:val="auto"/>
                <w:w w:val="71"/>
              </w:rPr>
              <w:t>$</w:t>
            </w:r>
          </w:p>
        </w:tc>
        <w:tc>
          <w:tcPr>
            <w:tcW w:w="1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8.0</w:t>
            </w:r>
          </w:p>
        </w:tc>
        <w:tc>
          <w:tcPr>
            <w:tcW w:w="20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0.1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5580" w:space="460"/>
            <w:col w:w="3880"/>
          </w:cols>
          <w:pgMar w:left="980" w:top="665" w:right="999" w:bottom="1440" w:gutter="0" w:footer="0" w:header="0"/>
          <w:type w:val="continuous"/>
        </w:sectPr>
      </w:pPr>
    </w:p>
    <w:p>
      <w:pPr>
        <w:spacing w:after="0" w:line="200" w:lineRule="exact"/>
        <w:rPr>
          <w:sz w:val="20"/>
          <w:szCs w:val="20"/>
          <w:color w:val="auto"/>
        </w:rPr>
      </w:pPr>
    </w:p>
    <w:p>
      <w:pPr>
        <w:spacing w:after="0" w:line="234"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372110</wp:posOffset>
            </wp:positionV>
            <wp:extent cx="6292215" cy="2540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type w:val="continuous"/>
        </w:sectPr>
      </w:pPr>
    </w:p>
    <w:bookmarkStart w:id="45" w:name="page46"/>
    <w:bookmarkEnd w:id="45"/>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5"/>
          <w:szCs w:val="15"/>
          <w:b w:val="1"/>
          <w:bCs w:val="1"/>
          <w:color w:val="auto"/>
        </w:rPr>
        <w:t>Notes to Condensed Consolidated Financial Statements – (continued)</w:t>
      </w:r>
    </w:p>
    <w:p>
      <w:pPr>
        <w:spacing w:after="0" w:line="4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ectPr>
          <w:pgSz w:w="11900" w:h="16838" w:orient="portrait"/>
          <w:cols w:equalWidth="0" w:num="1">
            <w:col w:w="9920"/>
          </w:cols>
          <w:pgMar w:left="980" w:top="665" w:right="99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ind w:left="140" w:hanging="129"/>
        <w:spacing w:after="0" w:line="277" w:lineRule="auto"/>
        <w:rPr>
          <w:sz w:val="20"/>
          <w:szCs w:val="20"/>
          <w:color w:val="auto"/>
        </w:rPr>
      </w:pPr>
      <w:r>
        <w:rPr>
          <w:rFonts w:ascii="Arial" w:cs="Arial" w:eastAsia="Arial" w:hAnsi="Arial"/>
          <w:sz w:val="18"/>
          <w:szCs w:val="18"/>
          <w:color w:val="auto"/>
        </w:rPr>
        <w:t>Total amounts of consolidated statement of operations line items in which the effects of fair value and cash flow hedges are reported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-293370</wp:posOffset>
            </wp:positionV>
            <wp:extent cx="6292215" cy="27432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6292215" cy="27432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96" w:lineRule="exact"/>
        <w:rPr>
          <w:sz w:val="20"/>
          <w:szCs w:val="20"/>
          <w:color w:val="auto"/>
        </w:rPr>
      </w:pPr>
    </w:p>
    <w:p>
      <w:pPr>
        <w:ind w:left="660"/>
        <w:spacing w:after="0"/>
        <w:rPr>
          <w:sz w:val="20"/>
          <w:szCs w:val="20"/>
          <w:color w:val="auto"/>
        </w:rPr>
      </w:pPr>
      <w:r>
        <w:rPr>
          <w:rFonts w:ascii="Arial" w:cs="Arial" w:eastAsia="Arial" w:hAnsi="Arial"/>
          <w:sz w:val="14"/>
          <w:szCs w:val="14"/>
          <w:b w:val="1"/>
          <w:bCs w:val="1"/>
          <w:color w:val="auto"/>
        </w:rPr>
        <w:t>For the three months ended June 30, 2021</w:t>
      </w:r>
    </w:p>
    <w:p>
      <w:pPr>
        <w:spacing w:after="0" w:line="10" w:lineRule="exact"/>
        <w:rPr>
          <w:sz w:val="20"/>
          <w:szCs w:val="20"/>
          <w:color w:val="auto"/>
        </w:rPr>
      </w:pPr>
    </w:p>
    <w:tbl>
      <w:tblPr>
        <w:tblLayout w:type="fixed"/>
        <w:tblInd w:w="0" w:type="dxa"/>
        <w:tblCellMar>
          <w:top w:w="0" w:type="dxa"/>
          <w:left w:w="0" w:type="dxa"/>
          <w:bottom w:w="0" w:type="dxa"/>
          <w:right w:w="0" w:type="dxa"/>
        </w:tblCellMar>
      </w:tblPr>
      <w:tr>
        <w:trPr>
          <w:trHeight w:val="119"/>
        </w:trPr>
        <w:tc>
          <w:tcPr>
            <w:tcW w:w="980" w:type="dxa"/>
            <w:vAlign w:val="bottom"/>
            <w:tcBorders>
              <w:top w:val="single" w:sz="8" w:color="auto"/>
            </w:tcBorders>
            <w:gridSpan w:val="2"/>
            <w:vMerge w:val="restart"/>
          </w:tcPr>
          <w:p>
            <w:pPr>
              <w:jc w:val="center"/>
              <w:spacing w:after="0"/>
              <w:rPr>
                <w:sz w:val="20"/>
                <w:szCs w:val="20"/>
                <w:color w:val="auto"/>
              </w:rPr>
            </w:pPr>
            <w:r>
              <w:rPr>
                <w:rFonts w:ascii="Arial" w:cs="Arial" w:eastAsia="Arial" w:hAnsi="Arial"/>
                <w:sz w:val="14"/>
                <w:szCs w:val="14"/>
                <w:b w:val="1"/>
                <w:bCs w:val="1"/>
                <w:color w:val="auto"/>
                <w:w w:val="91"/>
              </w:rPr>
              <w:t>Net investment</w:t>
            </w:r>
          </w:p>
        </w:tc>
        <w:tc>
          <w:tcPr>
            <w:tcW w:w="200" w:type="dxa"/>
            <w:vAlign w:val="bottom"/>
            <w:tcBorders>
              <w:top w:val="single" w:sz="8" w:color="auto"/>
            </w:tcBorders>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1560" w:type="dxa"/>
            <w:vAlign w:val="bottom"/>
            <w:tcBorders>
              <w:top w:val="single" w:sz="8" w:color="auto"/>
            </w:tcBorders>
            <w:gridSpan w:val="2"/>
            <w:vMerge w:val="restart"/>
          </w:tcPr>
          <w:p>
            <w:pPr>
              <w:jc w:val="center"/>
              <w:ind w:right="360"/>
              <w:spacing w:after="0"/>
              <w:rPr>
                <w:sz w:val="20"/>
                <w:szCs w:val="20"/>
                <w:color w:val="auto"/>
              </w:rPr>
            </w:pPr>
            <w:r>
              <w:rPr>
                <w:rFonts w:ascii="Arial" w:cs="Arial" w:eastAsia="Arial" w:hAnsi="Arial"/>
                <w:sz w:val="14"/>
                <w:szCs w:val="14"/>
                <w:b w:val="1"/>
                <w:bCs w:val="1"/>
                <w:color w:val="auto"/>
                <w:w w:val="91"/>
              </w:rPr>
              <w:t>Net realized</w:t>
            </w:r>
          </w:p>
        </w:tc>
        <w:tc>
          <w:tcPr>
            <w:tcW w:w="120" w:type="dxa"/>
            <w:vAlign w:val="bottom"/>
            <w:tcBorders>
              <w:top w:val="single" w:sz="8" w:color="auto"/>
            </w:tcBorders>
          </w:tcPr>
          <w:p>
            <w:pPr>
              <w:spacing w:after="0"/>
              <w:rPr>
                <w:sz w:val="10"/>
                <w:szCs w:val="10"/>
                <w:color w:val="auto"/>
              </w:rPr>
            </w:pPr>
          </w:p>
        </w:tc>
        <w:tc>
          <w:tcPr>
            <w:tcW w:w="860" w:type="dxa"/>
            <w:vAlign w:val="bottom"/>
            <w:tcBorders>
              <w:top w:val="single" w:sz="8" w:color="auto"/>
            </w:tcBorders>
          </w:tcPr>
          <w:p>
            <w:pPr>
              <w:jc w:val="center"/>
              <w:ind w:right="47"/>
              <w:spacing w:after="0" w:line="119" w:lineRule="exact"/>
              <w:rPr>
                <w:sz w:val="20"/>
                <w:szCs w:val="20"/>
                <w:color w:val="auto"/>
              </w:rPr>
            </w:pPr>
            <w:r>
              <w:rPr>
                <w:rFonts w:ascii="Arial" w:cs="Arial" w:eastAsia="Arial" w:hAnsi="Arial"/>
                <w:sz w:val="13"/>
                <w:szCs w:val="13"/>
                <w:b w:val="1"/>
                <w:bCs w:val="1"/>
                <w:color w:val="auto"/>
                <w:w w:val="98"/>
              </w:rPr>
              <w:t>Benefits,</w:t>
            </w:r>
          </w:p>
        </w:tc>
        <w:tc>
          <w:tcPr>
            <w:tcW w:w="0" w:type="dxa"/>
            <w:vAlign w:val="bottom"/>
          </w:tcPr>
          <w:p>
            <w:pPr>
              <w:spacing w:after="0"/>
              <w:rPr>
                <w:sz w:val="1"/>
                <w:szCs w:val="1"/>
                <w:color w:val="auto"/>
              </w:rPr>
            </w:pPr>
          </w:p>
        </w:tc>
      </w:tr>
      <w:tr>
        <w:trPr>
          <w:trHeight w:val="149"/>
        </w:trPr>
        <w:tc>
          <w:tcPr>
            <w:tcW w:w="980" w:type="dxa"/>
            <w:vAlign w:val="bottom"/>
            <w:gridSpan w:val="2"/>
            <w:vMerge w:val="continue"/>
          </w:tcPr>
          <w:p>
            <w:pPr>
              <w:spacing w:after="0"/>
              <w:rPr>
                <w:sz w:val="12"/>
                <w:szCs w:val="12"/>
                <w:color w:val="auto"/>
              </w:rPr>
            </w:pP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56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860" w:type="dxa"/>
            <w:vAlign w:val="bottom"/>
          </w:tcPr>
          <w:p>
            <w:pPr>
              <w:jc w:val="center"/>
              <w:ind w:right="47"/>
              <w:spacing w:after="0" w:line="149" w:lineRule="exact"/>
              <w:rPr>
                <w:sz w:val="20"/>
                <w:szCs w:val="20"/>
                <w:color w:val="auto"/>
              </w:rPr>
            </w:pPr>
            <w:r>
              <w:rPr>
                <w:rFonts w:ascii="Arial" w:cs="Arial" w:eastAsia="Arial" w:hAnsi="Arial"/>
                <w:sz w:val="14"/>
                <w:szCs w:val="14"/>
                <w:b w:val="1"/>
                <w:bCs w:val="1"/>
                <w:color w:val="auto"/>
                <w:w w:val="91"/>
              </w:rPr>
              <w:t>claims and</w:t>
            </w:r>
          </w:p>
        </w:tc>
        <w:tc>
          <w:tcPr>
            <w:tcW w:w="0" w:type="dxa"/>
            <w:vAlign w:val="bottom"/>
          </w:tcPr>
          <w:p>
            <w:pPr>
              <w:spacing w:after="0"/>
              <w:rPr>
                <w:sz w:val="1"/>
                <w:szCs w:val="1"/>
                <w:color w:val="auto"/>
              </w:rPr>
            </w:pPr>
          </w:p>
        </w:tc>
      </w:tr>
      <w:tr>
        <w:trPr>
          <w:trHeight w:val="148"/>
        </w:trPr>
        <w:tc>
          <w:tcPr>
            <w:tcW w:w="98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1"/>
              </w:rPr>
              <w:t>income related</w:t>
            </w: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56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89"/>
              </w:rPr>
              <w:t>capital gains</w:t>
            </w:r>
          </w:p>
        </w:tc>
        <w:tc>
          <w:tcPr>
            <w:tcW w:w="120" w:type="dxa"/>
            <w:vAlign w:val="bottom"/>
          </w:tcPr>
          <w:p>
            <w:pPr>
              <w:spacing w:after="0"/>
              <w:rPr>
                <w:sz w:val="12"/>
                <w:szCs w:val="12"/>
                <w:color w:val="auto"/>
              </w:rPr>
            </w:pPr>
          </w:p>
        </w:tc>
        <w:tc>
          <w:tcPr>
            <w:tcW w:w="860" w:type="dxa"/>
            <w:vAlign w:val="bottom"/>
          </w:tcPr>
          <w:p>
            <w:pPr>
              <w:jc w:val="center"/>
              <w:ind w:right="47"/>
              <w:spacing w:after="0" w:line="149" w:lineRule="exact"/>
              <w:rPr>
                <w:sz w:val="20"/>
                <w:szCs w:val="20"/>
                <w:color w:val="auto"/>
              </w:rPr>
            </w:pPr>
            <w:r>
              <w:rPr>
                <w:rFonts w:ascii="Arial" w:cs="Arial" w:eastAsia="Arial" w:hAnsi="Arial"/>
                <w:sz w:val="14"/>
                <w:szCs w:val="14"/>
                <w:b w:val="1"/>
                <w:bCs w:val="1"/>
                <w:color w:val="auto"/>
                <w:w w:val="88"/>
              </w:rPr>
              <w:t>settlement</w:t>
            </w:r>
          </w:p>
        </w:tc>
        <w:tc>
          <w:tcPr>
            <w:tcW w:w="0" w:type="dxa"/>
            <w:vAlign w:val="bottom"/>
          </w:tcPr>
          <w:p>
            <w:pPr>
              <w:spacing w:after="0"/>
              <w:rPr>
                <w:sz w:val="1"/>
                <w:szCs w:val="1"/>
                <w:color w:val="auto"/>
              </w:rPr>
            </w:pPr>
          </w:p>
        </w:tc>
      </w:tr>
      <w:tr>
        <w:trPr>
          <w:trHeight w:val="148"/>
        </w:trPr>
        <w:tc>
          <w:tcPr>
            <w:tcW w:w="120" w:type="dxa"/>
            <w:vAlign w:val="bottom"/>
          </w:tcPr>
          <w:p>
            <w:pPr>
              <w:spacing w:after="0"/>
              <w:rPr>
                <w:sz w:val="12"/>
                <w:szCs w:val="12"/>
                <w:color w:val="auto"/>
              </w:rPr>
            </w:pPr>
          </w:p>
        </w:tc>
        <w:tc>
          <w:tcPr>
            <w:tcW w:w="860" w:type="dxa"/>
            <w:vAlign w:val="bottom"/>
          </w:tcPr>
          <w:p>
            <w:pPr>
              <w:jc w:val="center"/>
              <w:ind w:right="25"/>
              <w:spacing w:after="0" w:line="149" w:lineRule="exact"/>
              <w:rPr>
                <w:sz w:val="20"/>
                <w:szCs w:val="20"/>
                <w:color w:val="auto"/>
              </w:rPr>
            </w:pPr>
            <w:r>
              <w:rPr>
                <w:rFonts w:ascii="Arial" w:cs="Arial" w:eastAsia="Arial" w:hAnsi="Arial"/>
                <w:sz w:val="14"/>
                <w:szCs w:val="14"/>
                <w:b w:val="1"/>
                <w:bCs w:val="1"/>
                <w:color w:val="auto"/>
                <w:w w:val="84"/>
              </w:rPr>
              <w:t>to hedges</w:t>
            </w: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56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8"/>
              </w:rPr>
              <w:t>(losses) related to</w:t>
            </w:r>
          </w:p>
        </w:tc>
        <w:tc>
          <w:tcPr>
            <w:tcW w:w="120" w:type="dxa"/>
            <w:vAlign w:val="bottom"/>
          </w:tcPr>
          <w:p>
            <w:pPr>
              <w:spacing w:after="0"/>
              <w:rPr>
                <w:sz w:val="12"/>
                <w:szCs w:val="12"/>
                <w:color w:val="auto"/>
              </w:rPr>
            </w:pPr>
          </w:p>
        </w:tc>
        <w:tc>
          <w:tcPr>
            <w:tcW w:w="860" w:type="dxa"/>
            <w:vAlign w:val="bottom"/>
          </w:tcPr>
          <w:p>
            <w:pPr>
              <w:jc w:val="center"/>
              <w:ind w:right="47"/>
              <w:spacing w:after="0" w:line="149" w:lineRule="exact"/>
              <w:rPr>
                <w:sz w:val="20"/>
                <w:szCs w:val="20"/>
                <w:color w:val="auto"/>
              </w:rPr>
            </w:pPr>
            <w:r>
              <w:rPr>
                <w:rFonts w:ascii="Arial" w:cs="Arial" w:eastAsia="Arial" w:hAnsi="Arial"/>
                <w:sz w:val="14"/>
                <w:szCs w:val="14"/>
                <w:b w:val="1"/>
                <w:bCs w:val="1"/>
                <w:color w:val="auto"/>
                <w:w w:val="84"/>
              </w:rPr>
              <w:t>expenses</w:t>
            </w:r>
          </w:p>
        </w:tc>
        <w:tc>
          <w:tcPr>
            <w:tcW w:w="0" w:type="dxa"/>
            <w:vAlign w:val="bottom"/>
          </w:tcPr>
          <w:p>
            <w:pPr>
              <w:spacing w:after="0"/>
              <w:rPr>
                <w:sz w:val="1"/>
                <w:szCs w:val="1"/>
                <w:color w:val="auto"/>
              </w:rPr>
            </w:pPr>
          </w:p>
        </w:tc>
      </w:tr>
      <w:tr>
        <w:trPr>
          <w:trHeight w:val="148"/>
        </w:trPr>
        <w:tc>
          <w:tcPr>
            <w:tcW w:w="120" w:type="dxa"/>
            <w:vAlign w:val="bottom"/>
          </w:tcPr>
          <w:p>
            <w:pPr>
              <w:spacing w:after="0"/>
              <w:rPr>
                <w:sz w:val="12"/>
                <w:szCs w:val="12"/>
                <w:color w:val="auto"/>
              </w:rPr>
            </w:pPr>
          </w:p>
        </w:tc>
        <w:tc>
          <w:tcPr>
            <w:tcW w:w="860" w:type="dxa"/>
            <w:vAlign w:val="bottom"/>
          </w:tcPr>
          <w:p>
            <w:pPr>
              <w:jc w:val="center"/>
              <w:ind w:right="45"/>
              <w:spacing w:after="0" w:line="149" w:lineRule="exact"/>
              <w:rPr>
                <w:sz w:val="20"/>
                <w:szCs w:val="20"/>
                <w:color w:val="auto"/>
              </w:rPr>
            </w:pPr>
            <w:r>
              <w:rPr>
                <w:rFonts w:ascii="Arial" w:cs="Arial" w:eastAsia="Arial" w:hAnsi="Arial"/>
                <w:sz w:val="14"/>
                <w:szCs w:val="14"/>
                <w:b w:val="1"/>
                <w:bCs w:val="1"/>
                <w:color w:val="auto"/>
                <w:w w:val="92"/>
              </w:rPr>
              <w:t>of fixed</w:t>
            </w: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56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89"/>
              </w:rPr>
              <w:t>hedges of fixed</w:t>
            </w:r>
          </w:p>
        </w:tc>
        <w:tc>
          <w:tcPr>
            <w:tcW w:w="120" w:type="dxa"/>
            <w:vAlign w:val="bottom"/>
          </w:tcPr>
          <w:p>
            <w:pPr>
              <w:spacing w:after="0"/>
              <w:rPr>
                <w:sz w:val="12"/>
                <w:szCs w:val="12"/>
                <w:color w:val="auto"/>
              </w:rPr>
            </w:pPr>
          </w:p>
        </w:tc>
        <w:tc>
          <w:tcPr>
            <w:tcW w:w="860" w:type="dxa"/>
            <w:vAlign w:val="bottom"/>
          </w:tcPr>
          <w:p>
            <w:pPr>
              <w:jc w:val="center"/>
              <w:ind w:right="47"/>
              <w:spacing w:after="0" w:line="149" w:lineRule="exact"/>
              <w:rPr>
                <w:sz w:val="20"/>
                <w:szCs w:val="20"/>
                <w:color w:val="auto"/>
              </w:rPr>
            </w:pPr>
            <w:r>
              <w:rPr>
                <w:rFonts w:ascii="Arial" w:cs="Arial" w:eastAsia="Arial" w:hAnsi="Arial"/>
                <w:sz w:val="14"/>
                <w:szCs w:val="14"/>
                <w:b w:val="1"/>
                <w:bCs w:val="1"/>
                <w:color w:val="auto"/>
                <w:w w:val="91"/>
              </w:rPr>
              <w:t>related to</w:t>
            </w:r>
          </w:p>
        </w:tc>
        <w:tc>
          <w:tcPr>
            <w:tcW w:w="0" w:type="dxa"/>
            <w:vAlign w:val="bottom"/>
          </w:tcPr>
          <w:p>
            <w:pPr>
              <w:spacing w:after="0"/>
              <w:rPr>
                <w:sz w:val="1"/>
                <w:szCs w:val="1"/>
                <w:color w:val="auto"/>
              </w:rPr>
            </w:pPr>
          </w:p>
        </w:tc>
      </w:tr>
      <w:tr>
        <w:trPr>
          <w:trHeight w:val="148"/>
        </w:trPr>
        <w:tc>
          <w:tcPr>
            <w:tcW w:w="120" w:type="dxa"/>
            <w:vAlign w:val="bottom"/>
          </w:tcPr>
          <w:p>
            <w:pPr>
              <w:spacing w:after="0"/>
              <w:rPr>
                <w:sz w:val="12"/>
                <w:szCs w:val="12"/>
                <w:color w:val="auto"/>
              </w:rPr>
            </w:pPr>
          </w:p>
        </w:tc>
        <w:tc>
          <w:tcPr>
            <w:tcW w:w="860" w:type="dxa"/>
            <w:vAlign w:val="bottom"/>
          </w:tcPr>
          <w:p>
            <w:pPr>
              <w:jc w:val="center"/>
              <w:ind w:right="25"/>
              <w:spacing w:after="0" w:line="149" w:lineRule="exact"/>
              <w:rPr>
                <w:sz w:val="20"/>
                <w:szCs w:val="20"/>
                <w:color w:val="auto"/>
              </w:rPr>
            </w:pPr>
            <w:r>
              <w:rPr>
                <w:rFonts w:ascii="Arial" w:cs="Arial" w:eastAsia="Arial" w:hAnsi="Arial"/>
                <w:sz w:val="14"/>
                <w:szCs w:val="14"/>
                <w:b w:val="1"/>
                <w:bCs w:val="1"/>
                <w:color w:val="auto"/>
                <w:w w:val="95"/>
              </w:rPr>
              <w:t>maturities,</w:t>
            </w: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56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5"/>
              </w:rPr>
              <w:t>maturities,</w:t>
            </w:r>
          </w:p>
        </w:tc>
        <w:tc>
          <w:tcPr>
            <w:tcW w:w="120" w:type="dxa"/>
            <w:vAlign w:val="bottom"/>
          </w:tcPr>
          <w:p>
            <w:pPr>
              <w:spacing w:after="0"/>
              <w:rPr>
                <w:sz w:val="12"/>
                <w:szCs w:val="12"/>
                <w:color w:val="auto"/>
              </w:rPr>
            </w:pPr>
          </w:p>
        </w:tc>
        <w:tc>
          <w:tcPr>
            <w:tcW w:w="860" w:type="dxa"/>
            <w:vAlign w:val="bottom"/>
          </w:tcPr>
          <w:p>
            <w:pPr>
              <w:jc w:val="center"/>
              <w:ind w:right="47"/>
              <w:spacing w:after="0" w:line="149" w:lineRule="exact"/>
              <w:rPr>
                <w:sz w:val="20"/>
                <w:szCs w:val="20"/>
                <w:color w:val="auto"/>
              </w:rPr>
            </w:pPr>
            <w:r>
              <w:rPr>
                <w:rFonts w:ascii="Arial" w:cs="Arial" w:eastAsia="Arial" w:hAnsi="Arial"/>
                <w:sz w:val="14"/>
                <w:szCs w:val="14"/>
                <w:b w:val="1"/>
                <w:bCs w:val="1"/>
                <w:color w:val="auto"/>
                <w:w w:val="87"/>
              </w:rPr>
              <w:t>hedges of</w:t>
            </w:r>
          </w:p>
        </w:tc>
        <w:tc>
          <w:tcPr>
            <w:tcW w:w="0" w:type="dxa"/>
            <w:vAlign w:val="bottom"/>
          </w:tcPr>
          <w:p>
            <w:pPr>
              <w:spacing w:after="0"/>
              <w:rPr>
                <w:sz w:val="1"/>
                <w:szCs w:val="1"/>
                <w:color w:val="auto"/>
              </w:rPr>
            </w:pPr>
          </w:p>
        </w:tc>
      </w:tr>
      <w:tr>
        <w:trPr>
          <w:trHeight w:val="148"/>
        </w:trPr>
        <w:tc>
          <w:tcPr>
            <w:tcW w:w="120" w:type="dxa"/>
            <w:vAlign w:val="bottom"/>
          </w:tcPr>
          <w:p>
            <w:pPr>
              <w:spacing w:after="0"/>
              <w:rPr>
                <w:sz w:val="12"/>
                <w:szCs w:val="12"/>
                <w:color w:val="auto"/>
              </w:rPr>
            </w:pPr>
          </w:p>
        </w:tc>
        <w:tc>
          <w:tcPr>
            <w:tcW w:w="860" w:type="dxa"/>
            <w:vAlign w:val="bottom"/>
          </w:tcPr>
          <w:p>
            <w:pPr>
              <w:jc w:val="center"/>
              <w:ind w:right="25"/>
              <w:spacing w:after="0" w:line="149" w:lineRule="exact"/>
              <w:rPr>
                <w:sz w:val="20"/>
                <w:szCs w:val="20"/>
                <w:color w:val="auto"/>
              </w:rPr>
            </w:pPr>
            <w:r>
              <w:rPr>
                <w:rFonts w:ascii="Arial" w:cs="Arial" w:eastAsia="Arial" w:hAnsi="Arial"/>
                <w:sz w:val="14"/>
                <w:szCs w:val="14"/>
                <w:b w:val="1"/>
                <w:bCs w:val="1"/>
                <w:color w:val="auto"/>
                <w:w w:val="93"/>
              </w:rPr>
              <w:t>available-</w:t>
            </w: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56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3"/>
              </w:rPr>
              <w:t>available-</w:t>
            </w:r>
          </w:p>
        </w:tc>
        <w:tc>
          <w:tcPr>
            <w:tcW w:w="120" w:type="dxa"/>
            <w:vAlign w:val="bottom"/>
          </w:tcPr>
          <w:p>
            <w:pPr>
              <w:spacing w:after="0"/>
              <w:rPr>
                <w:sz w:val="12"/>
                <w:szCs w:val="12"/>
                <w:color w:val="auto"/>
              </w:rPr>
            </w:pPr>
          </w:p>
        </w:tc>
        <w:tc>
          <w:tcPr>
            <w:tcW w:w="860" w:type="dxa"/>
            <w:vAlign w:val="bottom"/>
          </w:tcPr>
          <w:p>
            <w:pPr>
              <w:jc w:val="center"/>
              <w:ind w:right="47"/>
              <w:spacing w:after="0" w:line="149" w:lineRule="exact"/>
              <w:rPr>
                <w:sz w:val="20"/>
                <w:szCs w:val="20"/>
                <w:color w:val="auto"/>
              </w:rPr>
            </w:pPr>
            <w:r>
              <w:rPr>
                <w:rFonts w:ascii="Arial" w:cs="Arial" w:eastAsia="Arial" w:hAnsi="Arial"/>
                <w:sz w:val="14"/>
                <w:szCs w:val="14"/>
                <w:b w:val="1"/>
                <w:bCs w:val="1"/>
                <w:color w:val="auto"/>
                <w:w w:val="89"/>
              </w:rPr>
              <w:t>investment</w:t>
            </w:r>
          </w:p>
        </w:tc>
        <w:tc>
          <w:tcPr>
            <w:tcW w:w="0" w:type="dxa"/>
            <w:vAlign w:val="bottom"/>
          </w:tcPr>
          <w:p>
            <w:pPr>
              <w:spacing w:after="0"/>
              <w:rPr>
                <w:sz w:val="1"/>
                <w:szCs w:val="1"/>
                <w:color w:val="auto"/>
              </w:rPr>
            </w:pPr>
          </w:p>
        </w:tc>
      </w:tr>
      <w:tr>
        <w:trPr>
          <w:trHeight w:val="171"/>
        </w:trPr>
        <w:tc>
          <w:tcPr>
            <w:tcW w:w="120" w:type="dxa"/>
            <w:vAlign w:val="bottom"/>
          </w:tcPr>
          <w:p>
            <w:pPr>
              <w:spacing w:after="0"/>
              <w:rPr>
                <w:sz w:val="14"/>
                <w:szCs w:val="14"/>
                <w:color w:val="auto"/>
              </w:rPr>
            </w:pPr>
          </w:p>
        </w:tc>
        <w:tc>
          <w:tcPr>
            <w:tcW w:w="860" w:type="dxa"/>
            <w:vAlign w:val="bottom"/>
          </w:tcPr>
          <w:p>
            <w:pPr>
              <w:jc w:val="center"/>
              <w:ind w:right="45"/>
              <w:spacing w:after="0"/>
              <w:rPr>
                <w:sz w:val="20"/>
                <w:szCs w:val="20"/>
                <w:color w:val="auto"/>
              </w:rPr>
            </w:pPr>
            <w:r>
              <w:rPr>
                <w:rFonts w:ascii="Arial" w:cs="Arial" w:eastAsia="Arial" w:hAnsi="Arial"/>
                <w:sz w:val="14"/>
                <w:szCs w:val="14"/>
                <w:b w:val="1"/>
                <w:bCs w:val="1"/>
                <w:color w:val="auto"/>
                <w:w w:val="90"/>
              </w:rPr>
              <w:t>for-sale</w:t>
            </w:r>
          </w:p>
        </w:tc>
        <w:tc>
          <w:tcPr>
            <w:tcW w:w="2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56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0"/>
              </w:rPr>
              <w:t>for-sale</w:t>
            </w:r>
          </w:p>
        </w:tc>
        <w:tc>
          <w:tcPr>
            <w:tcW w:w="120" w:type="dxa"/>
            <w:vAlign w:val="bottom"/>
          </w:tcPr>
          <w:p>
            <w:pPr>
              <w:spacing w:after="0"/>
              <w:rPr>
                <w:sz w:val="14"/>
                <w:szCs w:val="14"/>
                <w:color w:val="auto"/>
              </w:rPr>
            </w:pPr>
          </w:p>
        </w:tc>
        <w:tc>
          <w:tcPr>
            <w:tcW w:w="860" w:type="dxa"/>
            <w:vAlign w:val="bottom"/>
          </w:tcPr>
          <w:p>
            <w:pPr>
              <w:jc w:val="center"/>
              <w:ind w:right="67"/>
              <w:spacing w:after="0"/>
              <w:rPr>
                <w:sz w:val="20"/>
                <w:szCs w:val="20"/>
                <w:color w:val="auto"/>
              </w:rPr>
            </w:pPr>
            <w:r>
              <w:rPr>
                <w:rFonts w:ascii="Arial" w:cs="Arial" w:eastAsia="Arial" w:hAnsi="Arial"/>
                <w:sz w:val="14"/>
                <w:szCs w:val="14"/>
                <w:b w:val="1"/>
                <w:bCs w:val="1"/>
                <w:color w:val="auto"/>
                <w:w w:val="88"/>
              </w:rPr>
              <w:t>contracts</w:t>
            </w:r>
          </w:p>
        </w:tc>
        <w:tc>
          <w:tcPr>
            <w:tcW w:w="0" w:type="dxa"/>
            <w:vAlign w:val="bottom"/>
          </w:tcPr>
          <w:p>
            <w:pPr>
              <w:spacing w:after="0"/>
              <w:rPr>
                <w:sz w:val="1"/>
                <w:szCs w:val="1"/>
                <w:color w:val="auto"/>
              </w:rPr>
            </w:pPr>
          </w:p>
        </w:tc>
      </w:tr>
      <w:tr>
        <w:trPr>
          <w:trHeight w:val="176"/>
        </w:trPr>
        <w:tc>
          <w:tcPr>
            <w:tcW w:w="120" w:type="dxa"/>
            <w:vAlign w:val="bottom"/>
            <w:tcBorders>
              <w:top w:val="single" w:sz="8" w:color="auto"/>
            </w:tcBorders>
          </w:tcPr>
          <w:p>
            <w:pPr>
              <w:spacing w:after="0"/>
              <w:rPr>
                <w:sz w:val="15"/>
                <w:szCs w:val="15"/>
                <w:color w:val="auto"/>
              </w:rPr>
            </w:pPr>
          </w:p>
        </w:tc>
        <w:tc>
          <w:tcPr>
            <w:tcW w:w="860" w:type="dxa"/>
            <w:vAlign w:val="bottom"/>
            <w:tcBorders>
              <w:top w:val="single" w:sz="8" w:color="auto"/>
            </w:tcBorders>
          </w:tcPr>
          <w:p>
            <w:pPr>
              <w:spacing w:after="0"/>
              <w:rPr>
                <w:sz w:val="15"/>
                <w:szCs w:val="15"/>
                <w:color w:val="auto"/>
              </w:rPr>
            </w:pPr>
          </w:p>
        </w:tc>
        <w:tc>
          <w:tcPr>
            <w:tcW w:w="200" w:type="dxa"/>
            <w:vAlign w:val="bottom"/>
          </w:tcPr>
          <w:p>
            <w:pPr>
              <w:spacing w:after="0"/>
              <w:rPr>
                <w:sz w:val="15"/>
                <w:szCs w:val="15"/>
                <w:color w:val="auto"/>
              </w:rPr>
            </w:pPr>
          </w:p>
        </w:tc>
        <w:tc>
          <w:tcPr>
            <w:tcW w:w="160" w:type="dxa"/>
            <w:vAlign w:val="bottom"/>
            <w:tcBorders>
              <w:top w:val="single" w:sz="8" w:color="auto"/>
            </w:tcBorders>
          </w:tcPr>
          <w:p>
            <w:pPr>
              <w:spacing w:after="0"/>
              <w:rPr>
                <w:sz w:val="15"/>
                <w:szCs w:val="15"/>
                <w:color w:val="auto"/>
              </w:rPr>
            </w:pPr>
          </w:p>
        </w:tc>
        <w:tc>
          <w:tcPr>
            <w:tcW w:w="1360" w:type="dxa"/>
            <w:vAlign w:val="bottom"/>
            <w:tcBorders>
              <w:top w:val="single" w:sz="8" w:color="auto"/>
            </w:tcBorders>
          </w:tcPr>
          <w:p>
            <w:pPr>
              <w:jc w:val="center"/>
              <w:ind w:right="86"/>
              <w:spacing w:after="0"/>
              <w:rPr>
                <w:sz w:val="20"/>
                <w:szCs w:val="20"/>
                <w:color w:val="auto"/>
              </w:rPr>
            </w:pPr>
            <w:r>
              <w:rPr>
                <w:rFonts w:ascii="Arial" w:cs="Arial" w:eastAsia="Arial" w:hAnsi="Arial"/>
                <w:sz w:val="14"/>
                <w:szCs w:val="14"/>
                <w:i w:val="1"/>
                <w:iCs w:val="1"/>
                <w:color w:val="auto"/>
              </w:rPr>
              <w:t>(in millions)</w:t>
            </w:r>
          </w:p>
        </w:tc>
        <w:tc>
          <w:tcPr>
            <w:tcW w:w="200" w:type="dxa"/>
            <w:vAlign w:val="bottom"/>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860" w:type="dxa"/>
            <w:vAlign w:val="bottom"/>
            <w:tcBorders>
              <w:top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371"/>
        </w:trPr>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1,045.5</w:t>
            </w:r>
          </w:p>
        </w:tc>
        <w:tc>
          <w:tcPr>
            <w:tcW w:w="36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560" w:type="dxa"/>
            <w:vAlign w:val="bottom"/>
            <w:gridSpan w:val="2"/>
          </w:tcPr>
          <w:p>
            <w:pPr>
              <w:jc w:val="right"/>
              <w:ind w:right="200"/>
              <w:spacing w:after="0"/>
              <w:rPr>
                <w:sz w:val="20"/>
                <w:szCs w:val="20"/>
                <w:color w:val="auto"/>
              </w:rPr>
            </w:pPr>
            <w:r>
              <w:rPr>
                <w:rFonts w:ascii="Arial" w:cs="Arial" w:eastAsia="Arial" w:hAnsi="Arial"/>
                <w:sz w:val="18"/>
                <w:szCs w:val="18"/>
                <w:color w:val="auto"/>
              </w:rPr>
              <w:t>(41.1)</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1,812.</w:t>
            </w:r>
            <w:r>
              <w:rPr>
                <w:rFonts w:ascii="Arial" w:cs="Arial" w:eastAsia="Arial" w:hAnsi="Arial"/>
                <w:sz w:val="18"/>
                <w:szCs w:val="18"/>
                <w:u w:val="single" w:color="auto"/>
                <w:color w:val="auto"/>
              </w:rPr>
              <w:t>8</w:t>
            </w:r>
          </w:p>
        </w:tc>
        <w:tc>
          <w:tcPr>
            <w:tcW w:w="0" w:type="dxa"/>
            <w:vAlign w:val="bottom"/>
          </w:tcPr>
          <w:p>
            <w:pPr>
              <w:spacing w:after="0"/>
              <w:rPr>
                <w:sz w:val="1"/>
                <w:szCs w:val="1"/>
                <w:color w:val="auto"/>
              </w:rPr>
            </w:pPr>
          </w:p>
        </w:tc>
      </w:tr>
      <w:tr>
        <w:trPr>
          <w:trHeight w:val="20"/>
        </w:trPr>
        <w:tc>
          <w:tcPr>
            <w:tcW w:w="12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4" w:lineRule="exact"/>
        <w:rPr>
          <w:sz w:val="20"/>
          <w:szCs w:val="20"/>
          <w:color w:val="auto"/>
        </w:rPr>
      </w:pPr>
    </w:p>
    <w:p>
      <w:pPr>
        <w:sectPr>
          <w:pgSz w:w="11900" w:h="16838" w:orient="portrait"/>
          <w:cols w:equalWidth="0" w:num="2">
            <w:col w:w="5580" w:space="460"/>
            <w:col w:w="3880"/>
          </w:cols>
          <w:pgMar w:left="980" w:top="665" w:right="999" w:bottom="1440" w:gutter="0" w:footer="0" w:header="0"/>
          <w:type w:val="continuous"/>
        </w:sectPr>
      </w:pPr>
    </w:p>
    <w:p>
      <w:pPr>
        <w:spacing w:after="0" w:line="1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6020" w:type="dxa"/>
            <w:vAlign w:val="bottom"/>
            <w:shd w:val="clear" w:color="auto" w:fill="CCEEFF"/>
          </w:tcPr>
          <w:p>
            <w:pPr>
              <w:spacing w:after="0"/>
              <w:rPr>
                <w:sz w:val="20"/>
                <w:szCs w:val="20"/>
                <w:color w:val="auto"/>
              </w:rPr>
            </w:pPr>
            <w:r>
              <w:rPr>
                <w:rFonts w:ascii="Arial" w:cs="Arial" w:eastAsia="Arial" w:hAnsi="Arial"/>
                <w:sz w:val="18"/>
                <w:szCs w:val="18"/>
                <w:color w:val="auto"/>
              </w:rPr>
              <w:t>Losses on fair value hedging relationships:</w:t>
            </w:r>
          </w:p>
        </w:tc>
        <w:tc>
          <w:tcPr>
            <w:tcW w:w="3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tcPr>
          <w:p>
            <w:pPr>
              <w:spacing w:after="0"/>
              <w:rPr>
                <w:sz w:val="20"/>
                <w:szCs w:val="20"/>
                <w:color w:val="auto"/>
              </w:rPr>
            </w:pPr>
            <w:r>
              <w:rPr>
                <w:rFonts w:ascii="Arial" w:cs="Arial" w:eastAsia="Arial" w:hAnsi="Arial"/>
                <w:sz w:val="18"/>
                <w:szCs w:val="18"/>
                <w:color w:val="auto"/>
              </w:rPr>
              <w:t>Interest rate contracts:</w:t>
            </w:r>
          </w:p>
        </w:tc>
        <w:tc>
          <w:tcPr>
            <w:tcW w:w="3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Gain recognized on hedged item</w:t>
            </w:r>
          </w:p>
        </w:tc>
        <w:tc>
          <w:tcPr>
            <w:tcW w:w="36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w w:val="79"/>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6.9</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507"/>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360" w:type="dxa"/>
            <w:vAlign w:val="bottom"/>
            <w:shd w:val="clear" w:color="auto" w:fill="CCEEFF"/>
          </w:tcPr>
          <w:p>
            <w:pPr>
              <w:jc w:val="right"/>
              <w:ind w:right="207"/>
              <w:spacing w:after="0"/>
              <w:rPr>
                <w:sz w:val="20"/>
                <w:szCs w:val="20"/>
                <w:color w:val="auto"/>
              </w:rPr>
            </w:pPr>
            <w:r>
              <w:rPr>
                <w:rFonts w:ascii="Arial" w:cs="Arial" w:eastAsia="Arial" w:hAnsi="Arial"/>
                <w:sz w:val="15"/>
                <w:szCs w:val="15"/>
                <w:color w:val="auto"/>
                <w:w w:val="71"/>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tcPr>
          <w:p>
            <w:pPr>
              <w:ind w:left="100"/>
              <w:spacing w:after="0"/>
              <w:rPr>
                <w:sz w:val="20"/>
                <w:szCs w:val="20"/>
                <w:color w:val="auto"/>
              </w:rPr>
            </w:pPr>
            <w:r>
              <w:rPr>
                <w:rFonts w:ascii="Arial" w:cs="Arial" w:eastAsia="Arial" w:hAnsi="Arial"/>
                <w:sz w:val="18"/>
                <w:szCs w:val="18"/>
                <w:color w:val="auto"/>
              </w:rPr>
              <w:t>Loss recognized on derivatives</w:t>
            </w:r>
          </w:p>
        </w:tc>
        <w:tc>
          <w:tcPr>
            <w:tcW w:w="360" w:type="dxa"/>
            <w:vAlign w:val="bottom"/>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8"/>
                <w:szCs w:val="18"/>
                <w:color w:val="auto"/>
              </w:rPr>
              <w:t>(6.9)</w:t>
            </w: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Amortization of hedged item basis adjustments</w:t>
            </w:r>
          </w:p>
        </w:tc>
        <w:tc>
          <w:tcPr>
            <w:tcW w:w="3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(0.4)</w:t>
            </w: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3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tcPr>
          <w:p>
            <w:pPr>
              <w:ind w:left="100"/>
              <w:spacing w:after="0"/>
              <w:rPr>
                <w:sz w:val="20"/>
                <w:szCs w:val="20"/>
                <w:color w:val="auto"/>
              </w:rPr>
            </w:pPr>
            <w:r>
              <w:rPr>
                <w:rFonts w:ascii="Arial" w:cs="Arial" w:eastAsia="Arial" w:hAnsi="Arial"/>
                <w:sz w:val="18"/>
                <w:szCs w:val="18"/>
                <w:color w:val="auto"/>
              </w:rPr>
              <w:t>Amounts related to periodic settlements on derivatives</w:t>
            </w:r>
          </w:p>
        </w:tc>
        <w:tc>
          <w:tcPr>
            <w:tcW w:w="360" w:type="dxa"/>
            <w:vAlign w:val="bottom"/>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8"/>
                <w:szCs w:val="18"/>
                <w:color w:val="auto"/>
              </w:rPr>
              <w:t>(2.2)</w:t>
            </w: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602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loss recognized for fair value hedging relationships</w:t>
            </w:r>
          </w:p>
        </w:tc>
        <w:tc>
          <w:tcPr>
            <w:tcW w:w="360" w:type="dxa"/>
            <w:vAlign w:val="bottom"/>
            <w:tcBorders>
              <w:top w:val="single" w:sz="8" w:color="auto"/>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79"/>
              </w:rPr>
              <w:t>$</w:t>
            </w: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660" w:type="dxa"/>
            <w:vAlign w:val="bottom"/>
            <w:tcBorders>
              <w:top w:val="single" w:sz="8" w:color="auto"/>
              <w:bottom w:val="single" w:sz="8" w:color="auto"/>
            </w:tcBorders>
            <w:shd w:val="clear" w:color="auto" w:fill="CCEEFF"/>
          </w:tcPr>
          <w:p>
            <w:pPr>
              <w:jc w:val="right"/>
              <w:ind w:right="507"/>
              <w:spacing w:after="0"/>
              <w:rPr>
                <w:sz w:val="20"/>
                <w:szCs w:val="20"/>
                <w:color w:val="auto"/>
              </w:rPr>
            </w:pPr>
            <w:r>
              <w:rPr>
                <w:rFonts w:ascii="Arial" w:cs="Arial" w:eastAsia="Arial" w:hAnsi="Arial"/>
                <w:sz w:val="15"/>
                <w:szCs w:val="15"/>
                <w:color w:val="auto"/>
                <w:w w:val="71"/>
              </w:rPr>
              <w:t>$</w:t>
            </w: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tcBorders>
              <w:top w:val="single" w:sz="8" w:color="CCEEFF"/>
              <w:bottom w:val="single" w:sz="8" w:color="CCEEFF"/>
            </w:tcBorders>
            <w:shd w:val="clear" w:color="auto" w:fill="CCEEFF"/>
          </w:tcPr>
          <w:p>
            <w:pPr>
              <w:spacing w:after="0"/>
              <w:rPr>
                <w:sz w:val="18"/>
                <w:szCs w:val="18"/>
                <w:color w:val="auto"/>
              </w:rPr>
            </w:pPr>
          </w:p>
        </w:tc>
        <w:tc>
          <w:tcPr>
            <w:tcW w:w="360" w:type="dxa"/>
            <w:vAlign w:val="bottom"/>
            <w:tcBorders>
              <w:top w:val="single" w:sz="8" w:color="auto"/>
              <w:bottom w:val="single" w:sz="8" w:color="auto"/>
            </w:tcBorders>
            <w:shd w:val="clear" w:color="auto" w:fill="CCEEFF"/>
          </w:tcPr>
          <w:p>
            <w:pPr>
              <w:jc w:val="right"/>
              <w:ind w:right="207"/>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0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60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020" w:type="dxa"/>
            <w:vAlign w:val="bottom"/>
            <w:shd w:val="clear" w:color="auto" w:fill="CCEEFF"/>
          </w:tcPr>
          <w:p>
            <w:pPr>
              <w:spacing w:after="0"/>
              <w:rPr>
                <w:sz w:val="20"/>
                <w:szCs w:val="20"/>
                <w:color w:val="auto"/>
              </w:rPr>
            </w:pPr>
            <w:r>
              <w:rPr>
                <w:rFonts w:ascii="Arial" w:cs="Arial" w:eastAsia="Arial" w:hAnsi="Arial"/>
                <w:sz w:val="18"/>
                <w:szCs w:val="18"/>
                <w:color w:val="auto"/>
              </w:rPr>
              <w:t>Gains (losses) on cash flow hedging relationships:</w:t>
            </w:r>
          </w:p>
        </w:tc>
        <w:tc>
          <w:tcPr>
            <w:tcW w:w="3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tcPr>
          <w:p>
            <w:pPr>
              <w:spacing w:after="0"/>
              <w:rPr>
                <w:sz w:val="20"/>
                <w:szCs w:val="20"/>
                <w:color w:val="auto"/>
              </w:rPr>
            </w:pPr>
            <w:r>
              <w:rPr>
                <w:rFonts w:ascii="Arial" w:cs="Arial" w:eastAsia="Arial" w:hAnsi="Arial"/>
                <w:sz w:val="18"/>
                <w:szCs w:val="18"/>
                <w:color w:val="auto"/>
              </w:rPr>
              <w:t>Interest rate contracts:</w:t>
            </w:r>
          </w:p>
        </w:tc>
        <w:tc>
          <w:tcPr>
            <w:tcW w:w="3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Gain (loss) reclassified from AOCI on derivatives</w:t>
            </w:r>
          </w:p>
        </w:tc>
        <w:tc>
          <w:tcPr>
            <w:tcW w:w="36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w w:val="79"/>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507"/>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360" w:type="dxa"/>
            <w:vAlign w:val="bottom"/>
            <w:shd w:val="clear" w:color="auto" w:fill="CCEEFF"/>
          </w:tcPr>
          <w:p>
            <w:pPr>
              <w:jc w:val="right"/>
              <w:ind w:right="207"/>
              <w:spacing w:after="0"/>
              <w:rPr>
                <w:sz w:val="20"/>
                <w:szCs w:val="20"/>
                <w:color w:val="auto"/>
              </w:rPr>
            </w:pPr>
            <w:r>
              <w:rPr>
                <w:rFonts w:ascii="Arial" w:cs="Arial" w:eastAsia="Arial" w:hAnsi="Arial"/>
                <w:sz w:val="15"/>
                <w:szCs w:val="15"/>
                <w:color w:val="auto"/>
                <w:w w:val="71"/>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6020" w:type="dxa"/>
            <w:vAlign w:val="bottom"/>
          </w:tcPr>
          <w:p>
            <w:pPr>
              <w:ind w:left="100"/>
              <w:spacing w:after="0" w:line="201" w:lineRule="exact"/>
              <w:rPr>
                <w:sz w:val="20"/>
                <w:szCs w:val="20"/>
                <w:color w:val="auto"/>
              </w:rPr>
            </w:pPr>
            <w:r>
              <w:rPr>
                <w:rFonts w:ascii="Arial" w:cs="Arial" w:eastAsia="Arial" w:hAnsi="Arial"/>
                <w:sz w:val="18"/>
                <w:szCs w:val="18"/>
                <w:color w:val="auto"/>
              </w:rPr>
              <w:t>Gain reclassified from AOCI as a result that a forecasted transaction is no</w:t>
            </w:r>
          </w:p>
        </w:tc>
        <w:tc>
          <w:tcPr>
            <w:tcW w:w="3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6020" w:type="dxa"/>
            <w:vAlign w:val="bottom"/>
          </w:tcPr>
          <w:p>
            <w:pPr>
              <w:ind w:left="220"/>
              <w:spacing w:after="0"/>
              <w:rPr>
                <w:sz w:val="20"/>
                <w:szCs w:val="20"/>
                <w:color w:val="auto"/>
              </w:rPr>
            </w:pPr>
            <w:r>
              <w:rPr>
                <w:rFonts w:ascii="Arial" w:cs="Arial" w:eastAsia="Arial" w:hAnsi="Arial"/>
                <w:sz w:val="18"/>
                <w:szCs w:val="18"/>
                <w:color w:val="auto"/>
              </w:rPr>
              <w:t>longer probable of occurring</w:t>
            </w:r>
          </w:p>
        </w:tc>
        <w:tc>
          <w:tcPr>
            <w:tcW w:w="360" w:type="dxa"/>
            <w:vAlign w:val="bottom"/>
          </w:tcPr>
          <w:p>
            <w:pPr>
              <w:spacing w:after="0"/>
              <w:rPr>
                <w:sz w:val="20"/>
                <w:szCs w:val="20"/>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0.1</w:t>
            </w:r>
          </w:p>
        </w:tc>
        <w:tc>
          <w:tcPr>
            <w:tcW w:w="2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60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020" w:type="dxa"/>
            <w:vAlign w:val="bottom"/>
          </w:tcPr>
          <w:p>
            <w:pPr>
              <w:spacing w:after="0"/>
              <w:rPr>
                <w:sz w:val="20"/>
                <w:szCs w:val="20"/>
                <w:color w:val="auto"/>
              </w:rPr>
            </w:pPr>
            <w:r>
              <w:rPr>
                <w:rFonts w:ascii="Arial" w:cs="Arial" w:eastAsia="Arial" w:hAnsi="Arial"/>
                <w:sz w:val="18"/>
                <w:szCs w:val="18"/>
                <w:color w:val="auto"/>
              </w:rPr>
              <w:t>Foreign exchange contracts:</w:t>
            </w:r>
          </w:p>
        </w:tc>
        <w:tc>
          <w:tcPr>
            <w:tcW w:w="3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Gain reclassified from AOCI on derivatives</w:t>
            </w:r>
          </w:p>
        </w:tc>
        <w:tc>
          <w:tcPr>
            <w:tcW w:w="3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0.7</w:t>
            </w:r>
          </w:p>
        </w:tc>
        <w:tc>
          <w:tcPr>
            <w:tcW w:w="2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tcPr>
          <w:p>
            <w:pPr>
              <w:ind w:left="100"/>
              <w:spacing w:after="0"/>
              <w:rPr>
                <w:sz w:val="20"/>
                <w:szCs w:val="20"/>
                <w:color w:val="auto"/>
              </w:rPr>
            </w:pPr>
            <w:r>
              <w:rPr>
                <w:rFonts w:ascii="Arial" w:cs="Arial" w:eastAsia="Arial" w:hAnsi="Arial"/>
                <w:sz w:val="18"/>
                <w:szCs w:val="18"/>
                <w:color w:val="auto"/>
              </w:rPr>
              <w:t>Amounts related to periodic settlements on derivatives</w:t>
            </w:r>
          </w:p>
        </w:tc>
        <w:tc>
          <w:tcPr>
            <w:tcW w:w="36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2.3</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602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gain (loss) recognized for cash flow hedging relationships</w:t>
            </w:r>
          </w:p>
        </w:tc>
        <w:tc>
          <w:tcPr>
            <w:tcW w:w="360" w:type="dxa"/>
            <w:vAlign w:val="bottom"/>
            <w:tcBorders>
              <w:top w:val="single" w:sz="8" w:color="auto"/>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79"/>
              </w:rPr>
              <w:t>$</w:t>
            </w: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6.3</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660" w:type="dxa"/>
            <w:vAlign w:val="bottom"/>
            <w:tcBorders>
              <w:top w:val="single" w:sz="8" w:color="auto"/>
              <w:bottom w:val="single" w:sz="8" w:color="auto"/>
            </w:tcBorders>
            <w:shd w:val="clear" w:color="auto" w:fill="CCEEFF"/>
          </w:tcPr>
          <w:p>
            <w:pPr>
              <w:jc w:val="right"/>
              <w:ind w:right="507"/>
              <w:spacing w:after="0"/>
              <w:rPr>
                <w:sz w:val="20"/>
                <w:szCs w:val="20"/>
                <w:color w:val="auto"/>
              </w:rPr>
            </w:pPr>
            <w:r>
              <w:rPr>
                <w:rFonts w:ascii="Arial" w:cs="Arial" w:eastAsia="Arial" w:hAnsi="Arial"/>
                <w:sz w:val="15"/>
                <w:szCs w:val="15"/>
                <w:color w:val="auto"/>
                <w:w w:val="71"/>
              </w:rPr>
              <w:t>$</w:t>
            </w: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0.8</w:t>
            </w:r>
          </w:p>
        </w:tc>
        <w:tc>
          <w:tcPr>
            <w:tcW w:w="200" w:type="dxa"/>
            <w:vAlign w:val="bottom"/>
            <w:tcBorders>
              <w:top w:val="single" w:sz="8" w:color="CCEEFF"/>
              <w:bottom w:val="single" w:sz="8" w:color="CCEEFF"/>
            </w:tcBorders>
            <w:shd w:val="clear" w:color="auto" w:fill="CCEEFF"/>
          </w:tcPr>
          <w:p>
            <w:pPr>
              <w:spacing w:after="0"/>
              <w:rPr>
                <w:sz w:val="18"/>
                <w:szCs w:val="18"/>
                <w:color w:val="auto"/>
              </w:rPr>
            </w:pPr>
          </w:p>
        </w:tc>
        <w:tc>
          <w:tcPr>
            <w:tcW w:w="360" w:type="dxa"/>
            <w:vAlign w:val="bottom"/>
            <w:tcBorders>
              <w:top w:val="single" w:sz="8" w:color="auto"/>
              <w:bottom w:val="single" w:sz="8" w:color="auto"/>
            </w:tcBorders>
            <w:shd w:val="clear" w:color="auto" w:fill="CCEEFF"/>
          </w:tcPr>
          <w:p>
            <w:pPr>
              <w:jc w:val="right"/>
              <w:ind w:right="207"/>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0" w:type="dxa"/>
            <w:vAlign w:val="bottom"/>
          </w:tcPr>
          <w:p>
            <w:pPr>
              <w:spacing w:after="0"/>
              <w:rPr>
                <w:sz w:val="1"/>
                <w:szCs w:val="1"/>
                <w:color w:val="auto"/>
              </w:rPr>
            </w:pPr>
          </w:p>
        </w:tc>
      </w:tr>
      <w:tr>
        <w:trPr>
          <w:trHeight w:val="20"/>
        </w:trPr>
        <w:tc>
          <w:tcPr>
            <w:tcW w:w="6040" w:type="dxa"/>
            <w:vAlign w:val="bottom"/>
            <w:gridSpan w:val="2"/>
            <w:vMerge w:val="restart"/>
          </w:tcPr>
          <w:p>
            <w:pPr>
              <w:jc w:val="right"/>
              <w:ind w:right="890"/>
              <w:spacing w:after="0"/>
              <w:rPr>
                <w:sz w:val="20"/>
                <w:szCs w:val="20"/>
                <w:color w:val="auto"/>
              </w:rPr>
            </w:pPr>
            <w:r>
              <w:rPr>
                <w:rFonts w:ascii="Arial" w:cs="Arial" w:eastAsia="Arial" w:hAnsi="Arial"/>
                <w:sz w:val="18"/>
                <w:szCs w:val="18"/>
                <w:color w:val="auto"/>
              </w:rPr>
              <w:t>46</w:t>
            </w:r>
          </w:p>
        </w:tc>
        <w:tc>
          <w:tcPr>
            <w:tcW w:w="3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5"/>
        </w:trPr>
        <w:tc>
          <w:tcPr>
            <w:tcW w:w="6040" w:type="dxa"/>
            <w:vAlign w:val="bottom"/>
            <w:gridSpan w:val="2"/>
            <w:vMerge w:val="continue"/>
          </w:tcPr>
          <w:p>
            <w:pPr>
              <w:spacing w:after="0"/>
              <w:rPr>
                <w:sz w:val="24"/>
                <w:szCs w:val="24"/>
                <w:color w:val="auto"/>
              </w:rPr>
            </w:pPr>
          </w:p>
        </w:tc>
        <w:tc>
          <w:tcPr>
            <w:tcW w:w="3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60"/>
        </w:trPr>
        <w:tc>
          <w:tcPr>
            <w:tcW w:w="20" w:type="dxa"/>
            <w:vAlign w:val="bottom"/>
          </w:tcPr>
          <w:p>
            <w:pPr>
              <w:spacing w:after="0"/>
              <w:rPr>
                <w:sz w:val="24"/>
                <w:szCs w:val="24"/>
                <w:color w:val="auto"/>
              </w:rPr>
            </w:pPr>
          </w:p>
        </w:tc>
        <w:tc>
          <w:tcPr>
            <w:tcW w:w="602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920"/>
          </w:cols>
          <w:pgMar w:left="980" w:top="665" w:right="999" w:bottom="1440" w:gutter="0" w:footer="0" w:header="0"/>
          <w:type w:val="continuous"/>
        </w:sectPr>
      </w:pPr>
    </w:p>
    <w:bookmarkStart w:id="46" w:name="page47"/>
    <w:bookmarkEnd w:id="46"/>
    <w:p>
      <w:pPr>
        <w:ind w:left="80"/>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80" w:type="dxa"/>
            <w:vAlign w:val="bottom"/>
          </w:tcPr>
          <w:p>
            <w:pPr>
              <w:spacing w:after="0"/>
              <w:rPr>
                <w:sz w:val="14"/>
                <w:szCs w:val="14"/>
                <w:color w:val="auto"/>
              </w:rPr>
            </w:pPr>
          </w:p>
        </w:tc>
        <w:tc>
          <w:tcPr>
            <w:tcW w:w="594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3120" w:type="dxa"/>
            <w:vAlign w:val="bottom"/>
            <w:tcBorders>
              <w:bottom w:val="single" w:sz="8" w:color="auto"/>
            </w:tcBorders>
            <w:gridSpan w:val="6"/>
          </w:tcPr>
          <w:p>
            <w:pPr>
              <w:jc w:val="right"/>
              <w:spacing w:after="0"/>
              <w:rPr>
                <w:sz w:val="20"/>
                <w:szCs w:val="20"/>
                <w:color w:val="auto"/>
              </w:rPr>
            </w:pPr>
            <w:r>
              <w:rPr>
                <w:rFonts w:ascii="Arial" w:cs="Arial" w:eastAsia="Arial" w:hAnsi="Arial"/>
                <w:sz w:val="14"/>
                <w:szCs w:val="14"/>
                <w:b w:val="1"/>
                <w:bCs w:val="1"/>
                <w:color w:val="auto"/>
              </w:rPr>
              <w:t>For the six months ended June 30, 2022</w:t>
            </w:r>
          </w:p>
        </w:tc>
        <w:tc>
          <w:tcPr>
            <w:tcW w:w="7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80" w:type="dxa"/>
            <w:vAlign w:val="bottom"/>
          </w:tcPr>
          <w:p>
            <w:pPr>
              <w:spacing w:after="0"/>
              <w:rPr>
                <w:sz w:val="10"/>
                <w:szCs w:val="10"/>
                <w:color w:val="auto"/>
              </w:rPr>
            </w:pPr>
          </w:p>
        </w:tc>
        <w:tc>
          <w:tcPr>
            <w:tcW w:w="59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30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91"/>
              </w:rPr>
              <w:t>Net investment</w:t>
            </w:r>
          </w:p>
        </w:tc>
        <w:tc>
          <w:tcPr>
            <w:tcW w:w="160" w:type="dxa"/>
            <w:vAlign w:val="bottom"/>
          </w:tcPr>
          <w:p>
            <w:pPr>
              <w:spacing w:after="0"/>
              <w:rPr>
                <w:sz w:val="10"/>
                <w:szCs w:val="10"/>
                <w:color w:val="auto"/>
              </w:rPr>
            </w:pPr>
          </w:p>
        </w:tc>
        <w:tc>
          <w:tcPr>
            <w:tcW w:w="1520" w:type="dxa"/>
            <w:vAlign w:val="bottom"/>
            <w:gridSpan w:val="2"/>
            <w:vMerge w:val="restart"/>
          </w:tcPr>
          <w:p>
            <w:pPr>
              <w:jc w:val="center"/>
              <w:ind w:right="320"/>
              <w:spacing w:after="0"/>
              <w:rPr>
                <w:sz w:val="20"/>
                <w:szCs w:val="20"/>
                <w:color w:val="auto"/>
              </w:rPr>
            </w:pPr>
            <w:r>
              <w:rPr>
                <w:rFonts w:ascii="Arial" w:cs="Arial" w:eastAsia="Arial" w:hAnsi="Arial"/>
                <w:sz w:val="14"/>
                <w:szCs w:val="14"/>
                <w:b w:val="1"/>
                <w:bCs w:val="1"/>
                <w:color w:val="auto"/>
                <w:w w:val="91"/>
              </w:rPr>
              <w:t>Net realized</w:t>
            </w:r>
          </w:p>
        </w:tc>
        <w:tc>
          <w:tcPr>
            <w:tcW w:w="140" w:type="dxa"/>
            <w:vAlign w:val="bottom"/>
          </w:tcPr>
          <w:p>
            <w:pPr>
              <w:spacing w:after="0"/>
              <w:rPr>
                <w:sz w:val="10"/>
                <w:szCs w:val="10"/>
                <w:color w:val="auto"/>
              </w:rPr>
            </w:pPr>
          </w:p>
        </w:tc>
        <w:tc>
          <w:tcPr>
            <w:tcW w:w="820" w:type="dxa"/>
            <w:vAlign w:val="bottom"/>
            <w:gridSpan w:val="2"/>
          </w:tcPr>
          <w:p>
            <w:pPr>
              <w:jc w:val="center"/>
              <w:ind w:right="140"/>
              <w:spacing w:after="0" w:line="119" w:lineRule="exact"/>
              <w:rPr>
                <w:sz w:val="20"/>
                <w:szCs w:val="20"/>
                <w:color w:val="auto"/>
              </w:rPr>
            </w:pPr>
            <w:r>
              <w:rPr>
                <w:rFonts w:ascii="Arial" w:cs="Arial" w:eastAsia="Arial" w:hAnsi="Arial"/>
                <w:sz w:val="13"/>
                <w:szCs w:val="13"/>
                <w:b w:val="1"/>
                <w:bCs w:val="1"/>
                <w:color w:val="auto"/>
                <w:w w:val="94"/>
              </w:rPr>
              <w:t>Benefits,</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80" w:type="dxa"/>
            <w:vAlign w:val="bottom"/>
          </w:tcPr>
          <w:p>
            <w:pPr>
              <w:spacing w:after="0"/>
              <w:rPr>
                <w:sz w:val="12"/>
                <w:szCs w:val="12"/>
                <w:color w:val="auto"/>
              </w:rPr>
            </w:pPr>
          </w:p>
        </w:tc>
        <w:tc>
          <w:tcPr>
            <w:tcW w:w="59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0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52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840" w:type="dxa"/>
            <w:vAlign w:val="bottom"/>
            <w:gridSpan w:val="3"/>
          </w:tcPr>
          <w:p>
            <w:pPr>
              <w:jc w:val="center"/>
              <w:ind w:right="140"/>
              <w:spacing w:after="0" w:line="149" w:lineRule="exact"/>
              <w:rPr>
                <w:sz w:val="20"/>
                <w:szCs w:val="20"/>
                <w:color w:val="auto"/>
              </w:rPr>
            </w:pPr>
            <w:r>
              <w:rPr>
                <w:rFonts w:ascii="Arial" w:cs="Arial" w:eastAsia="Arial" w:hAnsi="Arial"/>
                <w:sz w:val="14"/>
                <w:szCs w:val="14"/>
                <w:b w:val="1"/>
                <w:bCs w:val="1"/>
                <w:color w:val="auto"/>
                <w:w w:val="91"/>
              </w:rPr>
              <w:t>claims and</w:t>
            </w:r>
          </w:p>
        </w:tc>
        <w:tc>
          <w:tcPr>
            <w:tcW w:w="0" w:type="dxa"/>
            <w:vAlign w:val="bottom"/>
          </w:tcPr>
          <w:p>
            <w:pPr>
              <w:spacing w:after="0"/>
              <w:rPr>
                <w:sz w:val="1"/>
                <w:szCs w:val="1"/>
                <w:color w:val="auto"/>
              </w:rPr>
            </w:pPr>
          </w:p>
        </w:tc>
      </w:tr>
      <w:tr>
        <w:trPr>
          <w:trHeight w:val="148"/>
        </w:trPr>
        <w:tc>
          <w:tcPr>
            <w:tcW w:w="80" w:type="dxa"/>
            <w:vAlign w:val="bottom"/>
          </w:tcPr>
          <w:p>
            <w:pPr>
              <w:spacing w:after="0"/>
              <w:rPr>
                <w:sz w:val="12"/>
                <w:szCs w:val="12"/>
                <w:color w:val="auto"/>
              </w:rPr>
            </w:pPr>
          </w:p>
        </w:tc>
        <w:tc>
          <w:tcPr>
            <w:tcW w:w="59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0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1"/>
              </w:rPr>
              <w:t>income related</w:t>
            </w:r>
          </w:p>
        </w:tc>
        <w:tc>
          <w:tcPr>
            <w:tcW w:w="160" w:type="dxa"/>
            <w:vAlign w:val="bottom"/>
          </w:tcPr>
          <w:p>
            <w:pPr>
              <w:spacing w:after="0"/>
              <w:rPr>
                <w:sz w:val="12"/>
                <w:szCs w:val="12"/>
                <w:color w:val="auto"/>
              </w:rPr>
            </w:pPr>
          </w:p>
        </w:tc>
        <w:tc>
          <w:tcPr>
            <w:tcW w:w="152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9"/>
              </w:rPr>
              <w:t>capital gains</w:t>
            </w:r>
          </w:p>
        </w:tc>
        <w:tc>
          <w:tcPr>
            <w:tcW w:w="140" w:type="dxa"/>
            <w:vAlign w:val="bottom"/>
          </w:tcPr>
          <w:p>
            <w:pPr>
              <w:spacing w:after="0"/>
              <w:rPr>
                <w:sz w:val="12"/>
                <w:szCs w:val="12"/>
                <w:color w:val="auto"/>
              </w:rPr>
            </w:pPr>
          </w:p>
        </w:tc>
        <w:tc>
          <w:tcPr>
            <w:tcW w:w="840" w:type="dxa"/>
            <w:vAlign w:val="bottom"/>
            <w:gridSpan w:val="3"/>
          </w:tcPr>
          <w:p>
            <w:pPr>
              <w:jc w:val="center"/>
              <w:ind w:right="160"/>
              <w:spacing w:after="0" w:line="149" w:lineRule="exact"/>
              <w:rPr>
                <w:sz w:val="20"/>
                <w:szCs w:val="20"/>
                <w:color w:val="auto"/>
              </w:rPr>
            </w:pPr>
            <w:r>
              <w:rPr>
                <w:rFonts w:ascii="Arial" w:cs="Arial" w:eastAsia="Arial" w:hAnsi="Arial"/>
                <w:sz w:val="14"/>
                <w:szCs w:val="14"/>
                <w:b w:val="1"/>
                <w:bCs w:val="1"/>
                <w:color w:val="auto"/>
                <w:w w:val="91"/>
              </w:rPr>
              <w:t>settlement</w:t>
            </w:r>
          </w:p>
        </w:tc>
        <w:tc>
          <w:tcPr>
            <w:tcW w:w="0" w:type="dxa"/>
            <w:vAlign w:val="bottom"/>
          </w:tcPr>
          <w:p>
            <w:pPr>
              <w:spacing w:after="0"/>
              <w:rPr>
                <w:sz w:val="1"/>
                <w:szCs w:val="1"/>
                <w:color w:val="auto"/>
              </w:rPr>
            </w:pPr>
          </w:p>
        </w:tc>
      </w:tr>
      <w:tr>
        <w:trPr>
          <w:trHeight w:val="148"/>
        </w:trPr>
        <w:tc>
          <w:tcPr>
            <w:tcW w:w="80" w:type="dxa"/>
            <w:vAlign w:val="bottom"/>
          </w:tcPr>
          <w:p>
            <w:pPr>
              <w:spacing w:after="0"/>
              <w:rPr>
                <w:sz w:val="12"/>
                <w:szCs w:val="12"/>
                <w:color w:val="auto"/>
              </w:rPr>
            </w:pPr>
          </w:p>
        </w:tc>
        <w:tc>
          <w:tcPr>
            <w:tcW w:w="59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0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7"/>
              </w:rPr>
              <w:t>to hedges</w:t>
            </w:r>
          </w:p>
        </w:tc>
        <w:tc>
          <w:tcPr>
            <w:tcW w:w="160" w:type="dxa"/>
            <w:vAlign w:val="bottom"/>
          </w:tcPr>
          <w:p>
            <w:pPr>
              <w:spacing w:after="0"/>
              <w:rPr>
                <w:sz w:val="12"/>
                <w:szCs w:val="12"/>
                <w:color w:val="auto"/>
              </w:rPr>
            </w:pPr>
          </w:p>
        </w:tc>
        <w:tc>
          <w:tcPr>
            <w:tcW w:w="152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8"/>
              </w:rPr>
              <w:t>(losses) related to</w:t>
            </w:r>
          </w:p>
        </w:tc>
        <w:tc>
          <w:tcPr>
            <w:tcW w:w="140" w:type="dxa"/>
            <w:vAlign w:val="bottom"/>
          </w:tcPr>
          <w:p>
            <w:pPr>
              <w:spacing w:after="0"/>
              <w:rPr>
                <w:sz w:val="12"/>
                <w:szCs w:val="12"/>
                <w:color w:val="auto"/>
              </w:rPr>
            </w:pPr>
          </w:p>
        </w:tc>
        <w:tc>
          <w:tcPr>
            <w:tcW w:w="840" w:type="dxa"/>
            <w:vAlign w:val="bottom"/>
            <w:gridSpan w:val="3"/>
          </w:tcPr>
          <w:p>
            <w:pPr>
              <w:jc w:val="center"/>
              <w:ind w:right="140"/>
              <w:spacing w:after="0" w:line="149" w:lineRule="exact"/>
              <w:rPr>
                <w:sz w:val="20"/>
                <w:szCs w:val="20"/>
                <w:color w:val="auto"/>
              </w:rPr>
            </w:pPr>
            <w:r>
              <w:rPr>
                <w:rFonts w:ascii="Arial" w:cs="Arial" w:eastAsia="Arial" w:hAnsi="Arial"/>
                <w:sz w:val="14"/>
                <w:szCs w:val="14"/>
                <w:b w:val="1"/>
                <w:bCs w:val="1"/>
                <w:color w:val="auto"/>
                <w:w w:val="84"/>
              </w:rPr>
              <w:t>expenses</w:t>
            </w:r>
          </w:p>
        </w:tc>
        <w:tc>
          <w:tcPr>
            <w:tcW w:w="0" w:type="dxa"/>
            <w:vAlign w:val="bottom"/>
          </w:tcPr>
          <w:p>
            <w:pPr>
              <w:spacing w:after="0"/>
              <w:rPr>
                <w:sz w:val="1"/>
                <w:szCs w:val="1"/>
                <w:color w:val="auto"/>
              </w:rPr>
            </w:pPr>
          </w:p>
        </w:tc>
      </w:tr>
      <w:tr>
        <w:trPr>
          <w:trHeight w:val="148"/>
        </w:trPr>
        <w:tc>
          <w:tcPr>
            <w:tcW w:w="80" w:type="dxa"/>
            <w:vAlign w:val="bottom"/>
          </w:tcPr>
          <w:p>
            <w:pPr>
              <w:spacing w:after="0"/>
              <w:rPr>
                <w:sz w:val="12"/>
                <w:szCs w:val="12"/>
                <w:color w:val="auto"/>
              </w:rPr>
            </w:pPr>
          </w:p>
        </w:tc>
        <w:tc>
          <w:tcPr>
            <w:tcW w:w="59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0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2"/>
              </w:rPr>
              <w:t>of fixed</w:t>
            </w:r>
          </w:p>
        </w:tc>
        <w:tc>
          <w:tcPr>
            <w:tcW w:w="160" w:type="dxa"/>
            <w:vAlign w:val="bottom"/>
          </w:tcPr>
          <w:p>
            <w:pPr>
              <w:spacing w:after="0"/>
              <w:rPr>
                <w:sz w:val="12"/>
                <w:szCs w:val="12"/>
                <w:color w:val="auto"/>
              </w:rPr>
            </w:pPr>
          </w:p>
        </w:tc>
        <w:tc>
          <w:tcPr>
            <w:tcW w:w="152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9"/>
              </w:rPr>
              <w:t>hedges of fixed</w:t>
            </w:r>
          </w:p>
        </w:tc>
        <w:tc>
          <w:tcPr>
            <w:tcW w:w="140" w:type="dxa"/>
            <w:vAlign w:val="bottom"/>
          </w:tcPr>
          <w:p>
            <w:pPr>
              <w:spacing w:after="0"/>
              <w:rPr>
                <w:sz w:val="12"/>
                <w:szCs w:val="12"/>
                <w:color w:val="auto"/>
              </w:rPr>
            </w:pPr>
          </w:p>
        </w:tc>
        <w:tc>
          <w:tcPr>
            <w:tcW w:w="840" w:type="dxa"/>
            <w:vAlign w:val="bottom"/>
            <w:gridSpan w:val="3"/>
          </w:tcPr>
          <w:p>
            <w:pPr>
              <w:jc w:val="center"/>
              <w:ind w:right="140"/>
              <w:spacing w:after="0" w:line="149" w:lineRule="exact"/>
              <w:rPr>
                <w:sz w:val="20"/>
                <w:szCs w:val="20"/>
                <w:color w:val="auto"/>
              </w:rPr>
            </w:pPr>
            <w:r>
              <w:rPr>
                <w:rFonts w:ascii="Arial" w:cs="Arial" w:eastAsia="Arial" w:hAnsi="Arial"/>
                <w:sz w:val="14"/>
                <w:szCs w:val="14"/>
                <w:b w:val="1"/>
                <w:bCs w:val="1"/>
                <w:color w:val="auto"/>
                <w:w w:val="91"/>
              </w:rPr>
              <w:t>related to</w:t>
            </w:r>
          </w:p>
        </w:tc>
        <w:tc>
          <w:tcPr>
            <w:tcW w:w="0" w:type="dxa"/>
            <w:vAlign w:val="bottom"/>
          </w:tcPr>
          <w:p>
            <w:pPr>
              <w:spacing w:after="0"/>
              <w:rPr>
                <w:sz w:val="1"/>
                <w:szCs w:val="1"/>
                <w:color w:val="auto"/>
              </w:rPr>
            </w:pPr>
          </w:p>
        </w:tc>
      </w:tr>
      <w:tr>
        <w:trPr>
          <w:trHeight w:val="148"/>
        </w:trPr>
        <w:tc>
          <w:tcPr>
            <w:tcW w:w="80" w:type="dxa"/>
            <w:vAlign w:val="bottom"/>
          </w:tcPr>
          <w:p>
            <w:pPr>
              <w:spacing w:after="0"/>
              <w:rPr>
                <w:sz w:val="12"/>
                <w:szCs w:val="12"/>
                <w:color w:val="auto"/>
              </w:rPr>
            </w:pPr>
          </w:p>
        </w:tc>
        <w:tc>
          <w:tcPr>
            <w:tcW w:w="59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0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3"/>
              </w:rPr>
              <w:t>maturities,</w:t>
            </w:r>
          </w:p>
        </w:tc>
        <w:tc>
          <w:tcPr>
            <w:tcW w:w="160" w:type="dxa"/>
            <w:vAlign w:val="bottom"/>
          </w:tcPr>
          <w:p>
            <w:pPr>
              <w:spacing w:after="0"/>
              <w:rPr>
                <w:sz w:val="12"/>
                <w:szCs w:val="12"/>
                <w:color w:val="auto"/>
              </w:rPr>
            </w:pPr>
          </w:p>
        </w:tc>
        <w:tc>
          <w:tcPr>
            <w:tcW w:w="152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5"/>
              </w:rPr>
              <w:t>maturities,</w:t>
            </w:r>
          </w:p>
        </w:tc>
        <w:tc>
          <w:tcPr>
            <w:tcW w:w="140" w:type="dxa"/>
            <w:vAlign w:val="bottom"/>
          </w:tcPr>
          <w:p>
            <w:pPr>
              <w:spacing w:after="0"/>
              <w:rPr>
                <w:sz w:val="12"/>
                <w:szCs w:val="12"/>
                <w:color w:val="auto"/>
              </w:rPr>
            </w:pPr>
          </w:p>
        </w:tc>
        <w:tc>
          <w:tcPr>
            <w:tcW w:w="840" w:type="dxa"/>
            <w:vAlign w:val="bottom"/>
            <w:gridSpan w:val="3"/>
          </w:tcPr>
          <w:p>
            <w:pPr>
              <w:jc w:val="center"/>
              <w:ind w:right="160"/>
              <w:spacing w:after="0" w:line="149" w:lineRule="exact"/>
              <w:rPr>
                <w:sz w:val="20"/>
                <w:szCs w:val="20"/>
                <w:color w:val="auto"/>
              </w:rPr>
            </w:pPr>
            <w:r>
              <w:rPr>
                <w:rFonts w:ascii="Arial" w:cs="Arial" w:eastAsia="Arial" w:hAnsi="Arial"/>
                <w:sz w:val="14"/>
                <w:szCs w:val="14"/>
                <w:b w:val="1"/>
                <w:bCs w:val="1"/>
                <w:color w:val="auto"/>
                <w:w w:val="84"/>
              </w:rPr>
              <w:t>hedges of</w:t>
            </w:r>
          </w:p>
        </w:tc>
        <w:tc>
          <w:tcPr>
            <w:tcW w:w="0" w:type="dxa"/>
            <w:vAlign w:val="bottom"/>
          </w:tcPr>
          <w:p>
            <w:pPr>
              <w:spacing w:after="0"/>
              <w:rPr>
                <w:sz w:val="1"/>
                <w:szCs w:val="1"/>
                <w:color w:val="auto"/>
              </w:rPr>
            </w:pPr>
          </w:p>
        </w:tc>
      </w:tr>
      <w:tr>
        <w:trPr>
          <w:trHeight w:val="149"/>
        </w:trPr>
        <w:tc>
          <w:tcPr>
            <w:tcW w:w="80" w:type="dxa"/>
            <w:vAlign w:val="bottom"/>
          </w:tcPr>
          <w:p>
            <w:pPr>
              <w:spacing w:after="0"/>
              <w:rPr>
                <w:sz w:val="12"/>
                <w:szCs w:val="12"/>
                <w:color w:val="auto"/>
              </w:rPr>
            </w:pPr>
          </w:p>
        </w:tc>
        <w:tc>
          <w:tcPr>
            <w:tcW w:w="59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0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3"/>
              </w:rPr>
              <w:t>available-</w:t>
            </w:r>
          </w:p>
        </w:tc>
        <w:tc>
          <w:tcPr>
            <w:tcW w:w="160" w:type="dxa"/>
            <w:vAlign w:val="bottom"/>
          </w:tcPr>
          <w:p>
            <w:pPr>
              <w:spacing w:after="0"/>
              <w:rPr>
                <w:sz w:val="12"/>
                <w:szCs w:val="12"/>
                <w:color w:val="auto"/>
              </w:rPr>
            </w:pPr>
          </w:p>
        </w:tc>
        <w:tc>
          <w:tcPr>
            <w:tcW w:w="152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3"/>
              </w:rPr>
              <w:t>available-</w:t>
            </w:r>
          </w:p>
        </w:tc>
        <w:tc>
          <w:tcPr>
            <w:tcW w:w="140" w:type="dxa"/>
            <w:vAlign w:val="bottom"/>
          </w:tcPr>
          <w:p>
            <w:pPr>
              <w:spacing w:after="0"/>
              <w:rPr>
                <w:sz w:val="12"/>
                <w:szCs w:val="12"/>
                <w:color w:val="auto"/>
              </w:rPr>
            </w:pPr>
          </w:p>
        </w:tc>
        <w:tc>
          <w:tcPr>
            <w:tcW w:w="840" w:type="dxa"/>
            <w:vAlign w:val="bottom"/>
            <w:gridSpan w:val="3"/>
          </w:tcPr>
          <w:p>
            <w:pPr>
              <w:jc w:val="center"/>
              <w:ind w:right="160"/>
              <w:spacing w:after="0" w:line="149" w:lineRule="exact"/>
              <w:rPr>
                <w:sz w:val="20"/>
                <w:szCs w:val="20"/>
                <w:color w:val="auto"/>
              </w:rPr>
            </w:pPr>
            <w:r>
              <w:rPr>
                <w:rFonts w:ascii="Arial" w:cs="Arial" w:eastAsia="Arial" w:hAnsi="Arial"/>
                <w:sz w:val="14"/>
                <w:szCs w:val="14"/>
                <w:b w:val="1"/>
                <w:bCs w:val="1"/>
                <w:color w:val="auto"/>
                <w:w w:val="91"/>
              </w:rPr>
              <w:t>investment</w:t>
            </w:r>
          </w:p>
        </w:tc>
        <w:tc>
          <w:tcPr>
            <w:tcW w:w="0" w:type="dxa"/>
            <w:vAlign w:val="bottom"/>
          </w:tcPr>
          <w:p>
            <w:pPr>
              <w:spacing w:after="0"/>
              <w:rPr>
                <w:sz w:val="1"/>
                <w:szCs w:val="1"/>
                <w:color w:val="auto"/>
              </w:rPr>
            </w:pPr>
          </w:p>
        </w:tc>
      </w:tr>
      <w:tr>
        <w:trPr>
          <w:trHeight w:val="171"/>
        </w:trPr>
        <w:tc>
          <w:tcPr>
            <w:tcW w:w="80" w:type="dxa"/>
            <w:vAlign w:val="bottom"/>
          </w:tcPr>
          <w:p>
            <w:pPr>
              <w:spacing w:after="0"/>
              <w:rPr>
                <w:sz w:val="14"/>
                <w:szCs w:val="14"/>
                <w:color w:val="auto"/>
              </w:rPr>
            </w:pPr>
          </w:p>
        </w:tc>
        <w:tc>
          <w:tcPr>
            <w:tcW w:w="59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0"/>
              </w:rPr>
              <w:t>for-sale</w:t>
            </w:r>
          </w:p>
        </w:tc>
        <w:tc>
          <w:tcPr>
            <w:tcW w:w="160" w:type="dxa"/>
            <w:vAlign w:val="bottom"/>
          </w:tcPr>
          <w:p>
            <w:pPr>
              <w:spacing w:after="0"/>
              <w:rPr>
                <w:sz w:val="14"/>
                <w:szCs w:val="14"/>
                <w:color w:val="auto"/>
              </w:rPr>
            </w:pPr>
          </w:p>
        </w:tc>
        <w:tc>
          <w:tcPr>
            <w:tcW w:w="152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86"/>
              </w:rPr>
              <w:t>for-sale</w:t>
            </w:r>
          </w:p>
        </w:tc>
        <w:tc>
          <w:tcPr>
            <w:tcW w:w="140" w:type="dxa"/>
            <w:vAlign w:val="bottom"/>
          </w:tcPr>
          <w:p>
            <w:pPr>
              <w:spacing w:after="0"/>
              <w:rPr>
                <w:sz w:val="14"/>
                <w:szCs w:val="14"/>
                <w:color w:val="auto"/>
              </w:rPr>
            </w:pPr>
          </w:p>
        </w:tc>
        <w:tc>
          <w:tcPr>
            <w:tcW w:w="840" w:type="dxa"/>
            <w:vAlign w:val="bottom"/>
            <w:gridSpan w:val="3"/>
          </w:tcPr>
          <w:p>
            <w:pPr>
              <w:jc w:val="center"/>
              <w:ind w:right="160"/>
              <w:spacing w:after="0"/>
              <w:rPr>
                <w:sz w:val="20"/>
                <w:szCs w:val="20"/>
                <w:color w:val="auto"/>
              </w:rPr>
            </w:pPr>
            <w:r>
              <w:rPr>
                <w:rFonts w:ascii="Arial" w:cs="Arial" w:eastAsia="Arial" w:hAnsi="Arial"/>
                <w:sz w:val="14"/>
                <w:szCs w:val="14"/>
                <w:b w:val="1"/>
                <w:bCs w:val="1"/>
                <w:color w:val="auto"/>
                <w:w w:val="88"/>
              </w:rPr>
              <w:t>contracts</w:t>
            </w:r>
          </w:p>
        </w:tc>
        <w:tc>
          <w:tcPr>
            <w:tcW w:w="0" w:type="dxa"/>
            <w:vAlign w:val="bottom"/>
          </w:tcPr>
          <w:p>
            <w:pPr>
              <w:spacing w:after="0"/>
              <w:rPr>
                <w:sz w:val="1"/>
                <w:szCs w:val="1"/>
                <w:color w:val="auto"/>
              </w:rPr>
            </w:pPr>
          </w:p>
        </w:tc>
      </w:tr>
      <w:tr>
        <w:trPr>
          <w:trHeight w:val="128"/>
        </w:trPr>
        <w:tc>
          <w:tcPr>
            <w:tcW w:w="80" w:type="dxa"/>
            <w:vAlign w:val="bottom"/>
          </w:tcPr>
          <w:p>
            <w:pPr>
              <w:spacing w:after="0"/>
              <w:rPr>
                <w:sz w:val="11"/>
                <w:szCs w:val="11"/>
                <w:color w:val="auto"/>
              </w:rPr>
            </w:pPr>
          </w:p>
        </w:tc>
        <w:tc>
          <w:tcPr>
            <w:tcW w:w="594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14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340" w:type="dxa"/>
            <w:vAlign w:val="bottom"/>
            <w:tcBorders>
              <w:top w:val="single" w:sz="8" w:color="auto"/>
            </w:tcBorders>
          </w:tcPr>
          <w:p>
            <w:pPr>
              <w:jc w:val="right"/>
              <w:ind w:right="458"/>
              <w:spacing w:after="0" w:line="129" w:lineRule="exact"/>
              <w:rPr>
                <w:sz w:val="20"/>
                <w:szCs w:val="20"/>
                <w:color w:val="auto"/>
              </w:rPr>
            </w:pPr>
            <w:r>
              <w:rPr>
                <w:rFonts w:ascii="Arial" w:cs="Arial" w:eastAsia="Arial" w:hAnsi="Arial"/>
                <w:sz w:val="14"/>
                <w:szCs w:val="14"/>
                <w:i w:val="1"/>
                <w:iCs w:val="1"/>
                <w:color w:val="auto"/>
              </w:rPr>
              <w:t>(in millions)</w:t>
            </w:r>
          </w:p>
        </w:tc>
        <w:tc>
          <w:tcPr>
            <w:tcW w:w="18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74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02"/>
        </w:trPr>
        <w:tc>
          <w:tcPr>
            <w:tcW w:w="602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w w:val="97"/>
              </w:rPr>
              <w:t>Total amounts of consolidated statement of operations line items in which the</w:t>
            </w: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114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1,934.6</w:t>
            </w:r>
          </w:p>
        </w:tc>
        <w:tc>
          <w:tcPr>
            <w:tcW w:w="160" w:type="dxa"/>
            <w:vAlign w:val="bottom"/>
            <w:shd w:val="clear" w:color="auto" w:fill="CCEEFF"/>
          </w:tcPr>
          <w:p>
            <w:pPr>
              <w:spacing w:after="0"/>
              <w:rPr>
                <w:sz w:val="17"/>
                <w:szCs w:val="17"/>
                <w:color w:val="auto"/>
              </w:rPr>
            </w:pPr>
          </w:p>
        </w:tc>
        <w:tc>
          <w:tcPr>
            <w:tcW w:w="16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520" w:type="dxa"/>
            <w:vAlign w:val="bottom"/>
            <w:gridSpan w:val="2"/>
            <w:vMerge w:val="restart"/>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(338.4)</w:t>
            </w:r>
          </w:p>
        </w:tc>
        <w:tc>
          <w:tcPr>
            <w:tcW w:w="14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820" w:type="dxa"/>
            <w:vAlign w:val="bottom"/>
            <w:gridSpan w:val="2"/>
            <w:vMerge w:val="restart"/>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2,738.</w:t>
            </w:r>
            <w:r>
              <w:rPr>
                <w:rFonts w:ascii="Arial" w:cs="Arial" w:eastAsia="Arial" w:hAnsi="Arial"/>
                <w:sz w:val="18"/>
                <w:szCs w:val="18"/>
                <w:b w:val="1"/>
                <w:bCs w:val="1"/>
                <w:u w:val="single" w:color="auto"/>
                <w:color w:val="auto"/>
              </w:rPr>
              <w:t>5</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80" w:type="dxa"/>
            <w:vAlign w:val="bottom"/>
            <w:shd w:val="clear" w:color="auto" w:fill="CCEEFF"/>
          </w:tcPr>
          <w:p>
            <w:pPr>
              <w:spacing w:after="0"/>
              <w:rPr>
                <w:sz w:val="18"/>
                <w:szCs w:val="18"/>
                <w:color w:val="auto"/>
              </w:rPr>
            </w:pPr>
          </w:p>
        </w:tc>
        <w:tc>
          <w:tcPr>
            <w:tcW w:w="5940" w:type="dxa"/>
            <w:vAlign w:val="bottom"/>
            <w:shd w:val="clear" w:color="auto" w:fill="CCEEFF"/>
          </w:tcPr>
          <w:p>
            <w:pPr>
              <w:ind w:left="40"/>
              <w:spacing w:after="0"/>
              <w:rPr>
                <w:sz w:val="20"/>
                <w:szCs w:val="20"/>
                <w:color w:val="auto"/>
              </w:rPr>
            </w:pPr>
            <w:r>
              <w:rPr>
                <w:rFonts w:ascii="Arial" w:cs="Arial" w:eastAsia="Arial" w:hAnsi="Arial"/>
                <w:sz w:val="18"/>
                <w:szCs w:val="18"/>
                <w:color w:val="auto"/>
              </w:rPr>
              <w:t>effects of fair value and cash flow hedges are reported</w:t>
            </w:r>
          </w:p>
        </w:tc>
        <w:tc>
          <w:tcPr>
            <w:tcW w:w="120" w:type="dxa"/>
            <w:vAlign w:val="bottom"/>
            <w:vMerge w:val="continue"/>
            <w:shd w:val="clear" w:color="auto" w:fill="CCEEFF"/>
          </w:tcPr>
          <w:p>
            <w:pPr>
              <w:spacing w:after="0"/>
              <w:rPr>
                <w:sz w:val="18"/>
                <w:szCs w:val="18"/>
                <w:color w:val="auto"/>
              </w:rPr>
            </w:pPr>
          </w:p>
        </w:tc>
        <w:tc>
          <w:tcPr>
            <w:tcW w:w="1140" w:type="dxa"/>
            <w:vAlign w:val="bottom"/>
            <w:vMerge w:val="continue"/>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vMerge w:val="continue"/>
            <w:shd w:val="clear" w:color="auto" w:fill="CCEEFF"/>
          </w:tcPr>
          <w:p>
            <w:pPr>
              <w:spacing w:after="0"/>
              <w:rPr>
                <w:sz w:val="18"/>
                <w:szCs w:val="18"/>
                <w:color w:val="auto"/>
              </w:rPr>
            </w:pPr>
          </w:p>
        </w:tc>
        <w:tc>
          <w:tcPr>
            <w:tcW w:w="1520" w:type="dxa"/>
            <w:vAlign w:val="bottom"/>
            <w:gridSpan w:val="2"/>
            <w:vMerge w:val="continue"/>
            <w:shd w:val="clear" w:color="auto" w:fill="CCEEFF"/>
          </w:tcPr>
          <w:p>
            <w:pPr>
              <w:spacing w:after="0"/>
              <w:rPr>
                <w:sz w:val="18"/>
                <w:szCs w:val="18"/>
                <w:color w:val="auto"/>
              </w:rPr>
            </w:pPr>
          </w:p>
        </w:tc>
        <w:tc>
          <w:tcPr>
            <w:tcW w:w="140" w:type="dxa"/>
            <w:vAlign w:val="bottom"/>
            <w:vMerge w:val="continue"/>
            <w:shd w:val="clear" w:color="auto" w:fill="CCEEFF"/>
          </w:tcPr>
          <w:p>
            <w:pPr>
              <w:spacing w:after="0"/>
              <w:rPr>
                <w:sz w:val="18"/>
                <w:szCs w:val="18"/>
                <w:color w:val="auto"/>
              </w:rPr>
            </w:pPr>
          </w:p>
        </w:tc>
        <w:tc>
          <w:tcPr>
            <w:tcW w:w="820" w:type="dxa"/>
            <w:vAlign w:val="bottom"/>
            <w:gridSpan w:val="2"/>
            <w:vMerge w:val="continue"/>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020" w:type="dxa"/>
            <w:vAlign w:val="bottom"/>
            <w:tcBorders>
              <w:top w:val="single" w:sz="8" w:color="CCEEFF"/>
            </w:tcBorders>
            <w:gridSpan w:val="2"/>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80" w:type="dxa"/>
            <w:vAlign w:val="bottom"/>
          </w:tcPr>
          <w:p>
            <w:pPr>
              <w:spacing w:after="0"/>
              <w:rPr>
                <w:sz w:val="17"/>
                <w:szCs w:val="17"/>
                <w:color w:val="auto"/>
              </w:rPr>
            </w:pPr>
          </w:p>
        </w:tc>
        <w:tc>
          <w:tcPr>
            <w:tcW w:w="59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60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Losses on fair value hedging relationships:</w:t>
            </w:r>
          </w:p>
        </w:tc>
        <w:tc>
          <w:tcPr>
            <w:tcW w:w="12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20" w:type="dxa"/>
            <w:vAlign w:val="bottom"/>
            <w:gridSpan w:val="2"/>
          </w:tcPr>
          <w:p>
            <w:pPr>
              <w:spacing w:after="0"/>
              <w:rPr>
                <w:sz w:val="20"/>
                <w:szCs w:val="20"/>
                <w:color w:val="auto"/>
              </w:rPr>
            </w:pPr>
            <w:r>
              <w:rPr>
                <w:rFonts w:ascii="Arial" w:cs="Arial" w:eastAsia="Arial" w:hAnsi="Arial"/>
                <w:sz w:val="18"/>
                <w:szCs w:val="18"/>
                <w:color w:val="auto"/>
              </w:rPr>
              <w:t>Interest rate contracts:</w:t>
            </w:r>
          </w:p>
        </w:tc>
        <w:tc>
          <w:tcPr>
            <w:tcW w:w="1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0" w:type="dxa"/>
            <w:vAlign w:val="bottom"/>
            <w:shd w:val="clear" w:color="auto" w:fill="CCEEFF"/>
          </w:tcPr>
          <w:p>
            <w:pPr>
              <w:spacing w:after="0"/>
              <w:rPr>
                <w:sz w:val="18"/>
                <w:szCs w:val="18"/>
                <w:color w:val="auto"/>
              </w:rPr>
            </w:pPr>
          </w:p>
        </w:tc>
        <w:tc>
          <w:tcPr>
            <w:tcW w:w="5940" w:type="dxa"/>
            <w:vAlign w:val="bottom"/>
            <w:shd w:val="clear" w:color="auto" w:fill="CCEEFF"/>
          </w:tcPr>
          <w:p>
            <w:pPr>
              <w:ind w:left="20"/>
              <w:spacing w:after="0"/>
              <w:rPr>
                <w:sz w:val="20"/>
                <w:szCs w:val="20"/>
                <w:color w:val="auto"/>
              </w:rPr>
            </w:pPr>
            <w:r>
              <w:rPr>
                <w:rFonts w:ascii="Arial" w:cs="Arial" w:eastAsia="Arial" w:hAnsi="Arial"/>
                <w:sz w:val="18"/>
                <w:szCs w:val="18"/>
                <w:color w:val="auto"/>
              </w:rPr>
              <w:t>Loss recognized on hedged item</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(106.4)</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5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8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0" w:type="dxa"/>
            <w:vAlign w:val="bottom"/>
          </w:tcPr>
          <w:p>
            <w:pPr>
              <w:spacing w:after="0"/>
              <w:rPr>
                <w:sz w:val="18"/>
                <w:szCs w:val="18"/>
                <w:color w:val="auto"/>
              </w:rPr>
            </w:pPr>
          </w:p>
        </w:tc>
        <w:tc>
          <w:tcPr>
            <w:tcW w:w="5940" w:type="dxa"/>
            <w:vAlign w:val="bottom"/>
          </w:tcPr>
          <w:p>
            <w:pPr>
              <w:ind w:left="20"/>
              <w:spacing w:after="0"/>
              <w:rPr>
                <w:sz w:val="20"/>
                <w:szCs w:val="20"/>
                <w:color w:val="auto"/>
              </w:rPr>
            </w:pPr>
            <w:r>
              <w:rPr>
                <w:rFonts w:ascii="Arial" w:cs="Arial" w:eastAsia="Arial" w:hAnsi="Arial"/>
                <w:sz w:val="18"/>
                <w:szCs w:val="18"/>
                <w:color w:val="auto"/>
              </w:rPr>
              <w:t>Gain recognized on derivatives</w:t>
            </w:r>
          </w:p>
        </w:tc>
        <w:tc>
          <w:tcPr>
            <w:tcW w:w="12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103.0</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2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spacing w:after="0"/>
              <w:rPr>
                <w:sz w:val="18"/>
                <w:szCs w:val="18"/>
                <w:color w:val="auto"/>
              </w:rPr>
            </w:pPr>
          </w:p>
        </w:tc>
        <w:tc>
          <w:tcPr>
            <w:tcW w:w="82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0" w:type="dxa"/>
            <w:vAlign w:val="bottom"/>
            <w:shd w:val="clear" w:color="auto" w:fill="CCEEFF"/>
          </w:tcPr>
          <w:p>
            <w:pPr>
              <w:spacing w:after="0"/>
              <w:rPr>
                <w:sz w:val="18"/>
                <w:szCs w:val="18"/>
                <w:color w:val="auto"/>
              </w:rPr>
            </w:pPr>
          </w:p>
        </w:tc>
        <w:tc>
          <w:tcPr>
            <w:tcW w:w="5940" w:type="dxa"/>
            <w:vAlign w:val="bottom"/>
            <w:shd w:val="clear" w:color="auto" w:fill="CCEEFF"/>
          </w:tcPr>
          <w:p>
            <w:pPr>
              <w:ind w:left="20"/>
              <w:spacing w:after="0"/>
              <w:rPr>
                <w:sz w:val="20"/>
                <w:szCs w:val="20"/>
                <w:color w:val="auto"/>
              </w:rPr>
            </w:pPr>
            <w:r>
              <w:rPr>
                <w:rFonts w:ascii="Arial" w:cs="Arial" w:eastAsia="Arial" w:hAnsi="Arial"/>
                <w:sz w:val="18"/>
                <w:szCs w:val="18"/>
                <w:color w:val="auto"/>
              </w:rPr>
              <w:t>Amortization of hedged item basis adjustments</w:t>
            </w:r>
          </w:p>
        </w:tc>
        <w:tc>
          <w:tcPr>
            <w:tcW w:w="12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(0.7)</w:t>
            </w:r>
          </w:p>
        </w:tc>
        <w:tc>
          <w:tcPr>
            <w:tcW w:w="16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0" w:type="dxa"/>
            <w:vAlign w:val="bottom"/>
          </w:tcPr>
          <w:p>
            <w:pPr>
              <w:spacing w:after="0"/>
              <w:rPr>
                <w:sz w:val="18"/>
                <w:szCs w:val="18"/>
                <w:color w:val="auto"/>
              </w:rPr>
            </w:pPr>
          </w:p>
        </w:tc>
        <w:tc>
          <w:tcPr>
            <w:tcW w:w="5940" w:type="dxa"/>
            <w:vAlign w:val="bottom"/>
          </w:tcPr>
          <w:p>
            <w:pPr>
              <w:ind w:left="20"/>
              <w:spacing w:after="0"/>
              <w:rPr>
                <w:sz w:val="20"/>
                <w:szCs w:val="20"/>
                <w:color w:val="auto"/>
              </w:rPr>
            </w:pPr>
            <w:r>
              <w:rPr>
                <w:rFonts w:ascii="Arial" w:cs="Arial" w:eastAsia="Arial" w:hAnsi="Arial"/>
                <w:sz w:val="18"/>
                <w:szCs w:val="18"/>
                <w:color w:val="auto"/>
              </w:rPr>
              <w:t>Amounts related to periodic settlements on derivatives</w:t>
            </w:r>
          </w:p>
        </w:tc>
        <w:tc>
          <w:tcPr>
            <w:tcW w:w="120" w:type="dxa"/>
            <w:vAlign w:val="bottom"/>
          </w:tcPr>
          <w:p>
            <w:pPr>
              <w:spacing w:after="0"/>
              <w:rPr>
                <w:sz w:val="18"/>
                <w:szCs w:val="18"/>
                <w:color w:val="auto"/>
              </w:rPr>
            </w:pPr>
          </w:p>
        </w:tc>
        <w:tc>
          <w:tcPr>
            <w:tcW w:w="130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(6.9)</w:t>
            </w:r>
          </w:p>
        </w:tc>
        <w:tc>
          <w:tcPr>
            <w:tcW w:w="160" w:type="dxa"/>
            <w:vAlign w:val="bottom"/>
          </w:tcPr>
          <w:p>
            <w:pPr>
              <w:spacing w:after="0"/>
              <w:rPr>
                <w:sz w:val="18"/>
                <w:szCs w:val="18"/>
                <w:color w:val="auto"/>
              </w:rPr>
            </w:pPr>
          </w:p>
        </w:tc>
        <w:tc>
          <w:tcPr>
            <w:tcW w:w="152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spacing w:after="0"/>
              <w:rPr>
                <w:sz w:val="18"/>
                <w:szCs w:val="18"/>
                <w:color w:val="auto"/>
              </w:rPr>
            </w:pPr>
          </w:p>
        </w:tc>
        <w:tc>
          <w:tcPr>
            <w:tcW w:w="82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6020" w:type="dxa"/>
            <w:vAlign w:val="bottom"/>
            <w:tcBorders>
              <w:top w:val="single" w:sz="8" w:color="CCEEFF"/>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Total loss recognized for fair value hedging relationships</w:t>
            </w: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1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(11.0)</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3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8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820" w:type="dxa"/>
            <w:vAlign w:val="bottom"/>
            <w:tcBorders>
              <w:top w:val="single" w:sz="8" w:color="auto"/>
              <w:bottom w:val="single" w:sz="8" w:color="auto"/>
            </w:tcBorders>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020" w:type="dxa"/>
            <w:vAlign w:val="bottom"/>
            <w:gridSpan w:val="2"/>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80" w:type="dxa"/>
            <w:vAlign w:val="bottom"/>
          </w:tcPr>
          <w:p>
            <w:pPr>
              <w:spacing w:after="0"/>
              <w:rPr>
                <w:sz w:val="17"/>
                <w:szCs w:val="17"/>
                <w:color w:val="auto"/>
              </w:rPr>
            </w:pPr>
          </w:p>
        </w:tc>
        <w:tc>
          <w:tcPr>
            <w:tcW w:w="59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60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Gains (losses) on cash flow hedging relationships:</w:t>
            </w:r>
          </w:p>
        </w:tc>
        <w:tc>
          <w:tcPr>
            <w:tcW w:w="12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20" w:type="dxa"/>
            <w:vAlign w:val="bottom"/>
            <w:gridSpan w:val="2"/>
          </w:tcPr>
          <w:p>
            <w:pPr>
              <w:spacing w:after="0"/>
              <w:rPr>
                <w:sz w:val="20"/>
                <w:szCs w:val="20"/>
                <w:color w:val="auto"/>
              </w:rPr>
            </w:pPr>
            <w:r>
              <w:rPr>
                <w:rFonts w:ascii="Arial" w:cs="Arial" w:eastAsia="Arial" w:hAnsi="Arial"/>
                <w:sz w:val="18"/>
                <w:szCs w:val="18"/>
                <w:color w:val="auto"/>
              </w:rPr>
              <w:t>Interest rate contracts:</w:t>
            </w:r>
          </w:p>
        </w:tc>
        <w:tc>
          <w:tcPr>
            <w:tcW w:w="1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0" w:type="dxa"/>
            <w:vAlign w:val="bottom"/>
            <w:shd w:val="clear" w:color="auto" w:fill="CCEEFF"/>
          </w:tcPr>
          <w:p>
            <w:pPr>
              <w:spacing w:after="0"/>
              <w:rPr>
                <w:sz w:val="18"/>
                <w:szCs w:val="18"/>
                <w:color w:val="auto"/>
              </w:rPr>
            </w:pPr>
          </w:p>
        </w:tc>
        <w:tc>
          <w:tcPr>
            <w:tcW w:w="5940" w:type="dxa"/>
            <w:vAlign w:val="bottom"/>
            <w:shd w:val="clear" w:color="auto" w:fill="CCEEFF"/>
          </w:tcPr>
          <w:p>
            <w:pPr>
              <w:ind w:left="20"/>
              <w:spacing w:after="0"/>
              <w:rPr>
                <w:sz w:val="20"/>
                <w:szCs w:val="20"/>
                <w:color w:val="auto"/>
              </w:rPr>
            </w:pPr>
            <w:r>
              <w:rPr>
                <w:rFonts w:ascii="Arial" w:cs="Arial" w:eastAsia="Arial" w:hAnsi="Arial"/>
                <w:sz w:val="18"/>
                <w:szCs w:val="18"/>
                <w:color w:val="auto"/>
              </w:rPr>
              <w:t>Gain (loss) reclassified from AOCI on derivatives</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6.0</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5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(0.1)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80" w:type="dxa"/>
            <w:vAlign w:val="bottom"/>
          </w:tcPr>
          <w:p>
            <w:pPr>
              <w:spacing w:after="0"/>
              <w:rPr>
                <w:sz w:val="17"/>
                <w:szCs w:val="17"/>
                <w:color w:val="auto"/>
              </w:rPr>
            </w:pPr>
          </w:p>
        </w:tc>
        <w:tc>
          <w:tcPr>
            <w:tcW w:w="5940" w:type="dxa"/>
            <w:vAlign w:val="bottom"/>
          </w:tcPr>
          <w:p>
            <w:pPr>
              <w:ind w:left="20"/>
              <w:spacing w:after="0" w:line="201" w:lineRule="exact"/>
              <w:rPr>
                <w:sz w:val="20"/>
                <w:szCs w:val="20"/>
                <w:color w:val="auto"/>
              </w:rPr>
            </w:pPr>
            <w:r>
              <w:rPr>
                <w:rFonts w:ascii="Arial" w:cs="Arial" w:eastAsia="Arial" w:hAnsi="Arial"/>
                <w:sz w:val="18"/>
                <w:szCs w:val="18"/>
                <w:color w:val="auto"/>
              </w:rPr>
              <w:t>Gain reclassified from AOCI as a result that a forecasted transaction is no</w:t>
            </w:r>
          </w:p>
        </w:tc>
        <w:tc>
          <w:tcPr>
            <w:tcW w:w="120" w:type="dxa"/>
            <w:vAlign w:val="bottom"/>
          </w:tcPr>
          <w:p>
            <w:pPr>
              <w:spacing w:after="0"/>
              <w:rPr>
                <w:sz w:val="17"/>
                <w:szCs w:val="17"/>
                <w:color w:val="auto"/>
              </w:rPr>
            </w:pPr>
          </w:p>
        </w:tc>
        <w:tc>
          <w:tcPr>
            <w:tcW w:w="1300" w:type="dxa"/>
            <w:vAlign w:val="bottom"/>
            <w:gridSpan w:val="2"/>
            <w:vMerge w:val="restart"/>
          </w:tcPr>
          <w:p>
            <w:pPr>
              <w:jc w:val="right"/>
              <w:ind w:right="220"/>
              <w:spacing w:after="0"/>
              <w:rPr>
                <w:sz w:val="20"/>
                <w:szCs w:val="20"/>
                <w:color w:val="auto"/>
              </w:rPr>
            </w:pPr>
            <w:r>
              <w:rPr>
                <w:rFonts w:ascii="Arial" w:cs="Arial" w:eastAsia="Arial" w:hAnsi="Arial"/>
                <w:sz w:val="18"/>
                <w:szCs w:val="18"/>
                <w:b w:val="1"/>
                <w:bCs w:val="1"/>
                <w:color w:val="auto"/>
              </w:rPr>
              <w:t>—</w:t>
            </w:r>
          </w:p>
        </w:tc>
        <w:tc>
          <w:tcPr>
            <w:tcW w:w="160" w:type="dxa"/>
            <w:vAlign w:val="bottom"/>
          </w:tcPr>
          <w:p>
            <w:pPr>
              <w:spacing w:after="0"/>
              <w:rPr>
                <w:sz w:val="17"/>
                <w:szCs w:val="17"/>
                <w:color w:val="auto"/>
              </w:rPr>
            </w:pPr>
          </w:p>
        </w:tc>
        <w:tc>
          <w:tcPr>
            <w:tcW w:w="134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10.8</w:t>
            </w: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40" w:type="dxa"/>
            <w:vAlign w:val="bottom"/>
            <w:gridSpan w:val="3"/>
            <w:vMerge w:val="restart"/>
          </w:tcPr>
          <w:p>
            <w:pPr>
              <w:jc w:val="right"/>
              <w:ind w:right="80"/>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30"/>
        </w:trPr>
        <w:tc>
          <w:tcPr>
            <w:tcW w:w="80" w:type="dxa"/>
            <w:vAlign w:val="bottom"/>
          </w:tcPr>
          <w:p>
            <w:pPr>
              <w:spacing w:after="0"/>
              <w:rPr>
                <w:sz w:val="20"/>
                <w:szCs w:val="20"/>
                <w:color w:val="auto"/>
              </w:rPr>
            </w:pPr>
          </w:p>
        </w:tc>
        <w:tc>
          <w:tcPr>
            <w:tcW w:w="5940" w:type="dxa"/>
            <w:vAlign w:val="bottom"/>
          </w:tcPr>
          <w:p>
            <w:pPr>
              <w:ind w:left="160"/>
              <w:spacing w:after="0"/>
              <w:rPr>
                <w:sz w:val="20"/>
                <w:szCs w:val="20"/>
                <w:color w:val="auto"/>
              </w:rPr>
            </w:pPr>
            <w:r>
              <w:rPr>
                <w:rFonts w:ascii="Arial" w:cs="Arial" w:eastAsia="Arial" w:hAnsi="Arial"/>
                <w:sz w:val="18"/>
                <w:szCs w:val="18"/>
                <w:color w:val="auto"/>
              </w:rPr>
              <w:t>longer probable of occurring</w:t>
            </w:r>
          </w:p>
        </w:tc>
        <w:tc>
          <w:tcPr>
            <w:tcW w:w="120" w:type="dxa"/>
            <w:vAlign w:val="bottom"/>
          </w:tcPr>
          <w:p>
            <w:pPr>
              <w:spacing w:after="0"/>
              <w:rPr>
                <w:sz w:val="20"/>
                <w:szCs w:val="20"/>
                <w:color w:val="auto"/>
              </w:rPr>
            </w:pPr>
          </w:p>
        </w:tc>
        <w:tc>
          <w:tcPr>
            <w:tcW w:w="1300" w:type="dxa"/>
            <w:vAlign w:val="bottom"/>
            <w:gridSpan w:val="2"/>
            <w:vMerge w:val="continue"/>
          </w:tcPr>
          <w:p>
            <w:pPr>
              <w:spacing w:after="0"/>
              <w:rPr>
                <w:sz w:val="20"/>
                <w:szCs w:val="20"/>
                <w:color w:val="auto"/>
              </w:rPr>
            </w:pPr>
          </w:p>
        </w:tc>
        <w:tc>
          <w:tcPr>
            <w:tcW w:w="160" w:type="dxa"/>
            <w:vAlign w:val="bottom"/>
          </w:tcPr>
          <w:p>
            <w:pPr>
              <w:spacing w:after="0"/>
              <w:rPr>
                <w:sz w:val="20"/>
                <w:szCs w:val="20"/>
                <w:color w:val="auto"/>
              </w:rPr>
            </w:pPr>
          </w:p>
        </w:tc>
        <w:tc>
          <w:tcPr>
            <w:tcW w:w="1340" w:type="dxa"/>
            <w:vAlign w:val="bottom"/>
            <w:vMerge w:val="continue"/>
          </w:tcPr>
          <w:p>
            <w:pPr>
              <w:spacing w:after="0"/>
              <w:rPr>
                <w:sz w:val="20"/>
                <w:szCs w:val="20"/>
                <w:color w:val="auto"/>
              </w:rPr>
            </w:pP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40" w:type="dxa"/>
            <w:vAlign w:val="bottom"/>
            <w:gridSpan w:val="3"/>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6020" w:type="dxa"/>
            <w:vAlign w:val="bottom"/>
            <w:gridSpan w:val="2"/>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20" w:type="dxa"/>
            <w:vAlign w:val="bottom"/>
            <w:gridSpan w:val="2"/>
          </w:tcPr>
          <w:p>
            <w:pPr>
              <w:spacing w:after="0"/>
              <w:rPr>
                <w:sz w:val="20"/>
                <w:szCs w:val="20"/>
                <w:color w:val="auto"/>
              </w:rPr>
            </w:pPr>
            <w:r>
              <w:rPr>
                <w:rFonts w:ascii="Arial" w:cs="Arial" w:eastAsia="Arial" w:hAnsi="Arial"/>
                <w:sz w:val="18"/>
                <w:szCs w:val="18"/>
                <w:color w:val="auto"/>
              </w:rPr>
              <w:t>Foreign exchange contracts:</w:t>
            </w:r>
          </w:p>
        </w:tc>
        <w:tc>
          <w:tcPr>
            <w:tcW w:w="1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0" w:type="dxa"/>
            <w:vAlign w:val="bottom"/>
            <w:shd w:val="clear" w:color="auto" w:fill="CCEEFF"/>
          </w:tcPr>
          <w:p>
            <w:pPr>
              <w:spacing w:after="0"/>
              <w:rPr>
                <w:sz w:val="18"/>
                <w:szCs w:val="18"/>
                <w:color w:val="auto"/>
              </w:rPr>
            </w:pPr>
          </w:p>
        </w:tc>
        <w:tc>
          <w:tcPr>
            <w:tcW w:w="5940" w:type="dxa"/>
            <w:vAlign w:val="bottom"/>
            <w:shd w:val="clear" w:color="auto" w:fill="CCEEFF"/>
          </w:tcPr>
          <w:p>
            <w:pPr>
              <w:ind w:left="20"/>
              <w:spacing w:after="0"/>
              <w:rPr>
                <w:sz w:val="20"/>
                <w:szCs w:val="20"/>
                <w:color w:val="auto"/>
              </w:rPr>
            </w:pPr>
            <w:r>
              <w:rPr>
                <w:rFonts w:ascii="Arial" w:cs="Arial" w:eastAsia="Arial" w:hAnsi="Arial"/>
                <w:sz w:val="18"/>
                <w:szCs w:val="18"/>
                <w:color w:val="auto"/>
              </w:rPr>
              <w:t>Gain reclassified from AOCI on derivatives</w:t>
            </w:r>
          </w:p>
        </w:tc>
        <w:tc>
          <w:tcPr>
            <w:tcW w:w="12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6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0.7</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0" w:type="dxa"/>
            <w:vAlign w:val="bottom"/>
          </w:tcPr>
          <w:p>
            <w:pPr>
              <w:spacing w:after="0"/>
              <w:rPr>
                <w:sz w:val="18"/>
                <w:szCs w:val="18"/>
                <w:color w:val="auto"/>
              </w:rPr>
            </w:pPr>
          </w:p>
        </w:tc>
        <w:tc>
          <w:tcPr>
            <w:tcW w:w="5940" w:type="dxa"/>
            <w:vAlign w:val="bottom"/>
          </w:tcPr>
          <w:p>
            <w:pPr>
              <w:ind w:left="20"/>
              <w:spacing w:after="0"/>
              <w:rPr>
                <w:sz w:val="20"/>
                <w:szCs w:val="20"/>
                <w:color w:val="auto"/>
              </w:rPr>
            </w:pPr>
            <w:r>
              <w:rPr>
                <w:rFonts w:ascii="Arial" w:cs="Arial" w:eastAsia="Arial" w:hAnsi="Arial"/>
                <w:sz w:val="18"/>
                <w:szCs w:val="18"/>
                <w:color w:val="auto"/>
              </w:rPr>
              <w:t>Amounts related to periodic settlements on derivatives</w:t>
            </w:r>
          </w:p>
        </w:tc>
        <w:tc>
          <w:tcPr>
            <w:tcW w:w="12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5.7</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2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spacing w:after="0"/>
              <w:rPr>
                <w:sz w:val="18"/>
                <w:szCs w:val="18"/>
                <w:color w:val="auto"/>
              </w:rPr>
            </w:pPr>
          </w:p>
        </w:tc>
        <w:tc>
          <w:tcPr>
            <w:tcW w:w="82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6020" w:type="dxa"/>
            <w:vAlign w:val="bottom"/>
            <w:tcBorders>
              <w:top w:val="single" w:sz="8" w:color="CCEEFF"/>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Total gain (loss) recognized for cash flow hedging relationships</w:t>
            </w: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1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11.7</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3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11.5</w:t>
            </w:r>
          </w:p>
        </w:tc>
        <w:tc>
          <w:tcPr>
            <w:tcW w:w="18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82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(0.1)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020" w:type="dxa"/>
            <w:vAlign w:val="bottom"/>
            <w:gridSpan w:val="2"/>
            <w:vMerge w:val="restart"/>
          </w:tcPr>
          <w:p>
            <w:pPr>
              <w:ind w:left="4960"/>
              <w:spacing w:after="0"/>
              <w:rPr>
                <w:sz w:val="20"/>
                <w:szCs w:val="20"/>
                <w:color w:val="auto"/>
              </w:rPr>
            </w:pPr>
            <w:r>
              <w:rPr>
                <w:rFonts w:ascii="Arial" w:cs="Arial" w:eastAsia="Arial" w:hAnsi="Arial"/>
                <w:sz w:val="18"/>
                <w:szCs w:val="18"/>
                <w:color w:val="auto"/>
              </w:rPr>
              <w:t>47</w:t>
            </w:r>
          </w:p>
        </w:tc>
        <w:tc>
          <w:tcPr>
            <w:tcW w:w="1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5"/>
        </w:trPr>
        <w:tc>
          <w:tcPr>
            <w:tcW w:w="6020" w:type="dxa"/>
            <w:vAlign w:val="bottom"/>
            <w:gridSpan w:val="2"/>
            <w:vMerge w:val="continue"/>
          </w:tcPr>
          <w:p>
            <w:pPr>
              <w:spacing w:after="0"/>
              <w:rPr>
                <w:sz w:val="24"/>
                <w:szCs w:val="24"/>
                <w:color w:val="auto"/>
              </w:rPr>
            </w:pPr>
          </w:p>
        </w:tc>
        <w:tc>
          <w:tcPr>
            <w:tcW w:w="1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60"/>
        </w:trPr>
        <w:tc>
          <w:tcPr>
            <w:tcW w:w="80" w:type="dxa"/>
            <w:vAlign w:val="bottom"/>
          </w:tcPr>
          <w:p>
            <w:pPr>
              <w:spacing w:after="0"/>
              <w:rPr>
                <w:sz w:val="24"/>
                <w:szCs w:val="24"/>
                <w:color w:val="auto"/>
              </w:rPr>
            </w:pPr>
          </w:p>
        </w:tc>
        <w:tc>
          <w:tcPr>
            <w:tcW w:w="59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0080"/>
          </w:cols>
          <w:pgMar w:left="900" w:top="665" w:right="919" w:bottom="1440" w:gutter="0" w:footer="0" w:header="0"/>
        </w:sectPr>
      </w:pPr>
    </w:p>
    <w:bookmarkStart w:id="47" w:name="page48"/>
    <w:bookmarkEnd w:id="47"/>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5"/>
          <w:szCs w:val="15"/>
          <w:b w:val="1"/>
          <w:bCs w:val="1"/>
          <w:color w:val="auto"/>
        </w:rPr>
        <w:t>Notes to Condensed Consolidated Financial Statements – (continued)</w:t>
      </w:r>
    </w:p>
    <w:p>
      <w:pPr>
        <w:spacing w:after="0" w:line="4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ectPr>
          <w:pgSz w:w="11900" w:h="16838" w:orient="portrait"/>
          <w:cols w:equalWidth="0" w:num="1">
            <w:col w:w="9920"/>
          </w:cols>
          <w:pgMar w:left="980" w:top="665" w:right="99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ind w:left="140" w:hanging="129"/>
        <w:spacing w:after="0" w:line="277" w:lineRule="auto"/>
        <w:rPr>
          <w:sz w:val="20"/>
          <w:szCs w:val="20"/>
          <w:color w:val="auto"/>
        </w:rPr>
      </w:pPr>
      <w:r>
        <w:rPr>
          <w:rFonts w:ascii="Arial" w:cs="Arial" w:eastAsia="Arial" w:hAnsi="Arial"/>
          <w:sz w:val="18"/>
          <w:szCs w:val="18"/>
          <w:color w:val="auto"/>
        </w:rPr>
        <w:t>Total amounts of consolidated statement of operations line items in which the effects of fair value and cash flow hedges are reported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-293370</wp:posOffset>
            </wp:positionV>
            <wp:extent cx="6292215" cy="27432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6292215" cy="27432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96" w:lineRule="exact"/>
        <w:rPr>
          <w:sz w:val="20"/>
          <w:szCs w:val="20"/>
          <w:color w:val="auto"/>
        </w:rPr>
      </w:pPr>
    </w:p>
    <w:p>
      <w:pPr>
        <w:ind w:left="740"/>
        <w:spacing w:after="0"/>
        <w:rPr>
          <w:sz w:val="20"/>
          <w:szCs w:val="20"/>
          <w:color w:val="auto"/>
        </w:rPr>
      </w:pPr>
      <w:r>
        <w:rPr>
          <w:rFonts w:ascii="Arial" w:cs="Arial" w:eastAsia="Arial" w:hAnsi="Arial"/>
          <w:sz w:val="14"/>
          <w:szCs w:val="14"/>
          <w:b w:val="1"/>
          <w:bCs w:val="1"/>
          <w:color w:val="auto"/>
        </w:rPr>
        <w:t>For the six months ended June 30, 2021</w:t>
      </w:r>
    </w:p>
    <w:p>
      <w:pPr>
        <w:spacing w:after="0" w:line="10" w:lineRule="exact"/>
        <w:rPr>
          <w:sz w:val="20"/>
          <w:szCs w:val="20"/>
          <w:color w:val="auto"/>
        </w:rPr>
      </w:pPr>
    </w:p>
    <w:tbl>
      <w:tblPr>
        <w:tblLayout w:type="fixed"/>
        <w:tblInd w:w="0" w:type="dxa"/>
        <w:tblCellMar>
          <w:top w:w="0" w:type="dxa"/>
          <w:left w:w="0" w:type="dxa"/>
          <w:bottom w:w="0" w:type="dxa"/>
          <w:right w:w="0" w:type="dxa"/>
        </w:tblCellMar>
      </w:tblPr>
      <w:tr>
        <w:trPr>
          <w:trHeight w:val="119"/>
        </w:trPr>
        <w:tc>
          <w:tcPr>
            <w:tcW w:w="980" w:type="dxa"/>
            <w:vAlign w:val="bottom"/>
            <w:tcBorders>
              <w:top w:val="single" w:sz="8" w:color="auto"/>
            </w:tcBorders>
            <w:gridSpan w:val="2"/>
            <w:vMerge w:val="restart"/>
          </w:tcPr>
          <w:p>
            <w:pPr>
              <w:jc w:val="center"/>
              <w:spacing w:after="0"/>
              <w:rPr>
                <w:sz w:val="20"/>
                <w:szCs w:val="20"/>
                <w:color w:val="auto"/>
              </w:rPr>
            </w:pPr>
            <w:r>
              <w:rPr>
                <w:rFonts w:ascii="Arial" w:cs="Arial" w:eastAsia="Arial" w:hAnsi="Arial"/>
                <w:sz w:val="14"/>
                <w:szCs w:val="14"/>
                <w:b w:val="1"/>
                <w:bCs w:val="1"/>
                <w:color w:val="auto"/>
                <w:w w:val="91"/>
              </w:rPr>
              <w:t>Net investment</w:t>
            </w:r>
          </w:p>
        </w:tc>
        <w:tc>
          <w:tcPr>
            <w:tcW w:w="200" w:type="dxa"/>
            <w:vAlign w:val="bottom"/>
            <w:tcBorders>
              <w:top w:val="single" w:sz="8" w:color="auto"/>
            </w:tcBorders>
          </w:tcPr>
          <w:p>
            <w:pPr>
              <w:spacing w:after="0"/>
              <w:rPr>
                <w:sz w:val="10"/>
                <w:szCs w:val="10"/>
                <w:color w:val="auto"/>
              </w:rPr>
            </w:pPr>
          </w:p>
        </w:tc>
        <w:tc>
          <w:tcPr>
            <w:tcW w:w="200" w:type="dxa"/>
            <w:vAlign w:val="bottom"/>
            <w:tcBorders>
              <w:top w:val="single" w:sz="8" w:color="auto"/>
            </w:tcBorders>
          </w:tcPr>
          <w:p>
            <w:pPr>
              <w:spacing w:after="0"/>
              <w:rPr>
                <w:sz w:val="10"/>
                <w:szCs w:val="10"/>
                <w:color w:val="auto"/>
              </w:rPr>
            </w:pPr>
          </w:p>
        </w:tc>
        <w:tc>
          <w:tcPr>
            <w:tcW w:w="1520" w:type="dxa"/>
            <w:vAlign w:val="bottom"/>
            <w:tcBorders>
              <w:top w:val="single" w:sz="8" w:color="auto"/>
            </w:tcBorders>
            <w:gridSpan w:val="2"/>
            <w:vMerge w:val="restart"/>
          </w:tcPr>
          <w:p>
            <w:pPr>
              <w:jc w:val="center"/>
              <w:ind w:right="400"/>
              <w:spacing w:after="0"/>
              <w:rPr>
                <w:sz w:val="20"/>
                <w:szCs w:val="20"/>
                <w:color w:val="auto"/>
              </w:rPr>
            </w:pPr>
            <w:r>
              <w:rPr>
                <w:rFonts w:ascii="Arial" w:cs="Arial" w:eastAsia="Arial" w:hAnsi="Arial"/>
                <w:sz w:val="14"/>
                <w:szCs w:val="14"/>
                <w:b w:val="1"/>
                <w:bCs w:val="1"/>
                <w:color w:val="auto"/>
                <w:w w:val="91"/>
              </w:rPr>
              <w:t>Net realized</w:t>
            </w:r>
          </w:p>
        </w:tc>
        <w:tc>
          <w:tcPr>
            <w:tcW w:w="120" w:type="dxa"/>
            <w:vAlign w:val="bottom"/>
            <w:tcBorders>
              <w:top w:val="single" w:sz="8" w:color="auto"/>
            </w:tcBorders>
          </w:tcPr>
          <w:p>
            <w:pPr>
              <w:spacing w:after="0"/>
              <w:rPr>
                <w:sz w:val="10"/>
                <w:szCs w:val="10"/>
                <w:color w:val="auto"/>
              </w:rPr>
            </w:pPr>
          </w:p>
        </w:tc>
        <w:tc>
          <w:tcPr>
            <w:tcW w:w="860" w:type="dxa"/>
            <w:vAlign w:val="bottom"/>
            <w:tcBorders>
              <w:top w:val="single" w:sz="8" w:color="auto"/>
            </w:tcBorders>
          </w:tcPr>
          <w:p>
            <w:pPr>
              <w:jc w:val="center"/>
              <w:ind w:right="47"/>
              <w:spacing w:after="0" w:line="119" w:lineRule="exact"/>
              <w:rPr>
                <w:sz w:val="20"/>
                <w:szCs w:val="20"/>
                <w:color w:val="auto"/>
              </w:rPr>
            </w:pPr>
            <w:r>
              <w:rPr>
                <w:rFonts w:ascii="Arial" w:cs="Arial" w:eastAsia="Arial" w:hAnsi="Arial"/>
                <w:sz w:val="13"/>
                <w:szCs w:val="13"/>
                <w:b w:val="1"/>
                <w:bCs w:val="1"/>
                <w:color w:val="auto"/>
                <w:w w:val="98"/>
              </w:rPr>
              <w:t>Benefits,</w:t>
            </w:r>
          </w:p>
        </w:tc>
        <w:tc>
          <w:tcPr>
            <w:tcW w:w="0" w:type="dxa"/>
            <w:vAlign w:val="bottom"/>
          </w:tcPr>
          <w:p>
            <w:pPr>
              <w:spacing w:after="0"/>
              <w:rPr>
                <w:sz w:val="1"/>
                <w:szCs w:val="1"/>
                <w:color w:val="auto"/>
              </w:rPr>
            </w:pPr>
          </w:p>
        </w:tc>
      </w:tr>
      <w:tr>
        <w:trPr>
          <w:trHeight w:val="149"/>
        </w:trPr>
        <w:tc>
          <w:tcPr>
            <w:tcW w:w="980" w:type="dxa"/>
            <w:vAlign w:val="bottom"/>
            <w:gridSpan w:val="2"/>
            <w:vMerge w:val="continue"/>
          </w:tcPr>
          <w:p>
            <w:pPr>
              <w:spacing w:after="0"/>
              <w:rPr>
                <w:sz w:val="12"/>
                <w:szCs w:val="12"/>
                <w:color w:val="auto"/>
              </w:rPr>
            </w:pPr>
          </w:p>
        </w:tc>
        <w:tc>
          <w:tcPr>
            <w:tcW w:w="2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52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860" w:type="dxa"/>
            <w:vAlign w:val="bottom"/>
          </w:tcPr>
          <w:p>
            <w:pPr>
              <w:jc w:val="center"/>
              <w:ind w:right="47"/>
              <w:spacing w:after="0" w:line="149" w:lineRule="exact"/>
              <w:rPr>
                <w:sz w:val="20"/>
                <w:szCs w:val="20"/>
                <w:color w:val="auto"/>
              </w:rPr>
            </w:pPr>
            <w:r>
              <w:rPr>
                <w:rFonts w:ascii="Arial" w:cs="Arial" w:eastAsia="Arial" w:hAnsi="Arial"/>
                <w:sz w:val="14"/>
                <w:szCs w:val="14"/>
                <w:b w:val="1"/>
                <w:bCs w:val="1"/>
                <w:color w:val="auto"/>
                <w:w w:val="91"/>
              </w:rPr>
              <w:t>claims and</w:t>
            </w:r>
          </w:p>
        </w:tc>
        <w:tc>
          <w:tcPr>
            <w:tcW w:w="0" w:type="dxa"/>
            <w:vAlign w:val="bottom"/>
          </w:tcPr>
          <w:p>
            <w:pPr>
              <w:spacing w:after="0"/>
              <w:rPr>
                <w:sz w:val="1"/>
                <w:szCs w:val="1"/>
                <w:color w:val="auto"/>
              </w:rPr>
            </w:pPr>
          </w:p>
        </w:tc>
      </w:tr>
      <w:tr>
        <w:trPr>
          <w:trHeight w:val="148"/>
        </w:trPr>
        <w:tc>
          <w:tcPr>
            <w:tcW w:w="98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1"/>
              </w:rPr>
              <w:t>income related</w:t>
            </w:r>
          </w:p>
        </w:tc>
        <w:tc>
          <w:tcPr>
            <w:tcW w:w="2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52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89"/>
              </w:rPr>
              <w:t>capital gains</w:t>
            </w:r>
          </w:p>
        </w:tc>
        <w:tc>
          <w:tcPr>
            <w:tcW w:w="120" w:type="dxa"/>
            <w:vAlign w:val="bottom"/>
          </w:tcPr>
          <w:p>
            <w:pPr>
              <w:spacing w:after="0"/>
              <w:rPr>
                <w:sz w:val="12"/>
                <w:szCs w:val="12"/>
                <w:color w:val="auto"/>
              </w:rPr>
            </w:pPr>
          </w:p>
        </w:tc>
        <w:tc>
          <w:tcPr>
            <w:tcW w:w="860" w:type="dxa"/>
            <w:vAlign w:val="bottom"/>
          </w:tcPr>
          <w:p>
            <w:pPr>
              <w:jc w:val="center"/>
              <w:ind w:right="47"/>
              <w:spacing w:after="0" w:line="149" w:lineRule="exact"/>
              <w:rPr>
                <w:sz w:val="20"/>
                <w:szCs w:val="20"/>
                <w:color w:val="auto"/>
              </w:rPr>
            </w:pPr>
            <w:r>
              <w:rPr>
                <w:rFonts w:ascii="Arial" w:cs="Arial" w:eastAsia="Arial" w:hAnsi="Arial"/>
                <w:sz w:val="14"/>
                <w:szCs w:val="14"/>
                <w:b w:val="1"/>
                <w:bCs w:val="1"/>
                <w:color w:val="auto"/>
                <w:w w:val="88"/>
              </w:rPr>
              <w:t>settlement</w:t>
            </w:r>
          </w:p>
        </w:tc>
        <w:tc>
          <w:tcPr>
            <w:tcW w:w="0" w:type="dxa"/>
            <w:vAlign w:val="bottom"/>
          </w:tcPr>
          <w:p>
            <w:pPr>
              <w:spacing w:after="0"/>
              <w:rPr>
                <w:sz w:val="1"/>
                <w:szCs w:val="1"/>
                <w:color w:val="auto"/>
              </w:rPr>
            </w:pPr>
          </w:p>
        </w:tc>
      </w:tr>
      <w:tr>
        <w:trPr>
          <w:trHeight w:val="148"/>
        </w:trPr>
        <w:tc>
          <w:tcPr>
            <w:tcW w:w="120" w:type="dxa"/>
            <w:vAlign w:val="bottom"/>
          </w:tcPr>
          <w:p>
            <w:pPr>
              <w:spacing w:after="0"/>
              <w:rPr>
                <w:sz w:val="12"/>
                <w:szCs w:val="12"/>
                <w:color w:val="auto"/>
              </w:rPr>
            </w:pPr>
          </w:p>
        </w:tc>
        <w:tc>
          <w:tcPr>
            <w:tcW w:w="860" w:type="dxa"/>
            <w:vAlign w:val="bottom"/>
          </w:tcPr>
          <w:p>
            <w:pPr>
              <w:jc w:val="center"/>
              <w:ind w:right="25"/>
              <w:spacing w:after="0" w:line="149" w:lineRule="exact"/>
              <w:rPr>
                <w:sz w:val="20"/>
                <w:szCs w:val="20"/>
                <w:color w:val="auto"/>
              </w:rPr>
            </w:pPr>
            <w:r>
              <w:rPr>
                <w:rFonts w:ascii="Arial" w:cs="Arial" w:eastAsia="Arial" w:hAnsi="Arial"/>
                <w:sz w:val="14"/>
                <w:szCs w:val="14"/>
                <w:b w:val="1"/>
                <w:bCs w:val="1"/>
                <w:color w:val="auto"/>
                <w:w w:val="84"/>
              </w:rPr>
              <w:t>to hedges</w:t>
            </w:r>
          </w:p>
        </w:tc>
        <w:tc>
          <w:tcPr>
            <w:tcW w:w="2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52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95"/>
              </w:rPr>
              <w:t>related to</w:t>
            </w:r>
          </w:p>
        </w:tc>
        <w:tc>
          <w:tcPr>
            <w:tcW w:w="120" w:type="dxa"/>
            <w:vAlign w:val="bottom"/>
          </w:tcPr>
          <w:p>
            <w:pPr>
              <w:spacing w:after="0"/>
              <w:rPr>
                <w:sz w:val="12"/>
                <w:szCs w:val="12"/>
                <w:color w:val="auto"/>
              </w:rPr>
            </w:pPr>
          </w:p>
        </w:tc>
        <w:tc>
          <w:tcPr>
            <w:tcW w:w="860" w:type="dxa"/>
            <w:vAlign w:val="bottom"/>
          </w:tcPr>
          <w:p>
            <w:pPr>
              <w:jc w:val="center"/>
              <w:ind w:right="47"/>
              <w:spacing w:after="0" w:line="149" w:lineRule="exact"/>
              <w:rPr>
                <w:sz w:val="20"/>
                <w:szCs w:val="20"/>
                <w:color w:val="auto"/>
              </w:rPr>
            </w:pPr>
            <w:r>
              <w:rPr>
                <w:rFonts w:ascii="Arial" w:cs="Arial" w:eastAsia="Arial" w:hAnsi="Arial"/>
                <w:sz w:val="14"/>
                <w:szCs w:val="14"/>
                <w:b w:val="1"/>
                <w:bCs w:val="1"/>
                <w:color w:val="auto"/>
                <w:w w:val="84"/>
              </w:rPr>
              <w:t>expenses</w:t>
            </w:r>
          </w:p>
        </w:tc>
        <w:tc>
          <w:tcPr>
            <w:tcW w:w="0" w:type="dxa"/>
            <w:vAlign w:val="bottom"/>
          </w:tcPr>
          <w:p>
            <w:pPr>
              <w:spacing w:after="0"/>
              <w:rPr>
                <w:sz w:val="1"/>
                <w:szCs w:val="1"/>
                <w:color w:val="auto"/>
              </w:rPr>
            </w:pPr>
          </w:p>
        </w:tc>
      </w:tr>
      <w:tr>
        <w:trPr>
          <w:trHeight w:val="148"/>
        </w:trPr>
        <w:tc>
          <w:tcPr>
            <w:tcW w:w="120" w:type="dxa"/>
            <w:vAlign w:val="bottom"/>
          </w:tcPr>
          <w:p>
            <w:pPr>
              <w:spacing w:after="0"/>
              <w:rPr>
                <w:sz w:val="12"/>
                <w:szCs w:val="12"/>
                <w:color w:val="auto"/>
              </w:rPr>
            </w:pPr>
          </w:p>
        </w:tc>
        <w:tc>
          <w:tcPr>
            <w:tcW w:w="860" w:type="dxa"/>
            <w:vAlign w:val="bottom"/>
          </w:tcPr>
          <w:p>
            <w:pPr>
              <w:jc w:val="center"/>
              <w:ind w:right="45"/>
              <w:spacing w:after="0" w:line="149" w:lineRule="exact"/>
              <w:rPr>
                <w:sz w:val="20"/>
                <w:szCs w:val="20"/>
                <w:color w:val="auto"/>
              </w:rPr>
            </w:pPr>
            <w:r>
              <w:rPr>
                <w:rFonts w:ascii="Arial" w:cs="Arial" w:eastAsia="Arial" w:hAnsi="Arial"/>
                <w:sz w:val="14"/>
                <w:szCs w:val="14"/>
                <w:b w:val="1"/>
                <w:bCs w:val="1"/>
                <w:color w:val="auto"/>
                <w:w w:val="92"/>
              </w:rPr>
              <w:t>of fixed</w:t>
            </w:r>
          </w:p>
        </w:tc>
        <w:tc>
          <w:tcPr>
            <w:tcW w:w="2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52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89"/>
              </w:rPr>
              <w:t>hedges of fixed</w:t>
            </w:r>
          </w:p>
        </w:tc>
        <w:tc>
          <w:tcPr>
            <w:tcW w:w="120" w:type="dxa"/>
            <w:vAlign w:val="bottom"/>
          </w:tcPr>
          <w:p>
            <w:pPr>
              <w:spacing w:after="0"/>
              <w:rPr>
                <w:sz w:val="12"/>
                <w:szCs w:val="12"/>
                <w:color w:val="auto"/>
              </w:rPr>
            </w:pPr>
          </w:p>
        </w:tc>
        <w:tc>
          <w:tcPr>
            <w:tcW w:w="860" w:type="dxa"/>
            <w:vAlign w:val="bottom"/>
          </w:tcPr>
          <w:p>
            <w:pPr>
              <w:jc w:val="center"/>
              <w:ind w:right="47"/>
              <w:spacing w:after="0" w:line="149" w:lineRule="exact"/>
              <w:rPr>
                <w:sz w:val="20"/>
                <w:szCs w:val="20"/>
                <w:color w:val="auto"/>
              </w:rPr>
            </w:pPr>
            <w:r>
              <w:rPr>
                <w:rFonts w:ascii="Arial" w:cs="Arial" w:eastAsia="Arial" w:hAnsi="Arial"/>
                <w:sz w:val="14"/>
                <w:szCs w:val="14"/>
                <w:b w:val="1"/>
                <w:bCs w:val="1"/>
                <w:color w:val="auto"/>
                <w:w w:val="91"/>
              </w:rPr>
              <w:t>related to</w:t>
            </w:r>
          </w:p>
        </w:tc>
        <w:tc>
          <w:tcPr>
            <w:tcW w:w="0" w:type="dxa"/>
            <w:vAlign w:val="bottom"/>
          </w:tcPr>
          <w:p>
            <w:pPr>
              <w:spacing w:after="0"/>
              <w:rPr>
                <w:sz w:val="1"/>
                <w:szCs w:val="1"/>
                <w:color w:val="auto"/>
              </w:rPr>
            </w:pPr>
          </w:p>
        </w:tc>
      </w:tr>
      <w:tr>
        <w:trPr>
          <w:trHeight w:val="148"/>
        </w:trPr>
        <w:tc>
          <w:tcPr>
            <w:tcW w:w="120" w:type="dxa"/>
            <w:vAlign w:val="bottom"/>
          </w:tcPr>
          <w:p>
            <w:pPr>
              <w:spacing w:after="0"/>
              <w:rPr>
                <w:sz w:val="12"/>
                <w:szCs w:val="12"/>
                <w:color w:val="auto"/>
              </w:rPr>
            </w:pPr>
          </w:p>
        </w:tc>
        <w:tc>
          <w:tcPr>
            <w:tcW w:w="860" w:type="dxa"/>
            <w:vAlign w:val="bottom"/>
          </w:tcPr>
          <w:p>
            <w:pPr>
              <w:jc w:val="center"/>
              <w:ind w:right="25"/>
              <w:spacing w:after="0" w:line="149" w:lineRule="exact"/>
              <w:rPr>
                <w:sz w:val="20"/>
                <w:szCs w:val="20"/>
                <w:color w:val="auto"/>
              </w:rPr>
            </w:pPr>
            <w:r>
              <w:rPr>
                <w:rFonts w:ascii="Arial" w:cs="Arial" w:eastAsia="Arial" w:hAnsi="Arial"/>
                <w:sz w:val="14"/>
                <w:szCs w:val="14"/>
                <w:b w:val="1"/>
                <w:bCs w:val="1"/>
                <w:color w:val="auto"/>
                <w:w w:val="95"/>
              </w:rPr>
              <w:t>maturities,</w:t>
            </w:r>
          </w:p>
        </w:tc>
        <w:tc>
          <w:tcPr>
            <w:tcW w:w="2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52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95"/>
              </w:rPr>
              <w:t>maturities,</w:t>
            </w:r>
          </w:p>
        </w:tc>
        <w:tc>
          <w:tcPr>
            <w:tcW w:w="120" w:type="dxa"/>
            <w:vAlign w:val="bottom"/>
          </w:tcPr>
          <w:p>
            <w:pPr>
              <w:spacing w:after="0"/>
              <w:rPr>
                <w:sz w:val="12"/>
                <w:szCs w:val="12"/>
                <w:color w:val="auto"/>
              </w:rPr>
            </w:pPr>
          </w:p>
        </w:tc>
        <w:tc>
          <w:tcPr>
            <w:tcW w:w="860" w:type="dxa"/>
            <w:vAlign w:val="bottom"/>
          </w:tcPr>
          <w:p>
            <w:pPr>
              <w:jc w:val="center"/>
              <w:ind w:right="47"/>
              <w:spacing w:after="0" w:line="149" w:lineRule="exact"/>
              <w:rPr>
                <w:sz w:val="20"/>
                <w:szCs w:val="20"/>
                <w:color w:val="auto"/>
              </w:rPr>
            </w:pPr>
            <w:r>
              <w:rPr>
                <w:rFonts w:ascii="Arial" w:cs="Arial" w:eastAsia="Arial" w:hAnsi="Arial"/>
                <w:sz w:val="14"/>
                <w:szCs w:val="14"/>
                <w:b w:val="1"/>
                <w:bCs w:val="1"/>
                <w:color w:val="auto"/>
                <w:w w:val="87"/>
              </w:rPr>
              <w:t>hedges of</w:t>
            </w:r>
          </w:p>
        </w:tc>
        <w:tc>
          <w:tcPr>
            <w:tcW w:w="0" w:type="dxa"/>
            <w:vAlign w:val="bottom"/>
          </w:tcPr>
          <w:p>
            <w:pPr>
              <w:spacing w:after="0"/>
              <w:rPr>
                <w:sz w:val="1"/>
                <w:szCs w:val="1"/>
                <w:color w:val="auto"/>
              </w:rPr>
            </w:pPr>
          </w:p>
        </w:tc>
      </w:tr>
      <w:tr>
        <w:trPr>
          <w:trHeight w:val="149"/>
        </w:trPr>
        <w:tc>
          <w:tcPr>
            <w:tcW w:w="120" w:type="dxa"/>
            <w:vAlign w:val="bottom"/>
          </w:tcPr>
          <w:p>
            <w:pPr>
              <w:spacing w:after="0"/>
              <w:rPr>
                <w:sz w:val="12"/>
                <w:szCs w:val="12"/>
                <w:color w:val="auto"/>
              </w:rPr>
            </w:pPr>
          </w:p>
        </w:tc>
        <w:tc>
          <w:tcPr>
            <w:tcW w:w="860" w:type="dxa"/>
            <w:vAlign w:val="bottom"/>
          </w:tcPr>
          <w:p>
            <w:pPr>
              <w:jc w:val="center"/>
              <w:ind w:right="25"/>
              <w:spacing w:after="0" w:line="149" w:lineRule="exact"/>
              <w:rPr>
                <w:sz w:val="20"/>
                <w:szCs w:val="20"/>
                <w:color w:val="auto"/>
              </w:rPr>
            </w:pPr>
            <w:r>
              <w:rPr>
                <w:rFonts w:ascii="Arial" w:cs="Arial" w:eastAsia="Arial" w:hAnsi="Arial"/>
                <w:sz w:val="14"/>
                <w:szCs w:val="14"/>
                <w:b w:val="1"/>
                <w:bCs w:val="1"/>
                <w:color w:val="auto"/>
                <w:w w:val="93"/>
              </w:rPr>
              <w:t>available-</w:t>
            </w:r>
          </w:p>
        </w:tc>
        <w:tc>
          <w:tcPr>
            <w:tcW w:w="2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52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93"/>
              </w:rPr>
              <w:t>available-</w:t>
            </w:r>
          </w:p>
        </w:tc>
        <w:tc>
          <w:tcPr>
            <w:tcW w:w="120" w:type="dxa"/>
            <w:vAlign w:val="bottom"/>
          </w:tcPr>
          <w:p>
            <w:pPr>
              <w:spacing w:after="0"/>
              <w:rPr>
                <w:sz w:val="12"/>
                <w:szCs w:val="12"/>
                <w:color w:val="auto"/>
              </w:rPr>
            </w:pPr>
          </w:p>
        </w:tc>
        <w:tc>
          <w:tcPr>
            <w:tcW w:w="860" w:type="dxa"/>
            <w:vAlign w:val="bottom"/>
          </w:tcPr>
          <w:p>
            <w:pPr>
              <w:jc w:val="center"/>
              <w:ind w:right="47"/>
              <w:spacing w:after="0" w:line="149" w:lineRule="exact"/>
              <w:rPr>
                <w:sz w:val="20"/>
                <w:szCs w:val="20"/>
                <w:color w:val="auto"/>
              </w:rPr>
            </w:pPr>
            <w:r>
              <w:rPr>
                <w:rFonts w:ascii="Arial" w:cs="Arial" w:eastAsia="Arial" w:hAnsi="Arial"/>
                <w:sz w:val="14"/>
                <w:szCs w:val="14"/>
                <w:b w:val="1"/>
                <w:bCs w:val="1"/>
                <w:color w:val="auto"/>
                <w:w w:val="89"/>
              </w:rPr>
              <w:t>investment</w:t>
            </w:r>
          </w:p>
        </w:tc>
        <w:tc>
          <w:tcPr>
            <w:tcW w:w="0" w:type="dxa"/>
            <w:vAlign w:val="bottom"/>
          </w:tcPr>
          <w:p>
            <w:pPr>
              <w:spacing w:after="0"/>
              <w:rPr>
                <w:sz w:val="1"/>
                <w:szCs w:val="1"/>
                <w:color w:val="auto"/>
              </w:rPr>
            </w:pPr>
          </w:p>
        </w:tc>
      </w:tr>
      <w:tr>
        <w:trPr>
          <w:trHeight w:val="171"/>
        </w:trPr>
        <w:tc>
          <w:tcPr>
            <w:tcW w:w="120" w:type="dxa"/>
            <w:vAlign w:val="bottom"/>
          </w:tcPr>
          <w:p>
            <w:pPr>
              <w:spacing w:after="0"/>
              <w:rPr>
                <w:sz w:val="14"/>
                <w:szCs w:val="14"/>
                <w:color w:val="auto"/>
              </w:rPr>
            </w:pPr>
          </w:p>
        </w:tc>
        <w:tc>
          <w:tcPr>
            <w:tcW w:w="860" w:type="dxa"/>
            <w:vAlign w:val="bottom"/>
          </w:tcPr>
          <w:p>
            <w:pPr>
              <w:jc w:val="center"/>
              <w:ind w:right="45"/>
              <w:spacing w:after="0"/>
              <w:rPr>
                <w:sz w:val="20"/>
                <w:szCs w:val="20"/>
                <w:color w:val="auto"/>
              </w:rPr>
            </w:pPr>
            <w:r>
              <w:rPr>
                <w:rFonts w:ascii="Arial" w:cs="Arial" w:eastAsia="Arial" w:hAnsi="Arial"/>
                <w:sz w:val="14"/>
                <w:szCs w:val="14"/>
                <w:b w:val="1"/>
                <w:bCs w:val="1"/>
                <w:color w:val="auto"/>
                <w:w w:val="90"/>
              </w:rPr>
              <w:t>for-sale</w:t>
            </w:r>
          </w:p>
        </w:tc>
        <w:tc>
          <w:tcPr>
            <w:tcW w:w="2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52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0"/>
              </w:rPr>
              <w:t>for-sale</w:t>
            </w:r>
          </w:p>
        </w:tc>
        <w:tc>
          <w:tcPr>
            <w:tcW w:w="120" w:type="dxa"/>
            <w:vAlign w:val="bottom"/>
          </w:tcPr>
          <w:p>
            <w:pPr>
              <w:spacing w:after="0"/>
              <w:rPr>
                <w:sz w:val="14"/>
                <w:szCs w:val="14"/>
                <w:color w:val="auto"/>
              </w:rPr>
            </w:pPr>
          </w:p>
        </w:tc>
        <w:tc>
          <w:tcPr>
            <w:tcW w:w="860" w:type="dxa"/>
            <w:vAlign w:val="bottom"/>
          </w:tcPr>
          <w:p>
            <w:pPr>
              <w:jc w:val="center"/>
              <w:ind w:right="67"/>
              <w:spacing w:after="0"/>
              <w:rPr>
                <w:sz w:val="20"/>
                <w:szCs w:val="20"/>
                <w:color w:val="auto"/>
              </w:rPr>
            </w:pPr>
            <w:r>
              <w:rPr>
                <w:rFonts w:ascii="Arial" w:cs="Arial" w:eastAsia="Arial" w:hAnsi="Arial"/>
                <w:sz w:val="14"/>
                <w:szCs w:val="14"/>
                <w:b w:val="1"/>
                <w:bCs w:val="1"/>
                <w:color w:val="auto"/>
                <w:w w:val="88"/>
              </w:rPr>
              <w:t>contracts</w:t>
            </w:r>
          </w:p>
        </w:tc>
        <w:tc>
          <w:tcPr>
            <w:tcW w:w="0" w:type="dxa"/>
            <w:vAlign w:val="bottom"/>
          </w:tcPr>
          <w:p>
            <w:pPr>
              <w:spacing w:after="0"/>
              <w:rPr>
                <w:sz w:val="1"/>
                <w:szCs w:val="1"/>
                <w:color w:val="auto"/>
              </w:rPr>
            </w:pPr>
          </w:p>
        </w:tc>
      </w:tr>
      <w:tr>
        <w:trPr>
          <w:trHeight w:val="176"/>
        </w:trPr>
        <w:tc>
          <w:tcPr>
            <w:tcW w:w="120" w:type="dxa"/>
            <w:vAlign w:val="bottom"/>
            <w:tcBorders>
              <w:top w:val="single" w:sz="8" w:color="auto"/>
            </w:tcBorders>
          </w:tcPr>
          <w:p>
            <w:pPr>
              <w:spacing w:after="0"/>
              <w:rPr>
                <w:sz w:val="15"/>
                <w:szCs w:val="15"/>
                <w:color w:val="auto"/>
              </w:rPr>
            </w:pPr>
          </w:p>
        </w:tc>
        <w:tc>
          <w:tcPr>
            <w:tcW w:w="860" w:type="dxa"/>
            <w:vAlign w:val="bottom"/>
            <w:tcBorders>
              <w:top w:val="single" w:sz="8" w:color="auto"/>
            </w:tcBorders>
          </w:tcPr>
          <w:p>
            <w:pPr>
              <w:spacing w:after="0"/>
              <w:rPr>
                <w:sz w:val="15"/>
                <w:szCs w:val="15"/>
                <w:color w:val="auto"/>
              </w:rPr>
            </w:pPr>
          </w:p>
        </w:tc>
        <w:tc>
          <w:tcPr>
            <w:tcW w:w="200" w:type="dxa"/>
            <w:vAlign w:val="bottom"/>
          </w:tcPr>
          <w:p>
            <w:pPr>
              <w:spacing w:after="0"/>
              <w:rPr>
                <w:sz w:val="15"/>
                <w:szCs w:val="15"/>
                <w:color w:val="auto"/>
              </w:rPr>
            </w:pPr>
          </w:p>
        </w:tc>
        <w:tc>
          <w:tcPr>
            <w:tcW w:w="200" w:type="dxa"/>
            <w:vAlign w:val="bottom"/>
            <w:tcBorders>
              <w:top w:val="single" w:sz="8" w:color="auto"/>
            </w:tcBorders>
          </w:tcPr>
          <w:p>
            <w:pPr>
              <w:spacing w:after="0"/>
              <w:rPr>
                <w:sz w:val="15"/>
                <w:szCs w:val="15"/>
                <w:color w:val="auto"/>
              </w:rPr>
            </w:pPr>
          </w:p>
        </w:tc>
        <w:tc>
          <w:tcPr>
            <w:tcW w:w="1320" w:type="dxa"/>
            <w:vAlign w:val="bottom"/>
            <w:tcBorders>
              <w:top w:val="single" w:sz="8" w:color="auto"/>
            </w:tcBorders>
          </w:tcPr>
          <w:p>
            <w:pPr>
              <w:jc w:val="center"/>
              <w:ind w:right="126"/>
              <w:spacing w:after="0"/>
              <w:rPr>
                <w:sz w:val="20"/>
                <w:szCs w:val="20"/>
                <w:color w:val="auto"/>
              </w:rPr>
            </w:pPr>
            <w:r>
              <w:rPr>
                <w:rFonts w:ascii="Arial" w:cs="Arial" w:eastAsia="Arial" w:hAnsi="Arial"/>
                <w:sz w:val="14"/>
                <w:szCs w:val="14"/>
                <w:i w:val="1"/>
                <w:iCs w:val="1"/>
                <w:color w:val="auto"/>
              </w:rPr>
              <w:t>(in millions)</w:t>
            </w:r>
          </w:p>
        </w:tc>
        <w:tc>
          <w:tcPr>
            <w:tcW w:w="200" w:type="dxa"/>
            <w:vAlign w:val="bottom"/>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860" w:type="dxa"/>
            <w:vAlign w:val="bottom"/>
            <w:tcBorders>
              <w:top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371"/>
        </w:trPr>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2,073.</w:t>
            </w:r>
            <w:r>
              <w:rPr>
                <w:rFonts w:ascii="Arial" w:cs="Arial" w:eastAsia="Arial" w:hAnsi="Arial"/>
                <w:sz w:val="18"/>
                <w:szCs w:val="18"/>
                <w:u w:val="single" w:color="auto"/>
                <w:color w:val="auto"/>
              </w:rPr>
              <w:t>6</w:t>
            </w:r>
          </w:p>
        </w:tc>
        <w:tc>
          <w:tcPr>
            <w:tcW w:w="40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320" w:type="dxa"/>
            <w:vAlign w:val="bottom"/>
          </w:tcPr>
          <w:p>
            <w:pPr>
              <w:jc w:val="right"/>
              <w:spacing w:after="0"/>
              <w:rPr>
                <w:sz w:val="20"/>
                <w:szCs w:val="20"/>
                <w:color w:val="auto"/>
              </w:rPr>
            </w:pPr>
            <w:r>
              <w:rPr>
                <w:rFonts w:ascii="Arial" w:cs="Arial" w:eastAsia="Arial" w:hAnsi="Arial"/>
                <w:sz w:val="18"/>
                <w:szCs w:val="18"/>
                <w:color w:val="auto"/>
              </w:rPr>
              <w:t>110.3</w:t>
            </w:r>
          </w:p>
        </w:tc>
        <w:tc>
          <w:tcPr>
            <w:tcW w:w="200" w:type="dxa"/>
            <w:vAlign w:val="bottom"/>
          </w:tcPr>
          <w:p>
            <w:pPr>
              <w:spacing w:after="0"/>
              <w:rPr>
                <w:sz w:val="24"/>
                <w:szCs w:val="24"/>
                <w:color w:val="auto"/>
              </w:rPr>
            </w:pP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3,187.</w:t>
            </w:r>
            <w:r>
              <w:rPr>
                <w:rFonts w:ascii="Arial" w:cs="Arial" w:eastAsia="Arial" w:hAnsi="Arial"/>
                <w:sz w:val="18"/>
                <w:szCs w:val="18"/>
                <w:u w:val="single" w:color="auto"/>
                <w:color w:val="auto"/>
              </w:rPr>
              <w:t>5</w:t>
            </w:r>
          </w:p>
        </w:tc>
        <w:tc>
          <w:tcPr>
            <w:tcW w:w="0" w:type="dxa"/>
            <w:vAlign w:val="bottom"/>
          </w:tcPr>
          <w:p>
            <w:pPr>
              <w:spacing w:after="0"/>
              <w:rPr>
                <w:sz w:val="1"/>
                <w:szCs w:val="1"/>
                <w:color w:val="auto"/>
              </w:rPr>
            </w:pPr>
          </w:p>
        </w:tc>
      </w:tr>
      <w:tr>
        <w:trPr>
          <w:trHeight w:val="20"/>
        </w:trPr>
        <w:tc>
          <w:tcPr>
            <w:tcW w:w="12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4" w:lineRule="exact"/>
        <w:rPr>
          <w:sz w:val="20"/>
          <w:szCs w:val="20"/>
          <w:color w:val="auto"/>
        </w:rPr>
      </w:pPr>
    </w:p>
    <w:p>
      <w:pPr>
        <w:sectPr>
          <w:pgSz w:w="11900" w:h="16838" w:orient="portrait"/>
          <w:cols w:equalWidth="0" w:num="2">
            <w:col w:w="5580" w:space="460"/>
            <w:col w:w="3880"/>
          </w:cols>
          <w:pgMar w:left="980" w:top="665" w:right="999" w:bottom="1440" w:gutter="0" w:footer="0" w:header="0"/>
          <w:type w:val="continuous"/>
        </w:sectPr>
      </w:pPr>
    </w:p>
    <w:p>
      <w:pPr>
        <w:spacing w:after="0" w:line="1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6020" w:type="dxa"/>
            <w:vAlign w:val="bottom"/>
            <w:shd w:val="clear" w:color="auto" w:fill="CCEEFF"/>
          </w:tcPr>
          <w:p>
            <w:pPr>
              <w:spacing w:after="0"/>
              <w:rPr>
                <w:sz w:val="20"/>
                <w:szCs w:val="20"/>
                <w:color w:val="auto"/>
              </w:rPr>
            </w:pPr>
            <w:r>
              <w:rPr>
                <w:rFonts w:ascii="Arial" w:cs="Arial" w:eastAsia="Arial" w:hAnsi="Arial"/>
                <w:sz w:val="18"/>
                <w:szCs w:val="18"/>
                <w:color w:val="auto"/>
              </w:rPr>
              <w:t>Losses on fair value hedging relationships:</w:t>
            </w:r>
          </w:p>
        </w:tc>
        <w:tc>
          <w:tcPr>
            <w:tcW w:w="3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tcPr>
          <w:p>
            <w:pPr>
              <w:spacing w:after="0"/>
              <w:rPr>
                <w:sz w:val="20"/>
                <w:szCs w:val="20"/>
                <w:color w:val="auto"/>
              </w:rPr>
            </w:pPr>
            <w:r>
              <w:rPr>
                <w:rFonts w:ascii="Arial" w:cs="Arial" w:eastAsia="Arial" w:hAnsi="Arial"/>
                <w:sz w:val="18"/>
                <w:szCs w:val="18"/>
                <w:color w:val="auto"/>
              </w:rPr>
              <w:t>Interest rate contracts:</w:t>
            </w:r>
          </w:p>
        </w:tc>
        <w:tc>
          <w:tcPr>
            <w:tcW w:w="3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Loss recognized on hedged item</w:t>
            </w:r>
          </w:p>
        </w:tc>
        <w:tc>
          <w:tcPr>
            <w:tcW w:w="32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(16.5)</w:t>
            </w:r>
          </w:p>
        </w:tc>
        <w:tc>
          <w:tcPr>
            <w:tcW w:w="760" w:type="dxa"/>
            <w:vAlign w:val="bottom"/>
            <w:gridSpan w:val="2"/>
            <w:shd w:val="clear" w:color="auto" w:fill="CCEEFF"/>
          </w:tcPr>
          <w:p>
            <w:pPr>
              <w:jc w:val="right"/>
              <w:ind w:right="507"/>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360" w:type="dxa"/>
            <w:vAlign w:val="bottom"/>
            <w:shd w:val="clear" w:color="auto" w:fill="CCEEFF"/>
          </w:tcPr>
          <w:p>
            <w:pPr>
              <w:jc w:val="right"/>
              <w:ind w:right="207"/>
              <w:spacing w:after="0"/>
              <w:rPr>
                <w:sz w:val="20"/>
                <w:szCs w:val="20"/>
                <w:color w:val="auto"/>
              </w:rPr>
            </w:pPr>
            <w:r>
              <w:rPr>
                <w:rFonts w:ascii="Arial" w:cs="Arial" w:eastAsia="Arial" w:hAnsi="Arial"/>
                <w:sz w:val="15"/>
                <w:szCs w:val="15"/>
                <w:color w:val="auto"/>
                <w:w w:val="71"/>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tcPr>
          <w:p>
            <w:pPr>
              <w:ind w:left="100"/>
              <w:spacing w:after="0"/>
              <w:rPr>
                <w:sz w:val="20"/>
                <w:szCs w:val="20"/>
                <w:color w:val="auto"/>
              </w:rPr>
            </w:pPr>
            <w:r>
              <w:rPr>
                <w:rFonts w:ascii="Arial" w:cs="Arial" w:eastAsia="Arial" w:hAnsi="Arial"/>
                <w:sz w:val="18"/>
                <w:szCs w:val="18"/>
                <w:color w:val="auto"/>
              </w:rPr>
              <w:t>Gain recognized on derivatives</w:t>
            </w:r>
          </w:p>
        </w:tc>
        <w:tc>
          <w:tcPr>
            <w:tcW w:w="3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16.8</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Amortization of hedged item basis adjustments</w:t>
            </w:r>
          </w:p>
        </w:tc>
        <w:tc>
          <w:tcPr>
            <w:tcW w:w="3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w:t>
            </w: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3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tcPr>
          <w:p>
            <w:pPr>
              <w:ind w:left="100"/>
              <w:spacing w:after="0"/>
              <w:rPr>
                <w:sz w:val="20"/>
                <w:szCs w:val="20"/>
                <w:color w:val="auto"/>
              </w:rPr>
            </w:pPr>
            <w:r>
              <w:rPr>
                <w:rFonts w:ascii="Arial" w:cs="Arial" w:eastAsia="Arial" w:hAnsi="Arial"/>
                <w:sz w:val="18"/>
                <w:szCs w:val="18"/>
                <w:color w:val="auto"/>
              </w:rPr>
              <w:t>Amounts related to periodic settlements on derivatives</w:t>
            </w:r>
          </w:p>
        </w:tc>
        <w:tc>
          <w:tcPr>
            <w:tcW w:w="32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(4.4)</w:t>
            </w: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602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loss recognized for fair value hedging relationships</w:t>
            </w:r>
          </w:p>
        </w:tc>
        <w:tc>
          <w:tcPr>
            <w:tcW w:w="320" w:type="dxa"/>
            <w:vAlign w:val="bottom"/>
            <w:tcBorders>
              <w:top w:val="single" w:sz="8" w:color="auto"/>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(5.1)</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660" w:type="dxa"/>
            <w:vAlign w:val="bottom"/>
            <w:tcBorders>
              <w:top w:val="single" w:sz="8" w:color="auto"/>
              <w:bottom w:val="single" w:sz="8" w:color="auto"/>
            </w:tcBorders>
            <w:shd w:val="clear" w:color="auto" w:fill="CCEEFF"/>
          </w:tcPr>
          <w:p>
            <w:pPr>
              <w:jc w:val="right"/>
              <w:ind w:right="507"/>
              <w:spacing w:after="0"/>
              <w:rPr>
                <w:sz w:val="20"/>
                <w:szCs w:val="20"/>
                <w:color w:val="auto"/>
              </w:rPr>
            </w:pPr>
            <w:r>
              <w:rPr>
                <w:rFonts w:ascii="Arial" w:cs="Arial" w:eastAsia="Arial" w:hAnsi="Arial"/>
                <w:sz w:val="15"/>
                <w:szCs w:val="15"/>
                <w:color w:val="auto"/>
                <w:w w:val="71"/>
              </w:rPr>
              <w:t>$</w:t>
            </w: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tcBorders>
              <w:top w:val="single" w:sz="8" w:color="CCEEFF"/>
              <w:bottom w:val="single" w:sz="8" w:color="CCEEFF"/>
            </w:tcBorders>
            <w:shd w:val="clear" w:color="auto" w:fill="CCEEFF"/>
          </w:tcPr>
          <w:p>
            <w:pPr>
              <w:spacing w:after="0"/>
              <w:rPr>
                <w:sz w:val="18"/>
                <w:szCs w:val="18"/>
                <w:color w:val="auto"/>
              </w:rPr>
            </w:pPr>
          </w:p>
        </w:tc>
        <w:tc>
          <w:tcPr>
            <w:tcW w:w="360" w:type="dxa"/>
            <w:vAlign w:val="bottom"/>
            <w:tcBorders>
              <w:top w:val="single" w:sz="8" w:color="auto"/>
              <w:bottom w:val="single" w:sz="8" w:color="auto"/>
            </w:tcBorders>
            <w:shd w:val="clear" w:color="auto" w:fill="CCEEFF"/>
          </w:tcPr>
          <w:p>
            <w:pPr>
              <w:jc w:val="right"/>
              <w:ind w:right="207"/>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0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60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020" w:type="dxa"/>
            <w:vAlign w:val="bottom"/>
            <w:shd w:val="clear" w:color="auto" w:fill="CCEEFF"/>
          </w:tcPr>
          <w:p>
            <w:pPr>
              <w:spacing w:after="0"/>
              <w:rPr>
                <w:sz w:val="20"/>
                <w:szCs w:val="20"/>
                <w:color w:val="auto"/>
              </w:rPr>
            </w:pPr>
            <w:r>
              <w:rPr>
                <w:rFonts w:ascii="Arial" w:cs="Arial" w:eastAsia="Arial" w:hAnsi="Arial"/>
                <w:sz w:val="18"/>
                <w:szCs w:val="18"/>
                <w:color w:val="auto"/>
              </w:rPr>
              <w:t>Gains (losses) on cash flow hedging relationships:</w:t>
            </w:r>
          </w:p>
        </w:tc>
        <w:tc>
          <w:tcPr>
            <w:tcW w:w="3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tcPr>
          <w:p>
            <w:pPr>
              <w:spacing w:after="0"/>
              <w:rPr>
                <w:sz w:val="20"/>
                <w:szCs w:val="20"/>
                <w:color w:val="auto"/>
              </w:rPr>
            </w:pPr>
            <w:r>
              <w:rPr>
                <w:rFonts w:ascii="Arial" w:cs="Arial" w:eastAsia="Arial" w:hAnsi="Arial"/>
                <w:sz w:val="18"/>
                <w:szCs w:val="18"/>
                <w:color w:val="auto"/>
              </w:rPr>
              <w:t>Interest rate contracts:</w:t>
            </w:r>
          </w:p>
        </w:tc>
        <w:tc>
          <w:tcPr>
            <w:tcW w:w="3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Gain (loss) reclassified from AOCI on derivatives</w:t>
            </w:r>
          </w:p>
        </w:tc>
        <w:tc>
          <w:tcPr>
            <w:tcW w:w="32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8.1</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507"/>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360" w:type="dxa"/>
            <w:vAlign w:val="bottom"/>
            <w:shd w:val="clear" w:color="auto" w:fill="CCEEFF"/>
          </w:tcPr>
          <w:p>
            <w:pPr>
              <w:jc w:val="right"/>
              <w:ind w:right="207"/>
              <w:spacing w:after="0"/>
              <w:rPr>
                <w:sz w:val="20"/>
                <w:szCs w:val="20"/>
                <w:color w:val="auto"/>
              </w:rPr>
            </w:pPr>
            <w:r>
              <w:rPr>
                <w:rFonts w:ascii="Arial" w:cs="Arial" w:eastAsia="Arial" w:hAnsi="Arial"/>
                <w:sz w:val="15"/>
                <w:szCs w:val="15"/>
                <w:color w:val="auto"/>
                <w:w w:val="71"/>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6020" w:type="dxa"/>
            <w:vAlign w:val="bottom"/>
          </w:tcPr>
          <w:p>
            <w:pPr>
              <w:ind w:left="100"/>
              <w:spacing w:after="0" w:line="201" w:lineRule="exact"/>
              <w:rPr>
                <w:sz w:val="20"/>
                <w:szCs w:val="20"/>
                <w:color w:val="auto"/>
              </w:rPr>
            </w:pPr>
            <w:r>
              <w:rPr>
                <w:rFonts w:ascii="Arial" w:cs="Arial" w:eastAsia="Arial" w:hAnsi="Arial"/>
                <w:sz w:val="18"/>
                <w:szCs w:val="18"/>
                <w:color w:val="auto"/>
              </w:rPr>
              <w:t>Gain reclassified from AOCI as a result that a forecasted transaction is no</w:t>
            </w:r>
          </w:p>
        </w:tc>
        <w:tc>
          <w:tcPr>
            <w:tcW w:w="32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6020" w:type="dxa"/>
            <w:vAlign w:val="bottom"/>
          </w:tcPr>
          <w:p>
            <w:pPr>
              <w:ind w:left="220"/>
              <w:spacing w:after="0"/>
              <w:rPr>
                <w:sz w:val="20"/>
                <w:szCs w:val="20"/>
                <w:color w:val="auto"/>
              </w:rPr>
            </w:pPr>
            <w:r>
              <w:rPr>
                <w:rFonts w:ascii="Arial" w:cs="Arial" w:eastAsia="Arial" w:hAnsi="Arial"/>
                <w:sz w:val="18"/>
                <w:szCs w:val="18"/>
                <w:color w:val="auto"/>
              </w:rPr>
              <w:t>longer probable of occurring</w:t>
            </w:r>
          </w:p>
        </w:tc>
        <w:tc>
          <w:tcPr>
            <w:tcW w:w="320" w:type="dxa"/>
            <w:vAlign w:val="bottom"/>
          </w:tcPr>
          <w:p>
            <w:pPr>
              <w:spacing w:after="0"/>
              <w:rPr>
                <w:sz w:val="20"/>
                <w:szCs w:val="20"/>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0.4</w:t>
            </w:r>
          </w:p>
        </w:tc>
        <w:tc>
          <w:tcPr>
            <w:tcW w:w="2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60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020" w:type="dxa"/>
            <w:vAlign w:val="bottom"/>
          </w:tcPr>
          <w:p>
            <w:pPr>
              <w:spacing w:after="0"/>
              <w:rPr>
                <w:sz w:val="20"/>
                <w:szCs w:val="20"/>
                <w:color w:val="auto"/>
              </w:rPr>
            </w:pPr>
            <w:r>
              <w:rPr>
                <w:rFonts w:ascii="Arial" w:cs="Arial" w:eastAsia="Arial" w:hAnsi="Arial"/>
                <w:sz w:val="18"/>
                <w:szCs w:val="18"/>
                <w:color w:val="auto"/>
              </w:rPr>
              <w:t>Foreign exchange contracts:</w:t>
            </w:r>
          </w:p>
        </w:tc>
        <w:tc>
          <w:tcPr>
            <w:tcW w:w="3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Gain reclassified from AOCI on derivatives</w:t>
            </w:r>
          </w:p>
        </w:tc>
        <w:tc>
          <w:tcPr>
            <w:tcW w:w="3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0.7</w:t>
            </w:r>
          </w:p>
        </w:tc>
        <w:tc>
          <w:tcPr>
            <w:tcW w:w="2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tcPr>
          <w:p>
            <w:pPr>
              <w:ind w:left="100"/>
              <w:spacing w:after="0"/>
              <w:rPr>
                <w:sz w:val="20"/>
                <w:szCs w:val="20"/>
                <w:color w:val="auto"/>
              </w:rPr>
            </w:pPr>
            <w:r>
              <w:rPr>
                <w:rFonts w:ascii="Arial" w:cs="Arial" w:eastAsia="Arial" w:hAnsi="Arial"/>
                <w:sz w:val="18"/>
                <w:szCs w:val="18"/>
                <w:color w:val="auto"/>
              </w:rPr>
              <w:t>Amounts related to periodic settlements on derivatives</w:t>
            </w:r>
          </w:p>
        </w:tc>
        <w:tc>
          <w:tcPr>
            <w:tcW w:w="3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4.4</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02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gain (loss) recognized for cash flow hedging relationships</w:t>
            </w:r>
          </w:p>
        </w:tc>
        <w:tc>
          <w:tcPr>
            <w:tcW w:w="320" w:type="dxa"/>
            <w:vAlign w:val="bottom"/>
            <w:tcBorders>
              <w:top w:val="single" w:sz="8" w:color="auto"/>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12.5</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660" w:type="dxa"/>
            <w:vAlign w:val="bottom"/>
            <w:tcBorders>
              <w:top w:val="single" w:sz="8" w:color="auto"/>
              <w:bottom w:val="single" w:sz="8" w:color="auto"/>
            </w:tcBorders>
            <w:shd w:val="clear" w:color="auto" w:fill="CCEEFF"/>
          </w:tcPr>
          <w:p>
            <w:pPr>
              <w:jc w:val="right"/>
              <w:ind w:right="507"/>
              <w:spacing w:after="0"/>
              <w:rPr>
                <w:sz w:val="20"/>
                <w:szCs w:val="20"/>
                <w:color w:val="auto"/>
              </w:rPr>
            </w:pPr>
            <w:r>
              <w:rPr>
                <w:rFonts w:ascii="Arial" w:cs="Arial" w:eastAsia="Arial" w:hAnsi="Arial"/>
                <w:sz w:val="15"/>
                <w:szCs w:val="15"/>
                <w:color w:val="auto"/>
                <w:w w:val="71"/>
              </w:rPr>
              <w:t>$</w:t>
            </w: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w:t>
            </w:r>
          </w:p>
        </w:tc>
        <w:tc>
          <w:tcPr>
            <w:tcW w:w="200" w:type="dxa"/>
            <w:vAlign w:val="bottom"/>
            <w:tcBorders>
              <w:top w:val="single" w:sz="8" w:color="CCEEFF"/>
              <w:bottom w:val="single" w:sz="8" w:color="CCEEFF"/>
            </w:tcBorders>
            <w:shd w:val="clear" w:color="auto" w:fill="CCEEFF"/>
          </w:tcPr>
          <w:p>
            <w:pPr>
              <w:spacing w:after="0"/>
              <w:rPr>
                <w:sz w:val="18"/>
                <w:szCs w:val="18"/>
                <w:color w:val="auto"/>
              </w:rPr>
            </w:pPr>
          </w:p>
        </w:tc>
        <w:tc>
          <w:tcPr>
            <w:tcW w:w="360" w:type="dxa"/>
            <w:vAlign w:val="bottom"/>
            <w:tcBorders>
              <w:top w:val="single" w:sz="8" w:color="auto"/>
              <w:bottom w:val="single" w:sz="8" w:color="auto"/>
            </w:tcBorders>
            <w:shd w:val="clear" w:color="auto" w:fill="CCEEFF"/>
          </w:tcPr>
          <w:p>
            <w:pPr>
              <w:jc w:val="right"/>
              <w:ind w:right="207"/>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0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Net Investment Hedges</w:t>
      </w:r>
    </w:p>
    <w:p>
      <w:pPr>
        <w:spacing w:after="0" w:line="229" w:lineRule="exact"/>
        <w:rPr>
          <w:sz w:val="20"/>
          <w:szCs w:val="20"/>
          <w:color w:val="auto"/>
        </w:rPr>
      </w:pPr>
    </w:p>
    <w:p>
      <w:pPr>
        <w:ind w:right="180" w:firstLine="648"/>
        <w:spacing w:after="0" w:line="277" w:lineRule="auto"/>
        <w:rPr>
          <w:sz w:val="20"/>
          <w:szCs w:val="20"/>
          <w:color w:val="auto"/>
        </w:rPr>
      </w:pPr>
      <w:r>
        <w:rPr>
          <w:rFonts w:ascii="Arial" w:cs="Arial" w:eastAsia="Arial" w:hAnsi="Arial"/>
          <w:sz w:val="18"/>
          <w:szCs w:val="18"/>
          <w:color w:val="auto"/>
        </w:rPr>
        <w:t>We may take measures to hedge our net equity investments in our foreign operations from currency risk. This is accomplished with the use of currency forwards.</w:t>
      </w:r>
    </w:p>
    <w:p>
      <w:pPr>
        <w:spacing w:after="0" w:line="170" w:lineRule="exact"/>
        <w:rPr>
          <w:sz w:val="20"/>
          <w:szCs w:val="20"/>
          <w:color w:val="auto"/>
        </w:rPr>
      </w:pPr>
    </w:p>
    <w:p>
      <w:pPr>
        <w:ind w:right="580" w:firstLine="648"/>
        <w:spacing w:after="0" w:line="277" w:lineRule="auto"/>
        <w:rPr>
          <w:sz w:val="20"/>
          <w:szCs w:val="20"/>
          <w:color w:val="auto"/>
        </w:rPr>
      </w:pPr>
      <w:r>
        <w:rPr>
          <w:rFonts w:ascii="Arial" w:cs="Arial" w:eastAsia="Arial" w:hAnsi="Arial"/>
          <w:sz w:val="18"/>
          <w:szCs w:val="18"/>
          <w:color w:val="auto"/>
        </w:rPr>
        <w:t>Gains and losses associated with net investment hedges are recorded in AOCI and will be released into net income if our investment in the foreign operation is sold or substantially liquidated.</w:t>
      </w:r>
    </w:p>
    <w:p>
      <w:pPr>
        <w:spacing w:after="0" w:line="170" w:lineRule="exact"/>
        <w:rPr>
          <w:sz w:val="20"/>
          <w:szCs w:val="20"/>
          <w:color w:val="auto"/>
        </w:rPr>
      </w:pPr>
    </w:p>
    <w:p>
      <w:pPr>
        <w:ind w:right="440" w:firstLine="648"/>
        <w:spacing w:after="0" w:line="277" w:lineRule="auto"/>
        <w:rPr>
          <w:sz w:val="20"/>
          <w:szCs w:val="20"/>
          <w:color w:val="auto"/>
        </w:rPr>
      </w:pPr>
      <w:r>
        <w:rPr>
          <w:rFonts w:ascii="Arial" w:cs="Arial" w:eastAsia="Arial" w:hAnsi="Arial"/>
          <w:sz w:val="18"/>
          <w:szCs w:val="18"/>
          <w:color w:val="auto"/>
        </w:rPr>
        <w:t>The following tables show the effect of foreign exchange contracts used to hedge a portion of our net investment in certain sponsored investment funds on the consolidated financial statements.</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5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520" w:type="dxa"/>
            <w:vAlign w:val="bottom"/>
            <w:gridSpan w:val="5"/>
            <w:vMerge w:val="restart"/>
          </w:tcPr>
          <w:p>
            <w:pPr>
              <w:jc w:val="center"/>
              <w:ind w:right="380"/>
              <w:spacing w:after="0"/>
              <w:rPr>
                <w:sz w:val="20"/>
                <w:szCs w:val="20"/>
                <w:color w:val="auto"/>
              </w:rPr>
            </w:pPr>
            <w:r>
              <w:rPr>
                <w:rFonts w:ascii="Arial" w:cs="Arial" w:eastAsia="Arial" w:hAnsi="Arial"/>
                <w:sz w:val="14"/>
                <w:szCs w:val="14"/>
                <w:b w:val="1"/>
                <w:bCs w:val="1"/>
                <w:color w:val="auto"/>
                <w:w w:val="91"/>
              </w:rPr>
              <w:t>Amount of gain (loss) recognized</w:t>
            </w:r>
          </w:p>
        </w:tc>
        <w:tc>
          <w:tcPr>
            <w:tcW w:w="160" w:type="dxa"/>
            <w:vAlign w:val="bottom"/>
          </w:tcPr>
          <w:p>
            <w:pPr>
              <w:spacing w:after="0"/>
              <w:rPr>
                <w:sz w:val="14"/>
                <w:szCs w:val="14"/>
                <w:color w:val="auto"/>
              </w:rPr>
            </w:pPr>
          </w:p>
        </w:tc>
        <w:tc>
          <w:tcPr>
            <w:tcW w:w="1540" w:type="dxa"/>
            <w:vAlign w:val="bottom"/>
            <w:gridSpan w:val="4"/>
          </w:tcPr>
          <w:p>
            <w:pPr>
              <w:jc w:val="center"/>
              <w:ind w:left="504"/>
              <w:spacing w:after="0"/>
              <w:rPr>
                <w:sz w:val="20"/>
                <w:szCs w:val="20"/>
                <w:color w:val="auto"/>
              </w:rPr>
            </w:pPr>
            <w:r>
              <w:rPr>
                <w:rFonts w:ascii="Arial" w:cs="Arial" w:eastAsia="Arial" w:hAnsi="Arial"/>
                <w:sz w:val="14"/>
                <w:szCs w:val="14"/>
                <w:b w:val="1"/>
                <w:bCs w:val="1"/>
                <w:color w:val="auto"/>
                <w:w w:val="90"/>
              </w:rPr>
              <w:t>Amount of loss</w:t>
            </w:r>
          </w:p>
        </w:tc>
        <w:tc>
          <w:tcPr>
            <w:tcW w:w="7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45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520" w:type="dxa"/>
            <w:vAlign w:val="bottom"/>
            <w:gridSpan w:val="5"/>
            <w:vMerge w:val="continue"/>
          </w:tcPr>
          <w:p>
            <w:pPr>
              <w:spacing w:after="0"/>
              <w:rPr>
                <w:sz w:val="12"/>
                <w:szCs w:val="12"/>
                <w:color w:val="auto"/>
              </w:rPr>
            </w:pPr>
          </w:p>
        </w:tc>
        <w:tc>
          <w:tcPr>
            <w:tcW w:w="160" w:type="dxa"/>
            <w:vAlign w:val="bottom"/>
          </w:tcPr>
          <w:p>
            <w:pPr>
              <w:spacing w:after="0"/>
              <w:rPr>
                <w:sz w:val="12"/>
                <w:szCs w:val="12"/>
                <w:color w:val="auto"/>
              </w:rPr>
            </w:pPr>
          </w:p>
        </w:tc>
        <w:tc>
          <w:tcPr>
            <w:tcW w:w="2280" w:type="dxa"/>
            <w:vAlign w:val="bottom"/>
            <w:gridSpan w:val="5"/>
          </w:tcPr>
          <w:p>
            <w:pPr>
              <w:jc w:val="center"/>
              <w:ind w:right="96"/>
              <w:spacing w:after="0" w:line="149" w:lineRule="exact"/>
              <w:rPr>
                <w:sz w:val="20"/>
                <w:szCs w:val="20"/>
                <w:color w:val="auto"/>
              </w:rPr>
            </w:pPr>
            <w:r>
              <w:rPr>
                <w:rFonts w:ascii="Arial" w:cs="Arial" w:eastAsia="Arial" w:hAnsi="Arial"/>
                <w:sz w:val="14"/>
                <w:szCs w:val="14"/>
                <w:b w:val="1"/>
                <w:bCs w:val="1"/>
                <w:color w:val="auto"/>
                <w:w w:val="94"/>
              </w:rPr>
              <w:t>reclassified from AOCI into</w:t>
            </w:r>
          </w:p>
        </w:tc>
        <w:tc>
          <w:tcPr>
            <w:tcW w:w="0" w:type="dxa"/>
            <w:vAlign w:val="bottom"/>
          </w:tcPr>
          <w:p>
            <w:pPr>
              <w:spacing w:after="0"/>
              <w:rPr>
                <w:sz w:val="1"/>
                <w:szCs w:val="1"/>
                <w:color w:val="auto"/>
              </w:rPr>
            </w:pPr>
          </w:p>
        </w:tc>
      </w:tr>
      <w:tr>
        <w:trPr>
          <w:trHeight w:val="148"/>
        </w:trPr>
        <w:tc>
          <w:tcPr>
            <w:tcW w:w="45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520" w:type="dxa"/>
            <w:vAlign w:val="bottom"/>
            <w:gridSpan w:val="5"/>
          </w:tcPr>
          <w:p>
            <w:pPr>
              <w:jc w:val="center"/>
              <w:ind w:right="380"/>
              <w:spacing w:after="0" w:line="149" w:lineRule="exact"/>
              <w:rPr>
                <w:sz w:val="20"/>
                <w:szCs w:val="20"/>
                <w:color w:val="auto"/>
              </w:rPr>
            </w:pPr>
            <w:r>
              <w:rPr>
                <w:rFonts w:ascii="Arial" w:cs="Arial" w:eastAsia="Arial" w:hAnsi="Arial"/>
                <w:sz w:val="14"/>
                <w:szCs w:val="14"/>
                <w:b w:val="1"/>
                <w:bCs w:val="1"/>
                <w:color w:val="auto"/>
                <w:w w:val="95"/>
              </w:rPr>
              <w:t>in AOCI on derivatives</w:t>
            </w:r>
          </w:p>
        </w:tc>
        <w:tc>
          <w:tcPr>
            <w:tcW w:w="160" w:type="dxa"/>
            <w:vAlign w:val="bottom"/>
          </w:tcPr>
          <w:p>
            <w:pPr>
              <w:spacing w:after="0"/>
              <w:rPr>
                <w:sz w:val="12"/>
                <w:szCs w:val="12"/>
                <w:color w:val="auto"/>
              </w:rPr>
            </w:pPr>
          </w:p>
        </w:tc>
        <w:tc>
          <w:tcPr>
            <w:tcW w:w="2280" w:type="dxa"/>
            <w:vAlign w:val="bottom"/>
            <w:gridSpan w:val="5"/>
          </w:tcPr>
          <w:p>
            <w:pPr>
              <w:jc w:val="center"/>
              <w:ind w:right="76"/>
              <w:spacing w:after="0" w:line="149" w:lineRule="exact"/>
              <w:rPr>
                <w:sz w:val="20"/>
                <w:szCs w:val="20"/>
                <w:color w:val="auto"/>
              </w:rPr>
            </w:pPr>
            <w:r>
              <w:rPr>
                <w:rFonts w:ascii="Arial" w:cs="Arial" w:eastAsia="Arial" w:hAnsi="Arial"/>
                <w:sz w:val="14"/>
                <w:szCs w:val="14"/>
                <w:b w:val="1"/>
                <w:bCs w:val="1"/>
                <w:color w:val="auto"/>
                <w:w w:val="89"/>
              </w:rPr>
              <w:t>net realized capital gains (losses)</w:t>
            </w:r>
          </w:p>
        </w:tc>
        <w:tc>
          <w:tcPr>
            <w:tcW w:w="0" w:type="dxa"/>
            <w:vAlign w:val="bottom"/>
          </w:tcPr>
          <w:p>
            <w:pPr>
              <w:spacing w:after="0"/>
              <w:rPr>
                <w:sz w:val="1"/>
                <w:szCs w:val="1"/>
                <w:color w:val="auto"/>
              </w:rPr>
            </w:pPr>
          </w:p>
        </w:tc>
      </w:tr>
      <w:tr>
        <w:trPr>
          <w:trHeight w:val="162"/>
        </w:trPr>
        <w:tc>
          <w:tcPr>
            <w:tcW w:w="45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520" w:type="dxa"/>
            <w:vAlign w:val="bottom"/>
            <w:gridSpan w:val="5"/>
          </w:tcPr>
          <w:p>
            <w:pPr>
              <w:jc w:val="center"/>
              <w:ind w:right="380"/>
              <w:spacing w:after="0"/>
              <w:rPr>
                <w:sz w:val="20"/>
                <w:szCs w:val="20"/>
                <w:color w:val="auto"/>
              </w:rPr>
            </w:pPr>
            <w:r>
              <w:rPr>
                <w:rFonts w:ascii="Arial" w:cs="Arial" w:eastAsia="Arial" w:hAnsi="Arial"/>
                <w:sz w:val="14"/>
                <w:szCs w:val="14"/>
                <w:b w:val="1"/>
                <w:bCs w:val="1"/>
                <w:color w:val="auto"/>
                <w:w w:val="91"/>
              </w:rPr>
              <w:t>for the three months ended</w:t>
            </w:r>
          </w:p>
        </w:tc>
        <w:tc>
          <w:tcPr>
            <w:tcW w:w="160" w:type="dxa"/>
            <w:vAlign w:val="bottom"/>
          </w:tcPr>
          <w:p>
            <w:pPr>
              <w:spacing w:after="0"/>
              <w:rPr>
                <w:sz w:val="14"/>
                <w:szCs w:val="14"/>
                <w:color w:val="auto"/>
              </w:rPr>
            </w:pPr>
          </w:p>
        </w:tc>
        <w:tc>
          <w:tcPr>
            <w:tcW w:w="2280" w:type="dxa"/>
            <w:vAlign w:val="bottom"/>
            <w:gridSpan w:val="5"/>
          </w:tcPr>
          <w:p>
            <w:pPr>
              <w:jc w:val="center"/>
              <w:ind w:right="96"/>
              <w:spacing w:after="0"/>
              <w:rPr>
                <w:sz w:val="20"/>
                <w:szCs w:val="20"/>
                <w:color w:val="auto"/>
              </w:rPr>
            </w:pPr>
            <w:r>
              <w:rPr>
                <w:rFonts w:ascii="Arial" w:cs="Arial" w:eastAsia="Arial" w:hAnsi="Arial"/>
                <w:sz w:val="14"/>
                <w:szCs w:val="14"/>
                <w:b w:val="1"/>
                <w:bCs w:val="1"/>
                <w:color w:val="auto"/>
                <w:w w:val="91"/>
              </w:rPr>
              <w:t>for the three months ended</w:t>
            </w:r>
          </w:p>
        </w:tc>
        <w:tc>
          <w:tcPr>
            <w:tcW w:w="0" w:type="dxa"/>
            <w:vAlign w:val="bottom"/>
          </w:tcPr>
          <w:p>
            <w:pPr>
              <w:spacing w:after="0"/>
              <w:rPr>
                <w:sz w:val="1"/>
                <w:szCs w:val="1"/>
                <w:color w:val="auto"/>
              </w:rPr>
            </w:pPr>
          </w:p>
        </w:tc>
      </w:tr>
      <w:tr>
        <w:trPr>
          <w:trHeight w:val="171"/>
        </w:trPr>
        <w:tc>
          <w:tcPr>
            <w:tcW w:w="4580" w:type="dxa"/>
            <w:vAlign w:val="bottom"/>
            <w:vMerge w:val="restart"/>
          </w:tcPr>
          <w:p>
            <w:pPr>
              <w:ind w:left="740"/>
              <w:spacing w:after="0"/>
              <w:rPr>
                <w:sz w:val="20"/>
                <w:szCs w:val="20"/>
                <w:color w:val="auto"/>
              </w:rPr>
            </w:pPr>
            <w:r>
              <w:rPr>
                <w:rFonts w:ascii="Arial" w:cs="Arial" w:eastAsia="Arial" w:hAnsi="Arial"/>
                <w:sz w:val="14"/>
                <w:szCs w:val="14"/>
                <w:b w:val="1"/>
                <w:bCs w:val="1"/>
                <w:color w:val="auto"/>
              </w:rPr>
              <w:t>Derivatives in net investment hedging relationships</w:t>
            </w:r>
          </w:p>
        </w:tc>
        <w:tc>
          <w:tcPr>
            <w:tcW w:w="24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440" w:type="dxa"/>
            <w:vAlign w:val="bottom"/>
            <w:tcBorders>
              <w:bottom w:val="single" w:sz="8" w:color="auto"/>
            </w:tcBorders>
            <w:gridSpan w:val="3"/>
          </w:tcPr>
          <w:p>
            <w:pPr>
              <w:jc w:val="center"/>
              <w:ind w:left="583"/>
              <w:spacing w:after="0"/>
              <w:rPr>
                <w:sz w:val="20"/>
                <w:szCs w:val="20"/>
                <w:color w:val="auto"/>
              </w:rPr>
            </w:pPr>
            <w:r>
              <w:rPr>
                <w:rFonts w:ascii="Arial" w:cs="Arial" w:eastAsia="Arial" w:hAnsi="Arial"/>
                <w:sz w:val="14"/>
                <w:szCs w:val="14"/>
                <w:b w:val="1"/>
                <w:bCs w:val="1"/>
                <w:color w:val="auto"/>
                <w:w w:val="89"/>
              </w:rPr>
              <w:t>June 30,</w:t>
            </w:r>
          </w:p>
        </w:tc>
        <w:tc>
          <w:tcPr>
            <w:tcW w:w="840" w:type="dxa"/>
            <w:vAlign w:val="bottom"/>
            <w:tcBorders>
              <w:bottom w:val="single" w:sz="8" w:color="auto"/>
            </w:tcBorders>
          </w:tcPr>
          <w:p>
            <w:pPr>
              <w:spacing w:after="0"/>
              <w:rPr>
                <w:sz w:val="14"/>
                <w:szCs w:val="14"/>
                <w:color w:val="auto"/>
              </w:rPr>
            </w:pPr>
          </w:p>
        </w:tc>
        <w:tc>
          <w:tcPr>
            <w:tcW w:w="24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540" w:type="dxa"/>
            <w:vAlign w:val="bottom"/>
            <w:tcBorders>
              <w:bottom w:val="single" w:sz="8" w:color="auto"/>
            </w:tcBorders>
            <w:gridSpan w:val="4"/>
          </w:tcPr>
          <w:p>
            <w:pPr>
              <w:jc w:val="center"/>
              <w:ind w:left="464"/>
              <w:spacing w:after="0"/>
              <w:rPr>
                <w:sz w:val="20"/>
                <w:szCs w:val="20"/>
                <w:color w:val="auto"/>
              </w:rPr>
            </w:pPr>
            <w:r>
              <w:rPr>
                <w:rFonts w:ascii="Arial" w:cs="Arial" w:eastAsia="Arial" w:hAnsi="Arial"/>
                <w:sz w:val="14"/>
                <w:szCs w:val="14"/>
                <w:b w:val="1"/>
                <w:bCs w:val="1"/>
                <w:color w:val="auto"/>
                <w:w w:val="92"/>
              </w:rPr>
              <w:t>June 30,</w:t>
            </w:r>
          </w:p>
        </w:tc>
        <w:tc>
          <w:tcPr>
            <w:tcW w:w="74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4580" w:type="dxa"/>
            <w:vAlign w:val="bottom"/>
            <w:tcBorders>
              <w:bottom w:val="single" w:sz="8" w:color="auto"/>
            </w:tcBorders>
            <w:vMerge w:val="continue"/>
          </w:tcPr>
          <w:p>
            <w:pPr>
              <w:spacing w:after="0"/>
              <w:rPr>
                <w:sz w:val="12"/>
                <w:szCs w:val="12"/>
                <w:color w:val="auto"/>
              </w:rPr>
            </w:pPr>
          </w:p>
        </w:tc>
        <w:tc>
          <w:tcPr>
            <w:tcW w:w="24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940" w:type="dxa"/>
            <w:vAlign w:val="bottom"/>
            <w:tcBorders>
              <w:bottom w:val="single" w:sz="8" w:color="auto"/>
            </w:tcBorders>
          </w:tcPr>
          <w:p>
            <w:pPr>
              <w:jc w:val="right"/>
              <w:ind w:right="323"/>
              <w:spacing w:after="0" w:line="142" w:lineRule="exact"/>
              <w:rPr>
                <w:sz w:val="20"/>
                <w:szCs w:val="20"/>
                <w:color w:val="auto"/>
              </w:rPr>
            </w:pPr>
            <w:r>
              <w:rPr>
                <w:rFonts w:ascii="Arial" w:cs="Arial" w:eastAsia="Arial" w:hAnsi="Arial"/>
                <w:sz w:val="14"/>
                <w:szCs w:val="14"/>
                <w:b w:val="1"/>
                <w:bCs w:val="1"/>
                <w:color w:val="auto"/>
              </w:rPr>
              <w:t>2022</w:t>
            </w:r>
          </w:p>
        </w:tc>
        <w:tc>
          <w:tcPr>
            <w:tcW w:w="240" w:type="dxa"/>
            <w:vAlign w:val="bottom"/>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840" w:type="dxa"/>
            <w:vAlign w:val="bottom"/>
            <w:tcBorders>
              <w:bottom w:val="single" w:sz="8" w:color="auto"/>
            </w:tcBorders>
          </w:tcPr>
          <w:p>
            <w:pPr>
              <w:jc w:val="right"/>
              <w:ind w:right="315"/>
              <w:spacing w:after="0" w:line="142" w:lineRule="exact"/>
              <w:rPr>
                <w:sz w:val="20"/>
                <w:szCs w:val="20"/>
                <w:color w:val="auto"/>
              </w:rPr>
            </w:pPr>
            <w:r>
              <w:rPr>
                <w:rFonts w:ascii="Arial" w:cs="Arial" w:eastAsia="Arial" w:hAnsi="Arial"/>
                <w:sz w:val="14"/>
                <w:szCs w:val="14"/>
                <w:b w:val="1"/>
                <w:bCs w:val="1"/>
                <w:color w:val="auto"/>
              </w:rPr>
              <w:t>2021</w:t>
            </w:r>
          </w:p>
        </w:tc>
        <w:tc>
          <w:tcPr>
            <w:tcW w:w="24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940" w:type="dxa"/>
            <w:vAlign w:val="bottom"/>
            <w:tcBorders>
              <w:bottom w:val="single" w:sz="8" w:color="auto"/>
            </w:tcBorders>
          </w:tcPr>
          <w:p>
            <w:pPr>
              <w:jc w:val="right"/>
              <w:ind w:right="324"/>
              <w:spacing w:after="0" w:line="142" w:lineRule="exact"/>
              <w:rPr>
                <w:sz w:val="20"/>
                <w:szCs w:val="20"/>
                <w:color w:val="auto"/>
              </w:rPr>
            </w:pPr>
            <w:r>
              <w:rPr>
                <w:rFonts w:ascii="Arial" w:cs="Arial" w:eastAsia="Arial" w:hAnsi="Arial"/>
                <w:sz w:val="14"/>
                <w:szCs w:val="14"/>
                <w:b w:val="1"/>
                <w:bCs w:val="1"/>
                <w:color w:val="auto"/>
              </w:rPr>
              <w:t>2022</w:t>
            </w:r>
          </w:p>
        </w:tc>
        <w:tc>
          <w:tcPr>
            <w:tcW w:w="2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340" w:type="dxa"/>
            <w:vAlign w:val="bottom"/>
            <w:tcBorders>
              <w:bottom w:val="single" w:sz="8" w:color="auto"/>
            </w:tcBorders>
          </w:tcPr>
          <w:p>
            <w:pPr>
              <w:spacing w:after="0"/>
              <w:rPr>
                <w:sz w:val="12"/>
                <w:szCs w:val="12"/>
                <w:color w:val="auto"/>
              </w:rPr>
            </w:pPr>
          </w:p>
        </w:tc>
        <w:tc>
          <w:tcPr>
            <w:tcW w:w="740" w:type="dxa"/>
            <w:vAlign w:val="bottom"/>
            <w:tcBorders>
              <w:bottom w:val="single" w:sz="8" w:color="auto"/>
            </w:tcBorders>
          </w:tcPr>
          <w:p>
            <w:pPr>
              <w:jc w:val="right"/>
              <w:ind w:right="336"/>
              <w:spacing w:after="0" w:line="142" w:lineRule="exact"/>
              <w:rPr>
                <w:sz w:val="20"/>
                <w:szCs w:val="20"/>
                <w:color w:val="auto"/>
              </w:rPr>
            </w:pPr>
            <w:r>
              <w:rPr>
                <w:rFonts w:ascii="Arial" w:cs="Arial" w:eastAsia="Arial" w:hAnsi="Arial"/>
                <w:sz w:val="14"/>
                <w:szCs w:val="14"/>
                <w:b w:val="1"/>
                <w:bCs w:val="1"/>
                <w:color w:val="auto"/>
                <w:w w:val="96"/>
              </w:rPr>
              <w:t>2021</w:t>
            </w:r>
          </w:p>
        </w:tc>
        <w:tc>
          <w:tcPr>
            <w:tcW w:w="0" w:type="dxa"/>
            <w:vAlign w:val="bottom"/>
          </w:tcPr>
          <w:p>
            <w:pPr>
              <w:spacing w:after="0"/>
              <w:rPr>
                <w:sz w:val="1"/>
                <w:szCs w:val="1"/>
                <w:color w:val="auto"/>
              </w:rPr>
            </w:pPr>
          </w:p>
        </w:tc>
      </w:tr>
      <w:tr>
        <w:trPr>
          <w:trHeight w:val="209"/>
        </w:trPr>
        <w:tc>
          <w:tcPr>
            <w:tcW w:w="45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180" w:type="dxa"/>
            <w:vAlign w:val="bottom"/>
            <w:gridSpan w:val="4"/>
          </w:tcPr>
          <w:p>
            <w:pPr>
              <w:jc w:val="right"/>
              <w:ind w:right="704"/>
              <w:spacing w:after="0"/>
              <w:rPr>
                <w:sz w:val="20"/>
                <w:szCs w:val="20"/>
                <w:color w:val="auto"/>
              </w:rPr>
            </w:pPr>
            <w:r>
              <w:rPr>
                <w:rFonts w:ascii="Arial" w:cs="Arial" w:eastAsia="Arial" w:hAnsi="Arial"/>
                <w:sz w:val="18"/>
                <w:szCs w:val="18"/>
                <w:i w:val="1"/>
                <w:iCs w:val="1"/>
                <w:color w:val="auto"/>
              </w:rPr>
              <w:t>(in millions)</w:t>
            </w: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Foreign exchange contracts</w:t>
            </w:r>
          </w:p>
        </w:tc>
        <w:tc>
          <w:tcPr>
            <w:tcW w:w="3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2.3</w:t>
            </w:r>
          </w:p>
        </w:tc>
        <w:tc>
          <w:tcPr>
            <w:tcW w:w="500" w:type="dxa"/>
            <w:vAlign w:val="bottom"/>
            <w:gridSpan w:val="2"/>
            <w:shd w:val="clear" w:color="auto" w:fill="CCEEFF"/>
          </w:tcPr>
          <w:p>
            <w:pPr>
              <w:jc w:val="right"/>
              <w:ind w:right="107"/>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(1.2)</w:t>
            </w:r>
          </w:p>
        </w:tc>
        <w:tc>
          <w:tcPr>
            <w:tcW w:w="160" w:type="dxa"/>
            <w:vAlign w:val="bottom"/>
            <w:shd w:val="clear" w:color="auto" w:fill="CCEEFF"/>
          </w:tcPr>
          <w:p>
            <w:pPr>
              <w:jc w:val="right"/>
              <w:ind w:right="7"/>
              <w:spacing w:after="0"/>
              <w:rPr>
                <w:sz w:val="20"/>
                <w:szCs w:val="20"/>
                <w:color w:val="auto"/>
              </w:rPr>
            </w:pPr>
            <w:r>
              <w:rPr>
                <w:rFonts w:ascii="Arial" w:cs="Arial" w:eastAsia="Arial" w:hAnsi="Arial"/>
                <w:sz w:val="15"/>
                <w:szCs w:val="15"/>
                <w:b w:val="1"/>
                <w:bCs w:val="1"/>
                <w:color w:val="auto"/>
                <w:w w:val="71"/>
              </w:rPr>
              <w:t>$</w:t>
            </w:r>
          </w:p>
        </w:tc>
        <w:tc>
          <w:tcPr>
            <w:tcW w:w="1180" w:type="dxa"/>
            <w:vAlign w:val="bottom"/>
            <w:gridSpan w:val="2"/>
            <w:shd w:val="clear" w:color="auto" w:fill="CCEEFF"/>
          </w:tcPr>
          <w:p>
            <w:pPr>
              <w:ind w:left="700"/>
              <w:spacing w:after="0"/>
              <w:rPr>
                <w:sz w:val="20"/>
                <w:szCs w:val="20"/>
                <w:color w:val="auto"/>
              </w:rPr>
            </w:pPr>
            <w:r>
              <w:rPr>
                <w:rFonts w:ascii="Arial" w:cs="Arial" w:eastAsia="Arial" w:hAnsi="Arial"/>
                <w:sz w:val="18"/>
                <w:szCs w:val="18"/>
                <w:b w:val="1"/>
                <w:bCs w:val="1"/>
                <w:color w:val="auto"/>
              </w:rPr>
              <w:t>—</w:t>
            </w:r>
          </w:p>
        </w:tc>
        <w:tc>
          <w:tcPr>
            <w:tcW w:w="360" w:type="dxa"/>
            <w:vAlign w:val="bottom"/>
            <w:gridSpan w:val="2"/>
            <w:shd w:val="clear" w:color="auto" w:fill="CCEEFF"/>
          </w:tcPr>
          <w:p>
            <w:pPr>
              <w:jc w:val="right"/>
              <w:ind w:right="229"/>
              <w:spacing w:after="0"/>
              <w:rPr>
                <w:sz w:val="20"/>
                <w:szCs w:val="20"/>
                <w:color w:val="auto"/>
              </w:rPr>
            </w:pPr>
            <w:r>
              <w:rPr>
                <w:rFonts w:ascii="Arial" w:cs="Arial" w:eastAsia="Arial" w:hAnsi="Arial"/>
                <w:sz w:val="15"/>
                <w:szCs w:val="15"/>
                <w:color w:val="auto"/>
                <w:w w:val="71"/>
              </w:rPr>
              <w:t>$</w:t>
            </w:r>
          </w:p>
        </w:tc>
        <w:tc>
          <w:tcPr>
            <w:tcW w:w="740" w:type="dxa"/>
            <w:vAlign w:val="bottom"/>
            <w:shd w:val="clear" w:color="auto" w:fill="CCEEFF"/>
          </w:tcPr>
          <w:p>
            <w:pPr>
              <w:ind w:left="5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0"/>
        </w:trPr>
        <w:tc>
          <w:tcPr>
            <w:tcW w:w="4580" w:type="dxa"/>
            <w:vAlign w:val="bottom"/>
          </w:tcPr>
          <w:p>
            <w:pPr>
              <w:spacing w:after="0"/>
              <w:rPr>
                <w:sz w:val="20"/>
                <w:szCs w:val="20"/>
                <w:color w:val="auto"/>
              </w:rPr>
            </w:pPr>
            <w:r>
              <w:rPr>
                <w:rFonts w:ascii="Arial" w:cs="Arial" w:eastAsia="Arial" w:hAnsi="Arial"/>
                <w:sz w:val="18"/>
                <w:szCs w:val="18"/>
                <w:color w:val="auto"/>
              </w:rPr>
              <w:t>Total</w:t>
            </w:r>
          </w:p>
        </w:tc>
        <w:tc>
          <w:tcPr>
            <w:tcW w:w="240" w:type="dxa"/>
            <w:vAlign w:val="bottom"/>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2.3</w:t>
            </w:r>
          </w:p>
        </w:tc>
        <w:tc>
          <w:tcPr>
            <w:tcW w:w="240" w:type="dxa"/>
            <w:vAlign w:val="bottom"/>
          </w:tcPr>
          <w:p>
            <w:pPr>
              <w:spacing w:after="0"/>
              <w:rPr>
                <w:sz w:val="18"/>
                <w:szCs w:val="18"/>
                <w:color w:val="auto"/>
              </w:rPr>
            </w:pPr>
          </w:p>
        </w:tc>
        <w:tc>
          <w:tcPr>
            <w:tcW w:w="260" w:type="dxa"/>
            <w:vAlign w:val="bottom"/>
            <w:tcBorders>
              <w:top w:val="single" w:sz="8" w:color="auto"/>
              <w:bottom w:val="single" w:sz="8" w:color="auto"/>
            </w:tcBorders>
          </w:tcPr>
          <w:p>
            <w:pPr>
              <w:jc w:val="right"/>
              <w:ind w:right="107"/>
              <w:spacing w:after="0"/>
              <w:rPr>
                <w:sz w:val="20"/>
                <w:szCs w:val="20"/>
                <w:color w:val="auto"/>
              </w:rPr>
            </w:pPr>
            <w:r>
              <w:rPr>
                <w:rFonts w:ascii="Arial" w:cs="Arial" w:eastAsia="Arial" w:hAnsi="Arial"/>
                <w:sz w:val="15"/>
                <w:szCs w:val="15"/>
                <w:color w:val="auto"/>
                <w:w w:val="71"/>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w:t>
            </w:r>
          </w:p>
        </w:tc>
        <w:tc>
          <w:tcPr>
            <w:tcW w:w="240" w:type="dxa"/>
            <w:vAlign w:val="bottom"/>
          </w:tcPr>
          <w:p>
            <w:pPr>
              <w:spacing w:after="0"/>
              <w:rPr>
                <w:sz w:val="18"/>
                <w:szCs w:val="18"/>
                <w:color w:val="auto"/>
              </w:rPr>
            </w:pPr>
          </w:p>
        </w:tc>
        <w:tc>
          <w:tcPr>
            <w:tcW w:w="160" w:type="dxa"/>
            <w:vAlign w:val="bottom"/>
            <w:tcBorders>
              <w:top w:val="single" w:sz="8" w:color="auto"/>
              <w:bottom w:val="single" w:sz="8" w:color="auto"/>
            </w:tcBorders>
          </w:tcPr>
          <w:p>
            <w:pPr>
              <w:jc w:val="right"/>
              <w:ind w:right="7"/>
              <w:spacing w:after="0"/>
              <w:rPr>
                <w:sz w:val="20"/>
                <w:szCs w:val="20"/>
                <w:color w:val="auto"/>
              </w:rPr>
            </w:pPr>
            <w:r>
              <w:rPr>
                <w:rFonts w:ascii="Arial" w:cs="Arial" w:eastAsia="Arial" w:hAnsi="Arial"/>
                <w:sz w:val="15"/>
                <w:szCs w:val="15"/>
                <w:b w:val="1"/>
                <w:bCs w:val="1"/>
                <w:color w:val="auto"/>
                <w:w w:val="71"/>
              </w:rPr>
              <w:t>$</w:t>
            </w:r>
          </w:p>
        </w:tc>
        <w:tc>
          <w:tcPr>
            <w:tcW w:w="940" w:type="dxa"/>
            <w:vAlign w:val="bottom"/>
            <w:tcBorders>
              <w:top w:val="single" w:sz="8" w:color="auto"/>
              <w:bottom w:val="single" w:sz="8" w:color="auto"/>
            </w:tcBorders>
          </w:tcPr>
          <w:p>
            <w:pPr>
              <w:ind w:left="700"/>
              <w:spacing w:after="0"/>
              <w:rPr>
                <w:sz w:val="20"/>
                <w:szCs w:val="20"/>
                <w:color w:val="auto"/>
              </w:rPr>
            </w:pPr>
            <w:r>
              <w:rPr>
                <w:rFonts w:ascii="Arial" w:cs="Arial" w:eastAsia="Arial" w:hAnsi="Arial"/>
                <w:sz w:val="18"/>
                <w:szCs w:val="18"/>
                <w:b w:val="1"/>
                <w:bCs w:val="1"/>
                <w:color w:val="auto"/>
              </w:rPr>
              <w:t>—</w:t>
            </w:r>
          </w:p>
        </w:tc>
        <w:tc>
          <w:tcPr>
            <w:tcW w:w="24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340" w:type="dxa"/>
            <w:vAlign w:val="bottom"/>
            <w:tcBorders>
              <w:top w:val="single" w:sz="8" w:color="auto"/>
              <w:bottom w:val="single" w:sz="8" w:color="auto"/>
            </w:tcBorders>
          </w:tcPr>
          <w:p>
            <w:pPr>
              <w:jc w:val="right"/>
              <w:ind w:right="229"/>
              <w:spacing w:after="0"/>
              <w:rPr>
                <w:sz w:val="20"/>
                <w:szCs w:val="20"/>
                <w:color w:val="auto"/>
              </w:rPr>
            </w:pPr>
            <w:r>
              <w:rPr>
                <w:rFonts w:ascii="Arial" w:cs="Arial" w:eastAsia="Arial" w:hAnsi="Arial"/>
                <w:sz w:val="10"/>
                <w:szCs w:val="10"/>
                <w:color w:val="auto"/>
                <w:w w:val="71"/>
              </w:rPr>
              <w:t>$</w:t>
            </w:r>
          </w:p>
        </w:tc>
        <w:tc>
          <w:tcPr>
            <w:tcW w:w="740" w:type="dxa"/>
            <w:vAlign w:val="bottom"/>
            <w:tcBorders>
              <w:top w:val="single" w:sz="8" w:color="auto"/>
              <w:bottom w:val="single" w:sz="8" w:color="auto"/>
            </w:tcBorders>
          </w:tcPr>
          <w:p>
            <w:pPr>
              <w:ind w:left="5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45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540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type w:val="continuous"/>
        </w:sectPr>
      </w:pPr>
    </w:p>
    <w:bookmarkStart w:id="48" w:name="page49"/>
    <w:bookmarkEnd w:id="48"/>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6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100" w:type="dxa"/>
            <w:vAlign w:val="bottom"/>
            <w:gridSpan w:val="4"/>
            <w:vMerge w:val="restart"/>
          </w:tcPr>
          <w:p>
            <w:pPr>
              <w:jc w:val="center"/>
              <w:ind w:left="248"/>
              <w:spacing w:after="0"/>
              <w:rPr>
                <w:sz w:val="20"/>
                <w:szCs w:val="20"/>
                <w:color w:val="auto"/>
              </w:rPr>
            </w:pPr>
            <w:r>
              <w:rPr>
                <w:rFonts w:ascii="Arial" w:cs="Arial" w:eastAsia="Arial" w:hAnsi="Arial"/>
                <w:sz w:val="14"/>
                <w:szCs w:val="14"/>
                <w:b w:val="1"/>
                <w:bCs w:val="1"/>
                <w:color w:val="auto"/>
                <w:w w:val="91"/>
              </w:rPr>
              <w:t>Amount of gain recognized</w:t>
            </w:r>
          </w:p>
        </w:tc>
        <w:tc>
          <w:tcPr>
            <w:tcW w:w="3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400" w:type="dxa"/>
            <w:vAlign w:val="bottom"/>
            <w:gridSpan w:val="4"/>
          </w:tcPr>
          <w:p>
            <w:pPr>
              <w:jc w:val="center"/>
              <w:ind w:right="379"/>
              <w:spacing w:after="0"/>
              <w:rPr>
                <w:sz w:val="20"/>
                <w:szCs w:val="20"/>
                <w:color w:val="auto"/>
              </w:rPr>
            </w:pPr>
            <w:r>
              <w:rPr>
                <w:rFonts w:ascii="Arial" w:cs="Arial" w:eastAsia="Arial" w:hAnsi="Arial"/>
                <w:sz w:val="14"/>
                <w:szCs w:val="14"/>
                <w:b w:val="1"/>
                <w:bCs w:val="1"/>
                <w:color w:val="auto"/>
                <w:w w:val="90"/>
              </w:rPr>
              <w:t>Amount of loss</w:t>
            </w:r>
          </w:p>
        </w:tc>
        <w:tc>
          <w:tcPr>
            <w:tcW w:w="3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46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100" w:type="dxa"/>
            <w:vAlign w:val="bottom"/>
            <w:gridSpan w:val="4"/>
            <w:vMerge w:val="continue"/>
          </w:tcPr>
          <w:p>
            <w:pPr>
              <w:spacing w:after="0"/>
              <w:rPr>
                <w:sz w:val="12"/>
                <w:szCs w:val="12"/>
                <w:color w:val="auto"/>
              </w:rPr>
            </w:pPr>
          </w:p>
        </w:tc>
        <w:tc>
          <w:tcPr>
            <w:tcW w:w="3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140" w:type="dxa"/>
            <w:vAlign w:val="bottom"/>
            <w:gridSpan w:val="5"/>
          </w:tcPr>
          <w:p>
            <w:pPr>
              <w:jc w:val="center"/>
              <w:ind w:left="224"/>
              <w:spacing w:after="0" w:line="149" w:lineRule="exact"/>
              <w:rPr>
                <w:sz w:val="20"/>
                <w:szCs w:val="20"/>
                <w:color w:val="auto"/>
              </w:rPr>
            </w:pPr>
            <w:r>
              <w:rPr>
                <w:rFonts w:ascii="Arial" w:cs="Arial" w:eastAsia="Arial" w:hAnsi="Arial"/>
                <w:sz w:val="14"/>
                <w:szCs w:val="14"/>
                <w:b w:val="1"/>
                <w:bCs w:val="1"/>
                <w:color w:val="auto"/>
                <w:w w:val="95"/>
              </w:rPr>
              <w:t>reclassified from AOCI into</w:t>
            </w:r>
          </w:p>
        </w:tc>
        <w:tc>
          <w:tcPr>
            <w:tcW w:w="3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46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100" w:type="dxa"/>
            <w:vAlign w:val="bottom"/>
            <w:gridSpan w:val="4"/>
          </w:tcPr>
          <w:p>
            <w:pPr>
              <w:jc w:val="center"/>
              <w:ind w:left="248"/>
              <w:spacing w:after="0" w:line="149" w:lineRule="exact"/>
              <w:rPr>
                <w:sz w:val="20"/>
                <w:szCs w:val="20"/>
                <w:color w:val="auto"/>
              </w:rPr>
            </w:pPr>
            <w:r>
              <w:rPr>
                <w:rFonts w:ascii="Arial" w:cs="Arial" w:eastAsia="Arial" w:hAnsi="Arial"/>
                <w:sz w:val="14"/>
                <w:szCs w:val="14"/>
                <w:b w:val="1"/>
                <w:bCs w:val="1"/>
                <w:color w:val="auto"/>
                <w:w w:val="95"/>
              </w:rPr>
              <w:t>in AOCI on derivatives</w:t>
            </w:r>
          </w:p>
        </w:tc>
        <w:tc>
          <w:tcPr>
            <w:tcW w:w="3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440" w:type="dxa"/>
            <w:vAlign w:val="bottom"/>
            <w:gridSpan w:val="6"/>
          </w:tcPr>
          <w:p>
            <w:pPr>
              <w:jc w:val="center"/>
              <w:spacing w:after="0" w:line="149" w:lineRule="exact"/>
              <w:rPr>
                <w:sz w:val="20"/>
                <w:szCs w:val="20"/>
                <w:color w:val="auto"/>
              </w:rPr>
            </w:pPr>
            <w:r>
              <w:rPr>
                <w:rFonts w:ascii="Arial" w:cs="Arial" w:eastAsia="Arial" w:hAnsi="Arial"/>
                <w:sz w:val="14"/>
                <w:szCs w:val="14"/>
                <w:b w:val="1"/>
                <w:bCs w:val="1"/>
                <w:color w:val="auto"/>
                <w:w w:val="89"/>
              </w:rPr>
              <w:t>net realized capital gains (losses)</w:t>
            </w:r>
          </w:p>
        </w:tc>
        <w:tc>
          <w:tcPr>
            <w:tcW w:w="0" w:type="dxa"/>
            <w:vAlign w:val="bottom"/>
          </w:tcPr>
          <w:p>
            <w:pPr>
              <w:spacing w:after="0"/>
              <w:rPr>
                <w:sz w:val="1"/>
                <w:szCs w:val="1"/>
                <w:color w:val="auto"/>
              </w:rPr>
            </w:pPr>
          </w:p>
        </w:tc>
      </w:tr>
      <w:tr>
        <w:trPr>
          <w:trHeight w:val="162"/>
        </w:trPr>
        <w:tc>
          <w:tcPr>
            <w:tcW w:w="46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100" w:type="dxa"/>
            <w:vAlign w:val="bottom"/>
            <w:gridSpan w:val="4"/>
          </w:tcPr>
          <w:p>
            <w:pPr>
              <w:jc w:val="center"/>
              <w:ind w:left="248"/>
              <w:spacing w:after="0"/>
              <w:rPr>
                <w:sz w:val="20"/>
                <w:szCs w:val="20"/>
                <w:color w:val="auto"/>
              </w:rPr>
            </w:pPr>
            <w:r>
              <w:rPr>
                <w:rFonts w:ascii="Arial" w:cs="Arial" w:eastAsia="Arial" w:hAnsi="Arial"/>
                <w:sz w:val="14"/>
                <w:szCs w:val="14"/>
                <w:b w:val="1"/>
                <w:bCs w:val="1"/>
                <w:color w:val="auto"/>
                <w:w w:val="90"/>
              </w:rPr>
              <w:t>for the six months ended</w:t>
            </w:r>
          </w:p>
        </w:tc>
        <w:tc>
          <w:tcPr>
            <w:tcW w:w="3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140" w:type="dxa"/>
            <w:vAlign w:val="bottom"/>
            <w:gridSpan w:val="5"/>
          </w:tcPr>
          <w:p>
            <w:pPr>
              <w:jc w:val="center"/>
              <w:ind w:left="224"/>
              <w:spacing w:after="0"/>
              <w:rPr>
                <w:sz w:val="20"/>
                <w:szCs w:val="20"/>
                <w:color w:val="auto"/>
              </w:rPr>
            </w:pPr>
            <w:r>
              <w:rPr>
                <w:rFonts w:ascii="Arial" w:cs="Arial" w:eastAsia="Arial" w:hAnsi="Arial"/>
                <w:sz w:val="14"/>
                <w:szCs w:val="14"/>
                <w:b w:val="1"/>
                <w:bCs w:val="1"/>
                <w:color w:val="auto"/>
                <w:w w:val="91"/>
              </w:rPr>
              <w:t>for the six months ended</w:t>
            </w:r>
          </w:p>
        </w:tc>
        <w:tc>
          <w:tcPr>
            <w:tcW w:w="3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4660" w:type="dxa"/>
            <w:vAlign w:val="bottom"/>
            <w:vMerge w:val="restart"/>
          </w:tcPr>
          <w:p>
            <w:pPr>
              <w:ind w:left="760"/>
              <w:spacing w:after="0"/>
              <w:rPr>
                <w:sz w:val="20"/>
                <w:szCs w:val="20"/>
                <w:color w:val="auto"/>
              </w:rPr>
            </w:pPr>
            <w:r>
              <w:rPr>
                <w:rFonts w:ascii="Arial" w:cs="Arial" w:eastAsia="Arial" w:hAnsi="Arial"/>
                <w:sz w:val="14"/>
                <w:szCs w:val="14"/>
                <w:b w:val="1"/>
                <w:bCs w:val="1"/>
                <w:color w:val="auto"/>
              </w:rPr>
              <w:t>Derivatives in net investment hedging relationships</w:t>
            </w:r>
          </w:p>
        </w:tc>
        <w:tc>
          <w:tcPr>
            <w:tcW w:w="200" w:type="dxa"/>
            <w:vAlign w:val="bottom"/>
            <w:vMerge w:val="restart"/>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1340" w:type="dxa"/>
            <w:vAlign w:val="bottom"/>
            <w:tcBorders>
              <w:bottom w:val="single" w:sz="8" w:color="auto"/>
            </w:tcBorders>
            <w:gridSpan w:val="3"/>
          </w:tcPr>
          <w:p>
            <w:pPr>
              <w:jc w:val="center"/>
              <w:ind w:right="399"/>
              <w:spacing w:after="0"/>
              <w:rPr>
                <w:sz w:val="20"/>
                <w:szCs w:val="20"/>
                <w:color w:val="auto"/>
              </w:rPr>
            </w:pPr>
            <w:r>
              <w:rPr>
                <w:rFonts w:ascii="Arial" w:cs="Arial" w:eastAsia="Arial" w:hAnsi="Arial"/>
                <w:sz w:val="14"/>
                <w:szCs w:val="14"/>
                <w:b w:val="1"/>
                <w:bCs w:val="1"/>
                <w:color w:val="auto"/>
                <w:w w:val="89"/>
              </w:rPr>
              <w:t>June 30,</w:t>
            </w:r>
          </w:p>
        </w:tc>
        <w:tc>
          <w:tcPr>
            <w:tcW w:w="32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1400" w:type="dxa"/>
            <w:vAlign w:val="bottom"/>
            <w:tcBorders>
              <w:bottom w:val="single" w:sz="8" w:color="auto"/>
            </w:tcBorders>
            <w:gridSpan w:val="4"/>
          </w:tcPr>
          <w:p>
            <w:pPr>
              <w:jc w:val="center"/>
              <w:ind w:right="419"/>
              <w:spacing w:after="0"/>
              <w:rPr>
                <w:sz w:val="20"/>
                <w:szCs w:val="20"/>
                <w:color w:val="auto"/>
              </w:rPr>
            </w:pPr>
            <w:r>
              <w:rPr>
                <w:rFonts w:ascii="Arial" w:cs="Arial" w:eastAsia="Arial" w:hAnsi="Arial"/>
                <w:sz w:val="14"/>
                <w:szCs w:val="14"/>
                <w:b w:val="1"/>
                <w:bCs w:val="1"/>
                <w:color w:val="auto"/>
                <w:w w:val="92"/>
              </w:rPr>
              <w:t>June 30,</w:t>
            </w:r>
          </w:p>
        </w:tc>
        <w:tc>
          <w:tcPr>
            <w:tcW w:w="30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4660" w:type="dxa"/>
            <w:vAlign w:val="bottom"/>
            <w:tcBorders>
              <w:bottom w:val="single" w:sz="8" w:color="auto"/>
            </w:tcBorders>
            <w:vMerge w:val="continue"/>
          </w:tcPr>
          <w:p>
            <w:pPr>
              <w:spacing w:after="0"/>
              <w:rPr>
                <w:sz w:val="12"/>
                <w:szCs w:val="12"/>
                <w:color w:val="auto"/>
              </w:rPr>
            </w:pPr>
          </w:p>
        </w:tc>
        <w:tc>
          <w:tcPr>
            <w:tcW w:w="200" w:type="dxa"/>
            <w:vAlign w:val="bottom"/>
            <w:vMerge w:val="continue"/>
          </w:tcPr>
          <w:p>
            <w:pPr>
              <w:spacing w:after="0"/>
              <w:rPr>
                <w:sz w:val="12"/>
                <w:szCs w:val="12"/>
                <w:color w:val="auto"/>
              </w:rPr>
            </w:pPr>
          </w:p>
        </w:tc>
        <w:tc>
          <w:tcPr>
            <w:tcW w:w="7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2022</w:t>
            </w:r>
          </w:p>
        </w:tc>
        <w:tc>
          <w:tcPr>
            <w:tcW w:w="340" w:type="dxa"/>
            <w:vAlign w:val="bottom"/>
            <w:tcBorders>
              <w:bottom w:val="single" w:sz="8" w:color="auto"/>
            </w:tcBorders>
          </w:tcPr>
          <w:p>
            <w:pPr>
              <w:spacing w:after="0"/>
              <w:rPr>
                <w:sz w:val="12"/>
                <w:szCs w:val="12"/>
                <w:color w:val="auto"/>
              </w:rPr>
            </w:pPr>
          </w:p>
        </w:tc>
        <w:tc>
          <w:tcPr>
            <w:tcW w:w="200" w:type="dxa"/>
            <w:vAlign w:val="bottom"/>
          </w:tcPr>
          <w:p>
            <w:pPr>
              <w:spacing w:after="0"/>
              <w:rPr>
                <w:sz w:val="12"/>
                <w:szCs w:val="12"/>
                <w:color w:val="auto"/>
              </w:rPr>
            </w:pPr>
          </w:p>
        </w:tc>
        <w:tc>
          <w:tcPr>
            <w:tcW w:w="800" w:type="dxa"/>
            <w:vAlign w:val="bottom"/>
            <w:tcBorders>
              <w:bottom w:val="single" w:sz="8" w:color="auto"/>
            </w:tcBorders>
          </w:tcPr>
          <w:p>
            <w:pPr>
              <w:jc w:val="right"/>
              <w:ind w:right="19"/>
              <w:spacing w:after="0" w:line="142" w:lineRule="exact"/>
              <w:rPr>
                <w:sz w:val="20"/>
                <w:szCs w:val="20"/>
                <w:color w:val="auto"/>
              </w:rPr>
            </w:pPr>
            <w:r>
              <w:rPr>
                <w:rFonts w:ascii="Arial" w:cs="Arial" w:eastAsia="Arial" w:hAnsi="Arial"/>
                <w:sz w:val="14"/>
                <w:szCs w:val="14"/>
                <w:b w:val="1"/>
                <w:bCs w:val="1"/>
                <w:color w:val="auto"/>
              </w:rPr>
              <w:t>2021</w:t>
            </w:r>
          </w:p>
        </w:tc>
        <w:tc>
          <w:tcPr>
            <w:tcW w:w="320" w:type="dxa"/>
            <w:vAlign w:val="bottom"/>
            <w:tcBorders>
              <w:bottom w:val="single" w:sz="8" w:color="auto"/>
            </w:tcBorders>
          </w:tcPr>
          <w:p>
            <w:pPr>
              <w:spacing w:after="0"/>
              <w:rPr>
                <w:sz w:val="12"/>
                <w:szCs w:val="12"/>
                <w:color w:val="auto"/>
              </w:rPr>
            </w:pPr>
          </w:p>
        </w:tc>
        <w:tc>
          <w:tcPr>
            <w:tcW w:w="200" w:type="dxa"/>
            <w:vAlign w:val="bottom"/>
          </w:tcPr>
          <w:p>
            <w:pPr>
              <w:spacing w:after="0"/>
              <w:rPr>
                <w:sz w:val="12"/>
                <w:szCs w:val="12"/>
                <w:color w:val="auto"/>
              </w:rPr>
            </w:pPr>
          </w:p>
        </w:tc>
        <w:tc>
          <w:tcPr>
            <w:tcW w:w="74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2022</w:t>
            </w:r>
          </w:p>
        </w:tc>
        <w:tc>
          <w:tcPr>
            <w:tcW w:w="380" w:type="dxa"/>
            <w:vAlign w:val="bottom"/>
            <w:tcBorders>
              <w:bottom w:val="single" w:sz="8" w:color="auto"/>
            </w:tcBorders>
          </w:tcPr>
          <w:p>
            <w:pPr>
              <w:spacing w:after="0"/>
              <w:rPr>
                <w:sz w:val="12"/>
                <w:szCs w:val="12"/>
                <w:color w:val="auto"/>
              </w:rPr>
            </w:pPr>
          </w:p>
        </w:tc>
        <w:tc>
          <w:tcPr>
            <w:tcW w:w="2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780" w:type="dxa"/>
            <w:vAlign w:val="bottom"/>
            <w:tcBorders>
              <w:bottom w:val="single" w:sz="8" w:color="auto"/>
            </w:tcBorders>
          </w:tcPr>
          <w:p>
            <w:pPr>
              <w:jc w:val="right"/>
              <w:ind w:right="59"/>
              <w:spacing w:after="0" w:line="142" w:lineRule="exact"/>
              <w:rPr>
                <w:sz w:val="20"/>
                <w:szCs w:val="20"/>
                <w:color w:val="auto"/>
              </w:rPr>
            </w:pPr>
            <w:r>
              <w:rPr>
                <w:rFonts w:ascii="Arial" w:cs="Arial" w:eastAsia="Arial" w:hAnsi="Arial"/>
                <w:sz w:val="14"/>
                <w:szCs w:val="14"/>
                <w:b w:val="1"/>
                <w:bCs w:val="1"/>
                <w:color w:val="auto"/>
              </w:rPr>
              <w:t>2021</w:t>
            </w:r>
          </w:p>
        </w:tc>
        <w:tc>
          <w:tcPr>
            <w:tcW w:w="30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46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60" w:type="dxa"/>
            <w:vAlign w:val="bottom"/>
            <w:gridSpan w:val="3"/>
          </w:tcPr>
          <w:p>
            <w:pPr>
              <w:jc w:val="right"/>
              <w:ind w:right="344"/>
              <w:spacing w:after="0" w:line="142" w:lineRule="exact"/>
              <w:rPr>
                <w:sz w:val="20"/>
                <w:szCs w:val="20"/>
                <w:color w:val="auto"/>
              </w:rPr>
            </w:pPr>
            <w:r>
              <w:rPr>
                <w:rFonts w:ascii="Arial" w:cs="Arial" w:eastAsia="Arial" w:hAnsi="Arial"/>
                <w:sz w:val="14"/>
                <w:szCs w:val="14"/>
                <w:i w:val="1"/>
                <w:iCs w:val="1"/>
                <w:color w:val="auto"/>
              </w:rPr>
              <w:t>(in millions)</w:t>
            </w:r>
          </w:p>
        </w:tc>
        <w:tc>
          <w:tcPr>
            <w:tcW w:w="3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48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Foreign exchange contracts</w:t>
            </w:r>
          </w:p>
        </w:tc>
        <w:tc>
          <w:tcPr>
            <w:tcW w:w="760" w:type="dxa"/>
            <w:vAlign w:val="bottom"/>
            <w:shd w:val="clear" w:color="auto" w:fill="CCEEFF"/>
          </w:tcPr>
          <w:p>
            <w:pPr>
              <w:jc w:val="right"/>
              <w:ind w:right="608"/>
              <w:spacing w:after="0"/>
              <w:rPr>
                <w:sz w:val="20"/>
                <w:szCs w:val="20"/>
                <w:color w:val="auto"/>
              </w:rPr>
            </w:pPr>
            <w:r>
              <w:rPr>
                <w:rFonts w:ascii="Arial" w:cs="Arial" w:eastAsia="Arial" w:hAnsi="Arial"/>
                <w:sz w:val="15"/>
                <w:szCs w:val="15"/>
                <w:b w:val="1"/>
                <w:bCs w:val="1"/>
                <w:color w:val="auto"/>
                <w:w w:val="71"/>
              </w:rPr>
              <w:t>$</w:t>
            </w:r>
          </w:p>
        </w:tc>
        <w:tc>
          <w:tcPr>
            <w:tcW w:w="3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1.6</w:t>
            </w:r>
          </w:p>
        </w:tc>
        <w:tc>
          <w:tcPr>
            <w:tcW w:w="1000" w:type="dxa"/>
            <w:vAlign w:val="bottom"/>
            <w:gridSpan w:val="2"/>
            <w:shd w:val="clear" w:color="auto" w:fill="CCEEFF"/>
          </w:tcPr>
          <w:p>
            <w:pPr>
              <w:jc w:val="right"/>
              <w:ind w:right="619"/>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940" w:type="dxa"/>
            <w:vAlign w:val="bottom"/>
            <w:gridSpan w:val="2"/>
            <w:shd w:val="clear" w:color="auto" w:fill="CCEEFF"/>
          </w:tcPr>
          <w:p>
            <w:pPr>
              <w:jc w:val="right"/>
              <w:ind w:right="564"/>
              <w:spacing w:after="0"/>
              <w:rPr>
                <w:sz w:val="20"/>
                <w:szCs w:val="20"/>
                <w:color w:val="auto"/>
              </w:rPr>
            </w:pPr>
            <w:r>
              <w:rPr>
                <w:rFonts w:ascii="Arial" w:cs="Arial" w:eastAsia="Arial" w:hAnsi="Arial"/>
                <w:sz w:val="18"/>
                <w:szCs w:val="18"/>
                <w:b w:val="1"/>
                <w:bCs w:val="1"/>
                <w:color w:val="auto"/>
              </w:rPr>
              <w:t>$</w:t>
            </w:r>
          </w:p>
        </w:tc>
        <w:tc>
          <w:tcPr>
            <w:tcW w:w="600" w:type="dxa"/>
            <w:vAlign w:val="bottom"/>
            <w:gridSpan w:val="2"/>
            <w:shd w:val="clear" w:color="auto" w:fill="CCEEFF"/>
          </w:tcPr>
          <w:p>
            <w:pPr>
              <w:ind w:left="160"/>
              <w:spacing w:after="0"/>
              <w:rPr>
                <w:sz w:val="20"/>
                <w:szCs w:val="20"/>
                <w:color w:val="auto"/>
              </w:rPr>
            </w:pPr>
            <w:r>
              <w:rPr>
                <w:rFonts w:ascii="Arial" w:cs="Arial" w:eastAsia="Arial" w:hAnsi="Arial"/>
                <w:sz w:val="18"/>
                <w:szCs w:val="18"/>
                <w:b w:val="1"/>
                <w:bCs w:val="1"/>
                <w:color w:val="auto"/>
              </w:rPr>
              <w:t>—</w:t>
            </w:r>
          </w:p>
        </w:tc>
        <w:tc>
          <w:tcPr>
            <w:tcW w:w="800" w:type="dxa"/>
            <w:vAlign w:val="bottom"/>
            <w:gridSpan w:val="2"/>
            <w:shd w:val="clear" w:color="auto" w:fill="CCEEFF"/>
          </w:tcPr>
          <w:p>
            <w:pPr>
              <w:jc w:val="right"/>
              <w:ind w:right="659"/>
              <w:spacing w:after="0"/>
              <w:rPr>
                <w:sz w:val="20"/>
                <w:szCs w:val="20"/>
                <w:color w:val="auto"/>
              </w:rPr>
            </w:pPr>
            <w:r>
              <w:rPr>
                <w:rFonts w:ascii="Arial" w:cs="Arial" w:eastAsia="Arial" w:hAnsi="Arial"/>
                <w:sz w:val="15"/>
                <w:szCs w:val="15"/>
                <w:color w:val="auto"/>
                <w:w w:val="71"/>
              </w:rPr>
              <w:t>$</w:t>
            </w:r>
          </w:p>
        </w:tc>
        <w:tc>
          <w:tcPr>
            <w:tcW w:w="300" w:type="dxa"/>
            <w:vAlign w:val="bottom"/>
            <w:shd w:val="clear" w:color="auto" w:fill="CCEEFF"/>
          </w:tcPr>
          <w:p>
            <w:pPr>
              <w:ind w:left="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0"/>
        </w:trPr>
        <w:tc>
          <w:tcPr>
            <w:tcW w:w="4860" w:type="dxa"/>
            <w:vAlign w:val="bottom"/>
            <w:gridSpan w:val="2"/>
          </w:tcPr>
          <w:p>
            <w:pPr>
              <w:spacing w:after="0"/>
              <w:rPr>
                <w:sz w:val="20"/>
                <w:szCs w:val="20"/>
                <w:color w:val="auto"/>
              </w:rPr>
            </w:pPr>
            <w:r>
              <w:rPr>
                <w:rFonts w:ascii="Arial" w:cs="Arial" w:eastAsia="Arial" w:hAnsi="Arial"/>
                <w:sz w:val="18"/>
                <w:szCs w:val="18"/>
                <w:color w:val="auto"/>
              </w:rPr>
              <w:t>Total</w:t>
            </w:r>
          </w:p>
        </w:tc>
        <w:tc>
          <w:tcPr>
            <w:tcW w:w="760" w:type="dxa"/>
            <w:vAlign w:val="bottom"/>
            <w:tcBorders>
              <w:top w:val="single" w:sz="8" w:color="auto"/>
              <w:bottom w:val="single" w:sz="8" w:color="auto"/>
            </w:tcBorders>
          </w:tcPr>
          <w:p>
            <w:pPr>
              <w:jc w:val="right"/>
              <w:ind w:right="608"/>
              <w:spacing w:after="0"/>
              <w:rPr>
                <w:sz w:val="20"/>
                <w:szCs w:val="20"/>
                <w:color w:val="auto"/>
              </w:rPr>
            </w:pPr>
            <w:r>
              <w:rPr>
                <w:rFonts w:ascii="Arial" w:cs="Arial" w:eastAsia="Arial" w:hAnsi="Arial"/>
                <w:sz w:val="15"/>
                <w:szCs w:val="15"/>
                <w:b w:val="1"/>
                <w:bCs w:val="1"/>
                <w:color w:val="auto"/>
                <w:w w:val="71"/>
              </w:rPr>
              <w:t>$</w:t>
            </w:r>
          </w:p>
        </w:tc>
        <w:tc>
          <w:tcPr>
            <w:tcW w:w="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1.6</w:t>
            </w:r>
          </w:p>
        </w:tc>
        <w:tc>
          <w:tcPr>
            <w:tcW w:w="200" w:type="dxa"/>
            <w:vAlign w:val="bottom"/>
          </w:tcPr>
          <w:p>
            <w:pPr>
              <w:spacing w:after="0"/>
              <w:rPr>
                <w:sz w:val="18"/>
                <w:szCs w:val="18"/>
                <w:color w:val="auto"/>
              </w:rPr>
            </w:pPr>
          </w:p>
        </w:tc>
        <w:tc>
          <w:tcPr>
            <w:tcW w:w="800" w:type="dxa"/>
            <w:vAlign w:val="bottom"/>
            <w:tcBorders>
              <w:top w:val="single" w:sz="8" w:color="auto"/>
              <w:bottom w:val="single" w:sz="8" w:color="auto"/>
            </w:tcBorders>
          </w:tcPr>
          <w:p>
            <w:pPr>
              <w:jc w:val="right"/>
              <w:ind w:right="619"/>
              <w:spacing w:after="0"/>
              <w:rPr>
                <w:sz w:val="20"/>
                <w:szCs w:val="20"/>
                <w:color w:val="auto"/>
              </w:rPr>
            </w:pPr>
            <w:r>
              <w:rPr>
                <w:rFonts w:ascii="Arial" w:cs="Arial" w:eastAsia="Arial" w:hAnsi="Arial"/>
                <w:sz w:val="18"/>
                <w:szCs w:val="18"/>
                <w:color w:val="auto"/>
                <w:w w:val="79"/>
              </w:rPr>
              <w:t>$</w:t>
            </w:r>
          </w:p>
        </w:tc>
        <w:tc>
          <w:tcPr>
            <w:tcW w:w="3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w:t>
            </w:r>
          </w:p>
        </w:tc>
        <w:tc>
          <w:tcPr>
            <w:tcW w:w="200" w:type="dxa"/>
            <w:vAlign w:val="bottom"/>
          </w:tcPr>
          <w:p>
            <w:pPr>
              <w:spacing w:after="0"/>
              <w:rPr>
                <w:sz w:val="18"/>
                <w:szCs w:val="18"/>
                <w:color w:val="auto"/>
              </w:rPr>
            </w:pPr>
          </w:p>
        </w:tc>
        <w:tc>
          <w:tcPr>
            <w:tcW w:w="740" w:type="dxa"/>
            <w:vAlign w:val="bottom"/>
            <w:tcBorders>
              <w:top w:val="single" w:sz="8" w:color="auto"/>
              <w:bottom w:val="single" w:sz="8" w:color="auto"/>
            </w:tcBorders>
          </w:tcPr>
          <w:p>
            <w:pPr>
              <w:jc w:val="right"/>
              <w:ind w:right="564"/>
              <w:spacing w:after="0"/>
              <w:rPr>
                <w:sz w:val="20"/>
                <w:szCs w:val="20"/>
                <w:color w:val="auto"/>
              </w:rPr>
            </w:pPr>
            <w:r>
              <w:rPr>
                <w:rFonts w:ascii="Arial" w:cs="Arial" w:eastAsia="Arial" w:hAnsi="Arial"/>
                <w:sz w:val="18"/>
                <w:szCs w:val="18"/>
                <w:b w:val="1"/>
                <w:bCs w:val="1"/>
                <w:color w:val="auto"/>
                <w:w w:val="79"/>
              </w:rPr>
              <w:t>$</w:t>
            </w:r>
          </w:p>
        </w:tc>
        <w:tc>
          <w:tcPr>
            <w:tcW w:w="380" w:type="dxa"/>
            <w:vAlign w:val="bottom"/>
            <w:tcBorders>
              <w:top w:val="single" w:sz="8" w:color="auto"/>
              <w:bottom w:val="single" w:sz="8" w:color="auto"/>
            </w:tcBorders>
          </w:tcPr>
          <w:p>
            <w:pPr>
              <w:ind w:left="160"/>
              <w:spacing w:after="0"/>
              <w:rPr>
                <w:sz w:val="20"/>
                <w:szCs w:val="20"/>
                <w:color w:val="auto"/>
              </w:rPr>
            </w:pPr>
            <w:r>
              <w:rPr>
                <w:rFonts w:ascii="Arial" w:cs="Arial" w:eastAsia="Arial" w:hAnsi="Arial"/>
                <w:sz w:val="18"/>
                <w:szCs w:val="18"/>
                <w:b w:val="1"/>
                <w:bCs w:val="1"/>
                <w:color w:val="auto"/>
              </w:rPr>
              <w:t>—</w:t>
            </w:r>
          </w:p>
        </w:tc>
        <w:tc>
          <w:tcPr>
            <w:tcW w:w="22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780" w:type="dxa"/>
            <w:vAlign w:val="bottom"/>
            <w:tcBorders>
              <w:top w:val="single" w:sz="8" w:color="auto"/>
              <w:bottom w:val="single" w:sz="8" w:color="auto"/>
            </w:tcBorders>
          </w:tcPr>
          <w:p>
            <w:pPr>
              <w:jc w:val="right"/>
              <w:ind w:right="659"/>
              <w:spacing w:after="0"/>
              <w:rPr>
                <w:sz w:val="20"/>
                <w:szCs w:val="20"/>
                <w:color w:val="auto"/>
              </w:rPr>
            </w:pPr>
            <w:r>
              <w:rPr>
                <w:rFonts w:ascii="Arial" w:cs="Arial" w:eastAsia="Arial" w:hAnsi="Arial"/>
                <w:sz w:val="10"/>
                <w:szCs w:val="10"/>
                <w:color w:val="auto"/>
                <w:w w:val="71"/>
              </w:rPr>
              <w:t>$</w:t>
            </w:r>
          </w:p>
        </w:tc>
        <w:tc>
          <w:tcPr>
            <w:tcW w:w="300" w:type="dxa"/>
            <w:vAlign w:val="bottom"/>
            <w:tcBorders>
              <w:top w:val="single" w:sz="8" w:color="auto"/>
              <w:bottom w:val="single" w:sz="8" w:color="auto"/>
            </w:tcBorders>
          </w:tcPr>
          <w:p>
            <w:pPr>
              <w:ind w:left="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46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3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Derivatives Not Designated as Hedging Instruments</w:t>
      </w:r>
    </w:p>
    <w:p>
      <w:pPr>
        <w:spacing w:after="0" w:line="229" w:lineRule="exact"/>
        <w:rPr>
          <w:sz w:val="20"/>
          <w:szCs w:val="20"/>
          <w:color w:val="auto"/>
        </w:rPr>
      </w:pPr>
    </w:p>
    <w:p>
      <w:pPr>
        <w:ind w:right="20" w:firstLine="648"/>
        <w:spacing w:after="0" w:line="275" w:lineRule="auto"/>
        <w:rPr>
          <w:sz w:val="20"/>
          <w:szCs w:val="20"/>
          <w:color w:val="auto"/>
        </w:rPr>
      </w:pPr>
      <w:r>
        <w:rPr>
          <w:rFonts w:ascii="Arial" w:cs="Arial" w:eastAsia="Arial" w:hAnsi="Arial"/>
          <w:sz w:val="17"/>
          <w:szCs w:val="17"/>
          <w:color w:val="auto"/>
        </w:rPr>
        <w:t>Our use of futures, certain swaptions and swaps, option collars, options and forwards are effective from an economic standpoint, but they have not been designated as hedges for financial reporting purposes. As such, periodic changes in the market value of these instruments, which includes mark-to-market gains and losses as well as periodic and final settlements, primarily flow directly into net realized capital gains (losses) on the consolidated statements of operations. However, the change in fair value of the funds withheld embedded derivative is separately reported on the consolidated statements of operations.</w:t>
      </w:r>
    </w:p>
    <w:p>
      <w:pPr>
        <w:spacing w:after="0" w:line="176" w:lineRule="exact"/>
        <w:rPr>
          <w:sz w:val="20"/>
          <w:szCs w:val="20"/>
          <w:color w:val="auto"/>
        </w:rPr>
      </w:pPr>
    </w:p>
    <w:p>
      <w:pPr>
        <w:ind w:right="500" w:firstLine="648"/>
        <w:spacing w:after="0" w:line="342" w:lineRule="auto"/>
        <w:rPr>
          <w:sz w:val="20"/>
          <w:szCs w:val="20"/>
          <w:color w:val="auto"/>
        </w:rPr>
      </w:pPr>
      <w:r>
        <w:rPr>
          <w:rFonts w:ascii="Arial" w:cs="Arial" w:eastAsia="Arial" w:hAnsi="Arial"/>
          <w:sz w:val="16"/>
          <w:szCs w:val="16"/>
          <w:color w:val="auto"/>
        </w:rPr>
        <w:t>The following table shows the effect of derivatives not designated as hedging instruments, including fair value changes of embedded derivatives that have been bifurcated from the host contract, on the consolidated statements of operations.</w:t>
      </w:r>
    </w:p>
    <w:p>
      <w:pPr>
        <w:spacing w:after="0" w:line="4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480" w:type="dxa"/>
            <w:vAlign w:val="bottom"/>
          </w:tcPr>
          <w:p>
            <w:pPr>
              <w:spacing w:after="0"/>
              <w:rPr>
                <w:sz w:val="14"/>
                <w:szCs w:val="14"/>
                <w:color w:val="auto"/>
              </w:rPr>
            </w:pPr>
          </w:p>
        </w:tc>
        <w:tc>
          <w:tcPr>
            <w:tcW w:w="26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380" w:type="dxa"/>
            <w:vAlign w:val="bottom"/>
            <w:gridSpan w:val="7"/>
          </w:tcPr>
          <w:p>
            <w:pPr>
              <w:ind w:left="20"/>
              <w:spacing w:after="0"/>
              <w:rPr>
                <w:sz w:val="20"/>
                <w:szCs w:val="20"/>
                <w:color w:val="auto"/>
              </w:rPr>
            </w:pPr>
            <w:r>
              <w:rPr>
                <w:rFonts w:ascii="Arial" w:cs="Arial" w:eastAsia="Arial" w:hAnsi="Arial"/>
                <w:sz w:val="14"/>
                <w:szCs w:val="14"/>
                <w:b w:val="1"/>
                <w:bCs w:val="1"/>
                <w:color w:val="auto"/>
                <w:w w:val="98"/>
              </w:rPr>
              <w:t>Amount of gain (loss) recognized in</w:t>
            </w:r>
          </w:p>
        </w:tc>
        <w:tc>
          <w:tcPr>
            <w:tcW w:w="2220" w:type="dxa"/>
            <w:vAlign w:val="bottom"/>
            <w:gridSpan w:val="6"/>
          </w:tcPr>
          <w:p>
            <w:pPr>
              <w:jc w:val="center"/>
              <w:spacing w:after="0"/>
              <w:rPr>
                <w:sz w:val="20"/>
                <w:szCs w:val="20"/>
                <w:color w:val="auto"/>
              </w:rPr>
            </w:pPr>
            <w:r>
              <w:rPr>
                <w:rFonts w:ascii="Arial" w:cs="Arial" w:eastAsia="Arial" w:hAnsi="Arial"/>
                <w:sz w:val="14"/>
                <w:szCs w:val="14"/>
                <w:b w:val="1"/>
                <w:bCs w:val="1"/>
                <w:color w:val="auto"/>
                <w:w w:val="90"/>
              </w:rPr>
              <w:t>Amount of gain (loss) recognized in</w:t>
            </w:r>
          </w:p>
        </w:tc>
        <w:tc>
          <w:tcPr>
            <w:tcW w:w="0" w:type="dxa"/>
            <w:vAlign w:val="bottom"/>
          </w:tcPr>
          <w:p>
            <w:pPr>
              <w:spacing w:after="0"/>
              <w:rPr>
                <w:sz w:val="1"/>
                <w:szCs w:val="1"/>
                <w:color w:val="auto"/>
              </w:rPr>
            </w:pPr>
          </w:p>
        </w:tc>
      </w:tr>
      <w:tr>
        <w:trPr>
          <w:trHeight w:val="148"/>
        </w:trPr>
        <w:tc>
          <w:tcPr>
            <w:tcW w:w="2480" w:type="dxa"/>
            <w:vAlign w:val="bottom"/>
          </w:tcPr>
          <w:p>
            <w:pPr>
              <w:spacing w:after="0"/>
              <w:rPr>
                <w:sz w:val="12"/>
                <w:szCs w:val="12"/>
                <w:color w:val="auto"/>
              </w:rPr>
            </w:pPr>
          </w:p>
        </w:tc>
        <w:tc>
          <w:tcPr>
            <w:tcW w:w="2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280" w:type="dxa"/>
            <w:vAlign w:val="bottom"/>
            <w:gridSpan w:val="6"/>
          </w:tcPr>
          <w:p>
            <w:pPr>
              <w:jc w:val="right"/>
              <w:ind w:right="260"/>
              <w:spacing w:after="0" w:line="149" w:lineRule="exact"/>
              <w:rPr>
                <w:sz w:val="20"/>
                <w:szCs w:val="20"/>
                <w:color w:val="auto"/>
              </w:rPr>
            </w:pPr>
            <w:r>
              <w:rPr>
                <w:rFonts w:ascii="Arial" w:cs="Arial" w:eastAsia="Arial" w:hAnsi="Arial"/>
                <w:sz w:val="14"/>
                <w:szCs w:val="14"/>
                <w:b w:val="1"/>
                <w:bCs w:val="1"/>
                <w:color w:val="auto"/>
                <w:w w:val="91"/>
              </w:rPr>
              <w:t>net income on derivatives for the</w:t>
            </w:r>
          </w:p>
        </w:tc>
        <w:tc>
          <w:tcPr>
            <w:tcW w:w="100" w:type="dxa"/>
            <w:vAlign w:val="bottom"/>
          </w:tcPr>
          <w:p>
            <w:pPr>
              <w:spacing w:after="0"/>
              <w:rPr>
                <w:sz w:val="12"/>
                <w:szCs w:val="12"/>
                <w:color w:val="auto"/>
              </w:rPr>
            </w:pPr>
          </w:p>
        </w:tc>
        <w:tc>
          <w:tcPr>
            <w:tcW w:w="2120" w:type="dxa"/>
            <w:vAlign w:val="bottom"/>
            <w:gridSpan w:val="5"/>
          </w:tcPr>
          <w:p>
            <w:pPr>
              <w:jc w:val="center"/>
              <w:ind w:right="33"/>
              <w:spacing w:after="0" w:line="149" w:lineRule="exact"/>
              <w:rPr>
                <w:sz w:val="20"/>
                <w:szCs w:val="20"/>
                <w:color w:val="auto"/>
              </w:rPr>
            </w:pPr>
            <w:r>
              <w:rPr>
                <w:rFonts w:ascii="Arial" w:cs="Arial" w:eastAsia="Arial" w:hAnsi="Arial"/>
                <w:sz w:val="14"/>
                <w:szCs w:val="14"/>
                <w:b w:val="1"/>
                <w:bCs w:val="1"/>
                <w:color w:val="auto"/>
                <w:w w:val="91"/>
              </w:rPr>
              <w:t>net income on derivatives for the</w:t>
            </w:r>
          </w:p>
        </w:tc>
        <w:tc>
          <w:tcPr>
            <w:tcW w:w="0" w:type="dxa"/>
            <w:vAlign w:val="bottom"/>
          </w:tcPr>
          <w:p>
            <w:pPr>
              <w:spacing w:after="0"/>
              <w:rPr>
                <w:sz w:val="1"/>
                <w:szCs w:val="1"/>
                <w:color w:val="auto"/>
              </w:rPr>
            </w:pPr>
          </w:p>
        </w:tc>
      </w:tr>
      <w:tr>
        <w:trPr>
          <w:trHeight w:val="171"/>
        </w:trPr>
        <w:tc>
          <w:tcPr>
            <w:tcW w:w="5160" w:type="dxa"/>
            <w:vAlign w:val="bottom"/>
            <w:gridSpan w:val="2"/>
            <w:vMerge w:val="restart"/>
          </w:tcPr>
          <w:p>
            <w:pPr>
              <w:ind w:left="1040"/>
              <w:spacing w:after="0"/>
              <w:rPr>
                <w:sz w:val="20"/>
                <w:szCs w:val="20"/>
                <w:color w:val="auto"/>
              </w:rPr>
            </w:pPr>
            <w:r>
              <w:rPr>
                <w:rFonts w:ascii="Arial" w:cs="Arial" w:eastAsia="Arial" w:hAnsi="Arial"/>
                <w:sz w:val="14"/>
                <w:szCs w:val="14"/>
                <w:b w:val="1"/>
                <w:bCs w:val="1"/>
                <w:color w:val="auto"/>
              </w:rPr>
              <w:t>Derivatives not designated as hedging instruments</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280" w:type="dxa"/>
            <w:vAlign w:val="bottom"/>
            <w:gridSpan w:val="6"/>
          </w:tcPr>
          <w:p>
            <w:pPr>
              <w:jc w:val="right"/>
              <w:ind w:right="400"/>
              <w:spacing w:after="0"/>
              <w:rPr>
                <w:sz w:val="20"/>
                <w:szCs w:val="20"/>
                <w:color w:val="auto"/>
              </w:rPr>
            </w:pPr>
            <w:r>
              <w:rPr>
                <w:rFonts w:ascii="Arial" w:cs="Arial" w:eastAsia="Arial" w:hAnsi="Arial"/>
                <w:sz w:val="14"/>
                <w:szCs w:val="14"/>
                <w:b w:val="1"/>
                <w:bCs w:val="1"/>
                <w:color w:val="auto"/>
                <w:w w:val="95"/>
              </w:rPr>
              <w:t>three months ended June 30,</w:t>
            </w:r>
          </w:p>
        </w:tc>
        <w:tc>
          <w:tcPr>
            <w:tcW w:w="100" w:type="dxa"/>
            <w:vAlign w:val="bottom"/>
          </w:tcPr>
          <w:p>
            <w:pPr>
              <w:spacing w:after="0"/>
              <w:rPr>
                <w:sz w:val="14"/>
                <w:szCs w:val="14"/>
                <w:color w:val="auto"/>
              </w:rPr>
            </w:pPr>
          </w:p>
        </w:tc>
        <w:tc>
          <w:tcPr>
            <w:tcW w:w="2120" w:type="dxa"/>
            <w:vAlign w:val="bottom"/>
            <w:gridSpan w:val="5"/>
          </w:tcPr>
          <w:p>
            <w:pPr>
              <w:jc w:val="center"/>
              <w:ind w:right="53"/>
              <w:spacing w:after="0"/>
              <w:rPr>
                <w:sz w:val="20"/>
                <w:szCs w:val="20"/>
                <w:color w:val="auto"/>
              </w:rPr>
            </w:pPr>
            <w:r>
              <w:rPr>
                <w:rFonts w:ascii="Arial" w:cs="Arial" w:eastAsia="Arial" w:hAnsi="Arial"/>
                <w:sz w:val="14"/>
                <w:szCs w:val="14"/>
                <w:b w:val="1"/>
                <w:bCs w:val="1"/>
                <w:color w:val="auto"/>
                <w:w w:val="90"/>
              </w:rPr>
              <w:t>six months ended June 30,</w:t>
            </w:r>
          </w:p>
        </w:tc>
        <w:tc>
          <w:tcPr>
            <w:tcW w:w="0" w:type="dxa"/>
            <w:vAlign w:val="bottom"/>
          </w:tcPr>
          <w:p>
            <w:pPr>
              <w:spacing w:after="0"/>
              <w:rPr>
                <w:sz w:val="1"/>
                <w:szCs w:val="1"/>
                <w:color w:val="auto"/>
              </w:rPr>
            </w:pPr>
          </w:p>
        </w:tc>
      </w:tr>
      <w:tr>
        <w:trPr>
          <w:trHeight w:val="142"/>
        </w:trPr>
        <w:tc>
          <w:tcPr>
            <w:tcW w:w="5160" w:type="dxa"/>
            <w:vAlign w:val="bottom"/>
            <w:tcBorders>
              <w:bottom w:val="single" w:sz="8" w:color="auto"/>
            </w:tcBorders>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900" w:type="dxa"/>
            <w:vAlign w:val="bottom"/>
            <w:tcBorders>
              <w:top w:val="single" w:sz="8" w:color="auto"/>
              <w:bottom w:val="single" w:sz="8" w:color="auto"/>
            </w:tcBorders>
          </w:tcPr>
          <w:p>
            <w:pPr>
              <w:jc w:val="right"/>
              <w:ind w:right="256"/>
              <w:spacing w:after="0" w:line="142" w:lineRule="exact"/>
              <w:rPr>
                <w:sz w:val="20"/>
                <w:szCs w:val="20"/>
                <w:color w:val="auto"/>
              </w:rPr>
            </w:pPr>
            <w:r>
              <w:rPr>
                <w:rFonts w:ascii="Arial" w:cs="Arial" w:eastAsia="Arial" w:hAnsi="Arial"/>
                <w:sz w:val="14"/>
                <w:szCs w:val="14"/>
                <w:b w:val="1"/>
                <w:bCs w:val="1"/>
                <w:color w:val="auto"/>
              </w:rPr>
              <w:t>2022</w:t>
            </w:r>
          </w:p>
        </w:tc>
        <w:tc>
          <w:tcPr>
            <w:tcW w:w="10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220" w:type="dxa"/>
            <w:vAlign w:val="bottom"/>
            <w:tcBorders>
              <w:top w:val="single" w:sz="8" w:color="auto"/>
              <w:bottom w:val="single" w:sz="8" w:color="auto"/>
            </w:tcBorders>
          </w:tcPr>
          <w:p>
            <w:pPr>
              <w:spacing w:after="0"/>
              <w:rPr>
                <w:sz w:val="12"/>
                <w:szCs w:val="12"/>
                <w:color w:val="auto"/>
              </w:rPr>
            </w:pPr>
          </w:p>
        </w:tc>
        <w:tc>
          <w:tcPr>
            <w:tcW w:w="780" w:type="dxa"/>
            <w:vAlign w:val="bottom"/>
            <w:tcBorders>
              <w:top w:val="single" w:sz="8" w:color="auto"/>
              <w:bottom w:val="single" w:sz="8" w:color="auto"/>
            </w:tcBorders>
          </w:tcPr>
          <w:p>
            <w:pPr>
              <w:jc w:val="right"/>
              <w:ind w:right="275"/>
              <w:spacing w:after="0" w:line="142" w:lineRule="exact"/>
              <w:rPr>
                <w:sz w:val="20"/>
                <w:szCs w:val="20"/>
                <w:color w:val="auto"/>
              </w:rPr>
            </w:pPr>
            <w:r>
              <w:rPr>
                <w:rFonts w:ascii="Arial" w:cs="Arial" w:eastAsia="Arial" w:hAnsi="Arial"/>
                <w:sz w:val="14"/>
                <w:szCs w:val="14"/>
                <w:b w:val="1"/>
                <w:bCs w:val="1"/>
                <w:color w:val="auto"/>
              </w:rPr>
              <w:t>2021</w:t>
            </w:r>
          </w:p>
        </w:tc>
        <w:tc>
          <w:tcPr>
            <w:tcW w:w="18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900" w:type="dxa"/>
            <w:vAlign w:val="bottom"/>
            <w:tcBorders>
              <w:top w:val="single" w:sz="8" w:color="auto"/>
              <w:bottom w:val="single" w:sz="8" w:color="auto"/>
            </w:tcBorders>
          </w:tcPr>
          <w:p>
            <w:pPr>
              <w:jc w:val="right"/>
              <w:ind w:right="276"/>
              <w:spacing w:after="0" w:line="142" w:lineRule="exact"/>
              <w:rPr>
                <w:sz w:val="20"/>
                <w:szCs w:val="20"/>
                <w:color w:val="auto"/>
              </w:rPr>
            </w:pPr>
            <w:r>
              <w:rPr>
                <w:rFonts w:ascii="Arial" w:cs="Arial" w:eastAsia="Arial" w:hAnsi="Arial"/>
                <w:sz w:val="14"/>
                <w:szCs w:val="14"/>
                <w:b w:val="1"/>
                <w:bCs w:val="1"/>
                <w:color w:val="auto"/>
              </w:rPr>
              <w:t>2022</w:t>
            </w:r>
          </w:p>
        </w:tc>
        <w:tc>
          <w:tcPr>
            <w:tcW w:w="20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200" w:type="dxa"/>
            <w:vAlign w:val="bottom"/>
            <w:tcBorders>
              <w:top w:val="single" w:sz="8" w:color="auto"/>
              <w:bottom w:val="single" w:sz="8" w:color="auto"/>
            </w:tcBorders>
          </w:tcPr>
          <w:p>
            <w:pPr>
              <w:spacing w:after="0"/>
              <w:rPr>
                <w:sz w:val="12"/>
                <w:szCs w:val="12"/>
                <w:color w:val="auto"/>
              </w:rPr>
            </w:pPr>
          </w:p>
        </w:tc>
        <w:tc>
          <w:tcPr>
            <w:tcW w:w="800" w:type="dxa"/>
            <w:vAlign w:val="bottom"/>
            <w:tcBorders>
              <w:top w:val="single" w:sz="8" w:color="auto"/>
              <w:bottom w:val="single" w:sz="8" w:color="auto"/>
            </w:tcBorders>
          </w:tcPr>
          <w:p>
            <w:pPr>
              <w:jc w:val="right"/>
              <w:ind w:right="293"/>
              <w:spacing w:after="0" w:line="142" w:lineRule="exact"/>
              <w:rPr>
                <w:sz w:val="20"/>
                <w:szCs w:val="20"/>
                <w:color w:val="auto"/>
              </w:rPr>
            </w:pPr>
            <w:r>
              <w:rPr>
                <w:rFonts w:ascii="Arial" w:cs="Arial" w:eastAsia="Arial" w:hAnsi="Arial"/>
                <w:sz w:val="14"/>
                <w:szCs w:val="14"/>
                <w:b w:val="1"/>
                <w:bCs w:val="1"/>
                <w:color w:val="auto"/>
              </w:rPr>
              <w:t>2021</w:t>
            </w:r>
          </w:p>
        </w:tc>
        <w:tc>
          <w:tcPr>
            <w:tcW w:w="0" w:type="dxa"/>
            <w:vAlign w:val="bottom"/>
          </w:tcPr>
          <w:p>
            <w:pPr>
              <w:spacing w:after="0"/>
              <w:rPr>
                <w:sz w:val="1"/>
                <w:szCs w:val="1"/>
                <w:color w:val="auto"/>
              </w:rPr>
            </w:pPr>
          </w:p>
        </w:tc>
      </w:tr>
      <w:tr>
        <w:trPr>
          <w:trHeight w:val="142"/>
        </w:trPr>
        <w:tc>
          <w:tcPr>
            <w:tcW w:w="2480" w:type="dxa"/>
            <w:vAlign w:val="bottom"/>
          </w:tcPr>
          <w:p>
            <w:pPr>
              <w:spacing w:after="0"/>
              <w:rPr>
                <w:sz w:val="12"/>
                <w:szCs w:val="12"/>
                <w:color w:val="auto"/>
              </w:rPr>
            </w:pPr>
          </w:p>
        </w:tc>
        <w:tc>
          <w:tcPr>
            <w:tcW w:w="2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960" w:type="dxa"/>
            <w:vAlign w:val="bottom"/>
            <w:gridSpan w:val="4"/>
          </w:tcPr>
          <w:p>
            <w:pPr>
              <w:jc w:val="right"/>
              <w:ind w:right="636"/>
              <w:spacing w:after="0" w:line="142" w:lineRule="exact"/>
              <w:rPr>
                <w:sz w:val="20"/>
                <w:szCs w:val="20"/>
                <w:color w:val="auto"/>
              </w:rPr>
            </w:pPr>
            <w:r>
              <w:rPr>
                <w:rFonts w:ascii="Arial" w:cs="Arial" w:eastAsia="Arial" w:hAnsi="Arial"/>
                <w:sz w:val="14"/>
                <w:szCs w:val="14"/>
                <w:i w:val="1"/>
                <w:iCs w:val="1"/>
                <w:color w:val="auto"/>
              </w:rPr>
              <w:t>(in millions)</w:t>
            </w:r>
          </w:p>
        </w:tc>
        <w:tc>
          <w:tcPr>
            <w:tcW w:w="2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51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 rate contracts</w:t>
            </w:r>
          </w:p>
        </w:tc>
        <w:tc>
          <w:tcPr>
            <w:tcW w:w="260" w:type="dxa"/>
            <w:vAlign w:val="bottom"/>
            <w:gridSpan w:val="2"/>
            <w:shd w:val="clear" w:color="auto" w:fill="CCEEFF"/>
          </w:tcPr>
          <w:p>
            <w:pPr>
              <w:ind w:left="160"/>
              <w:spacing w:after="0"/>
              <w:rPr>
                <w:sz w:val="20"/>
                <w:szCs w:val="20"/>
                <w:color w:val="auto"/>
              </w:rPr>
            </w:pPr>
            <w:r>
              <w:rPr>
                <w:rFonts w:ascii="Arial" w:cs="Arial" w:eastAsia="Arial" w:hAnsi="Arial"/>
                <w:sz w:val="18"/>
                <w:szCs w:val="18"/>
                <w:b w:val="1"/>
                <w:bCs w:val="1"/>
                <w:color w:val="auto"/>
                <w:w w:val="79"/>
              </w:rPr>
              <w:t>$</w:t>
            </w: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(52.5)</w:t>
            </w:r>
          </w:p>
        </w:tc>
        <w:tc>
          <w:tcPr>
            <w:tcW w:w="320" w:type="dxa"/>
            <w:vAlign w:val="bottom"/>
            <w:gridSpan w:val="2"/>
            <w:shd w:val="clear" w:color="auto" w:fill="CCEEFF"/>
          </w:tcPr>
          <w:p>
            <w:pPr>
              <w:jc w:val="right"/>
              <w:ind w:right="67"/>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58.7</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11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(281.9)</w:t>
            </w:r>
          </w:p>
        </w:tc>
        <w:tc>
          <w:tcPr>
            <w:tcW w:w="220" w:type="dxa"/>
            <w:vAlign w:val="bottom"/>
            <w:gridSpan w:val="2"/>
            <w:shd w:val="clear" w:color="auto" w:fill="CCEEFF"/>
          </w:tcPr>
          <w:p>
            <w:pPr>
              <w:jc w:val="right"/>
              <w:ind w:right="89"/>
              <w:spacing w:after="0"/>
              <w:rPr>
                <w:sz w:val="20"/>
                <w:szCs w:val="20"/>
                <w:color w:val="auto"/>
              </w:rPr>
            </w:pPr>
            <w:r>
              <w:rPr>
                <w:rFonts w:ascii="Arial" w:cs="Arial" w:eastAsia="Arial" w:hAnsi="Arial"/>
                <w:sz w:val="15"/>
                <w:szCs w:val="15"/>
                <w:color w:val="auto"/>
                <w:w w:val="71"/>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(101.7)</w:t>
            </w:r>
          </w:p>
        </w:tc>
        <w:tc>
          <w:tcPr>
            <w:tcW w:w="0" w:type="dxa"/>
            <w:vAlign w:val="bottom"/>
          </w:tcPr>
          <w:p>
            <w:pPr>
              <w:spacing w:after="0"/>
              <w:rPr>
                <w:sz w:val="1"/>
                <w:szCs w:val="1"/>
                <w:color w:val="auto"/>
              </w:rPr>
            </w:pPr>
          </w:p>
        </w:tc>
      </w:tr>
      <w:tr>
        <w:trPr>
          <w:trHeight w:val="216"/>
        </w:trPr>
        <w:tc>
          <w:tcPr>
            <w:tcW w:w="5160" w:type="dxa"/>
            <w:vAlign w:val="bottom"/>
            <w:gridSpan w:val="2"/>
          </w:tcPr>
          <w:p>
            <w:pPr>
              <w:spacing w:after="0"/>
              <w:rPr>
                <w:sz w:val="20"/>
                <w:szCs w:val="20"/>
                <w:color w:val="auto"/>
              </w:rPr>
            </w:pPr>
            <w:r>
              <w:rPr>
                <w:rFonts w:ascii="Arial" w:cs="Arial" w:eastAsia="Arial" w:hAnsi="Arial"/>
                <w:sz w:val="18"/>
                <w:szCs w:val="18"/>
                <w:color w:val="auto"/>
              </w:rPr>
              <w:t>Foreign exchange contracts</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(43.5)</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(27.1)</w:t>
            </w:r>
          </w:p>
        </w:tc>
        <w:tc>
          <w:tcPr>
            <w:tcW w:w="1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b w:val="1"/>
                <w:bCs w:val="1"/>
                <w:color w:val="auto"/>
              </w:rPr>
              <w:t>24.4</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(26.0)</w:t>
            </w:r>
          </w:p>
        </w:tc>
        <w:tc>
          <w:tcPr>
            <w:tcW w:w="0" w:type="dxa"/>
            <w:vAlign w:val="bottom"/>
          </w:tcPr>
          <w:p>
            <w:pPr>
              <w:spacing w:after="0"/>
              <w:rPr>
                <w:sz w:val="1"/>
                <w:szCs w:val="1"/>
                <w:color w:val="auto"/>
              </w:rPr>
            </w:pPr>
          </w:p>
        </w:tc>
      </w:tr>
      <w:tr>
        <w:trPr>
          <w:trHeight w:val="216"/>
        </w:trPr>
        <w:tc>
          <w:tcPr>
            <w:tcW w:w="51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Equity contracts</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87.5</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(20.9)</w:t>
            </w: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82.2</w:t>
            </w: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(45.7)</w:t>
            </w:r>
          </w:p>
        </w:tc>
        <w:tc>
          <w:tcPr>
            <w:tcW w:w="0" w:type="dxa"/>
            <w:vAlign w:val="bottom"/>
          </w:tcPr>
          <w:p>
            <w:pPr>
              <w:spacing w:after="0"/>
              <w:rPr>
                <w:sz w:val="1"/>
                <w:szCs w:val="1"/>
                <w:color w:val="auto"/>
              </w:rPr>
            </w:pPr>
          </w:p>
        </w:tc>
      </w:tr>
      <w:tr>
        <w:trPr>
          <w:trHeight w:val="216"/>
        </w:trPr>
        <w:tc>
          <w:tcPr>
            <w:tcW w:w="5160" w:type="dxa"/>
            <w:vAlign w:val="bottom"/>
            <w:gridSpan w:val="2"/>
          </w:tcPr>
          <w:p>
            <w:pPr>
              <w:spacing w:after="0"/>
              <w:rPr>
                <w:sz w:val="20"/>
                <w:szCs w:val="20"/>
                <w:color w:val="auto"/>
              </w:rPr>
            </w:pPr>
            <w:r>
              <w:rPr>
                <w:rFonts w:ascii="Arial" w:cs="Arial" w:eastAsia="Arial" w:hAnsi="Arial"/>
                <w:sz w:val="18"/>
                <w:szCs w:val="18"/>
                <w:color w:val="auto"/>
              </w:rPr>
              <w:t>Credit contracts</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(3.7)</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0.2</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0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(3.6)</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(0.1)</w:t>
            </w:r>
          </w:p>
        </w:tc>
        <w:tc>
          <w:tcPr>
            <w:tcW w:w="0" w:type="dxa"/>
            <w:vAlign w:val="bottom"/>
          </w:tcPr>
          <w:p>
            <w:pPr>
              <w:spacing w:after="0"/>
              <w:rPr>
                <w:sz w:val="1"/>
                <w:szCs w:val="1"/>
                <w:color w:val="auto"/>
              </w:rPr>
            </w:pPr>
          </w:p>
        </w:tc>
      </w:tr>
      <w:tr>
        <w:trPr>
          <w:trHeight w:val="216"/>
        </w:trPr>
        <w:tc>
          <w:tcPr>
            <w:tcW w:w="51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 contracts (1)</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3,143.9</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(107.0)</w:t>
            </w: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3,344.5</w:t>
            </w: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181.7</w:t>
            </w:r>
          </w:p>
        </w:tc>
        <w:tc>
          <w:tcPr>
            <w:tcW w:w="0" w:type="dxa"/>
            <w:vAlign w:val="bottom"/>
          </w:tcPr>
          <w:p>
            <w:pPr>
              <w:spacing w:after="0"/>
              <w:rPr>
                <w:sz w:val="1"/>
                <w:szCs w:val="1"/>
                <w:color w:val="auto"/>
              </w:rPr>
            </w:pPr>
          </w:p>
        </w:tc>
      </w:tr>
      <w:tr>
        <w:trPr>
          <w:trHeight w:val="210"/>
        </w:trPr>
        <w:tc>
          <w:tcPr>
            <w:tcW w:w="5160" w:type="dxa"/>
            <w:vAlign w:val="bottom"/>
            <w:gridSpan w:val="2"/>
          </w:tcPr>
          <w:p>
            <w:pPr>
              <w:spacing w:after="0"/>
              <w:rPr>
                <w:sz w:val="20"/>
                <w:szCs w:val="20"/>
                <w:color w:val="auto"/>
              </w:rPr>
            </w:pPr>
            <w:r>
              <w:rPr>
                <w:rFonts w:ascii="Arial" w:cs="Arial" w:eastAsia="Arial" w:hAnsi="Arial"/>
                <w:sz w:val="18"/>
                <w:szCs w:val="18"/>
                <w:color w:val="auto"/>
              </w:rPr>
              <w:t>Total</w:t>
            </w:r>
          </w:p>
        </w:tc>
        <w:tc>
          <w:tcPr>
            <w:tcW w:w="160" w:type="dxa"/>
            <w:vAlign w:val="bottom"/>
          </w:tcPr>
          <w:p>
            <w:pPr>
              <w:spacing w:after="0"/>
              <w:rPr>
                <w:sz w:val="18"/>
                <w:szCs w:val="18"/>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b w:val="1"/>
                <w:bCs w:val="1"/>
                <w:color w:val="auto"/>
                <w:w w:val="79"/>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3,131.</w:t>
            </w:r>
            <w:r>
              <w:rPr>
                <w:rFonts w:ascii="Arial" w:cs="Arial" w:eastAsia="Arial" w:hAnsi="Arial"/>
                <w:sz w:val="18"/>
                <w:szCs w:val="18"/>
                <w:b w:val="1"/>
                <w:bCs w:val="1"/>
                <w:u w:val="single" w:color="auto"/>
                <w:color w:val="auto"/>
              </w:rPr>
              <w:t>7</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Borders>
              <w:top w:val="single" w:sz="8" w:color="auto"/>
              <w:bottom w:val="single" w:sz="8" w:color="auto"/>
            </w:tcBorders>
          </w:tcPr>
          <w:p>
            <w:pPr>
              <w:jc w:val="right"/>
              <w:ind w:right="67"/>
              <w:spacing w:after="0"/>
              <w:rPr>
                <w:sz w:val="20"/>
                <w:szCs w:val="20"/>
                <w:color w:val="auto"/>
              </w:rPr>
            </w:pPr>
            <w:r>
              <w:rPr>
                <w:rFonts w:ascii="Arial" w:cs="Arial" w:eastAsia="Arial" w:hAnsi="Arial"/>
                <w:sz w:val="15"/>
                <w:szCs w:val="15"/>
                <w:color w:val="auto"/>
                <w:w w:val="71"/>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(96.1)</w:t>
            </w:r>
          </w:p>
        </w:tc>
        <w:tc>
          <w:tcPr>
            <w:tcW w:w="18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3,165.</w:t>
            </w:r>
            <w:r>
              <w:rPr>
                <w:rFonts w:ascii="Arial" w:cs="Arial" w:eastAsia="Arial" w:hAnsi="Arial"/>
                <w:sz w:val="18"/>
                <w:szCs w:val="18"/>
                <w:b w:val="1"/>
                <w:bCs w:val="1"/>
                <w:u w:val="single" w:color="auto"/>
                <w:color w:val="auto"/>
              </w:rPr>
              <w:t>6</w:t>
            </w:r>
          </w:p>
        </w:tc>
        <w:tc>
          <w:tcPr>
            <w:tcW w:w="20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200" w:type="dxa"/>
            <w:vAlign w:val="bottom"/>
            <w:tcBorders>
              <w:top w:val="single" w:sz="8" w:color="auto"/>
              <w:bottom w:val="single" w:sz="8" w:color="auto"/>
            </w:tcBorders>
          </w:tcPr>
          <w:p>
            <w:pPr>
              <w:jc w:val="right"/>
              <w:ind w:right="89"/>
              <w:spacing w:after="0"/>
              <w:rPr>
                <w:sz w:val="20"/>
                <w:szCs w:val="20"/>
                <w:color w:val="auto"/>
              </w:rPr>
            </w:pPr>
            <w:r>
              <w:rPr>
                <w:rFonts w:ascii="Arial" w:cs="Arial" w:eastAsia="Arial" w:hAnsi="Arial"/>
                <w:sz w:val="10"/>
                <w:szCs w:val="10"/>
                <w:color w:val="auto"/>
                <w:w w:val="71"/>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8.2</w:t>
            </w:r>
          </w:p>
        </w:tc>
        <w:tc>
          <w:tcPr>
            <w:tcW w:w="0" w:type="dxa"/>
            <w:vAlign w:val="bottom"/>
          </w:tcPr>
          <w:p>
            <w:pPr>
              <w:spacing w:after="0"/>
              <w:rPr>
                <w:sz w:val="1"/>
                <w:szCs w:val="1"/>
                <w:color w:val="auto"/>
              </w:rPr>
            </w:pPr>
          </w:p>
        </w:tc>
      </w:tr>
      <w:tr>
        <w:trPr>
          <w:trHeight w:val="20"/>
        </w:trPr>
        <w:tc>
          <w:tcPr>
            <w:tcW w:w="2480" w:type="dxa"/>
            <w:vAlign w:val="bottom"/>
          </w:tcPr>
          <w:p>
            <w:pPr>
              <w:spacing w:after="0" w:line="20" w:lineRule="exact"/>
              <w:rPr>
                <w:sz w:val="1"/>
                <w:szCs w:val="1"/>
                <w:color w:val="auto"/>
              </w:rPr>
            </w:pPr>
          </w:p>
        </w:tc>
        <w:tc>
          <w:tcPr>
            <w:tcW w:w="26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2480" w:type="dxa"/>
            <w:vAlign w:val="bottom"/>
            <w:tcBorders>
              <w:bottom w:val="single" w:sz="8" w:color="auto"/>
            </w:tcBorders>
          </w:tcPr>
          <w:p>
            <w:pPr>
              <w:spacing w:after="0"/>
              <w:rPr>
                <w:sz w:val="7"/>
                <w:szCs w:val="7"/>
                <w:color w:val="auto"/>
              </w:rPr>
            </w:pPr>
          </w:p>
        </w:tc>
        <w:tc>
          <w:tcPr>
            <w:tcW w:w="268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0" w:type="dxa"/>
            <w:vAlign w:val="bottom"/>
          </w:tcPr>
          <w:p>
            <w:pPr>
              <w:spacing w:after="0"/>
              <w:rPr>
                <w:sz w:val="7"/>
                <w:szCs w:val="7"/>
                <w:color w:val="auto"/>
              </w:rPr>
            </w:pPr>
          </w:p>
        </w:tc>
        <w:tc>
          <w:tcPr>
            <w:tcW w:w="90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220" w:type="dxa"/>
            <w:vAlign w:val="bottom"/>
          </w:tcPr>
          <w:p>
            <w:pPr>
              <w:spacing w:after="0"/>
              <w:rPr>
                <w:sz w:val="7"/>
                <w:szCs w:val="7"/>
                <w:color w:val="auto"/>
              </w:rPr>
            </w:pPr>
          </w:p>
        </w:tc>
        <w:tc>
          <w:tcPr>
            <w:tcW w:w="780" w:type="dxa"/>
            <w:vAlign w:val="bottom"/>
          </w:tcPr>
          <w:p>
            <w:pPr>
              <w:spacing w:after="0"/>
              <w:rPr>
                <w:sz w:val="7"/>
                <w:szCs w:val="7"/>
                <w:color w:val="auto"/>
              </w:rPr>
            </w:pPr>
          </w:p>
        </w:tc>
        <w:tc>
          <w:tcPr>
            <w:tcW w:w="180" w:type="dxa"/>
            <w:vAlign w:val="bottom"/>
          </w:tcPr>
          <w:p>
            <w:pPr>
              <w:spacing w:after="0"/>
              <w:rPr>
                <w:sz w:val="7"/>
                <w:szCs w:val="7"/>
                <w:color w:val="auto"/>
              </w:rPr>
            </w:pPr>
          </w:p>
        </w:tc>
        <w:tc>
          <w:tcPr>
            <w:tcW w:w="100" w:type="dxa"/>
            <w:vAlign w:val="bottom"/>
          </w:tcPr>
          <w:p>
            <w:pPr>
              <w:spacing w:after="0"/>
              <w:rPr>
                <w:sz w:val="7"/>
                <w:szCs w:val="7"/>
                <w:color w:val="auto"/>
              </w:rPr>
            </w:pPr>
          </w:p>
        </w:tc>
        <w:tc>
          <w:tcPr>
            <w:tcW w:w="900" w:type="dxa"/>
            <w:vAlign w:val="bottom"/>
          </w:tcPr>
          <w:p>
            <w:pPr>
              <w:spacing w:after="0"/>
              <w:rPr>
                <w:sz w:val="7"/>
                <w:szCs w:val="7"/>
                <w:color w:val="auto"/>
              </w:rPr>
            </w:pPr>
          </w:p>
        </w:tc>
        <w:tc>
          <w:tcPr>
            <w:tcW w:w="200" w:type="dxa"/>
            <w:vAlign w:val="bottom"/>
          </w:tcPr>
          <w:p>
            <w:pPr>
              <w:spacing w:after="0"/>
              <w:rPr>
                <w:sz w:val="7"/>
                <w:szCs w:val="7"/>
                <w:color w:val="auto"/>
              </w:rPr>
            </w:pPr>
          </w:p>
        </w:tc>
        <w:tc>
          <w:tcPr>
            <w:tcW w:w="20" w:type="dxa"/>
            <w:vAlign w:val="bottom"/>
          </w:tcPr>
          <w:p>
            <w:pPr>
              <w:spacing w:after="0"/>
              <w:rPr>
                <w:sz w:val="7"/>
                <w:szCs w:val="7"/>
                <w:color w:val="auto"/>
              </w:rPr>
            </w:pPr>
          </w:p>
        </w:tc>
        <w:tc>
          <w:tcPr>
            <w:tcW w:w="200" w:type="dxa"/>
            <w:vAlign w:val="bottom"/>
          </w:tcPr>
          <w:p>
            <w:pPr>
              <w:spacing w:after="0"/>
              <w:rPr>
                <w:sz w:val="7"/>
                <w:szCs w:val="7"/>
                <w:color w:val="auto"/>
              </w:rPr>
            </w:pPr>
          </w:p>
        </w:tc>
        <w:tc>
          <w:tcPr>
            <w:tcW w:w="80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80" w:lineRule="exact"/>
        <w:rPr>
          <w:sz w:val="20"/>
          <w:szCs w:val="20"/>
          <w:color w:val="auto"/>
        </w:rPr>
      </w:pPr>
    </w:p>
    <w:p>
      <w:pPr>
        <w:spacing w:after="0"/>
        <w:rPr>
          <w:sz w:val="20"/>
          <w:szCs w:val="20"/>
          <w:color w:val="auto"/>
        </w:rPr>
      </w:pPr>
      <w:r>
        <w:rPr>
          <w:rFonts w:ascii="Arial" w:cs="Arial" w:eastAsia="Arial" w:hAnsi="Arial"/>
          <w:sz w:val="18"/>
          <w:szCs w:val="18"/>
          <w:color w:val="auto"/>
        </w:rPr>
        <w:t>(1) Includes the change in fair value of the funds withheld embedded derivative.</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Deferred Acquisition Costs</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Acquisition costs deferred and amortized were as follows:</w:t>
      </w:r>
    </w:p>
    <w:p>
      <w:pPr>
        <w:spacing w:after="0" w:line="19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480" w:type="dxa"/>
            <w:vAlign w:val="bottom"/>
          </w:tcPr>
          <w:p>
            <w:pPr>
              <w:spacing w:after="0"/>
              <w:rPr>
                <w:sz w:val="14"/>
                <w:szCs w:val="14"/>
                <w:color w:val="auto"/>
              </w:rPr>
            </w:pPr>
          </w:p>
        </w:tc>
        <w:tc>
          <w:tcPr>
            <w:tcW w:w="28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120" w:type="dxa"/>
            <w:vAlign w:val="bottom"/>
            <w:gridSpan w:val="5"/>
          </w:tcPr>
          <w:p>
            <w:pPr>
              <w:jc w:val="right"/>
              <w:ind w:right="340"/>
              <w:spacing w:after="0"/>
              <w:rPr>
                <w:sz w:val="20"/>
                <w:szCs w:val="20"/>
                <w:color w:val="auto"/>
              </w:rPr>
            </w:pPr>
            <w:r>
              <w:rPr>
                <w:rFonts w:ascii="Arial" w:cs="Arial" w:eastAsia="Arial" w:hAnsi="Arial"/>
                <w:sz w:val="14"/>
                <w:szCs w:val="14"/>
                <w:b w:val="1"/>
                <w:bCs w:val="1"/>
                <w:color w:val="auto"/>
                <w:w w:val="95"/>
              </w:rPr>
              <w:t>For the three months ended</w:t>
            </w: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880" w:type="dxa"/>
            <w:vAlign w:val="bottom"/>
            <w:gridSpan w:val="4"/>
          </w:tcPr>
          <w:p>
            <w:pPr>
              <w:jc w:val="right"/>
              <w:ind w:right="213"/>
              <w:spacing w:after="0"/>
              <w:rPr>
                <w:sz w:val="20"/>
                <w:szCs w:val="20"/>
                <w:color w:val="auto"/>
              </w:rPr>
            </w:pPr>
            <w:r>
              <w:rPr>
                <w:rFonts w:ascii="Arial" w:cs="Arial" w:eastAsia="Arial" w:hAnsi="Arial"/>
                <w:sz w:val="14"/>
                <w:szCs w:val="14"/>
                <w:b w:val="1"/>
                <w:bCs w:val="1"/>
                <w:color w:val="auto"/>
                <w:w w:val="91"/>
              </w:rPr>
              <w:t>For the six months ended</w:t>
            </w:r>
          </w:p>
        </w:tc>
        <w:tc>
          <w:tcPr>
            <w:tcW w:w="0" w:type="dxa"/>
            <w:vAlign w:val="bottom"/>
          </w:tcPr>
          <w:p>
            <w:pPr>
              <w:spacing w:after="0"/>
              <w:rPr>
                <w:sz w:val="1"/>
                <w:szCs w:val="1"/>
                <w:color w:val="auto"/>
              </w:rPr>
            </w:pPr>
          </w:p>
        </w:tc>
      </w:tr>
      <w:tr>
        <w:trPr>
          <w:trHeight w:val="171"/>
        </w:trPr>
        <w:tc>
          <w:tcPr>
            <w:tcW w:w="2480" w:type="dxa"/>
            <w:vAlign w:val="bottom"/>
          </w:tcPr>
          <w:p>
            <w:pPr>
              <w:spacing w:after="0"/>
              <w:rPr>
                <w:sz w:val="14"/>
                <w:szCs w:val="14"/>
                <w:color w:val="auto"/>
              </w:rPr>
            </w:pPr>
          </w:p>
        </w:tc>
        <w:tc>
          <w:tcPr>
            <w:tcW w:w="288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280" w:type="dxa"/>
            <w:vAlign w:val="bottom"/>
            <w:tcBorders>
              <w:bottom w:val="single" w:sz="8" w:color="auto"/>
            </w:tcBorders>
            <w:gridSpan w:val="3"/>
          </w:tcPr>
          <w:p>
            <w:pPr>
              <w:jc w:val="right"/>
              <w:ind w:right="10"/>
              <w:spacing w:after="0"/>
              <w:rPr>
                <w:sz w:val="20"/>
                <w:szCs w:val="20"/>
                <w:color w:val="auto"/>
              </w:rPr>
            </w:pPr>
            <w:r>
              <w:rPr>
                <w:rFonts w:ascii="Arial" w:cs="Arial" w:eastAsia="Arial" w:hAnsi="Arial"/>
                <w:sz w:val="14"/>
                <w:szCs w:val="14"/>
                <w:b w:val="1"/>
                <w:bCs w:val="1"/>
                <w:color w:val="auto"/>
              </w:rPr>
              <w:t>June 30,</w:t>
            </w:r>
          </w:p>
        </w:tc>
        <w:tc>
          <w:tcPr>
            <w:tcW w:w="74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gridSpan w:val="3"/>
          </w:tcPr>
          <w:p>
            <w:pPr>
              <w:jc w:val="right"/>
              <w:ind w:right="7"/>
              <w:spacing w:after="0"/>
              <w:rPr>
                <w:sz w:val="20"/>
                <w:szCs w:val="20"/>
                <w:color w:val="auto"/>
              </w:rPr>
            </w:pPr>
            <w:r>
              <w:rPr>
                <w:rFonts w:ascii="Arial" w:cs="Arial" w:eastAsia="Arial" w:hAnsi="Arial"/>
                <w:sz w:val="14"/>
                <w:szCs w:val="14"/>
                <w:b w:val="1"/>
                <w:bCs w:val="1"/>
                <w:color w:val="auto"/>
              </w:rPr>
              <w:t>June 30,</w:t>
            </w:r>
          </w:p>
        </w:tc>
        <w:tc>
          <w:tcPr>
            <w:tcW w:w="74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48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840" w:type="dxa"/>
            <w:vAlign w:val="bottom"/>
            <w:tcBorders>
              <w:bottom w:val="single" w:sz="8" w:color="auto"/>
            </w:tcBorders>
          </w:tcPr>
          <w:p>
            <w:pPr>
              <w:jc w:val="right"/>
              <w:ind w:right="277"/>
              <w:spacing w:after="0" w:line="142" w:lineRule="exact"/>
              <w:rPr>
                <w:sz w:val="20"/>
                <w:szCs w:val="20"/>
                <w:color w:val="auto"/>
              </w:rPr>
            </w:pPr>
            <w:r>
              <w:rPr>
                <w:rFonts w:ascii="Arial" w:cs="Arial" w:eastAsia="Arial" w:hAnsi="Arial"/>
                <w:sz w:val="14"/>
                <w:szCs w:val="14"/>
                <w:b w:val="1"/>
                <w:bCs w:val="1"/>
                <w:color w:val="auto"/>
              </w:rPr>
              <w:t>2022</w:t>
            </w:r>
          </w:p>
        </w:tc>
        <w:tc>
          <w:tcPr>
            <w:tcW w:w="200" w:type="dxa"/>
            <w:vAlign w:val="bottom"/>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740" w:type="dxa"/>
            <w:vAlign w:val="bottom"/>
            <w:tcBorders>
              <w:bottom w:val="single" w:sz="8" w:color="auto"/>
            </w:tcBorders>
          </w:tcPr>
          <w:p>
            <w:pPr>
              <w:jc w:val="right"/>
              <w:ind w:right="255"/>
              <w:spacing w:after="0" w:line="142" w:lineRule="exact"/>
              <w:rPr>
                <w:sz w:val="20"/>
                <w:szCs w:val="20"/>
                <w:color w:val="auto"/>
              </w:rPr>
            </w:pPr>
            <w:r>
              <w:rPr>
                <w:rFonts w:ascii="Arial" w:cs="Arial" w:eastAsia="Arial" w:hAnsi="Arial"/>
                <w:sz w:val="14"/>
                <w:szCs w:val="14"/>
                <w:b w:val="1"/>
                <w:bCs w:val="1"/>
                <w:color w:val="auto"/>
              </w:rPr>
              <w:t>2021</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8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ind w:right="257"/>
              <w:spacing w:after="0" w:line="142" w:lineRule="exact"/>
              <w:rPr>
                <w:sz w:val="20"/>
                <w:szCs w:val="20"/>
                <w:color w:val="auto"/>
              </w:rPr>
            </w:pPr>
            <w:r>
              <w:rPr>
                <w:rFonts w:ascii="Arial" w:cs="Arial" w:eastAsia="Arial" w:hAnsi="Arial"/>
                <w:sz w:val="14"/>
                <w:szCs w:val="14"/>
                <w:b w:val="1"/>
                <w:bCs w:val="1"/>
                <w:color w:val="auto"/>
              </w:rPr>
              <w:t>2022</w:t>
            </w:r>
          </w:p>
        </w:tc>
        <w:tc>
          <w:tcPr>
            <w:tcW w:w="200" w:type="dxa"/>
            <w:vAlign w:val="bottom"/>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740" w:type="dxa"/>
            <w:vAlign w:val="bottom"/>
            <w:tcBorders>
              <w:bottom w:val="single" w:sz="8" w:color="auto"/>
            </w:tcBorders>
          </w:tcPr>
          <w:p>
            <w:pPr>
              <w:jc w:val="right"/>
              <w:ind w:right="273"/>
              <w:spacing w:after="0" w:line="142" w:lineRule="exact"/>
              <w:rPr>
                <w:sz w:val="20"/>
                <w:szCs w:val="20"/>
                <w:color w:val="auto"/>
              </w:rPr>
            </w:pPr>
            <w:r>
              <w:rPr>
                <w:rFonts w:ascii="Arial" w:cs="Arial" w:eastAsia="Arial" w:hAnsi="Arial"/>
                <w:sz w:val="14"/>
                <w:szCs w:val="14"/>
                <w:b w:val="1"/>
                <w:bCs w:val="1"/>
                <w:color w:val="auto"/>
              </w:rPr>
              <w:t>2021</w:t>
            </w:r>
          </w:p>
        </w:tc>
        <w:tc>
          <w:tcPr>
            <w:tcW w:w="0" w:type="dxa"/>
            <w:vAlign w:val="bottom"/>
          </w:tcPr>
          <w:p>
            <w:pPr>
              <w:spacing w:after="0"/>
              <w:rPr>
                <w:sz w:val="1"/>
                <w:szCs w:val="1"/>
                <w:color w:val="auto"/>
              </w:rPr>
            </w:pPr>
          </w:p>
        </w:tc>
      </w:tr>
      <w:tr>
        <w:trPr>
          <w:trHeight w:val="128"/>
        </w:trPr>
        <w:tc>
          <w:tcPr>
            <w:tcW w:w="2480" w:type="dxa"/>
            <w:vAlign w:val="bottom"/>
          </w:tcPr>
          <w:p>
            <w:pPr>
              <w:spacing w:after="0"/>
              <w:rPr>
                <w:sz w:val="11"/>
                <w:szCs w:val="11"/>
                <w:color w:val="auto"/>
              </w:rPr>
            </w:pPr>
          </w:p>
        </w:tc>
        <w:tc>
          <w:tcPr>
            <w:tcW w:w="28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20" w:type="dxa"/>
            <w:vAlign w:val="bottom"/>
            <w:gridSpan w:val="4"/>
          </w:tcPr>
          <w:p>
            <w:pPr>
              <w:jc w:val="right"/>
              <w:spacing w:after="0" w:line="129" w:lineRule="exact"/>
              <w:rPr>
                <w:sz w:val="20"/>
                <w:szCs w:val="20"/>
                <w:color w:val="auto"/>
              </w:rPr>
            </w:pPr>
            <w:r>
              <w:rPr>
                <w:rFonts w:ascii="Arial" w:cs="Arial" w:eastAsia="Arial" w:hAnsi="Arial"/>
                <w:sz w:val="14"/>
                <w:szCs w:val="14"/>
                <w:i w:val="1"/>
                <w:iCs w:val="1"/>
                <w:color w:val="auto"/>
              </w:rPr>
              <w:t>(in millions)</w:t>
            </w:r>
          </w:p>
        </w:tc>
        <w:tc>
          <w:tcPr>
            <w:tcW w:w="7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53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Balance at beginning of year</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4,102.7</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3,613.5</w:t>
            </w:r>
          </w:p>
        </w:tc>
        <w:tc>
          <w:tcPr>
            <w:tcW w:w="100" w:type="dxa"/>
            <w:vAlign w:val="bottom"/>
            <w:shd w:val="clear" w:color="auto" w:fill="CCEEFF"/>
          </w:tcPr>
          <w:p>
            <w:pPr>
              <w:spacing w:after="0"/>
              <w:rPr>
                <w:sz w:val="18"/>
                <w:szCs w:val="18"/>
                <w:color w:val="auto"/>
              </w:rPr>
            </w:pPr>
          </w:p>
        </w:tc>
        <w:tc>
          <w:tcPr>
            <w:tcW w:w="380" w:type="dxa"/>
            <w:vAlign w:val="bottom"/>
            <w:gridSpan w:val="2"/>
            <w:shd w:val="clear" w:color="auto" w:fill="CCEEFF"/>
          </w:tcPr>
          <w:p>
            <w:pPr>
              <w:jc w:val="right"/>
              <w:ind w:right="127"/>
              <w:spacing w:after="0"/>
              <w:rPr>
                <w:sz w:val="20"/>
                <w:szCs w:val="20"/>
                <w:color w:val="auto"/>
              </w:rPr>
            </w:pPr>
            <w:r>
              <w:rPr>
                <w:rFonts w:ascii="Arial" w:cs="Arial" w:eastAsia="Arial" w:hAnsi="Arial"/>
                <w:sz w:val="18"/>
                <w:szCs w:val="18"/>
                <w:b w:val="1"/>
                <w:bCs w:val="1"/>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3,757.5</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3,409.7</w:t>
            </w:r>
          </w:p>
        </w:tc>
        <w:tc>
          <w:tcPr>
            <w:tcW w:w="0" w:type="dxa"/>
            <w:vAlign w:val="bottom"/>
          </w:tcPr>
          <w:p>
            <w:pPr>
              <w:spacing w:after="0"/>
              <w:rPr>
                <w:sz w:val="1"/>
                <w:szCs w:val="1"/>
                <w:color w:val="auto"/>
              </w:rPr>
            </w:pPr>
          </w:p>
        </w:tc>
      </w:tr>
      <w:tr>
        <w:trPr>
          <w:trHeight w:val="216"/>
        </w:trPr>
        <w:tc>
          <w:tcPr>
            <w:tcW w:w="5360" w:type="dxa"/>
            <w:vAlign w:val="bottom"/>
            <w:gridSpan w:val="2"/>
          </w:tcPr>
          <w:p>
            <w:pPr>
              <w:spacing w:after="0"/>
              <w:rPr>
                <w:sz w:val="20"/>
                <w:szCs w:val="20"/>
                <w:color w:val="auto"/>
              </w:rPr>
            </w:pPr>
            <w:r>
              <w:rPr>
                <w:rFonts w:ascii="Arial" w:cs="Arial" w:eastAsia="Arial" w:hAnsi="Arial"/>
                <w:sz w:val="18"/>
                <w:szCs w:val="18"/>
                <w:color w:val="auto"/>
              </w:rPr>
              <w:t>Costs deferred during the year</w:t>
            </w:r>
          </w:p>
        </w:tc>
        <w:tc>
          <w:tcPr>
            <w:tcW w:w="18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b w:val="1"/>
                <w:bCs w:val="1"/>
                <w:color w:val="auto"/>
              </w:rPr>
              <w:t>89.4</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114.4</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b w:val="1"/>
                <w:bCs w:val="1"/>
                <w:color w:val="auto"/>
              </w:rPr>
              <w:t>198.0</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237.1</w:t>
            </w:r>
          </w:p>
        </w:tc>
        <w:tc>
          <w:tcPr>
            <w:tcW w:w="0" w:type="dxa"/>
            <w:vAlign w:val="bottom"/>
          </w:tcPr>
          <w:p>
            <w:pPr>
              <w:spacing w:after="0"/>
              <w:rPr>
                <w:sz w:val="1"/>
                <w:szCs w:val="1"/>
                <w:color w:val="auto"/>
              </w:rPr>
            </w:pPr>
          </w:p>
        </w:tc>
      </w:tr>
      <w:tr>
        <w:trPr>
          <w:trHeight w:val="216"/>
        </w:trPr>
        <w:tc>
          <w:tcPr>
            <w:tcW w:w="53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Amortized to expense during the year (1)</w:t>
            </w:r>
          </w:p>
        </w:tc>
        <w:tc>
          <w:tcPr>
            <w:tcW w:w="1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(218.4)</w:t>
            </w:r>
          </w:p>
        </w:tc>
        <w:tc>
          <w:tcPr>
            <w:tcW w:w="2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(85.2)</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(330.5)</w:t>
            </w:r>
          </w:p>
        </w:tc>
        <w:tc>
          <w:tcPr>
            <w:tcW w:w="24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(158.5)</w:t>
            </w:r>
          </w:p>
        </w:tc>
        <w:tc>
          <w:tcPr>
            <w:tcW w:w="0" w:type="dxa"/>
            <w:vAlign w:val="bottom"/>
          </w:tcPr>
          <w:p>
            <w:pPr>
              <w:spacing w:after="0"/>
              <w:rPr>
                <w:sz w:val="1"/>
                <w:szCs w:val="1"/>
                <w:color w:val="auto"/>
              </w:rPr>
            </w:pPr>
          </w:p>
        </w:tc>
      </w:tr>
      <w:tr>
        <w:trPr>
          <w:trHeight w:val="202"/>
        </w:trPr>
        <w:tc>
          <w:tcPr>
            <w:tcW w:w="5360" w:type="dxa"/>
            <w:vAlign w:val="bottom"/>
            <w:gridSpan w:val="2"/>
          </w:tcPr>
          <w:p>
            <w:pPr>
              <w:spacing w:after="0" w:line="201" w:lineRule="exact"/>
              <w:rPr>
                <w:sz w:val="20"/>
                <w:szCs w:val="20"/>
                <w:color w:val="auto"/>
              </w:rPr>
            </w:pPr>
            <w:r>
              <w:rPr>
                <w:rFonts w:ascii="Arial" w:cs="Arial" w:eastAsia="Arial" w:hAnsi="Arial"/>
                <w:sz w:val="18"/>
                <w:szCs w:val="18"/>
                <w:color w:val="auto"/>
              </w:rPr>
              <w:t>Adjustment related to unrealized (gains) losses available-for-sale</w:t>
            </w:r>
          </w:p>
        </w:tc>
        <w:tc>
          <w:tcPr>
            <w:tcW w:w="180" w:type="dxa"/>
            <w:vAlign w:val="bottom"/>
          </w:tcPr>
          <w:p>
            <w:pPr>
              <w:spacing w:after="0"/>
              <w:rPr>
                <w:sz w:val="17"/>
                <w:szCs w:val="17"/>
                <w:color w:val="auto"/>
              </w:rPr>
            </w:pPr>
          </w:p>
        </w:tc>
        <w:tc>
          <w:tcPr>
            <w:tcW w:w="84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366.6</w:t>
            </w: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70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715.3</w:t>
            </w: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5360" w:type="dxa"/>
            <w:vAlign w:val="bottom"/>
            <w:gridSpan w:val="2"/>
          </w:tcPr>
          <w:p>
            <w:pPr>
              <w:ind w:left="140"/>
              <w:spacing w:after="0"/>
              <w:rPr>
                <w:sz w:val="20"/>
                <w:szCs w:val="20"/>
                <w:color w:val="auto"/>
              </w:rPr>
            </w:pPr>
            <w:r>
              <w:rPr>
                <w:rFonts w:ascii="Arial" w:cs="Arial" w:eastAsia="Arial" w:hAnsi="Arial"/>
                <w:sz w:val="18"/>
                <w:szCs w:val="18"/>
                <w:color w:val="auto"/>
              </w:rPr>
              <w:t>securities and derivative instruments (2)</w:t>
            </w:r>
          </w:p>
        </w:tc>
        <w:tc>
          <w:tcPr>
            <w:tcW w:w="180" w:type="dxa"/>
            <w:vAlign w:val="bottom"/>
          </w:tcPr>
          <w:p>
            <w:pPr>
              <w:spacing w:after="0"/>
              <w:rPr>
                <w:sz w:val="20"/>
                <w:szCs w:val="20"/>
                <w:color w:val="auto"/>
              </w:rPr>
            </w:pPr>
          </w:p>
        </w:tc>
        <w:tc>
          <w:tcPr>
            <w:tcW w:w="840" w:type="dxa"/>
            <w:vAlign w:val="bottom"/>
            <w:vMerge w:val="continue"/>
          </w:tcPr>
          <w:p>
            <w:pPr>
              <w:spacing w:after="0"/>
              <w:rPr>
                <w:sz w:val="20"/>
                <w:szCs w:val="20"/>
                <w:color w:val="auto"/>
              </w:rPr>
            </w:pPr>
          </w:p>
        </w:tc>
        <w:tc>
          <w:tcPr>
            <w:tcW w:w="2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(61.5)</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00" w:type="dxa"/>
            <w:vAlign w:val="bottom"/>
            <w:vMerge w:val="continue"/>
          </w:tcPr>
          <w:p>
            <w:pPr>
              <w:spacing w:after="0"/>
              <w:rPr>
                <w:sz w:val="20"/>
                <w:szCs w:val="20"/>
                <w:color w:val="auto"/>
              </w:rPr>
            </w:pPr>
          </w:p>
        </w:tc>
        <w:tc>
          <w:tcPr>
            <w:tcW w:w="2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92.9</w:t>
            </w:r>
          </w:p>
        </w:tc>
        <w:tc>
          <w:tcPr>
            <w:tcW w:w="0" w:type="dxa"/>
            <w:vAlign w:val="bottom"/>
          </w:tcPr>
          <w:p>
            <w:pPr>
              <w:spacing w:after="0"/>
              <w:rPr>
                <w:sz w:val="1"/>
                <w:szCs w:val="1"/>
                <w:color w:val="auto"/>
              </w:rPr>
            </w:pPr>
          </w:p>
        </w:tc>
      </w:tr>
      <w:tr>
        <w:trPr>
          <w:trHeight w:val="210"/>
        </w:trPr>
        <w:tc>
          <w:tcPr>
            <w:tcW w:w="5360" w:type="dxa"/>
            <w:vAlign w:val="bottom"/>
            <w:tcBorders>
              <w:top w:val="single" w:sz="8" w:color="CCEEFF"/>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Balance at end of year</w:t>
            </w: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8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4,340.3</w:t>
            </w:r>
          </w:p>
        </w:tc>
        <w:tc>
          <w:tcPr>
            <w:tcW w:w="200" w:type="dxa"/>
            <w:vAlign w:val="bottom"/>
            <w:tcBorders>
              <w:top w:val="single" w:sz="8" w:color="CCEEFF"/>
              <w:bottom w:val="single" w:sz="8" w:color="CCEEFF"/>
            </w:tcBorders>
            <w:shd w:val="clear" w:color="auto" w:fill="CCEEFF"/>
          </w:tcPr>
          <w:p>
            <w:pPr>
              <w:spacing w:after="0"/>
              <w:rPr>
                <w:sz w:val="18"/>
                <w:szCs w:val="18"/>
                <w:color w:val="auto"/>
              </w:rPr>
            </w:pPr>
          </w:p>
        </w:tc>
        <w:tc>
          <w:tcPr>
            <w:tcW w:w="24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3,581.</w:t>
            </w:r>
            <w:r>
              <w:rPr>
                <w:rFonts w:ascii="Arial" w:cs="Arial" w:eastAsia="Arial" w:hAnsi="Arial"/>
                <w:sz w:val="18"/>
                <w:szCs w:val="18"/>
                <w:u w:val="single" w:color="auto"/>
                <w:color w:val="auto"/>
              </w:rPr>
              <w:t>2</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280" w:type="dxa"/>
            <w:vAlign w:val="bottom"/>
            <w:tcBorders>
              <w:top w:val="single" w:sz="8" w:color="auto"/>
              <w:bottom w:val="single" w:sz="8" w:color="auto"/>
            </w:tcBorders>
            <w:shd w:val="clear" w:color="auto" w:fill="CCEEFF"/>
          </w:tcPr>
          <w:p>
            <w:pPr>
              <w:jc w:val="right"/>
              <w:ind w:right="127"/>
              <w:spacing w:after="0"/>
              <w:rPr>
                <w:sz w:val="20"/>
                <w:szCs w:val="20"/>
                <w:color w:val="auto"/>
              </w:rPr>
            </w:pPr>
            <w:r>
              <w:rPr>
                <w:rFonts w:ascii="Arial" w:cs="Arial" w:eastAsia="Arial" w:hAnsi="Arial"/>
                <w:sz w:val="15"/>
                <w:szCs w:val="15"/>
                <w:b w:val="1"/>
                <w:bCs w:val="1"/>
                <w:color w:val="auto"/>
                <w:w w:val="71"/>
              </w:rPr>
              <w:t>$</w:t>
            </w: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4,340.3</w:t>
            </w:r>
          </w:p>
        </w:tc>
        <w:tc>
          <w:tcPr>
            <w:tcW w:w="200" w:type="dxa"/>
            <w:vAlign w:val="bottom"/>
            <w:tcBorders>
              <w:top w:val="single" w:sz="8" w:color="CCEEFF"/>
              <w:bottom w:val="single" w:sz="8" w:color="CCEEFF"/>
            </w:tcBorders>
            <w:shd w:val="clear" w:color="auto" w:fill="CCEEFF"/>
          </w:tcPr>
          <w:p>
            <w:pPr>
              <w:spacing w:after="0"/>
              <w:rPr>
                <w:sz w:val="18"/>
                <w:szCs w:val="18"/>
                <w:color w:val="auto"/>
              </w:rPr>
            </w:pPr>
          </w:p>
        </w:tc>
        <w:tc>
          <w:tcPr>
            <w:tcW w:w="240" w:type="dxa"/>
            <w:vAlign w:val="bottom"/>
            <w:tcBorders>
              <w:top w:val="single" w:sz="8" w:color="auto"/>
              <w:bottom w:val="single" w:sz="8" w:color="auto"/>
            </w:tcBorders>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3,581.</w:t>
            </w:r>
            <w:r>
              <w:rPr>
                <w:rFonts w:ascii="Arial" w:cs="Arial" w:eastAsia="Arial" w:hAnsi="Arial"/>
                <w:sz w:val="18"/>
                <w:szCs w:val="18"/>
                <w:u w:val="single" w:color="auto"/>
                <w:color w:val="auto"/>
              </w:rPr>
              <w:t>2</w:t>
            </w:r>
          </w:p>
        </w:tc>
        <w:tc>
          <w:tcPr>
            <w:tcW w:w="0" w:type="dxa"/>
            <w:vAlign w:val="bottom"/>
          </w:tcPr>
          <w:p>
            <w:pPr>
              <w:spacing w:after="0"/>
              <w:rPr>
                <w:sz w:val="1"/>
                <w:szCs w:val="1"/>
                <w:color w:val="auto"/>
              </w:rPr>
            </w:pPr>
          </w:p>
        </w:tc>
      </w:tr>
      <w:tr>
        <w:trPr>
          <w:trHeight w:val="20"/>
        </w:trPr>
        <w:tc>
          <w:tcPr>
            <w:tcW w:w="2480" w:type="dxa"/>
            <w:vAlign w:val="bottom"/>
          </w:tcPr>
          <w:p>
            <w:pPr>
              <w:spacing w:after="0" w:line="20" w:lineRule="exact"/>
              <w:rPr>
                <w:sz w:val="1"/>
                <w:szCs w:val="1"/>
                <w:color w:val="auto"/>
              </w:rPr>
            </w:pPr>
          </w:p>
        </w:tc>
        <w:tc>
          <w:tcPr>
            <w:tcW w:w="28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8"/>
        </w:trPr>
        <w:tc>
          <w:tcPr>
            <w:tcW w:w="2480" w:type="dxa"/>
            <w:vAlign w:val="bottom"/>
            <w:tcBorders>
              <w:bottom w:val="single" w:sz="8" w:color="auto"/>
            </w:tcBorders>
          </w:tcPr>
          <w:p>
            <w:pPr>
              <w:spacing w:after="0"/>
              <w:rPr>
                <w:sz w:val="7"/>
                <w:szCs w:val="7"/>
                <w:color w:val="auto"/>
              </w:rPr>
            </w:pPr>
          </w:p>
        </w:tc>
        <w:tc>
          <w:tcPr>
            <w:tcW w:w="2880" w:type="dxa"/>
            <w:vAlign w:val="bottom"/>
          </w:tcPr>
          <w:p>
            <w:pPr>
              <w:spacing w:after="0"/>
              <w:rPr>
                <w:sz w:val="7"/>
                <w:szCs w:val="7"/>
                <w:color w:val="auto"/>
              </w:rPr>
            </w:pPr>
          </w:p>
        </w:tc>
        <w:tc>
          <w:tcPr>
            <w:tcW w:w="180" w:type="dxa"/>
            <w:vAlign w:val="bottom"/>
          </w:tcPr>
          <w:p>
            <w:pPr>
              <w:spacing w:after="0"/>
              <w:rPr>
                <w:sz w:val="7"/>
                <w:szCs w:val="7"/>
                <w:color w:val="auto"/>
              </w:rPr>
            </w:pPr>
          </w:p>
        </w:tc>
        <w:tc>
          <w:tcPr>
            <w:tcW w:w="840" w:type="dxa"/>
            <w:vAlign w:val="bottom"/>
          </w:tcPr>
          <w:p>
            <w:pPr>
              <w:spacing w:after="0"/>
              <w:rPr>
                <w:sz w:val="7"/>
                <w:szCs w:val="7"/>
                <w:color w:val="auto"/>
              </w:rPr>
            </w:pPr>
          </w:p>
        </w:tc>
        <w:tc>
          <w:tcPr>
            <w:tcW w:w="200" w:type="dxa"/>
            <w:vAlign w:val="bottom"/>
          </w:tcPr>
          <w:p>
            <w:pPr>
              <w:spacing w:after="0"/>
              <w:rPr>
                <w:sz w:val="7"/>
                <w:szCs w:val="7"/>
                <w:color w:val="auto"/>
              </w:rPr>
            </w:pPr>
          </w:p>
        </w:tc>
        <w:tc>
          <w:tcPr>
            <w:tcW w:w="240" w:type="dxa"/>
            <w:vAlign w:val="bottom"/>
          </w:tcPr>
          <w:p>
            <w:pPr>
              <w:spacing w:after="0"/>
              <w:rPr>
                <w:sz w:val="7"/>
                <w:szCs w:val="7"/>
                <w:color w:val="auto"/>
              </w:rPr>
            </w:pPr>
          </w:p>
        </w:tc>
        <w:tc>
          <w:tcPr>
            <w:tcW w:w="7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2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0" w:type="dxa"/>
            <w:vAlign w:val="bottom"/>
          </w:tcPr>
          <w:p>
            <w:pPr>
              <w:spacing w:after="0"/>
              <w:rPr>
                <w:sz w:val="7"/>
                <w:szCs w:val="7"/>
                <w:color w:val="auto"/>
              </w:rPr>
            </w:pPr>
          </w:p>
        </w:tc>
        <w:tc>
          <w:tcPr>
            <w:tcW w:w="240" w:type="dxa"/>
            <w:vAlign w:val="bottom"/>
          </w:tcPr>
          <w:p>
            <w:pPr>
              <w:spacing w:after="0"/>
              <w:rPr>
                <w:sz w:val="7"/>
                <w:szCs w:val="7"/>
                <w:color w:val="auto"/>
              </w:rPr>
            </w:pPr>
          </w:p>
        </w:tc>
        <w:tc>
          <w:tcPr>
            <w:tcW w:w="74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80" w:lineRule="exact"/>
        <w:rPr>
          <w:sz w:val="20"/>
          <w:szCs w:val="20"/>
          <w:color w:val="auto"/>
        </w:rPr>
      </w:pPr>
    </w:p>
    <w:p>
      <w:pPr>
        <w:ind w:left="340" w:right="60" w:hanging="332"/>
        <w:spacing w:after="0" w:line="263" w:lineRule="auto"/>
        <w:tabs>
          <w:tab w:leader="none" w:pos="3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Includes adjustments for revisions to estimated gross profits. Amortization for both the three and six months ended June 30, 2022, includes the impact from re-cohorting. Refer to Note 1, Nature of Operations and Significant Accounting Policies, under the caption “Actuarial Balance Re-Cohorting” for further details.</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603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49" w:name="page50"/>
    <w:bookmarkEnd w:id="49"/>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left="340" w:right="200" w:hanging="332"/>
        <w:spacing w:after="0" w:line="342" w:lineRule="auto"/>
        <w:tabs>
          <w:tab w:leader="none" w:pos="340" w:val="left"/>
        </w:tabs>
        <w:numPr>
          <w:ilvl w:val="0"/>
          <w:numId w:val="20"/>
        </w:numPr>
        <w:rPr>
          <w:rFonts w:ascii="Arial" w:cs="Arial" w:eastAsia="Arial" w:hAnsi="Arial"/>
          <w:sz w:val="16"/>
          <w:szCs w:val="16"/>
          <w:color w:val="auto"/>
        </w:rPr>
      </w:pPr>
      <w:r>
        <w:rPr>
          <w:rFonts w:ascii="Arial" w:cs="Arial" w:eastAsia="Arial" w:hAnsi="Arial"/>
          <w:sz w:val="16"/>
          <w:szCs w:val="16"/>
          <w:color w:val="auto"/>
        </w:rPr>
        <w:t>The adjustment for both the three and six months ended June 30, 2022, includes the impact from re-cohorting. Refer to Note 1, Nature of Operations and Significant Accounting Policies, under the caption “Actuarial Balance Re-Cohorting” for further details.</w:t>
      </w:r>
    </w:p>
    <w:p>
      <w:pPr>
        <w:spacing w:after="0" w:line="120" w:lineRule="exact"/>
        <w:rPr>
          <w:sz w:val="20"/>
          <w:szCs w:val="20"/>
          <w:color w:val="auto"/>
        </w:rPr>
      </w:pPr>
    </w:p>
    <w:p>
      <w:pPr>
        <w:ind w:right="7780" w:firstLine="8"/>
        <w:spacing w:after="0" w:line="557" w:lineRule="auto"/>
        <w:tabs>
          <w:tab w:leader="none" w:pos="180" w:val="left"/>
        </w:tabs>
        <w:numPr>
          <w:ilvl w:val="0"/>
          <w:numId w:val="21"/>
        </w:numPr>
        <w:rPr>
          <w:rFonts w:ascii="Arial" w:cs="Arial" w:eastAsia="Arial" w:hAnsi="Arial"/>
          <w:sz w:val="16"/>
          <w:szCs w:val="16"/>
          <w:b w:val="1"/>
          <w:bCs w:val="1"/>
          <w:color w:val="auto"/>
        </w:rPr>
      </w:pPr>
      <w:r>
        <w:rPr>
          <w:rFonts w:ascii="Arial" w:cs="Arial" w:eastAsia="Arial" w:hAnsi="Arial"/>
          <w:sz w:val="16"/>
          <w:szCs w:val="16"/>
          <w:b w:val="1"/>
          <w:bCs w:val="1"/>
          <w:color w:val="auto"/>
        </w:rPr>
        <w:t>Insurance Liabilities Liability for Unpaid Claims</w:t>
      </w:r>
    </w:p>
    <w:p>
      <w:pPr>
        <w:spacing w:after="0" w:line="1" w:lineRule="exact"/>
        <w:rPr>
          <w:sz w:val="20"/>
          <w:szCs w:val="20"/>
          <w:color w:val="auto"/>
        </w:rPr>
      </w:pPr>
    </w:p>
    <w:p>
      <w:pPr>
        <w:ind w:right="260" w:firstLine="648"/>
        <w:spacing w:after="0" w:line="277" w:lineRule="auto"/>
        <w:rPr>
          <w:sz w:val="20"/>
          <w:szCs w:val="20"/>
          <w:color w:val="auto"/>
        </w:rPr>
      </w:pPr>
      <w:r>
        <w:rPr>
          <w:rFonts w:ascii="Arial" w:cs="Arial" w:eastAsia="Arial" w:hAnsi="Arial"/>
          <w:sz w:val="18"/>
          <w:szCs w:val="18"/>
          <w:color w:val="auto"/>
        </w:rPr>
        <w:t>The liability for unpaid claims is reported in future policy benefits and claims within our consolidated statements of financial position. Activity associated with unpaid claims was as follows:</w:t>
      </w:r>
    </w:p>
    <w:p>
      <w:pPr>
        <w:spacing w:after="0" w:line="148"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73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2440" w:type="dxa"/>
            <w:vAlign w:val="bottom"/>
            <w:tcBorders>
              <w:bottom w:val="single" w:sz="8" w:color="auto"/>
            </w:tcBorders>
            <w:gridSpan w:val="4"/>
          </w:tcPr>
          <w:p>
            <w:pPr>
              <w:jc w:val="right"/>
              <w:ind w:right="191"/>
              <w:spacing w:after="0"/>
              <w:rPr>
                <w:sz w:val="20"/>
                <w:szCs w:val="20"/>
                <w:color w:val="auto"/>
              </w:rPr>
            </w:pPr>
            <w:r>
              <w:rPr>
                <w:rFonts w:ascii="Arial" w:cs="Arial" w:eastAsia="Arial" w:hAnsi="Arial"/>
                <w:sz w:val="14"/>
                <w:szCs w:val="14"/>
                <w:b w:val="1"/>
                <w:bCs w:val="1"/>
                <w:color w:val="auto"/>
                <w:w w:val="92"/>
              </w:rPr>
              <w:t>For the six months ended June 30,</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730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1020" w:type="dxa"/>
            <w:vAlign w:val="bottom"/>
            <w:tcBorders>
              <w:bottom w:val="single" w:sz="8" w:color="auto"/>
            </w:tcBorders>
          </w:tcPr>
          <w:p>
            <w:pPr>
              <w:jc w:val="right"/>
              <w:ind w:right="353"/>
              <w:spacing w:after="0" w:line="142" w:lineRule="exact"/>
              <w:rPr>
                <w:sz w:val="20"/>
                <w:szCs w:val="20"/>
                <w:color w:val="auto"/>
              </w:rPr>
            </w:pPr>
            <w:r>
              <w:rPr>
                <w:rFonts w:ascii="Arial" w:cs="Arial" w:eastAsia="Arial" w:hAnsi="Arial"/>
                <w:sz w:val="14"/>
                <w:szCs w:val="14"/>
                <w:b w:val="1"/>
                <w:bCs w:val="1"/>
                <w:color w:val="auto"/>
              </w:rPr>
              <w:t>2022</w:t>
            </w:r>
          </w:p>
        </w:tc>
        <w:tc>
          <w:tcPr>
            <w:tcW w:w="240" w:type="dxa"/>
            <w:vAlign w:val="bottom"/>
          </w:tcPr>
          <w:p>
            <w:pPr>
              <w:spacing w:after="0"/>
              <w:rPr>
                <w:sz w:val="12"/>
                <w:szCs w:val="12"/>
                <w:color w:val="auto"/>
              </w:rPr>
            </w:pPr>
          </w:p>
        </w:tc>
        <w:tc>
          <w:tcPr>
            <w:tcW w:w="340" w:type="dxa"/>
            <w:vAlign w:val="bottom"/>
            <w:tcBorders>
              <w:bottom w:val="single" w:sz="8" w:color="auto"/>
            </w:tcBorders>
          </w:tcPr>
          <w:p>
            <w:pPr>
              <w:spacing w:after="0"/>
              <w:rPr>
                <w:sz w:val="12"/>
                <w:szCs w:val="12"/>
                <w:color w:val="auto"/>
              </w:rPr>
            </w:pPr>
          </w:p>
        </w:tc>
        <w:tc>
          <w:tcPr>
            <w:tcW w:w="840" w:type="dxa"/>
            <w:vAlign w:val="bottom"/>
            <w:tcBorders>
              <w:bottom w:val="single" w:sz="8" w:color="auto"/>
            </w:tcBorders>
          </w:tcPr>
          <w:p>
            <w:pPr>
              <w:jc w:val="right"/>
              <w:ind w:right="371"/>
              <w:spacing w:after="0" w:line="142" w:lineRule="exact"/>
              <w:rPr>
                <w:sz w:val="20"/>
                <w:szCs w:val="20"/>
                <w:color w:val="auto"/>
              </w:rPr>
            </w:pPr>
            <w:r>
              <w:rPr>
                <w:rFonts w:ascii="Arial" w:cs="Arial" w:eastAsia="Arial" w:hAnsi="Arial"/>
                <w:sz w:val="14"/>
                <w:szCs w:val="14"/>
                <w:b w:val="1"/>
                <w:bCs w:val="1"/>
                <w:color w:val="auto"/>
              </w:rPr>
              <w:t>2021</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73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0" w:type="dxa"/>
            <w:vAlign w:val="bottom"/>
            <w:gridSpan w:val="3"/>
          </w:tcPr>
          <w:p>
            <w:pPr>
              <w:jc w:val="right"/>
              <w:ind w:right="47"/>
              <w:spacing w:after="0" w:line="129" w:lineRule="exact"/>
              <w:rPr>
                <w:sz w:val="20"/>
                <w:szCs w:val="20"/>
                <w:color w:val="auto"/>
              </w:rPr>
            </w:pPr>
            <w:r>
              <w:rPr>
                <w:rFonts w:ascii="Arial" w:cs="Arial" w:eastAsia="Arial" w:hAnsi="Arial"/>
                <w:sz w:val="14"/>
                <w:szCs w:val="14"/>
                <w:i w:val="1"/>
                <w:iCs w:val="1"/>
                <w:color w:val="auto"/>
              </w:rPr>
              <w:t>(in millions)</w:t>
            </w:r>
          </w:p>
        </w:tc>
        <w:tc>
          <w:tcPr>
            <w:tcW w:w="8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shd w:val="clear" w:color="auto" w:fill="CCEEFF"/>
          </w:tcPr>
          <w:p>
            <w:pPr>
              <w:spacing w:after="0"/>
              <w:rPr>
                <w:sz w:val="20"/>
                <w:szCs w:val="20"/>
                <w:color w:val="auto"/>
              </w:rPr>
            </w:pPr>
            <w:r>
              <w:rPr>
                <w:rFonts w:ascii="Arial" w:cs="Arial" w:eastAsia="Arial" w:hAnsi="Arial"/>
                <w:sz w:val="18"/>
                <w:szCs w:val="18"/>
                <w:color w:val="auto"/>
              </w:rPr>
              <w:t>Balance at beginning of period</w:t>
            </w:r>
          </w:p>
        </w:tc>
        <w:tc>
          <w:tcPr>
            <w:tcW w:w="160" w:type="dxa"/>
            <w:vAlign w:val="bottom"/>
            <w:shd w:val="clear" w:color="auto" w:fill="CCEEFF"/>
          </w:tcPr>
          <w:p>
            <w:pPr>
              <w:jc w:val="right"/>
              <w:ind w:right="7"/>
              <w:spacing w:after="0"/>
              <w:rPr>
                <w:sz w:val="20"/>
                <w:szCs w:val="20"/>
                <w:color w:val="auto"/>
              </w:rPr>
            </w:pPr>
            <w:r>
              <w:rPr>
                <w:rFonts w:ascii="Arial" w:cs="Arial" w:eastAsia="Arial" w:hAnsi="Arial"/>
                <w:sz w:val="15"/>
                <w:szCs w:val="15"/>
                <w:b w:val="1"/>
                <w:bCs w:val="1"/>
                <w:color w:val="auto"/>
                <w:w w:val="71"/>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2,659.4</w:t>
            </w:r>
          </w:p>
        </w:tc>
        <w:tc>
          <w:tcPr>
            <w:tcW w:w="580" w:type="dxa"/>
            <w:vAlign w:val="bottom"/>
            <w:gridSpan w:val="2"/>
            <w:shd w:val="clear" w:color="auto" w:fill="CCEEFF"/>
          </w:tcPr>
          <w:p>
            <w:pPr>
              <w:jc w:val="right"/>
              <w:ind w:right="187"/>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2,534.9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Less: reinsurance recoverable</w:t>
            </w:r>
          </w:p>
        </w:tc>
        <w:tc>
          <w:tcPr>
            <w:tcW w:w="16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442.1</w:t>
            </w:r>
          </w:p>
        </w:tc>
        <w:tc>
          <w:tcPr>
            <w:tcW w:w="240" w:type="dxa"/>
            <w:vAlign w:val="bottom"/>
            <w:tcBorders>
              <w:bottom w:val="single" w:sz="8" w:color="CCEEFF"/>
            </w:tcBorders>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436.9</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300" w:type="dxa"/>
            <w:vAlign w:val="bottom"/>
            <w:shd w:val="clear" w:color="auto" w:fill="CCEEFF"/>
          </w:tcPr>
          <w:p>
            <w:pPr>
              <w:spacing w:after="0"/>
              <w:rPr>
                <w:sz w:val="20"/>
                <w:szCs w:val="20"/>
                <w:color w:val="auto"/>
              </w:rPr>
            </w:pPr>
            <w:r>
              <w:rPr>
                <w:rFonts w:ascii="Arial" w:cs="Arial" w:eastAsia="Arial" w:hAnsi="Arial"/>
                <w:sz w:val="18"/>
                <w:szCs w:val="18"/>
                <w:color w:val="auto"/>
              </w:rPr>
              <w:t>Net balance at beginning of period</w:t>
            </w:r>
          </w:p>
        </w:tc>
        <w:tc>
          <w:tcPr>
            <w:tcW w:w="16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2,217.3</w:t>
            </w:r>
          </w:p>
        </w:tc>
        <w:tc>
          <w:tcPr>
            <w:tcW w:w="2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2,098.0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tcPr>
          <w:p>
            <w:pPr>
              <w:spacing w:after="0"/>
              <w:rPr>
                <w:sz w:val="20"/>
                <w:szCs w:val="20"/>
                <w:color w:val="auto"/>
              </w:rPr>
            </w:pPr>
            <w:r>
              <w:rPr>
                <w:rFonts w:ascii="Arial" w:cs="Arial" w:eastAsia="Arial" w:hAnsi="Arial"/>
                <w:sz w:val="18"/>
                <w:szCs w:val="18"/>
                <w:color w:val="auto"/>
              </w:rPr>
              <w:t>Incurred:</w:t>
            </w:r>
          </w:p>
        </w:tc>
        <w:tc>
          <w:tcPr>
            <w:tcW w:w="1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shd w:val="clear" w:color="auto" w:fill="CCEEFF"/>
          </w:tcPr>
          <w:p>
            <w:pPr>
              <w:ind w:left="100"/>
              <w:spacing w:after="0"/>
              <w:rPr>
                <w:sz w:val="20"/>
                <w:szCs w:val="20"/>
                <w:color w:val="auto"/>
              </w:rPr>
            </w:pPr>
            <w:r>
              <w:rPr>
                <w:rFonts w:ascii="Arial" w:cs="Arial" w:eastAsia="Arial" w:hAnsi="Arial"/>
                <w:sz w:val="18"/>
                <w:szCs w:val="18"/>
                <w:color w:val="auto"/>
              </w:rPr>
              <w:t>Current year</w:t>
            </w:r>
          </w:p>
        </w:tc>
        <w:tc>
          <w:tcPr>
            <w:tcW w:w="16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806.7</w:t>
            </w:r>
          </w:p>
        </w:tc>
        <w:tc>
          <w:tcPr>
            <w:tcW w:w="2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748.7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tcBorders>
              <w:bottom w:val="single" w:sz="8" w:color="CCEEFF"/>
            </w:tcBorders>
          </w:tcPr>
          <w:p>
            <w:pPr>
              <w:ind w:left="100"/>
              <w:spacing w:after="0"/>
              <w:rPr>
                <w:sz w:val="20"/>
                <w:szCs w:val="20"/>
                <w:color w:val="auto"/>
              </w:rPr>
            </w:pPr>
            <w:r>
              <w:rPr>
                <w:rFonts w:ascii="Arial" w:cs="Arial" w:eastAsia="Arial" w:hAnsi="Arial"/>
                <w:sz w:val="18"/>
                <w:szCs w:val="18"/>
                <w:color w:val="auto"/>
              </w:rPr>
              <w:t>Prior years</w:t>
            </w:r>
          </w:p>
        </w:tc>
        <w:tc>
          <w:tcPr>
            <w:tcW w:w="16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40.0</w:t>
            </w:r>
          </w:p>
        </w:tc>
        <w:tc>
          <w:tcPr>
            <w:tcW w:w="240" w:type="dxa"/>
            <w:vAlign w:val="bottom"/>
            <w:tcBorders>
              <w:bottom w:val="single" w:sz="8" w:color="CCEEFF"/>
            </w:tcBorders>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33.3</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300" w:type="dxa"/>
            <w:vAlign w:val="bottom"/>
            <w:shd w:val="clear" w:color="auto" w:fill="CCEEFF"/>
          </w:tcPr>
          <w:p>
            <w:pPr>
              <w:spacing w:after="0"/>
              <w:rPr>
                <w:sz w:val="20"/>
                <w:szCs w:val="20"/>
                <w:color w:val="auto"/>
              </w:rPr>
            </w:pPr>
            <w:r>
              <w:rPr>
                <w:rFonts w:ascii="Arial" w:cs="Arial" w:eastAsia="Arial" w:hAnsi="Arial"/>
                <w:sz w:val="18"/>
                <w:szCs w:val="18"/>
                <w:color w:val="auto"/>
              </w:rPr>
              <w:t>Total incurred</w:t>
            </w:r>
          </w:p>
        </w:tc>
        <w:tc>
          <w:tcPr>
            <w:tcW w:w="16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846.7</w:t>
            </w:r>
          </w:p>
        </w:tc>
        <w:tc>
          <w:tcPr>
            <w:tcW w:w="2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782.0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tcPr>
          <w:p>
            <w:pPr>
              <w:spacing w:after="0"/>
              <w:rPr>
                <w:sz w:val="20"/>
                <w:szCs w:val="20"/>
                <w:color w:val="auto"/>
              </w:rPr>
            </w:pPr>
            <w:r>
              <w:rPr>
                <w:rFonts w:ascii="Arial" w:cs="Arial" w:eastAsia="Arial" w:hAnsi="Arial"/>
                <w:sz w:val="18"/>
                <w:szCs w:val="18"/>
                <w:color w:val="auto"/>
              </w:rPr>
              <w:t>Payments:</w:t>
            </w:r>
          </w:p>
        </w:tc>
        <w:tc>
          <w:tcPr>
            <w:tcW w:w="1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shd w:val="clear" w:color="auto" w:fill="CCEEFF"/>
          </w:tcPr>
          <w:p>
            <w:pPr>
              <w:ind w:left="100"/>
              <w:spacing w:after="0"/>
              <w:rPr>
                <w:sz w:val="20"/>
                <w:szCs w:val="20"/>
                <w:color w:val="auto"/>
              </w:rPr>
            </w:pPr>
            <w:r>
              <w:rPr>
                <w:rFonts w:ascii="Arial" w:cs="Arial" w:eastAsia="Arial" w:hAnsi="Arial"/>
                <w:sz w:val="18"/>
                <w:szCs w:val="18"/>
                <w:color w:val="auto"/>
              </w:rPr>
              <w:t>Current year</w:t>
            </w:r>
          </w:p>
        </w:tc>
        <w:tc>
          <w:tcPr>
            <w:tcW w:w="16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480.5</w:t>
            </w:r>
          </w:p>
        </w:tc>
        <w:tc>
          <w:tcPr>
            <w:tcW w:w="2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454.4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tcBorders>
              <w:bottom w:val="single" w:sz="8" w:color="CCEEFF"/>
            </w:tcBorders>
          </w:tcPr>
          <w:p>
            <w:pPr>
              <w:ind w:left="100"/>
              <w:spacing w:after="0"/>
              <w:rPr>
                <w:sz w:val="20"/>
                <w:szCs w:val="20"/>
                <w:color w:val="auto"/>
              </w:rPr>
            </w:pPr>
            <w:r>
              <w:rPr>
                <w:rFonts w:ascii="Arial" w:cs="Arial" w:eastAsia="Arial" w:hAnsi="Arial"/>
                <w:sz w:val="18"/>
                <w:szCs w:val="18"/>
                <w:color w:val="auto"/>
              </w:rPr>
              <w:t>Prior years</w:t>
            </w:r>
          </w:p>
        </w:tc>
        <w:tc>
          <w:tcPr>
            <w:tcW w:w="16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298.1</w:t>
            </w:r>
          </w:p>
        </w:tc>
        <w:tc>
          <w:tcPr>
            <w:tcW w:w="240" w:type="dxa"/>
            <w:vAlign w:val="bottom"/>
            <w:tcBorders>
              <w:bottom w:val="single" w:sz="8" w:color="CCEEFF"/>
            </w:tcBorders>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272.1</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300" w:type="dxa"/>
            <w:vAlign w:val="bottom"/>
            <w:shd w:val="clear" w:color="auto" w:fill="CCEEFF"/>
          </w:tcPr>
          <w:p>
            <w:pPr>
              <w:spacing w:after="0"/>
              <w:rPr>
                <w:sz w:val="20"/>
                <w:szCs w:val="20"/>
                <w:color w:val="auto"/>
              </w:rPr>
            </w:pPr>
            <w:r>
              <w:rPr>
                <w:rFonts w:ascii="Arial" w:cs="Arial" w:eastAsia="Arial" w:hAnsi="Arial"/>
                <w:sz w:val="18"/>
                <w:szCs w:val="18"/>
                <w:color w:val="auto"/>
              </w:rPr>
              <w:t>Total payments</w:t>
            </w:r>
          </w:p>
        </w:tc>
        <w:tc>
          <w:tcPr>
            <w:tcW w:w="160" w:type="dxa"/>
            <w:vAlign w:val="bottom"/>
            <w:tcBorders>
              <w:bottom w:val="single" w:sz="8" w:color="auto"/>
            </w:tcBorders>
            <w:shd w:val="clear" w:color="auto" w:fill="CCEEFF"/>
          </w:tcPr>
          <w:p>
            <w:pPr>
              <w:spacing w:after="0"/>
              <w:rPr>
                <w:sz w:val="18"/>
                <w:szCs w:val="18"/>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778.6</w:t>
            </w:r>
          </w:p>
        </w:tc>
        <w:tc>
          <w:tcPr>
            <w:tcW w:w="240" w:type="dxa"/>
            <w:vAlign w:val="bottom"/>
            <w:shd w:val="clear" w:color="auto" w:fill="CCEEFF"/>
          </w:tcPr>
          <w:p>
            <w:pPr>
              <w:spacing w:after="0"/>
              <w:rPr>
                <w:sz w:val="18"/>
                <w:szCs w:val="18"/>
                <w:color w:val="auto"/>
              </w:rPr>
            </w:pPr>
          </w:p>
        </w:tc>
        <w:tc>
          <w:tcPr>
            <w:tcW w:w="34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726.5</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300" w:type="dxa"/>
            <w:vAlign w:val="bottom"/>
          </w:tcPr>
          <w:p>
            <w:pPr>
              <w:spacing w:after="0"/>
              <w:rPr>
                <w:sz w:val="20"/>
                <w:szCs w:val="20"/>
                <w:color w:val="auto"/>
              </w:rPr>
            </w:pPr>
            <w:r>
              <w:rPr>
                <w:rFonts w:ascii="Arial" w:cs="Arial" w:eastAsia="Arial" w:hAnsi="Arial"/>
                <w:sz w:val="18"/>
                <w:szCs w:val="18"/>
                <w:color w:val="auto"/>
              </w:rPr>
              <w:t>Net balance at end of period</w:t>
            </w:r>
          </w:p>
        </w:tc>
        <w:tc>
          <w:tcPr>
            <w:tcW w:w="16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b w:val="1"/>
                <w:bCs w:val="1"/>
                <w:color w:val="auto"/>
              </w:rPr>
              <w:t>2,285.4</w:t>
            </w:r>
          </w:p>
        </w:tc>
        <w:tc>
          <w:tcPr>
            <w:tcW w:w="2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2,153.5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shd w:val="clear" w:color="auto" w:fill="CCEEFF"/>
          </w:tcPr>
          <w:p>
            <w:pPr>
              <w:spacing w:after="0"/>
              <w:rPr>
                <w:sz w:val="20"/>
                <w:szCs w:val="20"/>
                <w:color w:val="auto"/>
              </w:rPr>
            </w:pPr>
            <w:r>
              <w:rPr>
                <w:rFonts w:ascii="Arial" w:cs="Arial" w:eastAsia="Arial" w:hAnsi="Arial"/>
                <w:sz w:val="18"/>
                <w:szCs w:val="18"/>
                <w:color w:val="auto"/>
              </w:rPr>
              <w:t>Plus: reinsurance recoverable</w:t>
            </w:r>
          </w:p>
        </w:tc>
        <w:tc>
          <w:tcPr>
            <w:tcW w:w="160" w:type="dxa"/>
            <w:vAlign w:val="bottom"/>
            <w:tcBorders>
              <w:bottom w:val="single" w:sz="8" w:color="auto"/>
            </w:tcBorders>
            <w:shd w:val="clear" w:color="auto" w:fill="CCEEFF"/>
          </w:tcPr>
          <w:p>
            <w:pPr>
              <w:spacing w:after="0"/>
              <w:rPr>
                <w:sz w:val="18"/>
                <w:szCs w:val="18"/>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464.6</w:t>
            </w:r>
          </w:p>
        </w:tc>
        <w:tc>
          <w:tcPr>
            <w:tcW w:w="240" w:type="dxa"/>
            <w:vAlign w:val="bottom"/>
            <w:shd w:val="clear" w:color="auto" w:fill="CCEEFF"/>
          </w:tcPr>
          <w:p>
            <w:pPr>
              <w:spacing w:after="0"/>
              <w:rPr>
                <w:sz w:val="18"/>
                <w:szCs w:val="18"/>
                <w:color w:val="auto"/>
              </w:rPr>
            </w:pPr>
          </w:p>
        </w:tc>
        <w:tc>
          <w:tcPr>
            <w:tcW w:w="34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437.8</w:t>
            </w: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73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Balance at end of period</w:t>
            </w:r>
          </w:p>
        </w:tc>
        <w:tc>
          <w:tcPr>
            <w:tcW w:w="160" w:type="dxa"/>
            <w:vAlign w:val="bottom"/>
            <w:tcBorders>
              <w:bottom w:val="single" w:sz="8" w:color="auto"/>
            </w:tcBorders>
          </w:tcPr>
          <w:p>
            <w:pPr>
              <w:jc w:val="right"/>
              <w:ind w:right="7"/>
              <w:spacing w:after="0"/>
              <w:rPr>
                <w:sz w:val="20"/>
                <w:szCs w:val="20"/>
                <w:color w:val="auto"/>
              </w:rPr>
            </w:pPr>
            <w:r>
              <w:rPr>
                <w:rFonts w:ascii="Arial" w:cs="Arial" w:eastAsia="Arial" w:hAnsi="Arial"/>
                <w:sz w:val="15"/>
                <w:szCs w:val="15"/>
                <w:b w:val="1"/>
                <w:bCs w:val="1"/>
                <w:color w:val="auto"/>
                <w:w w:val="71"/>
              </w:rPr>
              <w:t>$</w:t>
            </w: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2,750.0</w:t>
            </w:r>
          </w:p>
        </w:tc>
        <w:tc>
          <w:tcPr>
            <w:tcW w:w="240" w:type="dxa"/>
            <w:vAlign w:val="bottom"/>
            <w:tcBorders>
              <w:bottom w:val="single" w:sz="8" w:color="CCEEFF"/>
            </w:tcBorders>
          </w:tcPr>
          <w:p>
            <w:pPr>
              <w:spacing w:after="0"/>
              <w:rPr>
                <w:sz w:val="21"/>
                <w:szCs w:val="21"/>
                <w:color w:val="auto"/>
              </w:rPr>
            </w:pPr>
          </w:p>
        </w:tc>
        <w:tc>
          <w:tcPr>
            <w:tcW w:w="340" w:type="dxa"/>
            <w:vAlign w:val="bottom"/>
            <w:tcBorders>
              <w:bottom w:val="single" w:sz="8" w:color="auto"/>
            </w:tcBorders>
          </w:tcPr>
          <w:p>
            <w:pPr>
              <w:jc w:val="right"/>
              <w:ind w:right="187"/>
              <w:spacing w:after="0"/>
              <w:rPr>
                <w:sz w:val="20"/>
                <w:szCs w:val="20"/>
                <w:color w:val="auto"/>
              </w:rPr>
            </w:pPr>
            <w:r>
              <w:rPr>
                <w:rFonts w:ascii="Arial" w:cs="Arial" w:eastAsia="Arial" w:hAnsi="Arial"/>
                <w:sz w:val="15"/>
                <w:szCs w:val="15"/>
                <w:color w:val="auto"/>
                <w:w w:val="71"/>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2,591.3</w:t>
            </w:r>
          </w:p>
        </w:tc>
        <w:tc>
          <w:tcPr>
            <w:tcW w:w="0" w:type="dxa"/>
            <w:vAlign w:val="bottom"/>
          </w:tcPr>
          <w:p>
            <w:pPr>
              <w:spacing w:after="0"/>
              <w:rPr>
                <w:sz w:val="1"/>
                <w:szCs w:val="1"/>
                <w:color w:val="auto"/>
              </w:rPr>
            </w:pPr>
          </w:p>
        </w:tc>
      </w:tr>
      <w:tr>
        <w:trPr>
          <w:trHeight w:val="196"/>
        </w:trPr>
        <w:tc>
          <w:tcPr>
            <w:tcW w:w="20" w:type="dxa"/>
            <w:vAlign w:val="bottom"/>
            <w:vMerge w:val="restart"/>
          </w:tcPr>
          <w:p>
            <w:pPr>
              <w:spacing w:after="0"/>
              <w:rPr>
                <w:sz w:val="17"/>
                <w:szCs w:val="17"/>
                <w:color w:val="auto"/>
              </w:rPr>
            </w:pPr>
          </w:p>
        </w:tc>
        <w:tc>
          <w:tcPr>
            <w:tcW w:w="73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300" w:type="dxa"/>
            <w:vAlign w:val="bottom"/>
          </w:tcPr>
          <w:p>
            <w:pPr>
              <w:spacing w:after="0"/>
              <w:rPr>
                <w:sz w:val="20"/>
                <w:szCs w:val="20"/>
                <w:color w:val="auto"/>
              </w:rPr>
            </w:pPr>
            <w:r>
              <w:rPr>
                <w:rFonts w:ascii="Arial" w:cs="Arial" w:eastAsia="Arial" w:hAnsi="Arial"/>
                <w:sz w:val="18"/>
                <w:szCs w:val="18"/>
                <w:color w:val="auto"/>
              </w:rPr>
              <w:t>Amounts not included in the rollforward above:</w:t>
            </w:r>
          </w:p>
        </w:tc>
        <w:tc>
          <w:tcPr>
            <w:tcW w:w="1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shd w:val="clear" w:color="auto" w:fill="CCEEFF"/>
          </w:tcPr>
          <w:p>
            <w:pPr>
              <w:ind w:left="100"/>
              <w:spacing w:after="0"/>
              <w:rPr>
                <w:sz w:val="20"/>
                <w:szCs w:val="20"/>
                <w:color w:val="auto"/>
              </w:rPr>
            </w:pPr>
            <w:r>
              <w:rPr>
                <w:rFonts w:ascii="Arial" w:cs="Arial" w:eastAsia="Arial" w:hAnsi="Arial"/>
                <w:sz w:val="18"/>
                <w:szCs w:val="18"/>
                <w:color w:val="auto"/>
              </w:rPr>
              <w:t>Claim adjustment expense liabilities</w:t>
            </w:r>
          </w:p>
        </w:tc>
        <w:tc>
          <w:tcPr>
            <w:tcW w:w="160" w:type="dxa"/>
            <w:vAlign w:val="bottom"/>
            <w:shd w:val="clear" w:color="auto" w:fill="CCEEFF"/>
          </w:tcPr>
          <w:p>
            <w:pPr>
              <w:jc w:val="right"/>
              <w:ind w:right="7"/>
              <w:spacing w:after="0"/>
              <w:rPr>
                <w:sz w:val="20"/>
                <w:szCs w:val="20"/>
                <w:color w:val="auto"/>
              </w:rPr>
            </w:pPr>
            <w:r>
              <w:rPr>
                <w:rFonts w:ascii="Arial" w:cs="Arial" w:eastAsia="Arial" w:hAnsi="Arial"/>
                <w:sz w:val="15"/>
                <w:szCs w:val="15"/>
                <w:b w:val="1"/>
                <w:bCs w:val="1"/>
                <w:color w:val="auto"/>
                <w:w w:val="71"/>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60.0</w:t>
            </w:r>
          </w:p>
        </w:tc>
        <w:tc>
          <w:tcPr>
            <w:tcW w:w="580" w:type="dxa"/>
            <w:vAlign w:val="bottom"/>
            <w:gridSpan w:val="2"/>
            <w:shd w:val="clear" w:color="auto" w:fill="CCEEFF"/>
          </w:tcPr>
          <w:p>
            <w:pPr>
              <w:jc w:val="right"/>
              <w:ind w:right="187"/>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59.1</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right="240" w:firstLine="648"/>
        <w:spacing w:after="0" w:line="286" w:lineRule="auto"/>
        <w:rPr>
          <w:sz w:val="20"/>
          <w:szCs w:val="20"/>
          <w:color w:val="auto"/>
        </w:rPr>
      </w:pPr>
      <w:r>
        <w:rPr>
          <w:rFonts w:ascii="Arial" w:cs="Arial" w:eastAsia="Arial" w:hAnsi="Arial"/>
          <w:sz w:val="17"/>
          <w:szCs w:val="17"/>
          <w:color w:val="auto"/>
        </w:rPr>
        <w:t>Incurred liability adjustments relating to prior years, which affected current operations during 2022 and 2021, resulted in part from developed claims for prior years being different than were anticipated when the liabilities for unpaid claims were originally estimated. These trends have been considered in establishing the current year liability for unpaid claims.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Reinsurance</w:t>
      </w:r>
    </w:p>
    <w:p>
      <w:pPr>
        <w:spacing w:after="0" w:line="229" w:lineRule="exact"/>
        <w:rPr>
          <w:sz w:val="20"/>
          <w:szCs w:val="20"/>
          <w:color w:val="auto"/>
        </w:rPr>
      </w:pPr>
    </w:p>
    <w:p>
      <w:pPr>
        <w:ind w:right="40" w:firstLine="648"/>
        <w:spacing w:after="0" w:line="272" w:lineRule="auto"/>
        <w:rPr>
          <w:sz w:val="20"/>
          <w:szCs w:val="20"/>
          <w:color w:val="auto"/>
        </w:rPr>
      </w:pPr>
      <w:r>
        <w:rPr>
          <w:rFonts w:ascii="Arial" w:cs="Arial" w:eastAsia="Arial" w:hAnsi="Arial"/>
          <w:sz w:val="17"/>
          <w:szCs w:val="17"/>
          <w:color w:val="auto"/>
        </w:rPr>
        <w:t>We reinsure a portion of the insurance risks associated with our individual disability, traditional life, universal life, medical and long-term care insurance and fixed annuity contracts with significant life insurance risk through reinsurance agreements with unaffiliated reinsurance companies, primarily on a quota share, excess loss, yearly renewable term or coinsurance basis. During the second quarter of 2022, we closed a coinsurance with funds withheld reinsurance transaction with Talcott Life &amp; Annuity Re in which we ceded our in-force U.S. retail fixed annuity and ULSG blocks of business. The economics of the transaction were effective as of January 1, 2022. We use both the reinsurance and deposit methods of accounting for this transaction. For further information about this transaction, refer to Note 1, Nature of Operations and Significant Accounting Policies.</w:t>
      </w:r>
    </w:p>
    <w:p>
      <w:pPr>
        <w:spacing w:after="0" w:line="177" w:lineRule="exact"/>
        <w:rPr>
          <w:sz w:val="20"/>
          <w:szCs w:val="20"/>
          <w:color w:val="auto"/>
        </w:rPr>
      </w:pPr>
    </w:p>
    <w:p>
      <w:pPr>
        <w:ind w:right="20" w:firstLine="648"/>
        <w:spacing w:after="0" w:line="301" w:lineRule="auto"/>
        <w:rPr>
          <w:sz w:val="20"/>
          <w:szCs w:val="20"/>
          <w:color w:val="auto"/>
        </w:rPr>
      </w:pPr>
      <w:r>
        <w:rPr>
          <w:rFonts w:ascii="Arial" w:cs="Arial" w:eastAsia="Arial" w:hAnsi="Arial"/>
          <w:sz w:val="16"/>
          <w:szCs w:val="16"/>
          <w:color w:val="auto"/>
        </w:rPr>
        <w:t>We are contingently liable with respect to reinsurance ceded to other companies in the event the reinsurer is unable to meet the obligations it has assumed. As of June 30, 2022, and December 31, 2021, we had $14,121.2 million and $1,186.5 million of net ceded reinsurance recoverables, respectively, which does not reflect potentially offsetting impacts of collateral. As of June 30, 2022, and December 31, 2021, $13,636.4 million, or 99.8%, and $578.0 million, or 95.5%, were with our five largest ceded reinsurers, respectively.</w:t>
      </w: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540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50" w:name="page51"/>
    <w:bookmarkEnd w:id="50"/>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effects of reinsurance on premiums and other considerations and policy and contract benefits were as follows: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480" w:type="dxa"/>
            <w:vAlign w:val="bottom"/>
          </w:tcPr>
          <w:p>
            <w:pPr>
              <w:spacing w:after="0"/>
              <w:rPr>
                <w:sz w:val="14"/>
                <w:szCs w:val="14"/>
                <w:color w:val="auto"/>
              </w:rPr>
            </w:pPr>
          </w:p>
        </w:tc>
        <w:tc>
          <w:tcPr>
            <w:tcW w:w="2840" w:type="dxa"/>
            <w:vAlign w:val="bottom"/>
          </w:tcPr>
          <w:p>
            <w:pPr>
              <w:spacing w:after="0"/>
              <w:rPr>
                <w:sz w:val="14"/>
                <w:szCs w:val="14"/>
                <w:color w:val="auto"/>
              </w:rPr>
            </w:pPr>
          </w:p>
        </w:tc>
        <w:tc>
          <w:tcPr>
            <w:tcW w:w="2460" w:type="dxa"/>
            <w:vAlign w:val="bottom"/>
            <w:gridSpan w:val="7"/>
          </w:tcPr>
          <w:p>
            <w:pPr>
              <w:spacing w:after="0"/>
              <w:rPr>
                <w:sz w:val="20"/>
                <w:szCs w:val="20"/>
                <w:color w:val="auto"/>
              </w:rPr>
            </w:pPr>
            <w:r>
              <w:rPr>
                <w:rFonts w:ascii="Arial" w:cs="Arial" w:eastAsia="Arial" w:hAnsi="Arial"/>
                <w:sz w:val="14"/>
                <w:szCs w:val="14"/>
                <w:b w:val="1"/>
                <w:bCs w:val="1"/>
                <w:color w:val="auto"/>
                <w:w w:val="99"/>
              </w:rPr>
              <w:t>For the three months ended June 30,</w:t>
            </w:r>
          </w:p>
        </w:tc>
        <w:tc>
          <w:tcPr>
            <w:tcW w:w="2140" w:type="dxa"/>
            <w:vAlign w:val="bottom"/>
            <w:gridSpan w:val="5"/>
          </w:tcPr>
          <w:p>
            <w:pPr>
              <w:ind w:left="20"/>
              <w:spacing w:after="0"/>
              <w:rPr>
                <w:sz w:val="20"/>
                <w:szCs w:val="20"/>
                <w:color w:val="auto"/>
              </w:rPr>
            </w:pPr>
            <w:r>
              <w:rPr>
                <w:rFonts w:ascii="Arial" w:cs="Arial" w:eastAsia="Arial" w:hAnsi="Arial"/>
                <w:sz w:val="14"/>
                <w:szCs w:val="14"/>
                <w:b w:val="1"/>
                <w:bCs w:val="1"/>
                <w:color w:val="auto"/>
                <w:w w:val="91"/>
              </w:rPr>
              <w:t>For the six months ended June 30,</w:t>
            </w:r>
          </w:p>
        </w:tc>
      </w:tr>
      <w:tr>
        <w:trPr>
          <w:trHeight w:val="142"/>
        </w:trPr>
        <w:tc>
          <w:tcPr>
            <w:tcW w:w="2480" w:type="dxa"/>
            <w:vAlign w:val="bottom"/>
          </w:tcPr>
          <w:p>
            <w:pPr>
              <w:spacing w:after="0"/>
              <w:rPr>
                <w:sz w:val="12"/>
                <w:szCs w:val="12"/>
                <w:color w:val="auto"/>
              </w:rPr>
            </w:pPr>
          </w:p>
        </w:tc>
        <w:tc>
          <w:tcPr>
            <w:tcW w:w="2840" w:type="dxa"/>
            <w:vAlign w:val="bottom"/>
          </w:tcPr>
          <w:p>
            <w:pPr>
              <w:spacing w:after="0"/>
              <w:rPr>
                <w:sz w:val="12"/>
                <w:szCs w:val="12"/>
                <w:color w:val="auto"/>
              </w:rPr>
            </w:pPr>
          </w:p>
        </w:tc>
        <w:tc>
          <w:tcPr>
            <w:tcW w:w="180" w:type="dxa"/>
            <w:vAlign w:val="bottom"/>
            <w:tcBorders>
              <w:top w:val="single" w:sz="8" w:color="auto"/>
              <w:bottom w:val="single" w:sz="8" w:color="auto"/>
            </w:tcBorders>
          </w:tcPr>
          <w:p>
            <w:pPr>
              <w:spacing w:after="0"/>
              <w:rPr>
                <w:sz w:val="12"/>
                <w:szCs w:val="12"/>
                <w:color w:val="auto"/>
              </w:rPr>
            </w:pPr>
          </w:p>
        </w:tc>
        <w:tc>
          <w:tcPr>
            <w:tcW w:w="860" w:type="dxa"/>
            <w:vAlign w:val="bottom"/>
            <w:tcBorders>
              <w:top w:val="single" w:sz="8" w:color="auto"/>
              <w:bottom w:val="single" w:sz="8" w:color="auto"/>
            </w:tcBorders>
          </w:tcPr>
          <w:p>
            <w:pPr>
              <w:jc w:val="right"/>
              <w:ind w:right="193"/>
              <w:spacing w:after="0" w:line="142" w:lineRule="exact"/>
              <w:rPr>
                <w:sz w:val="20"/>
                <w:szCs w:val="20"/>
                <w:color w:val="auto"/>
              </w:rPr>
            </w:pPr>
            <w:r>
              <w:rPr>
                <w:rFonts w:ascii="Arial" w:cs="Arial" w:eastAsia="Arial" w:hAnsi="Arial"/>
                <w:sz w:val="14"/>
                <w:szCs w:val="14"/>
                <w:b w:val="1"/>
                <w:bCs w:val="1"/>
                <w:color w:val="auto"/>
              </w:rPr>
              <w:t>2022 (1)</w:t>
            </w:r>
          </w:p>
        </w:tc>
        <w:tc>
          <w:tcPr>
            <w:tcW w:w="8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240" w:type="dxa"/>
            <w:vAlign w:val="bottom"/>
            <w:tcBorders>
              <w:top w:val="single" w:sz="8" w:color="auto"/>
              <w:bottom w:val="single" w:sz="8" w:color="auto"/>
            </w:tcBorders>
          </w:tcPr>
          <w:p>
            <w:pPr>
              <w:spacing w:after="0"/>
              <w:rPr>
                <w:sz w:val="12"/>
                <w:szCs w:val="12"/>
                <w:color w:val="auto"/>
              </w:rPr>
            </w:pPr>
          </w:p>
        </w:tc>
        <w:tc>
          <w:tcPr>
            <w:tcW w:w="800" w:type="dxa"/>
            <w:vAlign w:val="bottom"/>
            <w:tcBorders>
              <w:top w:val="single" w:sz="8" w:color="auto"/>
              <w:bottom w:val="single" w:sz="8" w:color="auto"/>
            </w:tcBorders>
          </w:tcPr>
          <w:p>
            <w:pPr>
              <w:jc w:val="right"/>
              <w:ind w:right="295"/>
              <w:spacing w:after="0" w:line="142" w:lineRule="exact"/>
              <w:rPr>
                <w:sz w:val="20"/>
                <w:szCs w:val="20"/>
                <w:color w:val="auto"/>
              </w:rPr>
            </w:pPr>
            <w:r>
              <w:rPr>
                <w:rFonts w:ascii="Arial" w:cs="Arial" w:eastAsia="Arial" w:hAnsi="Arial"/>
                <w:sz w:val="14"/>
                <w:szCs w:val="14"/>
                <w:b w:val="1"/>
                <w:bCs w:val="1"/>
                <w:color w:val="auto"/>
              </w:rPr>
              <w:t>2021</w:t>
            </w:r>
          </w:p>
        </w:tc>
        <w:tc>
          <w:tcPr>
            <w:tcW w:w="200" w:type="dxa"/>
            <w:vAlign w:val="bottom"/>
          </w:tcPr>
          <w:p>
            <w:pPr>
              <w:spacing w:after="0"/>
              <w:rPr>
                <w:sz w:val="12"/>
                <w:szCs w:val="12"/>
                <w:color w:val="auto"/>
              </w:rPr>
            </w:pPr>
          </w:p>
        </w:tc>
        <w:tc>
          <w:tcPr>
            <w:tcW w:w="260" w:type="dxa"/>
            <w:vAlign w:val="bottom"/>
            <w:tcBorders>
              <w:top w:val="single" w:sz="8" w:color="auto"/>
              <w:bottom w:val="single" w:sz="8" w:color="auto"/>
            </w:tcBorders>
          </w:tcPr>
          <w:p>
            <w:pPr>
              <w:spacing w:after="0"/>
              <w:rPr>
                <w:sz w:val="12"/>
                <w:szCs w:val="12"/>
                <w:color w:val="auto"/>
              </w:rPr>
            </w:pPr>
          </w:p>
        </w:tc>
        <w:tc>
          <w:tcPr>
            <w:tcW w:w="700" w:type="dxa"/>
            <w:vAlign w:val="bottom"/>
            <w:tcBorders>
              <w:top w:val="single" w:sz="8" w:color="auto"/>
              <w:bottom w:val="single" w:sz="8" w:color="auto"/>
            </w:tcBorders>
          </w:tcPr>
          <w:p>
            <w:pPr>
              <w:jc w:val="right"/>
              <w:ind w:right="253"/>
              <w:spacing w:after="0" w:line="142" w:lineRule="exact"/>
              <w:rPr>
                <w:sz w:val="20"/>
                <w:szCs w:val="20"/>
                <w:color w:val="auto"/>
              </w:rPr>
            </w:pPr>
            <w:r>
              <w:rPr>
                <w:rFonts w:ascii="Arial" w:cs="Arial" w:eastAsia="Arial" w:hAnsi="Arial"/>
                <w:sz w:val="14"/>
                <w:szCs w:val="14"/>
                <w:b w:val="1"/>
                <w:bCs w:val="1"/>
                <w:color w:val="auto"/>
              </w:rPr>
              <w:t>2022</w:t>
            </w:r>
          </w:p>
        </w:tc>
        <w:tc>
          <w:tcPr>
            <w:tcW w:w="200" w:type="dxa"/>
            <w:vAlign w:val="bottom"/>
            <w:tcBorders>
              <w:top w:val="single" w:sz="8" w:color="auto"/>
            </w:tcBorders>
          </w:tcPr>
          <w:p>
            <w:pPr>
              <w:spacing w:after="0"/>
              <w:rPr>
                <w:sz w:val="12"/>
                <w:szCs w:val="12"/>
                <w:color w:val="auto"/>
              </w:rPr>
            </w:pPr>
          </w:p>
        </w:tc>
        <w:tc>
          <w:tcPr>
            <w:tcW w:w="220" w:type="dxa"/>
            <w:vAlign w:val="bottom"/>
            <w:tcBorders>
              <w:top w:val="single" w:sz="8" w:color="auto"/>
              <w:bottom w:val="single" w:sz="8" w:color="auto"/>
            </w:tcBorders>
          </w:tcPr>
          <w:p>
            <w:pPr>
              <w:spacing w:after="0"/>
              <w:rPr>
                <w:sz w:val="12"/>
                <w:szCs w:val="12"/>
                <w:color w:val="auto"/>
              </w:rPr>
            </w:pPr>
          </w:p>
        </w:tc>
        <w:tc>
          <w:tcPr>
            <w:tcW w:w="760" w:type="dxa"/>
            <w:vAlign w:val="bottom"/>
            <w:tcBorders>
              <w:top w:val="single" w:sz="8" w:color="auto"/>
              <w:bottom w:val="single" w:sz="8" w:color="auto"/>
            </w:tcBorders>
          </w:tcPr>
          <w:p>
            <w:pPr>
              <w:jc w:val="right"/>
              <w:ind w:right="273"/>
              <w:spacing w:after="0" w:line="142" w:lineRule="exact"/>
              <w:rPr>
                <w:sz w:val="20"/>
                <w:szCs w:val="20"/>
                <w:color w:val="auto"/>
              </w:rPr>
            </w:pPr>
            <w:r>
              <w:rPr>
                <w:rFonts w:ascii="Arial" w:cs="Arial" w:eastAsia="Arial" w:hAnsi="Arial"/>
                <w:sz w:val="14"/>
                <w:szCs w:val="14"/>
                <w:b w:val="1"/>
                <w:bCs w:val="1"/>
                <w:color w:val="auto"/>
              </w:rPr>
              <w:t>2021</w:t>
            </w:r>
          </w:p>
        </w:tc>
      </w:tr>
      <w:tr>
        <w:trPr>
          <w:trHeight w:val="128"/>
        </w:trPr>
        <w:tc>
          <w:tcPr>
            <w:tcW w:w="2480" w:type="dxa"/>
            <w:vAlign w:val="bottom"/>
          </w:tcPr>
          <w:p>
            <w:pPr>
              <w:spacing w:after="0"/>
              <w:rPr>
                <w:sz w:val="11"/>
                <w:szCs w:val="11"/>
                <w:color w:val="auto"/>
              </w:rPr>
            </w:pPr>
          </w:p>
        </w:tc>
        <w:tc>
          <w:tcPr>
            <w:tcW w:w="28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60" w:type="dxa"/>
            <w:vAlign w:val="bottom"/>
            <w:gridSpan w:val="3"/>
          </w:tcPr>
          <w:p>
            <w:pPr>
              <w:ind w:left="480"/>
              <w:spacing w:after="0" w:line="129" w:lineRule="exact"/>
              <w:rPr>
                <w:sz w:val="20"/>
                <w:szCs w:val="20"/>
                <w:color w:val="auto"/>
              </w:rPr>
            </w:pPr>
            <w:r>
              <w:rPr>
                <w:rFonts w:ascii="Arial" w:cs="Arial" w:eastAsia="Arial" w:hAnsi="Arial"/>
                <w:sz w:val="14"/>
                <w:szCs w:val="14"/>
                <w:i w:val="1"/>
                <w:iCs w:val="1"/>
                <w:color w:val="auto"/>
              </w:rPr>
              <w:t>(in millions)</w:t>
            </w:r>
          </w:p>
        </w:tc>
        <w:tc>
          <w:tcPr>
            <w:tcW w:w="7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60" w:type="dxa"/>
            <w:vAlign w:val="bottom"/>
          </w:tcPr>
          <w:p>
            <w:pPr>
              <w:spacing w:after="0"/>
              <w:rPr>
                <w:sz w:val="11"/>
                <w:szCs w:val="11"/>
                <w:color w:val="auto"/>
              </w:rPr>
            </w:pPr>
          </w:p>
        </w:tc>
      </w:tr>
      <w:tr>
        <w:trPr>
          <w:trHeight w:val="216"/>
        </w:trPr>
        <w:tc>
          <w:tcPr>
            <w:tcW w:w="53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Premiums and other considerations:</w:t>
            </w:r>
          </w:p>
        </w:tc>
        <w:tc>
          <w:tcPr>
            <w:tcW w:w="18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r>
      <w:tr>
        <w:trPr>
          <w:trHeight w:val="216"/>
        </w:trPr>
        <w:tc>
          <w:tcPr>
            <w:tcW w:w="5320" w:type="dxa"/>
            <w:vAlign w:val="bottom"/>
            <w:gridSpan w:val="2"/>
          </w:tcPr>
          <w:p>
            <w:pPr>
              <w:ind w:left="120"/>
              <w:spacing w:after="0"/>
              <w:rPr>
                <w:sz w:val="20"/>
                <w:szCs w:val="20"/>
                <w:color w:val="auto"/>
              </w:rPr>
            </w:pPr>
            <w:r>
              <w:rPr>
                <w:rFonts w:ascii="Arial" w:cs="Arial" w:eastAsia="Arial" w:hAnsi="Arial"/>
                <w:sz w:val="18"/>
                <w:szCs w:val="18"/>
                <w:color w:val="auto"/>
              </w:rPr>
              <w:t>Direct</w:t>
            </w:r>
          </w:p>
        </w:tc>
        <w:tc>
          <w:tcPr>
            <w:tcW w:w="180" w:type="dxa"/>
            <w:vAlign w:val="bottom"/>
          </w:tcPr>
          <w:p>
            <w:pPr>
              <w:spacing w:after="0"/>
              <w:rPr>
                <w:sz w:val="20"/>
                <w:szCs w:val="20"/>
                <w:color w:val="auto"/>
              </w:rPr>
            </w:pPr>
            <w:r>
              <w:rPr>
                <w:rFonts w:ascii="Arial" w:cs="Arial" w:eastAsia="Arial" w:hAnsi="Arial"/>
                <w:sz w:val="18"/>
                <w:szCs w:val="18"/>
                <w:b w:val="1"/>
                <w:bCs w:val="1"/>
                <w:color w:val="auto"/>
              </w:rPr>
              <w:t>$</w:t>
            </w: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1,436.7</w:t>
            </w:r>
          </w:p>
        </w:tc>
        <w:tc>
          <w:tcPr>
            <w:tcW w:w="80" w:type="dxa"/>
            <w:vAlign w:val="bottom"/>
          </w:tcPr>
          <w:p>
            <w:pPr>
              <w:spacing w:after="0"/>
              <w:rPr>
                <w:sz w:val="18"/>
                <w:szCs w:val="18"/>
                <w:color w:val="auto"/>
              </w:rPr>
            </w:pPr>
          </w:p>
        </w:tc>
        <w:tc>
          <w:tcPr>
            <w:tcW w:w="340" w:type="dxa"/>
            <w:vAlign w:val="bottom"/>
            <w:gridSpan w:val="2"/>
          </w:tcPr>
          <w:p>
            <w:pPr>
              <w:jc w:val="right"/>
              <w:ind w:right="50"/>
              <w:spacing w:after="0"/>
              <w:rPr>
                <w:sz w:val="20"/>
                <w:szCs w:val="20"/>
                <w:color w:val="auto"/>
              </w:rPr>
            </w:pPr>
            <w:r>
              <w:rPr>
                <w:rFonts w:ascii="Arial" w:cs="Arial" w:eastAsia="Arial" w:hAnsi="Arial"/>
                <w:sz w:val="18"/>
                <w:szCs w:val="18"/>
                <w:color w:val="auto"/>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1,431.1</w:t>
            </w:r>
          </w:p>
        </w:tc>
        <w:tc>
          <w:tcPr>
            <w:tcW w:w="20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b w:val="1"/>
                <w:bCs w:val="1"/>
                <w:color w:val="auto"/>
              </w:rPr>
              <w:t>$</w:t>
            </w:r>
          </w:p>
        </w:tc>
        <w:tc>
          <w:tcPr>
            <w:tcW w:w="700" w:type="dxa"/>
            <w:vAlign w:val="bottom"/>
          </w:tcPr>
          <w:p>
            <w:pPr>
              <w:jc w:val="right"/>
              <w:spacing w:after="0"/>
              <w:rPr>
                <w:sz w:val="20"/>
                <w:szCs w:val="20"/>
                <w:color w:val="auto"/>
              </w:rPr>
            </w:pPr>
            <w:r>
              <w:rPr>
                <w:rFonts w:ascii="Arial" w:cs="Arial" w:eastAsia="Arial" w:hAnsi="Arial"/>
                <w:sz w:val="18"/>
                <w:szCs w:val="18"/>
                <w:b w:val="1"/>
                <w:bCs w:val="1"/>
                <w:color w:val="auto"/>
              </w:rPr>
              <w:t>2,477.2</w:t>
            </w:r>
          </w:p>
        </w:tc>
        <w:tc>
          <w:tcPr>
            <w:tcW w:w="200" w:type="dxa"/>
            <w:vAlign w:val="bottom"/>
          </w:tcPr>
          <w:p>
            <w:pPr>
              <w:spacing w:after="0"/>
              <w:rPr>
                <w:sz w:val="18"/>
                <w:szCs w:val="18"/>
                <w:color w:val="auto"/>
              </w:rPr>
            </w:pPr>
          </w:p>
        </w:tc>
        <w:tc>
          <w:tcPr>
            <w:tcW w:w="220" w:type="dxa"/>
            <w:vAlign w:val="bottom"/>
          </w:tcPr>
          <w:p>
            <w:pPr>
              <w:jc w:val="right"/>
              <w:ind w:right="67"/>
              <w:spacing w:after="0"/>
              <w:rPr>
                <w:sz w:val="20"/>
                <w:szCs w:val="20"/>
                <w:color w:val="auto"/>
              </w:rPr>
            </w:pPr>
            <w:r>
              <w:rPr>
                <w:rFonts w:ascii="Arial" w:cs="Arial" w:eastAsia="Arial" w:hAnsi="Arial"/>
                <w:sz w:val="15"/>
                <w:szCs w:val="15"/>
                <w:color w:val="auto"/>
                <w:w w:val="71"/>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2,407.5</w:t>
            </w:r>
          </w:p>
        </w:tc>
      </w:tr>
      <w:tr>
        <w:trPr>
          <w:trHeight w:val="216"/>
        </w:trPr>
        <w:tc>
          <w:tcPr>
            <w:tcW w:w="532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Ceded</w:t>
            </w:r>
          </w:p>
        </w:tc>
        <w:tc>
          <w:tcPr>
            <w:tcW w:w="1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(70.5)</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(161.4)</w:t>
            </w:r>
          </w:p>
        </w:tc>
        <w:tc>
          <w:tcPr>
            <w:tcW w:w="2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(223.6)</w:t>
            </w: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(302.7)</w:t>
            </w:r>
          </w:p>
        </w:tc>
      </w:tr>
      <w:tr>
        <w:trPr>
          <w:trHeight w:val="249"/>
        </w:trPr>
        <w:tc>
          <w:tcPr>
            <w:tcW w:w="5320" w:type="dxa"/>
            <w:vAlign w:val="bottom"/>
            <w:tcBorders>
              <w:bottom w:val="single" w:sz="8" w:color="CCEEFF"/>
            </w:tcBorders>
            <w:gridSpan w:val="2"/>
          </w:tcPr>
          <w:p>
            <w:pPr>
              <w:spacing w:after="0"/>
              <w:rPr>
                <w:sz w:val="20"/>
                <w:szCs w:val="20"/>
                <w:color w:val="auto"/>
              </w:rPr>
            </w:pPr>
            <w:r>
              <w:rPr>
                <w:rFonts w:ascii="Arial" w:cs="Arial" w:eastAsia="Arial" w:hAnsi="Arial"/>
                <w:sz w:val="18"/>
                <w:szCs w:val="18"/>
                <w:color w:val="auto"/>
              </w:rPr>
              <w:t>Net premiums and other considerations</w:t>
            </w:r>
          </w:p>
        </w:tc>
        <w:tc>
          <w:tcPr>
            <w:tcW w:w="18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b w:val="1"/>
                <w:bCs w:val="1"/>
                <w:color w:val="auto"/>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1,366.2</w:t>
            </w:r>
          </w:p>
        </w:tc>
        <w:tc>
          <w:tcPr>
            <w:tcW w:w="80" w:type="dxa"/>
            <w:vAlign w:val="bottom"/>
            <w:tcBorders>
              <w:bottom w:val="single" w:sz="8" w:color="CCEEFF"/>
            </w:tcBorders>
          </w:tcPr>
          <w:p>
            <w:pPr>
              <w:spacing w:after="0"/>
              <w:rPr>
                <w:sz w:val="21"/>
                <w:szCs w:val="21"/>
                <w:color w:val="auto"/>
              </w:rPr>
            </w:pPr>
          </w:p>
        </w:tc>
        <w:tc>
          <w:tcPr>
            <w:tcW w:w="100" w:type="dxa"/>
            <w:vAlign w:val="bottom"/>
            <w:tcBorders>
              <w:bottom w:val="single" w:sz="8" w:color="CCEEFF"/>
            </w:tcBorders>
          </w:tcPr>
          <w:p>
            <w:pPr>
              <w:spacing w:after="0"/>
              <w:rPr>
                <w:sz w:val="21"/>
                <w:szCs w:val="21"/>
                <w:color w:val="auto"/>
              </w:rPr>
            </w:pPr>
          </w:p>
        </w:tc>
        <w:tc>
          <w:tcPr>
            <w:tcW w:w="24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1,269.7</w:t>
            </w:r>
          </w:p>
        </w:tc>
        <w:tc>
          <w:tcPr>
            <w:tcW w:w="200" w:type="dxa"/>
            <w:vAlign w:val="bottom"/>
            <w:tcBorders>
              <w:bottom w:val="single" w:sz="8" w:color="CCEEFF"/>
            </w:tcBorders>
          </w:tcPr>
          <w:p>
            <w:pPr>
              <w:spacing w:after="0"/>
              <w:rPr>
                <w:sz w:val="21"/>
                <w:szCs w:val="21"/>
                <w:color w:val="auto"/>
              </w:rPr>
            </w:pPr>
          </w:p>
        </w:tc>
        <w:tc>
          <w:tcPr>
            <w:tcW w:w="26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b w:val="1"/>
                <w:bCs w:val="1"/>
                <w:color w:val="auto"/>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2,253.6</w:t>
            </w:r>
          </w:p>
        </w:tc>
        <w:tc>
          <w:tcPr>
            <w:tcW w:w="200" w:type="dxa"/>
            <w:vAlign w:val="bottom"/>
            <w:tcBorders>
              <w:bottom w:val="single" w:sz="8" w:color="CCEEFF"/>
            </w:tcBorders>
          </w:tcPr>
          <w:p>
            <w:pPr>
              <w:spacing w:after="0"/>
              <w:rPr>
                <w:sz w:val="21"/>
                <w:szCs w:val="21"/>
                <w:color w:val="auto"/>
              </w:rPr>
            </w:pPr>
          </w:p>
        </w:tc>
        <w:tc>
          <w:tcPr>
            <w:tcW w:w="220" w:type="dxa"/>
            <w:vAlign w:val="bottom"/>
            <w:tcBorders>
              <w:top w:val="single" w:sz="8" w:color="auto"/>
              <w:bottom w:val="single" w:sz="8" w:color="auto"/>
            </w:tcBorders>
          </w:tcPr>
          <w:p>
            <w:pPr>
              <w:jc w:val="right"/>
              <w:ind w:right="67"/>
              <w:spacing w:after="0"/>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2,104.</w:t>
            </w:r>
            <w:r>
              <w:rPr>
                <w:rFonts w:ascii="Arial" w:cs="Arial" w:eastAsia="Arial" w:hAnsi="Arial"/>
                <w:sz w:val="18"/>
                <w:szCs w:val="18"/>
                <w:u w:val="single" w:color="auto"/>
                <w:color w:val="auto"/>
              </w:rPr>
              <w:t>8</w:t>
            </w:r>
          </w:p>
        </w:tc>
      </w:tr>
      <w:tr>
        <w:trPr>
          <w:trHeight w:val="197"/>
        </w:trPr>
        <w:tc>
          <w:tcPr>
            <w:tcW w:w="5320" w:type="dxa"/>
            <w:vAlign w:val="bottom"/>
            <w:gridSpan w:val="2"/>
            <w:shd w:val="clear" w:color="auto" w:fill="CCEEFF"/>
          </w:tcPr>
          <w:p>
            <w:pPr>
              <w:spacing w:after="0" w:line="196" w:lineRule="exact"/>
              <w:rPr>
                <w:sz w:val="20"/>
                <w:szCs w:val="20"/>
                <w:color w:val="auto"/>
              </w:rPr>
            </w:pPr>
            <w:r>
              <w:rPr>
                <w:rFonts w:ascii="Arial" w:cs="Arial" w:eastAsia="Arial" w:hAnsi="Arial"/>
                <w:sz w:val="18"/>
                <w:szCs w:val="18"/>
                <w:color w:val="auto"/>
              </w:rPr>
              <w:t>Benefits, claims and settlement expenses:</w:t>
            </w:r>
          </w:p>
        </w:tc>
        <w:tc>
          <w:tcPr>
            <w:tcW w:w="18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r>
      <w:tr>
        <w:trPr>
          <w:trHeight w:val="216"/>
        </w:trPr>
        <w:tc>
          <w:tcPr>
            <w:tcW w:w="5320" w:type="dxa"/>
            <w:vAlign w:val="bottom"/>
            <w:gridSpan w:val="2"/>
          </w:tcPr>
          <w:p>
            <w:pPr>
              <w:ind w:left="120"/>
              <w:spacing w:after="0"/>
              <w:rPr>
                <w:sz w:val="20"/>
                <w:szCs w:val="20"/>
                <w:color w:val="auto"/>
              </w:rPr>
            </w:pPr>
            <w:r>
              <w:rPr>
                <w:rFonts w:ascii="Arial" w:cs="Arial" w:eastAsia="Arial" w:hAnsi="Arial"/>
                <w:sz w:val="18"/>
                <w:szCs w:val="18"/>
                <w:color w:val="auto"/>
              </w:rPr>
              <w:t>Direct</w:t>
            </w:r>
          </w:p>
        </w:tc>
        <w:tc>
          <w:tcPr>
            <w:tcW w:w="180" w:type="dxa"/>
            <w:vAlign w:val="bottom"/>
          </w:tcPr>
          <w:p>
            <w:pPr>
              <w:spacing w:after="0"/>
              <w:rPr>
                <w:sz w:val="20"/>
                <w:szCs w:val="20"/>
                <w:color w:val="auto"/>
              </w:rPr>
            </w:pPr>
            <w:r>
              <w:rPr>
                <w:rFonts w:ascii="Arial" w:cs="Arial" w:eastAsia="Arial" w:hAnsi="Arial"/>
                <w:sz w:val="18"/>
                <w:szCs w:val="18"/>
                <w:b w:val="1"/>
                <w:bCs w:val="1"/>
                <w:color w:val="auto"/>
              </w:rPr>
              <w:t>$</w:t>
            </w: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1,884.2</w:t>
            </w:r>
          </w:p>
        </w:tc>
        <w:tc>
          <w:tcPr>
            <w:tcW w:w="80" w:type="dxa"/>
            <w:vAlign w:val="bottom"/>
          </w:tcPr>
          <w:p>
            <w:pPr>
              <w:spacing w:after="0"/>
              <w:rPr>
                <w:sz w:val="18"/>
                <w:szCs w:val="18"/>
                <w:color w:val="auto"/>
              </w:rPr>
            </w:pPr>
          </w:p>
        </w:tc>
        <w:tc>
          <w:tcPr>
            <w:tcW w:w="340" w:type="dxa"/>
            <w:vAlign w:val="bottom"/>
            <w:gridSpan w:val="2"/>
          </w:tcPr>
          <w:p>
            <w:pPr>
              <w:jc w:val="right"/>
              <w:ind w:right="50"/>
              <w:spacing w:after="0"/>
              <w:rPr>
                <w:sz w:val="20"/>
                <w:szCs w:val="20"/>
                <w:color w:val="auto"/>
              </w:rPr>
            </w:pPr>
            <w:r>
              <w:rPr>
                <w:rFonts w:ascii="Arial" w:cs="Arial" w:eastAsia="Arial" w:hAnsi="Arial"/>
                <w:sz w:val="18"/>
                <w:szCs w:val="18"/>
                <w:color w:val="auto"/>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1,986.6</w:t>
            </w:r>
          </w:p>
        </w:tc>
        <w:tc>
          <w:tcPr>
            <w:tcW w:w="20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b w:val="1"/>
                <w:bCs w:val="1"/>
                <w:color w:val="auto"/>
              </w:rPr>
              <w:t>$</w:t>
            </w:r>
          </w:p>
        </w:tc>
        <w:tc>
          <w:tcPr>
            <w:tcW w:w="700" w:type="dxa"/>
            <w:vAlign w:val="bottom"/>
          </w:tcPr>
          <w:p>
            <w:pPr>
              <w:jc w:val="right"/>
              <w:spacing w:after="0"/>
              <w:rPr>
                <w:sz w:val="20"/>
                <w:szCs w:val="20"/>
                <w:color w:val="auto"/>
              </w:rPr>
            </w:pPr>
            <w:r>
              <w:rPr>
                <w:rFonts w:ascii="Arial" w:cs="Arial" w:eastAsia="Arial" w:hAnsi="Arial"/>
                <w:sz w:val="18"/>
                <w:szCs w:val="18"/>
                <w:b w:val="1"/>
                <w:bCs w:val="1"/>
                <w:color w:val="auto"/>
              </w:rPr>
              <w:t>3,521.5</w:t>
            </w:r>
          </w:p>
        </w:tc>
        <w:tc>
          <w:tcPr>
            <w:tcW w:w="200" w:type="dxa"/>
            <w:vAlign w:val="bottom"/>
          </w:tcPr>
          <w:p>
            <w:pPr>
              <w:spacing w:after="0"/>
              <w:rPr>
                <w:sz w:val="18"/>
                <w:szCs w:val="18"/>
                <w:color w:val="auto"/>
              </w:rPr>
            </w:pPr>
          </w:p>
        </w:tc>
        <w:tc>
          <w:tcPr>
            <w:tcW w:w="220" w:type="dxa"/>
            <w:vAlign w:val="bottom"/>
          </w:tcPr>
          <w:p>
            <w:pPr>
              <w:jc w:val="right"/>
              <w:ind w:right="67"/>
              <w:spacing w:after="0"/>
              <w:rPr>
                <w:sz w:val="20"/>
                <w:szCs w:val="20"/>
                <w:color w:val="auto"/>
              </w:rPr>
            </w:pPr>
            <w:r>
              <w:rPr>
                <w:rFonts w:ascii="Arial" w:cs="Arial" w:eastAsia="Arial" w:hAnsi="Arial"/>
                <w:sz w:val="15"/>
                <w:szCs w:val="15"/>
                <w:color w:val="auto"/>
                <w:w w:val="71"/>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3,493.9</w:t>
            </w:r>
          </w:p>
        </w:tc>
      </w:tr>
      <w:tr>
        <w:trPr>
          <w:trHeight w:val="216"/>
        </w:trPr>
        <w:tc>
          <w:tcPr>
            <w:tcW w:w="532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Ceded</w:t>
            </w:r>
          </w:p>
        </w:tc>
        <w:tc>
          <w:tcPr>
            <w:tcW w:w="1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(605.6)</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(173.8)</w:t>
            </w:r>
          </w:p>
        </w:tc>
        <w:tc>
          <w:tcPr>
            <w:tcW w:w="2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(783.0)</w:t>
            </w: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(306.4)</w:t>
            </w:r>
          </w:p>
        </w:tc>
      </w:tr>
      <w:tr>
        <w:trPr>
          <w:trHeight w:val="209"/>
        </w:trPr>
        <w:tc>
          <w:tcPr>
            <w:tcW w:w="5320" w:type="dxa"/>
            <w:vAlign w:val="bottom"/>
            <w:gridSpan w:val="2"/>
          </w:tcPr>
          <w:p>
            <w:pPr>
              <w:spacing w:after="0"/>
              <w:rPr>
                <w:sz w:val="20"/>
                <w:szCs w:val="20"/>
                <w:color w:val="auto"/>
              </w:rPr>
            </w:pPr>
            <w:r>
              <w:rPr>
                <w:rFonts w:ascii="Arial" w:cs="Arial" w:eastAsia="Arial" w:hAnsi="Arial"/>
                <w:sz w:val="18"/>
                <w:szCs w:val="18"/>
                <w:color w:val="auto"/>
              </w:rPr>
              <w:t>Net benefits, claims and settlement expenses</w:t>
            </w:r>
          </w:p>
        </w:tc>
        <w:tc>
          <w:tcPr>
            <w:tcW w:w="18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b w:val="1"/>
                <w:bCs w:val="1"/>
                <w:color w:val="auto"/>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1,278.6</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1,812.8</w:t>
            </w:r>
          </w:p>
        </w:tc>
        <w:tc>
          <w:tcPr>
            <w:tcW w:w="200" w:type="dxa"/>
            <w:vAlign w:val="bottom"/>
          </w:tcPr>
          <w:p>
            <w:pPr>
              <w:spacing w:after="0"/>
              <w:rPr>
                <w:sz w:val="18"/>
                <w:szCs w:val="18"/>
                <w:color w:val="auto"/>
              </w:rPr>
            </w:pPr>
          </w:p>
        </w:tc>
        <w:tc>
          <w:tcPr>
            <w:tcW w:w="26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b w:val="1"/>
                <w:bCs w:val="1"/>
                <w:color w:val="auto"/>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2,738.5</w:t>
            </w:r>
          </w:p>
        </w:tc>
        <w:tc>
          <w:tcPr>
            <w:tcW w:w="200" w:type="dxa"/>
            <w:vAlign w:val="bottom"/>
          </w:tcPr>
          <w:p>
            <w:pPr>
              <w:spacing w:after="0"/>
              <w:rPr>
                <w:sz w:val="18"/>
                <w:szCs w:val="18"/>
                <w:color w:val="auto"/>
              </w:rPr>
            </w:pPr>
          </w:p>
        </w:tc>
        <w:tc>
          <w:tcPr>
            <w:tcW w:w="220" w:type="dxa"/>
            <w:vAlign w:val="bottom"/>
            <w:tcBorders>
              <w:top w:val="single" w:sz="8" w:color="auto"/>
              <w:bottom w:val="single" w:sz="8" w:color="auto"/>
            </w:tcBorders>
          </w:tcPr>
          <w:p>
            <w:pPr>
              <w:jc w:val="right"/>
              <w:ind w:right="67"/>
              <w:spacing w:after="0"/>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3,187.</w:t>
            </w:r>
            <w:r>
              <w:rPr>
                <w:rFonts w:ascii="Arial" w:cs="Arial" w:eastAsia="Arial" w:hAnsi="Arial"/>
                <w:sz w:val="18"/>
                <w:szCs w:val="18"/>
                <w:u w:val="single" w:color="auto"/>
                <w:color w:val="auto"/>
              </w:rPr>
              <w:t>5</w:t>
            </w:r>
          </w:p>
        </w:tc>
      </w:tr>
      <w:tr>
        <w:trPr>
          <w:trHeight w:val="20"/>
        </w:trPr>
        <w:tc>
          <w:tcPr>
            <w:tcW w:w="2480" w:type="dxa"/>
            <w:vAlign w:val="bottom"/>
          </w:tcPr>
          <w:p>
            <w:pPr>
              <w:spacing w:after="0" w:line="20" w:lineRule="exact"/>
              <w:rPr>
                <w:sz w:val="1"/>
                <w:szCs w:val="1"/>
                <w:color w:val="auto"/>
              </w:rPr>
            </w:pPr>
          </w:p>
        </w:tc>
        <w:tc>
          <w:tcPr>
            <w:tcW w:w="28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r>
      <w:tr>
        <w:trPr>
          <w:trHeight w:val="89"/>
        </w:trPr>
        <w:tc>
          <w:tcPr>
            <w:tcW w:w="2480" w:type="dxa"/>
            <w:vAlign w:val="bottom"/>
            <w:tcBorders>
              <w:bottom w:val="single" w:sz="8" w:color="auto"/>
            </w:tcBorders>
          </w:tcPr>
          <w:p>
            <w:pPr>
              <w:spacing w:after="0"/>
              <w:rPr>
                <w:sz w:val="7"/>
                <w:szCs w:val="7"/>
                <w:color w:val="auto"/>
              </w:rPr>
            </w:pPr>
          </w:p>
        </w:tc>
        <w:tc>
          <w:tcPr>
            <w:tcW w:w="2840" w:type="dxa"/>
            <w:vAlign w:val="bottom"/>
          </w:tcPr>
          <w:p>
            <w:pPr>
              <w:spacing w:after="0"/>
              <w:rPr>
                <w:sz w:val="7"/>
                <w:szCs w:val="7"/>
                <w:color w:val="auto"/>
              </w:rPr>
            </w:pPr>
          </w:p>
        </w:tc>
        <w:tc>
          <w:tcPr>
            <w:tcW w:w="180" w:type="dxa"/>
            <w:vAlign w:val="bottom"/>
          </w:tcPr>
          <w:p>
            <w:pPr>
              <w:spacing w:after="0"/>
              <w:rPr>
                <w:sz w:val="7"/>
                <w:szCs w:val="7"/>
                <w:color w:val="auto"/>
              </w:rPr>
            </w:pPr>
          </w:p>
        </w:tc>
        <w:tc>
          <w:tcPr>
            <w:tcW w:w="860" w:type="dxa"/>
            <w:vAlign w:val="bottom"/>
          </w:tcPr>
          <w:p>
            <w:pPr>
              <w:spacing w:after="0"/>
              <w:rPr>
                <w:sz w:val="7"/>
                <w:szCs w:val="7"/>
                <w:color w:val="auto"/>
              </w:rPr>
            </w:pPr>
          </w:p>
        </w:tc>
        <w:tc>
          <w:tcPr>
            <w:tcW w:w="80" w:type="dxa"/>
            <w:vAlign w:val="bottom"/>
          </w:tcPr>
          <w:p>
            <w:pPr>
              <w:spacing w:after="0"/>
              <w:rPr>
                <w:sz w:val="7"/>
                <w:szCs w:val="7"/>
                <w:color w:val="auto"/>
              </w:rPr>
            </w:pPr>
          </w:p>
        </w:tc>
        <w:tc>
          <w:tcPr>
            <w:tcW w:w="100" w:type="dxa"/>
            <w:vAlign w:val="bottom"/>
          </w:tcPr>
          <w:p>
            <w:pPr>
              <w:spacing w:after="0"/>
              <w:rPr>
                <w:sz w:val="7"/>
                <w:szCs w:val="7"/>
                <w:color w:val="auto"/>
              </w:rPr>
            </w:pPr>
          </w:p>
        </w:tc>
        <w:tc>
          <w:tcPr>
            <w:tcW w:w="240" w:type="dxa"/>
            <w:vAlign w:val="bottom"/>
          </w:tcPr>
          <w:p>
            <w:pPr>
              <w:spacing w:after="0"/>
              <w:rPr>
                <w:sz w:val="7"/>
                <w:szCs w:val="7"/>
                <w:color w:val="auto"/>
              </w:rPr>
            </w:pPr>
          </w:p>
        </w:tc>
        <w:tc>
          <w:tcPr>
            <w:tcW w:w="800" w:type="dxa"/>
            <w:vAlign w:val="bottom"/>
          </w:tcPr>
          <w:p>
            <w:pPr>
              <w:spacing w:after="0"/>
              <w:rPr>
                <w:sz w:val="7"/>
                <w:szCs w:val="7"/>
                <w:color w:val="auto"/>
              </w:rPr>
            </w:pPr>
          </w:p>
        </w:tc>
        <w:tc>
          <w:tcPr>
            <w:tcW w:w="200" w:type="dxa"/>
            <w:vAlign w:val="bottom"/>
          </w:tcPr>
          <w:p>
            <w:pPr>
              <w:spacing w:after="0"/>
              <w:rPr>
                <w:sz w:val="7"/>
                <w:szCs w:val="7"/>
                <w:color w:val="auto"/>
              </w:rPr>
            </w:pPr>
          </w:p>
        </w:tc>
        <w:tc>
          <w:tcPr>
            <w:tcW w:w="2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0" w:type="dxa"/>
            <w:vAlign w:val="bottom"/>
          </w:tcPr>
          <w:p>
            <w:pPr>
              <w:spacing w:after="0"/>
              <w:rPr>
                <w:sz w:val="7"/>
                <w:szCs w:val="7"/>
                <w:color w:val="auto"/>
              </w:rPr>
            </w:pPr>
          </w:p>
        </w:tc>
        <w:tc>
          <w:tcPr>
            <w:tcW w:w="220" w:type="dxa"/>
            <w:vAlign w:val="bottom"/>
          </w:tcPr>
          <w:p>
            <w:pPr>
              <w:spacing w:after="0"/>
              <w:rPr>
                <w:sz w:val="7"/>
                <w:szCs w:val="7"/>
                <w:color w:val="auto"/>
              </w:rPr>
            </w:pPr>
          </w:p>
        </w:tc>
        <w:tc>
          <w:tcPr>
            <w:tcW w:w="760" w:type="dxa"/>
            <w:vAlign w:val="bottom"/>
          </w:tcPr>
          <w:p>
            <w:pPr>
              <w:spacing w:after="0"/>
              <w:rPr>
                <w:sz w:val="7"/>
                <w:szCs w:val="7"/>
                <w:color w:val="auto"/>
              </w:rPr>
            </w:pPr>
          </w:p>
        </w:tc>
      </w:tr>
    </w:tbl>
    <w:p>
      <w:pPr>
        <w:spacing w:after="0" w:line="80" w:lineRule="exact"/>
        <w:rPr>
          <w:sz w:val="20"/>
          <w:szCs w:val="20"/>
          <w:color w:val="auto"/>
        </w:rPr>
      </w:pPr>
    </w:p>
    <w:p>
      <w:pPr>
        <w:ind w:left="340" w:right="280" w:hanging="332"/>
        <w:spacing w:after="0" w:line="277" w:lineRule="auto"/>
        <w:tabs>
          <w:tab w:leader="none" w:pos="3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ceded amounts include first quarter 2022 amounts that were ceded to Talcott Life &amp; Annuity Re during the second quarter of 2022.</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As of June 30, 2022, we had a $9,479.9 million reinsurance deposit receivable.</w:t>
      </w:r>
    </w:p>
    <w:p>
      <w:pPr>
        <w:spacing w:after="0" w:line="225" w:lineRule="exact"/>
        <w:rPr>
          <w:sz w:val="20"/>
          <w:szCs w:val="20"/>
          <w:color w:val="auto"/>
        </w:rPr>
      </w:pPr>
    </w:p>
    <w:p>
      <w:pPr>
        <w:ind w:right="560" w:firstLine="648"/>
        <w:spacing w:after="0" w:line="277" w:lineRule="auto"/>
        <w:rPr>
          <w:sz w:val="20"/>
          <w:szCs w:val="20"/>
          <w:color w:val="auto"/>
        </w:rPr>
      </w:pPr>
      <w:r>
        <w:rPr>
          <w:rFonts w:ascii="Arial" w:cs="Arial" w:eastAsia="Arial" w:hAnsi="Arial"/>
          <w:sz w:val="18"/>
          <w:szCs w:val="18"/>
          <w:color w:val="auto"/>
        </w:rPr>
        <w:t>Refer to Note 3, Investments, for information on our financing receivables valuation allowance related to the reinsurance recoverable and deposit receivable.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Cost of Reinsurance</w:t>
      </w:r>
    </w:p>
    <w:p>
      <w:pPr>
        <w:spacing w:after="0" w:line="229"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7"/>
          <w:szCs w:val="17"/>
          <w:color w:val="auto"/>
        </w:rPr>
        <w:t>A reinsurance asset or liability is established to spread the expected net reinsurance costs or profits over the expected term of the contracts. The cost of reinsurance asset and liability are reported in premiums due and other receivables and the liability for future policy benefits and claims, respectively, on the consolidated statements of financial position. The cost of reinsurance asset and liability included on the consolidated statements of financial position were as follows: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4660" w:type="dxa"/>
            <w:vAlign w:val="bottom"/>
          </w:tcPr>
          <w:p>
            <w:pPr>
              <w:spacing w:after="0"/>
              <w:rPr>
                <w:sz w:val="14"/>
                <w:szCs w:val="14"/>
                <w:color w:val="auto"/>
              </w:rPr>
            </w:pPr>
          </w:p>
        </w:tc>
        <w:tc>
          <w:tcPr>
            <w:tcW w:w="26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jc w:val="right"/>
              <w:ind w:right="99"/>
              <w:spacing w:after="0"/>
              <w:rPr>
                <w:sz w:val="20"/>
                <w:szCs w:val="20"/>
                <w:color w:val="auto"/>
              </w:rPr>
            </w:pPr>
            <w:r>
              <w:rPr>
                <w:rFonts w:ascii="Arial" w:cs="Arial" w:eastAsia="Arial" w:hAnsi="Arial"/>
                <w:sz w:val="14"/>
                <w:szCs w:val="14"/>
                <w:b w:val="1"/>
                <w:bCs w:val="1"/>
                <w:color w:val="auto"/>
                <w:w w:val="94"/>
              </w:rPr>
              <w:t>June 30, 2022</w:t>
            </w:r>
          </w:p>
        </w:tc>
        <w:tc>
          <w:tcPr>
            <w:tcW w:w="220" w:type="dxa"/>
            <w:vAlign w:val="bottom"/>
          </w:tcPr>
          <w:p>
            <w:pPr>
              <w:spacing w:after="0"/>
              <w:rPr>
                <w:sz w:val="14"/>
                <w:szCs w:val="14"/>
                <w:color w:val="auto"/>
              </w:rPr>
            </w:pPr>
          </w:p>
        </w:tc>
        <w:tc>
          <w:tcPr>
            <w:tcW w:w="118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w w:val="91"/>
              </w:rPr>
              <w:t>December 31, 2021</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4660" w:type="dxa"/>
            <w:vAlign w:val="bottom"/>
          </w:tcPr>
          <w:p>
            <w:pPr>
              <w:spacing w:after="0"/>
              <w:rPr>
                <w:sz w:val="11"/>
                <w:szCs w:val="11"/>
                <w:color w:val="auto"/>
              </w:rPr>
            </w:pPr>
          </w:p>
        </w:tc>
        <w:tc>
          <w:tcPr>
            <w:tcW w:w="2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0" w:type="dxa"/>
            <w:vAlign w:val="bottom"/>
            <w:gridSpan w:val="3"/>
          </w:tcPr>
          <w:p>
            <w:pPr>
              <w:ind w:left="820"/>
              <w:spacing w:after="0" w:line="129" w:lineRule="exact"/>
              <w:rPr>
                <w:sz w:val="20"/>
                <w:szCs w:val="20"/>
                <w:color w:val="auto"/>
              </w:rPr>
            </w:pPr>
            <w:r>
              <w:rPr>
                <w:rFonts w:ascii="Arial" w:cs="Arial" w:eastAsia="Arial" w:hAnsi="Arial"/>
                <w:sz w:val="14"/>
                <w:szCs w:val="14"/>
                <w:i w:val="1"/>
                <w:iCs w:val="1"/>
                <w:color w:val="auto"/>
              </w:rPr>
              <w:t>(in millions)</w:t>
            </w:r>
          </w:p>
        </w:tc>
        <w:tc>
          <w:tcPr>
            <w:tcW w:w="6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60" w:type="dxa"/>
            <w:vAlign w:val="bottom"/>
            <w:shd w:val="clear" w:color="auto" w:fill="CCEEFF"/>
          </w:tcPr>
          <w:p>
            <w:pPr>
              <w:spacing w:after="0"/>
              <w:rPr>
                <w:sz w:val="20"/>
                <w:szCs w:val="20"/>
                <w:color w:val="auto"/>
              </w:rPr>
            </w:pPr>
            <w:r>
              <w:rPr>
                <w:rFonts w:ascii="Arial" w:cs="Arial" w:eastAsia="Arial" w:hAnsi="Arial"/>
                <w:sz w:val="18"/>
                <w:szCs w:val="18"/>
                <w:color w:val="auto"/>
              </w:rPr>
              <w:t>Cost of reinsurance asset</w:t>
            </w:r>
          </w:p>
        </w:tc>
        <w:tc>
          <w:tcPr>
            <w:tcW w:w="27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3,727.6</w:t>
            </w:r>
          </w:p>
        </w:tc>
        <w:tc>
          <w:tcPr>
            <w:tcW w:w="74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46.5</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660" w:type="dxa"/>
            <w:vAlign w:val="bottom"/>
          </w:tcPr>
          <w:p>
            <w:pPr>
              <w:spacing w:after="0"/>
              <w:rPr>
                <w:sz w:val="18"/>
                <w:szCs w:val="18"/>
                <w:color w:val="auto"/>
              </w:rPr>
            </w:pPr>
          </w:p>
        </w:tc>
        <w:tc>
          <w:tcPr>
            <w:tcW w:w="2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660" w:type="dxa"/>
            <w:vAlign w:val="bottom"/>
            <w:shd w:val="clear" w:color="auto" w:fill="CCEEFF"/>
          </w:tcPr>
          <w:p>
            <w:pPr>
              <w:spacing w:after="0"/>
              <w:rPr>
                <w:sz w:val="20"/>
                <w:szCs w:val="20"/>
                <w:color w:val="auto"/>
              </w:rPr>
            </w:pPr>
            <w:r>
              <w:rPr>
                <w:rFonts w:ascii="Arial" w:cs="Arial" w:eastAsia="Arial" w:hAnsi="Arial"/>
                <w:sz w:val="18"/>
                <w:szCs w:val="18"/>
                <w:color w:val="auto"/>
              </w:rPr>
              <w:t>Cost of reinsurance liability</w:t>
            </w:r>
          </w:p>
        </w:tc>
        <w:tc>
          <w:tcPr>
            <w:tcW w:w="27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81.6</w:t>
            </w:r>
          </w:p>
        </w:tc>
        <w:tc>
          <w:tcPr>
            <w:tcW w:w="74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22.1</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right="260" w:firstLine="648"/>
        <w:spacing w:after="0" w:line="263" w:lineRule="auto"/>
        <w:rPr>
          <w:sz w:val="20"/>
          <w:szCs w:val="20"/>
          <w:color w:val="auto"/>
        </w:rPr>
      </w:pPr>
      <w:r>
        <w:rPr>
          <w:rFonts w:ascii="Arial" w:cs="Arial" w:eastAsia="Arial" w:hAnsi="Arial"/>
          <w:sz w:val="18"/>
          <w:szCs w:val="18"/>
          <w:color w:val="auto"/>
        </w:rPr>
        <w:t>Cost of reinsurance amortization of $49.5 million and $(4.3) million for the three months ended June 30, 2022 and 2021, and $43.7 million and $(7.6) million for the six months ended June 30, 2022 and 2021, respectively, was reported in benefits, claims and settlement expenses on the consolidated statements of operations.</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540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51" w:name="page52"/>
    <w:bookmarkEnd w:id="51"/>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Funds Withheld</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7"/>
          <w:szCs w:val="17"/>
          <w:color w:val="auto"/>
        </w:rPr>
        <w:t>The following assets were held in support of our reserves associated with our coinsurance with funds withheld agreement.</w:t>
      </w:r>
    </w:p>
    <w:p>
      <w:pPr>
        <w:spacing w:after="0" w:line="242"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85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20" w:type="dxa"/>
            <w:vAlign w:val="bottom"/>
            <w:gridSpan w:val="2"/>
          </w:tcPr>
          <w:p>
            <w:pPr>
              <w:ind w:left="80"/>
              <w:spacing w:after="0"/>
              <w:rPr>
                <w:sz w:val="20"/>
                <w:szCs w:val="20"/>
                <w:color w:val="auto"/>
              </w:rPr>
            </w:pPr>
            <w:r>
              <w:rPr>
                <w:rFonts w:ascii="Arial" w:cs="Arial" w:eastAsia="Arial" w:hAnsi="Arial"/>
                <w:sz w:val="14"/>
                <w:szCs w:val="14"/>
                <w:b w:val="1"/>
                <w:bCs w:val="1"/>
                <w:color w:val="auto"/>
              </w:rPr>
              <w:t>June 30, 2022</w:t>
            </w:r>
          </w:p>
        </w:tc>
      </w:tr>
      <w:tr>
        <w:trPr>
          <w:trHeight w:val="142"/>
        </w:trPr>
        <w:tc>
          <w:tcPr>
            <w:tcW w:w="8520" w:type="dxa"/>
            <w:vAlign w:val="bottom"/>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1200" w:type="dxa"/>
            <w:vAlign w:val="bottom"/>
            <w:tcBorders>
              <w:top w:val="single" w:sz="8" w:color="auto"/>
            </w:tcBorders>
          </w:tcPr>
          <w:p>
            <w:pPr>
              <w:jc w:val="right"/>
              <w:ind w:right="253"/>
              <w:spacing w:after="0" w:line="142" w:lineRule="exact"/>
              <w:rPr>
                <w:sz w:val="20"/>
                <w:szCs w:val="20"/>
                <w:color w:val="auto"/>
              </w:rPr>
            </w:pPr>
            <w:r>
              <w:rPr>
                <w:rFonts w:ascii="Arial" w:cs="Arial" w:eastAsia="Arial" w:hAnsi="Arial"/>
                <w:sz w:val="14"/>
                <w:szCs w:val="14"/>
                <w:i w:val="1"/>
                <w:iCs w:val="1"/>
                <w:color w:val="auto"/>
              </w:rPr>
              <w:t>(in millions)</w:t>
            </w:r>
          </w:p>
        </w:tc>
        <w:tc>
          <w:tcPr>
            <w:tcW w:w="20" w:type="dxa"/>
            <w:vAlign w:val="bottom"/>
          </w:tcPr>
          <w:p>
            <w:pPr>
              <w:spacing w:after="0"/>
              <w:rPr>
                <w:sz w:val="12"/>
                <w:szCs w:val="12"/>
                <w:color w:val="auto"/>
              </w:rPr>
            </w:pPr>
          </w:p>
        </w:tc>
      </w:tr>
      <w:tr>
        <w:trPr>
          <w:trHeight w:val="216"/>
        </w:trPr>
        <w:tc>
          <w:tcPr>
            <w:tcW w:w="8520" w:type="dxa"/>
            <w:vAlign w:val="bottom"/>
            <w:shd w:val="clear" w:color="auto" w:fill="CCEEFF"/>
          </w:tcPr>
          <w:p>
            <w:pPr>
              <w:spacing w:after="0"/>
              <w:rPr>
                <w:sz w:val="20"/>
                <w:szCs w:val="20"/>
                <w:color w:val="auto"/>
              </w:rPr>
            </w:pPr>
            <w:r>
              <w:rPr>
                <w:rFonts w:ascii="Arial" w:cs="Arial" w:eastAsia="Arial" w:hAnsi="Arial"/>
                <w:sz w:val="18"/>
                <w:szCs w:val="18"/>
                <w:color w:val="auto"/>
              </w:rPr>
              <w:t>Fixed maturities, available-for-sale</w:t>
            </w: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79"/>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19,373.0</w:t>
            </w:r>
          </w:p>
        </w:tc>
        <w:tc>
          <w:tcPr>
            <w:tcW w:w="20" w:type="dxa"/>
            <w:vAlign w:val="bottom"/>
          </w:tcPr>
          <w:p>
            <w:pPr>
              <w:spacing w:after="0"/>
              <w:rPr>
                <w:sz w:val="18"/>
                <w:szCs w:val="18"/>
                <w:color w:val="auto"/>
              </w:rPr>
            </w:pPr>
          </w:p>
        </w:tc>
      </w:tr>
      <w:tr>
        <w:trPr>
          <w:trHeight w:val="216"/>
        </w:trPr>
        <w:tc>
          <w:tcPr>
            <w:tcW w:w="8520" w:type="dxa"/>
            <w:vAlign w:val="bottom"/>
          </w:tcPr>
          <w:p>
            <w:pPr>
              <w:spacing w:after="0"/>
              <w:rPr>
                <w:sz w:val="20"/>
                <w:szCs w:val="20"/>
                <w:color w:val="auto"/>
              </w:rPr>
            </w:pPr>
            <w:r>
              <w:rPr>
                <w:rFonts w:ascii="Arial" w:cs="Arial" w:eastAsia="Arial" w:hAnsi="Arial"/>
                <w:sz w:val="18"/>
                <w:szCs w:val="18"/>
                <w:color w:val="auto"/>
              </w:rPr>
              <w:t>Fixed maturities, trading</w:t>
            </w:r>
          </w:p>
        </w:tc>
        <w:tc>
          <w:tcPr>
            <w:tcW w:w="20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b w:val="1"/>
                <w:bCs w:val="1"/>
                <w:color w:val="auto"/>
              </w:rPr>
              <w:t>5.9</w:t>
            </w:r>
          </w:p>
        </w:tc>
        <w:tc>
          <w:tcPr>
            <w:tcW w:w="20" w:type="dxa"/>
            <w:vAlign w:val="bottom"/>
          </w:tcPr>
          <w:p>
            <w:pPr>
              <w:spacing w:after="0"/>
              <w:rPr>
                <w:sz w:val="18"/>
                <w:szCs w:val="18"/>
                <w:color w:val="auto"/>
              </w:rPr>
            </w:pPr>
          </w:p>
        </w:tc>
      </w:tr>
      <w:tr>
        <w:trPr>
          <w:trHeight w:val="216"/>
        </w:trPr>
        <w:tc>
          <w:tcPr>
            <w:tcW w:w="8520" w:type="dxa"/>
            <w:vAlign w:val="bottom"/>
            <w:shd w:val="clear" w:color="auto" w:fill="CCEEFF"/>
          </w:tcPr>
          <w:p>
            <w:pPr>
              <w:spacing w:after="0"/>
              <w:rPr>
                <w:sz w:val="20"/>
                <w:szCs w:val="20"/>
                <w:color w:val="auto"/>
              </w:rPr>
            </w:pPr>
            <w:r>
              <w:rPr>
                <w:rFonts w:ascii="Arial" w:cs="Arial" w:eastAsia="Arial" w:hAnsi="Arial"/>
                <w:sz w:val="18"/>
                <w:szCs w:val="18"/>
                <w:color w:val="auto"/>
              </w:rPr>
              <w:t>Equity securities</w:t>
            </w:r>
          </w:p>
        </w:tc>
        <w:tc>
          <w:tcPr>
            <w:tcW w:w="20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10.0</w:t>
            </w:r>
          </w:p>
        </w:tc>
        <w:tc>
          <w:tcPr>
            <w:tcW w:w="20" w:type="dxa"/>
            <w:vAlign w:val="bottom"/>
          </w:tcPr>
          <w:p>
            <w:pPr>
              <w:spacing w:after="0"/>
              <w:rPr>
                <w:sz w:val="18"/>
                <w:szCs w:val="18"/>
                <w:color w:val="auto"/>
              </w:rPr>
            </w:pPr>
          </w:p>
        </w:tc>
      </w:tr>
      <w:tr>
        <w:trPr>
          <w:trHeight w:val="216"/>
        </w:trPr>
        <w:tc>
          <w:tcPr>
            <w:tcW w:w="8520" w:type="dxa"/>
            <w:vAlign w:val="bottom"/>
          </w:tcPr>
          <w:p>
            <w:pPr>
              <w:spacing w:after="0"/>
              <w:rPr>
                <w:sz w:val="20"/>
                <w:szCs w:val="20"/>
                <w:color w:val="auto"/>
              </w:rPr>
            </w:pPr>
            <w:r>
              <w:rPr>
                <w:rFonts w:ascii="Arial" w:cs="Arial" w:eastAsia="Arial" w:hAnsi="Arial"/>
                <w:sz w:val="18"/>
                <w:szCs w:val="18"/>
                <w:color w:val="auto"/>
              </w:rPr>
              <w:t>Mortgage loans</w:t>
            </w:r>
          </w:p>
        </w:tc>
        <w:tc>
          <w:tcPr>
            <w:tcW w:w="20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b w:val="1"/>
                <w:bCs w:val="1"/>
                <w:color w:val="auto"/>
              </w:rPr>
              <w:t>2,789.9</w:t>
            </w:r>
          </w:p>
        </w:tc>
        <w:tc>
          <w:tcPr>
            <w:tcW w:w="20" w:type="dxa"/>
            <w:vAlign w:val="bottom"/>
          </w:tcPr>
          <w:p>
            <w:pPr>
              <w:spacing w:after="0"/>
              <w:rPr>
                <w:sz w:val="18"/>
                <w:szCs w:val="18"/>
                <w:color w:val="auto"/>
              </w:rPr>
            </w:pPr>
          </w:p>
        </w:tc>
      </w:tr>
      <w:tr>
        <w:trPr>
          <w:trHeight w:val="216"/>
        </w:trPr>
        <w:tc>
          <w:tcPr>
            <w:tcW w:w="8520" w:type="dxa"/>
            <w:vAlign w:val="bottom"/>
            <w:shd w:val="clear" w:color="auto" w:fill="CCEEFF"/>
          </w:tcPr>
          <w:p>
            <w:pPr>
              <w:spacing w:after="0"/>
              <w:rPr>
                <w:sz w:val="20"/>
                <w:szCs w:val="20"/>
                <w:color w:val="auto"/>
              </w:rPr>
            </w:pPr>
            <w:r>
              <w:rPr>
                <w:rFonts w:ascii="Arial" w:cs="Arial" w:eastAsia="Arial" w:hAnsi="Arial"/>
                <w:sz w:val="18"/>
                <w:szCs w:val="18"/>
                <w:color w:val="auto"/>
              </w:rPr>
              <w:t>Other investments</w:t>
            </w:r>
          </w:p>
        </w:tc>
        <w:tc>
          <w:tcPr>
            <w:tcW w:w="20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1.8</w:t>
            </w:r>
          </w:p>
        </w:tc>
        <w:tc>
          <w:tcPr>
            <w:tcW w:w="20" w:type="dxa"/>
            <w:vAlign w:val="bottom"/>
          </w:tcPr>
          <w:p>
            <w:pPr>
              <w:spacing w:after="0"/>
              <w:rPr>
                <w:sz w:val="18"/>
                <w:szCs w:val="18"/>
                <w:color w:val="auto"/>
              </w:rPr>
            </w:pPr>
          </w:p>
        </w:tc>
      </w:tr>
      <w:tr>
        <w:trPr>
          <w:trHeight w:val="216"/>
        </w:trPr>
        <w:tc>
          <w:tcPr>
            <w:tcW w:w="8520" w:type="dxa"/>
            <w:vAlign w:val="bottom"/>
          </w:tcPr>
          <w:p>
            <w:pPr>
              <w:spacing w:after="0"/>
              <w:rPr>
                <w:sz w:val="20"/>
                <w:szCs w:val="20"/>
                <w:color w:val="auto"/>
              </w:rPr>
            </w:pPr>
            <w:r>
              <w:rPr>
                <w:rFonts w:ascii="Arial" w:cs="Arial" w:eastAsia="Arial" w:hAnsi="Arial"/>
                <w:sz w:val="18"/>
                <w:szCs w:val="18"/>
                <w:color w:val="auto"/>
              </w:rPr>
              <w:t>Cash and cash equivalents</w:t>
            </w:r>
          </w:p>
        </w:tc>
        <w:tc>
          <w:tcPr>
            <w:tcW w:w="20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b w:val="1"/>
                <w:bCs w:val="1"/>
                <w:color w:val="auto"/>
              </w:rPr>
              <w:t>400.3</w:t>
            </w:r>
          </w:p>
        </w:tc>
        <w:tc>
          <w:tcPr>
            <w:tcW w:w="20" w:type="dxa"/>
            <w:vAlign w:val="bottom"/>
          </w:tcPr>
          <w:p>
            <w:pPr>
              <w:spacing w:after="0"/>
              <w:rPr>
                <w:sz w:val="18"/>
                <w:szCs w:val="18"/>
                <w:color w:val="auto"/>
              </w:rPr>
            </w:pPr>
          </w:p>
        </w:tc>
      </w:tr>
      <w:tr>
        <w:trPr>
          <w:trHeight w:val="216"/>
        </w:trPr>
        <w:tc>
          <w:tcPr>
            <w:tcW w:w="8520" w:type="dxa"/>
            <w:vAlign w:val="bottom"/>
            <w:shd w:val="clear" w:color="auto" w:fill="CCEEFF"/>
          </w:tcPr>
          <w:p>
            <w:pPr>
              <w:spacing w:after="0"/>
              <w:rPr>
                <w:sz w:val="20"/>
                <w:szCs w:val="20"/>
                <w:color w:val="auto"/>
              </w:rPr>
            </w:pPr>
            <w:r>
              <w:rPr>
                <w:rFonts w:ascii="Arial" w:cs="Arial" w:eastAsia="Arial" w:hAnsi="Arial"/>
                <w:sz w:val="18"/>
                <w:szCs w:val="18"/>
                <w:color w:val="auto"/>
              </w:rPr>
              <w:t>Accrued interest income</w:t>
            </w:r>
          </w:p>
        </w:tc>
        <w:tc>
          <w:tcPr>
            <w:tcW w:w="20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176.8</w:t>
            </w:r>
          </w:p>
        </w:tc>
        <w:tc>
          <w:tcPr>
            <w:tcW w:w="20" w:type="dxa"/>
            <w:vAlign w:val="bottom"/>
          </w:tcPr>
          <w:p>
            <w:pPr>
              <w:spacing w:after="0"/>
              <w:rPr>
                <w:sz w:val="18"/>
                <w:szCs w:val="18"/>
                <w:color w:val="auto"/>
              </w:rPr>
            </w:pPr>
          </w:p>
        </w:tc>
      </w:tr>
      <w:tr>
        <w:trPr>
          <w:trHeight w:val="216"/>
        </w:trPr>
        <w:tc>
          <w:tcPr>
            <w:tcW w:w="85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Net other assets (liabilities)</w:t>
            </w:r>
          </w:p>
        </w:tc>
        <w:tc>
          <w:tcPr>
            <w:tcW w:w="20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(114.2)</w:t>
            </w:r>
          </w:p>
        </w:tc>
        <w:tc>
          <w:tcPr>
            <w:tcW w:w="20" w:type="dxa"/>
            <w:vAlign w:val="bottom"/>
          </w:tcPr>
          <w:p>
            <w:pPr>
              <w:spacing w:after="0"/>
              <w:rPr>
                <w:sz w:val="18"/>
                <w:szCs w:val="18"/>
                <w:color w:val="auto"/>
              </w:rPr>
            </w:pPr>
          </w:p>
        </w:tc>
      </w:tr>
      <w:tr>
        <w:trPr>
          <w:trHeight w:val="209"/>
        </w:trPr>
        <w:tc>
          <w:tcPr>
            <w:tcW w:w="852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Net assets</w:t>
            </w:r>
          </w:p>
        </w:tc>
        <w:tc>
          <w:tcPr>
            <w:tcW w:w="2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79"/>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22,643.5</w:t>
            </w:r>
          </w:p>
        </w:tc>
        <w:tc>
          <w:tcPr>
            <w:tcW w:w="20" w:type="dxa"/>
            <w:vAlign w:val="bottom"/>
          </w:tcPr>
          <w:p>
            <w:pPr>
              <w:spacing w:after="0"/>
              <w:rPr>
                <w:sz w:val="18"/>
                <w:szCs w:val="18"/>
                <w:color w:val="auto"/>
              </w:rPr>
            </w:pPr>
          </w:p>
        </w:tc>
      </w:tr>
      <w:tr>
        <w:trPr>
          <w:trHeight w:val="20"/>
        </w:trPr>
        <w:tc>
          <w:tcPr>
            <w:tcW w:w="85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02" w:lineRule="exact"/>
        <w:rPr>
          <w:sz w:val="20"/>
          <w:szCs w:val="20"/>
          <w:color w:val="auto"/>
        </w:rPr>
      </w:pPr>
    </w:p>
    <w:p>
      <w:pPr>
        <w:ind w:right="40" w:firstLine="648"/>
        <w:spacing w:after="0" w:line="311" w:lineRule="auto"/>
        <w:rPr>
          <w:sz w:val="20"/>
          <w:szCs w:val="20"/>
          <w:color w:val="auto"/>
        </w:rPr>
      </w:pPr>
      <w:r>
        <w:rPr>
          <w:rFonts w:ascii="Arial" w:cs="Arial" w:eastAsia="Arial" w:hAnsi="Arial"/>
          <w:sz w:val="16"/>
          <w:szCs w:val="16"/>
          <w:color w:val="auto"/>
        </w:rPr>
        <w:t>Certain assets are reported at amortized cost while the fair value of those assets is reflected in the funds withheld liability. We had a $22,530.8 million funds withheld payable as of June 30, 2022, which was net of a $3,067.3 million embedded derivative asset. The change in fair value of the embedded derivative was a $3,067.3 million gain for both the three and six months ended June 30, 2022.</w:t>
      </w:r>
    </w:p>
    <w:p>
      <w:pPr>
        <w:spacing w:after="0" w:line="149" w:lineRule="exact"/>
        <w:rPr>
          <w:sz w:val="20"/>
          <w:szCs w:val="20"/>
          <w:color w:val="auto"/>
        </w:rPr>
      </w:pPr>
    </w:p>
    <w:p>
      <w:pPr>
        <w:ind w:right="60" w:firstLine="648"/>
        <w:spacing w:after="0" w:line="275" w:lineRule="auto"/>
        <w:rPr>
          <w:sz w:val="20"/>
          <w:szCs w:val="20"/>
          <w:color w:val="auto"/>
        </w:rPr>
      </w:pPr>
      <w:r>
        <w:rPr>
          <w:rFonts w:ascii="Arial" w:cs="Arial" w:eastAsia="Arial" w:hAnsi="Arial"/>
          <w:sz w:val="17"/>
          <w:szCs w:val="17"/>
          <w:color w:val="auto"/>
        </w:rPr>
        <w:t>While the economic benefits of the funds withheld assets flow to Talcott Life &amp; Annuity Re, we retain physical possession and legal ownership of the assets. Guidelines are in place to ensure the investment risk is appropriately managed. Net investment income and net realized capital gains (losses) related to the assets on the consolidated statements of operations is reported net of the amounts that flow to Talcott Life &amp; Annuity Re. The realized gains and losses that do not flow to Talcott Life &amp; Annuity Re are reported in net realized capital gains (losses) on funds withheld assets on the consolidated statements of operations.</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Income Taxes</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Effective Income Tax Rate</w:t>
      </w:r>
    </w:p>
    <w:p>
      <w:pPr>
        <w:spacing w:after="0" w:line="14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Our provision for income taxes may not have the customary relationship of taxes to income. A reconciliation between the U.S.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corporate income tax rate and the effective income tax rate was as follows:</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3940" w:type="dxa"/>
            <w:vAlign w:val="bottom"/>
          </w:tcPr>
          <w:p>
            <w:pPr>
              <w:spacing w:after="0"/>
              <w:rPr>
                <w:sz w:val="14"/>
                <w:szCs w:val="14"/>
                <w:color w:val="auto"/>
              </w:rPr>
            </w:pPr>
          </w:p>
        </w:tc>
        <w:tc>
          <w:tcPr>
            <w:tcW w:w="2040" w:type="dxa"/>
            <w:vAlign w:val="bottom"/>
          </w:tcPr>
          <w:p>
            <w:pPr>
              <w:spacing w:after="0"/>
              <w:rPr>
                <w:sz w:val="14"/>
                <w:szCs w:val="14"/>
                <w:color w:val="auto"/>
              </w:rPr>
            </w:pPr>
          </w:p>
        </w:tc>
        <w:tc>
          <w:tcPr>
            <w:tcW w:w="2020" w:type="dxa"/>
            <w:vAlign w:val="bottom"/>
            <w:gridSpan w:val="5"/>
          </w:tcPr>
          <w:p>
            <w:pPr>
              <w:jc w:val="center"/>
              <w:ind w:right="150"/>
              <w:spacing w:after="0"/>
              <w:rPr>
                <w:sz w:val="20"/>
                <w:szCs w:val="20"/>
                <w:color w:val="auto"/>
              </w:rPr>
            </w:pPr>
            <w:r>
              <w:rPr>
                <w:rFonts w:ascii="Arial" w:cs="Arial" w:eastAsia="Arial" w:hAnsi="Arial"/>
                <w:sz w:val="14"/>
                <w:szCs w:val="14"/>
                <w:b w:val="1"/>
                <w:bCs w:val="1"/>
                <w:color w:val="auto"/>
                <w:w w:val="91"/>
              </w:rPr>
              <w:t>For the three months ended</w:t>
            </w:r>
          </w:p>
        </w:tc>
        <w:tc>
          <w:tcPr>
            <w:tcW w:w="1920" w:type="dxa"/>
            <w:vAlign w:val="bottom"/>
            <w:gridSpan w:val="5"/>
          </w:tcPr>
          <w:p>
            <w:pPr>
              <w:jc w:val="center"/>
              <w:ind w:right="90"/>
              <w:spacing w:after="0"/>
              <w:rPr>
                <w:sz w:val="20"/>
                <w:szCs w:val="20"/>
                <w:color w:val="auto"/>
              </w:rPr>
            </w:pPr>
            <w:r>
              <w:rPr>
                <w:rFonts w:ascii="Arial" w:cs="Arial" w:eastAsia="Arial" w:hAnsi="Arial"/>
                <w:sz w:val="14"/>
                <w:szCs w:val="14"/>
                <w:b w:val="1"/>
                <w:bCs w:val="1"/>
                <w:color w:val="auto"/>
                <w:w w:val="90"/>
              </w:rPr>
              <w:t>For the six months ended</w:t>
            </w:r>
          </w:p>
        </w:tc>
        <w:tc>
          <w:tcPr>
            <w:tcW w:w="0" w:type="dxa"/>
            <w:vAlign w:val="bottom"/>
          </w:tcPr>
          <w:p>
            <w:pPr>
              <w:spacing w:after="0"/>
              <w:rPr>
                <w:sz w:val="1"/>
                <w:szCs w:val="1"/>
                <w:color w:val="auto"/>
              </w:rPr>
            </w:pPr>
          </w:p>
        </w:tc>
      </w:tr>
      <w:tr>
        <w:trPr>
          <w:trHeight w:val="171"/>
        </w:trPr>
        <w:tc>
          <w:tcPr>
            <w:tcW w:w="3940" w:type="dxa"/>
            <w:vAlign w:val="bottom"/>
          </w:tcPr>
          <w:p>
            <w:pPr>
              <w:spacing w:after="0"/>
              <w:rPr>
                <w:sz w:val="14"/>
                <w:szCs w:val="14"/>
                <w:color w:val="auto"/>
              </w:rPr>
            </w:pPr>
          </w:p>
        </w:tc>
        <w:tc>
          <w:tcPr>
            <w:tcW w:w="2040" w:type="dxa"/>
            <w:vAlign w:val="bottom"/>
          </w:tcPr>
          <w:p>
            <w:pPr>
              <w:spacing w:after="0"/>
              <w:rPr>
                <w:sz w:val="14"/>
                <w:szCs w:val="14"/>
                <w:color w:val="auto"/>
              </w:rPr>
            </w:pPr>
          </w:p>
        </w:tc>
        <w:tc>
          <w:tcPr>
            <w:tcW w:w="1200" w:type="dxa"/>
            <w:vAlign w:val="bottom"/>
            <w:tcBorders>
              <w:bottom w:val="single" w:sz="8" w:color="auto"/>
            </w:tcBorders>
            <w:gridSpan w:val="3"/>
          </w:tcPr>
          <w:p>
            <w:pPr>
              <w:jc w:val="center"/>
              <w:ind w:left="456"/>
              <w:spacing w:after="0"/>
              <w:rPr>
                <w:sz w:val="20"/>
                <w:szCs w:val="20"/>
                <w:color w:val="auto"/>
              </w:rPr>
            </w:pPr>
            <w:r>
              <w:rPr>
                <w:rFonts w:ascii="Arial" w:cs="Arial" w:eastAsia="Arial" w:hAnsi="Arial"/>
                <w:sz w:val="14"/>
                <w:szCs w:val="14"/>
                <w:b w:val="1"/>
                <w:bCs w:val="1"/>
                <w:color w:val="auto"/>
                <w:w w:val="89"/>
              </w:rPr>
              <w:t>June 30,</w:t>
            </w:r>
          </w:p>
        </w:tc>
        <w:tc>
          <w:tcPr>
            <w:tcW w:w="560" w:type="dxa"/>
            <w:vAlign w:val="bottom"/>
            <w:tcBorders>
              <w:bottom w:val="single" w:sz="8" w:color="auto"/>
            </w:tcBorders>
          </w:tcPr>
          <w:p>
            <w:pPr>
              <w:spacing w:after="0"/>
              <w:rPr>
                <w:sz w:val="14"/>
                <w:szCs w:val="14"/>
                <w:color w:val="auto"/>
              </w:rPr>
            </w:pPr>
          </w:p>
        </w:tc>
        <w:tc>
          <w:tcPr>
            <w:tcW w:w="260" w:type="dxa"/>
            <w:vAlign w:val="bottom"/>
          </w:tcPr>
          <w:p>
            <w:pPr>
              <w:spacing w:after="0"/>
              <w:rPr>
                <w:sz w:val="14"/>
                <w:szCs w:val="14"/>
                <w:color w:val="auto"/>
              </w:rPr>
            </w:pPr>
          </w:p>
        </w:tc>
        <w:tc>
          <w:tcPr>
            <w:tcW w:w="1260" w:type="dxa"/>
            <w:vAlign w:val="bottom"/>
            <w:tcBorders>
              <w:bottom w:val="single" w:sz="8" w:color="auto"/>
            </w:tcBorders>
            <w:gridSpan w:val="3"/>
          </w:tcPr>
          <w:p>
            <w:pPr>
              <w:jc w:val="center"/>
              <w:ind w:left="375"/>
              <w:spacing w:after="0"/>
              <w:rPr>
                <w:sz w:val="20"/>
                <w:szCs w:val="20"/>
                <w:color w:val="auto"/>
              </w:rPr>
            </w:pPr>
            <w:r>
              <w:rPr>
                <w:rFonts w:ascii="Arial" w:cs="Arial" w:eastAsia="Arial" w:hAnsi="Arial"/>
                <w:sz w:val="14"/>
                <w:szCs w:val="14"/>
                <w:b w:val="1"/>
                <w:bCs w:val="1"/>
                <w:color w:val="auto"/>
                <w:w w:val="92"/>
              </w:rPr>
              <w:t>June 30,</w:t>
            </w:r>
          </w:p>
        </w:tc>
        <w:tc>
          <w:tcPr>
            <w:tcW w:w="480" w:type="dxa"/>
            <w:vAlign w:val="bottom"/>
            <w:tcBorders>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3940" w:type="dxa"/>
            <w:vAlign w:val="bottom"/>
            <w:tcBorders>
              <w:bottom w:val="single" w:sz="8" w:color="CCEEFF"/>
            </w:tcBorders>
          </w:tcPr>
          <w:p>
            <w:pPr>
              <w:spacing w:after="0"/>
              <w:rPr>
                <w:sz w:val="12"/>
                <w:szCs w:val="12"/>
                <w:color w:val="auto"/>
              </w:rPr>
            </w:pPr>
          </w:p>
        </w:tc>
        <w:tc>
          <w:tcPr>
            <w:tcW w:w="2040" w:type="dxa"/>
            <w:vAlign w:val="bottom"/>
            <w:tcBorders>
              <w:bottom w:val="single" w:sz="8" w:color="CCEEFF"/>
            </w:tcBorders>
          </w:tcPr>
          <w:p>
            <w:pPr>
              <w:spacing w:after="0"/>
              <w:rPr>
                <w:sz w:val="12"/>
                <w:szCs w:val="12"/>
                <w:color w:val="auto"/>
              </w:rPr>
            </w:pPr>
          </w:p>
        </w:tc>
        <w:tc>
          <w:tcPr>
            <w:tcW w:w="740" w:type="dxa"/>
            <w:vAlign w:val="bottom"/>
            <w:tcBorders>
              <w:bottom w:val="single" w:sz="8" w:color="auto"/>
            </w:tcBorders>
          </w:tcPr>
          <w:p>
            <w:pPr>
              <w:jc w:val="right"/>
              <w:ind w:right="136"/>
              <w:spacing w:after="0" w:line="142" w:lineRule="exact"/>
              <w:rPr>
                <w:sz w:val="20"/>
                <w:szCs w:val="20"/>
                <w:color w:val="auto"/>
              </w:rPr>
            </w:pPr>
            <w:r>
              <w:rPr>
                <w:rFonts w:ascii="Arial" w:cs="Arial" w:eastAsia="Arial" w:hAnsi="Arial"/>
                <w:sz w:val="14"/>
                <w:szCs w:val="14"/>
                <w:b w:val="1"/>
                <w:bCs w:val="1"/>
                <w:color w:val="auto"/>
              </w:rPr>
              <w:t>2022</w:t>
            </w:r>
          </w:p>
        </w:tc>
        <w:tc>
          <w:tcPr>
            <w:tcW w:w="300" w:type="dxa"/>
            <w:vAlign w:val="bottom"/>
            <w:tcBorders>
              <w:bottom w:val="single" w:sz="8" w:color="CCEEFF"/>
            </w:tcBorders>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ind w:right="112"/>
              <w:spacing w:after="0" w:line="142" w:lineRule="exact"/>
              <w:rPr>
                <w:sz w:val="20"/>
                <w:szCs w:val="20"/>
                <w:color w:val="auto"/>
              </w:rPr>
            </w:pPr>
            <w:r>
              <w:rPr>
                <w:rFonts w:ascii="Arial" w:cs="Arial" w:eastAsia="Arial" w:hAnsi="Arial"/>
                <w:sz w:val="14"/>
                <w:szCs w:val="14"/>
                <w:b w:val="1"/>
                <w:bCs w:val="1"/>
                <w:color w:val="auto"/>
              </w:rPr>
              <w:t>2021</w:t>
            </w:r>
          </w:p>
        </w:tc>
        <w:tc>
          <w:tcPr>
            <w:tcW w:w="260" w:type="dxa"/>
            <w:vAlign w:val="bottom"/>
            <w:tcBorders>
              <w:bottom w:val="single" w:sz="8" w:color="CCEEFF"/>
            </w:tcBorders>
          </w:tcPr>
          <w:p>
            <w:pPr>
              <w:spacing w:after="0"/>
              <w:rPr>
                <w:sz w:val="12"/>
                <w:szCs w:val="12"/>
                <w:color w:val="auto"/>
              </w:rPr>
            </w:pPr>
          </w:p>
        </w:tc>
        <w:tc>
          <w:tcPr>
            <w:tcW w:w="720" w:type="dxa"/>
            <w:vAlign w:val="bottom"/>
            <w:tcBorders>
              <w:bottom w:val="single" w:sz="8" w:color="auto"/>
            </w:tcBorders>
          </w:tcPr>
          <w:p>
            <w:pPr>
              <w:jc w:val="right"/>
              <w:ind w:right="135"/>
              <w:spacing w:after="0" w:line="142" w:lineRule="exact"/>
              <w:rPr>
                <w:sz w:val="20"/>
                <w:szCs w:val="20"/>
                <w:color w:val="auto"/>
              </w:rPr>
            </w:pPr>
            <w:r>
              <w:rPr>
                <w:rFonts w:ascii="Arial" w:cs="Arial" w:eastAsia="Arial" w:hAnsi="Arial"/>
                <w:sz w:val="14"/>
                <w:szCs w:val="14"/>
                <w:b w:val="1"/>
                <w:bCs w:val="1"/>
                <w:color w:val="auto"/>
              </w:rPr>
              <w:t>2022</w:t>
            </w:r>
          </w:p>
        </w:tc>
        <w:tc>
          <w:tcPr>
            <w:tcW w:w="300" w:type="dxa"/>
            <w:vAlign w:val="bottom"/>
            <w:tcBorders>
              <w:bottom w:val="single" w:sz="8" w:color="CCEEFF"/>
            </w:tcBorders>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4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2021</w:t>
            </w:r>
          </w:p>
        </w:tc>
        <w:tc>
          <w:tcPr>
            <w:tcW w:w="18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U.S. corporate income tax rate</w:t>
            </w:r>
          </w:p>
        </w:tc>
        <w:tc>
          <w:tcPr>
            <w:tcW w:w="204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21</w:t>
            </w:r>
          </w:p>
        </w:tc>
        <w:tc>
          <w:tcPr>
            <w:tcW w:w="300" w:type="dxa"/>
            <w:vAlign w:val="bottom"/>
            <w:shd w:val="clear" w:color="auto" w:fill="CCEEFF"/>
          </w:tcPr>
          <w:p>
            <w:pPr>
              <w:jc w:val="right"/>
              <w:ind w:right="30"/>
              <w:spacing w:after="0"/>
              <w:rPr>
                <w:sz w:val="20"/>
                <w:szCs w:val="20"/>
                <w:color w:val="auto"/>
              </w:rPr>
            </w:pPr>
            <w:r>
              <w:rPr>
                <w:rFonts w:ascii="Arial" w:cs="Arial" w:eastAsia="Arial" w:hAnsi="Arial"/>
                <w:sz w:val="18"/>
                <w:szCs w:val="18"/>
                <w:b w:val="1"/>
                <w:bCs w:val="1"/>
                <w:color w:val="auto"/>
                <w:w w:val="99"/>
              </w:rPr>
              <w:t>%</w:t>
            </w:r>
          </w:p>
        </w:tc>
        <w:tc>
          <w:tcPr>
            <w:tcW w:w="16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w:t>
            </w:r>
          </w:p>
        </w:tc>
        <w:tc>
          <w:tcPr>
            <w:tcW w:w="2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87"/>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21</w:t>
            </w:r>
          </w:p>
        </w:tc>
        <w:tc>
          <w:tcPr>
            <w:tcW w:w="300" w:type="dxa"/>
            <w:vAlign w:val="bottom"/>
            <w:shd w:val="clear" w:color="auto" w:fill="CCEEFF"/>
          </w:tcPr>
          <w:p>
            <w:pPr>
              <w:jc w:val="right"/>
              <w:ind w:right="30"/>
              <w:spacing w:after="0"/>
              <w:rPr>
                <w:sz w:val="20"/>
                <w:szCs w:val="20"/>
                <w:color w:val="auto"/>
              </w:rPr>
            </w:pPr>
            <w:r>
              <w:rPr>
                <w:rFonts w:ascii="Arial" w:cs="Arial" w:eastAsia="Arial" w:hAnsi="Arial"/>
                <w:sz w:val="18"/>
                <w:szCs w:val="18"/>
                <w:b w:val="1"/>
                <w:bCs w:val="1"/>
                <w:color w:val="auto"/>
                <w:w w:val="99"/>
              </w:rPr>
              <w:t>%</w:t>
            </w:r>
          </w:p>
        </w:tc>
        <w:tc>
          <w:tcPr>
            <w:tcW w:w="24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w:t>
            </w:r>
          </w:p>
        </w:tc>
        <w:tc>
          <w:tcPr>
            <w:tcW w:w="0" w:type="dxa"/>
            <w:vAlign w:val="bottom"/>
          </w:tcPr>
          <w:p>
            <w:pPr>
              <w:spacing w:after="0"/>
              <w:rPr>
                <w:sz w:val="1"/>
                <w:szCs w:val="1"/>
                <w:color w:val="auto"/>
              </w:rPr>
            </w:pPr>
          </w:p>
        </w:tc>
      </w:tr>
      <w:tr>
        <w:trPr>
          <w:trHeight w:val="216"/>
        </w:trPr>
        <w:tc>
          <w:tcPr>
            <w:tcW w:w="3940" w:type="dxa"/>
            <w:vAlign w:val="bottom"/>
          </w:tcPr>
          <w:p>
            <w:pPr>
              <w:spacing w:after="0"/>
              <w:rPr>
                <w:sz w:val="20"/>
                <w:szCs w:val="20"/>
                <w:color w:val="auto"/>
              </w:rPr>
            </w:pPr>
            <w:r>
              <w:rPr>
                <w:rFonts w:ascii="Arial" w:cs="Arial" w:eastAsia="Arial" w:hAnsi="Arial"/>
                <w:sz w:val="18"/>
                <w:szCs w:val="18"/>
                <w:color w:val="auto"/>
              </w:rPr>
              <w:t>Dividends received deduction</w:t>
            </w:r>
          </w:p>
        </w:tc>
        <w:tc>
          <w:tcPr>
            <w:tcW w:w="3080" w:type="dxa"/>
            <w:vAlign w:val="bottom"/>
            <w:gridSpan w:val="3"/>
          </w:tcPr>
          <w:p>
            <w:pPr>
              <w:jc w:val="right"/>
              <w:ind w:right="210"/>
              <w:spacing w:after="0"/>
              <w:rPr>
                <w:sz w:val="20"/>
                <w:szCs w:val="20"/>
                <w:color w:val="auto"/>
              </w:rPr>
            </w:pPr>
            <w:r>
              <w:rPr>
                <w:rFonts w:ascii="Arial" w:cs="Arial" w:eastAsia="Arial" w:hAnsi="Arial"/>
                <w:sz w:val="18"/>
                <w:szCs w:val="18"/>
                <w:b w:val="1"/>
                <w:bCs w:val="1"/>
                <w:color w:val="auto"/>
              </w:rPr>
              <w:t>(1)</w:t>
            </w:r>
          </w:p>
        </w:tc>
        <w:tc>
          <w:tcPr>
            <w:tcW w:w="160" w:type="dxa"/>
            <w:vAlign w:val="bottom"/>
          </w:tcPr>
          <w:p>
            <w:pPr>
              <w:spacing w:after="0"/>
              <w:rPr>
                <w:sz w:val="18"/>
                <w:szCs w:val="18"/>
                <w:color w:val="auto"/>
              </w:rPr>
            </w:pPr>
          </w:p>
        </w:tc>
        <w:tc>
          <w:tcPr>
            <w:tcW w:w="820" w:type="dxa"/>
            <w:vAlign w:val="bottom"/>
            <w:gridSpan w:val="2"/>
          </w:tcPr>
          <w:p>
            <w:pPr>
              <w:jc w:val="right"/>
              <w:ind w:right="170"/>
              <w:spacing w:after="0"/>
              <w:rPr>
                <w:sz w:val="20"/>
                <w:szCs w:val="20"/>
                <w:color w:val="auto"/>
              </w:rPr>
            </w:pPr>
            <w:r>
              <w:rPr>
                <w:rFonts w:ascii="Arial" w:cs="Arial" w:eastAsia="Arial" w:hAnsi="Arial"/>
                <w:sz w:val="18"/>
                <w:szCs w:val="18"/>
                <w:color w:val="auto"/>
              </w:rPr>
              <w:t>(4)</w:t>
            </w:r>
          </w:p>
        </w:tc>
        <w:tc>
          <w:tcPr>
            <w:tcW w:w="1020" w:type="dxa"/>
            <w:vAlign w:val="bottom"/>
            <w:gridSpan w:val="2"/>
          </w:tcPr>
          <w:p>
            <w:pPr>
              <w:jc w:val="right"/>
              <w:ind w:right="210"/>
              <w:spacing w:after="0"/>
              <w:rPr>
                <w:sz w:val="20"/>
                <w:szCs w:val="20"/>
                <w:color w:val="auto"/>
              </w:rPr>
            </w:pPr>
            <w:r>
              <w:rPr>
                <w:rFonts w:ascii="Arial" w:cs="Arial" w:eastAsia="Arial" w:hAnsi="Arial"/>
                <w:sz w:val="18"/>
                <w:szCs w:val="18"/>
                <w:b w:val="1"/>
                <w:bCs w:val="1"/>
                <w:color w:val="auto"/>
              </w:rPr>
              <w:t>(1)</w:t>
            </w:r>
          </w:p>
        </w:tc>
        <w:tc>
          <w:tcPr>
            <w:tcW w:w="240" w:type="dxa"/>
            <w:vAlign w:val="bottom"/>
          </w:tcPr>
          <w:p>
            <w:pPr>
              <w:spacing w:after="0"/>
              <w:rPr>
                <w:sz w:val="18"/>
                <w:szCs w:val="18"/>
                <w:color w:val="auto"/>
              </w:rPr>
            </w:pPr>
          </w:p>
        </w:tc>
        <w:tc>
          <w:tcPr>
            <w:tcW w:w="660" w:type="dxa"/>
            <w:vAlign w:val="bottom"/>
            <w:gridSpan w:val="2"/>
          </w:tcPr>
          <w:p>
            <w:pPr>
              <w:jc w:val="right"/>
              <w:ind w:right="9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16"/>
        </w:trPr>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Tax credits</w:t>
            </w:r>
          </w:p>
        </w:tc>
        <w:tc>
          <w:tcPr>
            <w:tcW w:w="2040" w:type="dxa"/>
            <w:vAlign w:val="bottom"/>
            <w:shd w:val="clear" w:color="auto" w:fill="CCEEFF"/>
          </w:tcPr>
          <w:p>
            <w:pPr>
              <w:spacing w:after="0"/>
              <w:rPr>
                <w:sz w:val="18"/>
                <w:szCs w:val="18"/>
                <w:color w:val="auto"/>
              </w:rPr>
            </w:pPr>
          </w:p>
        </w:tc>
        <w:tc>
          <w:tcPr>
            <w:tcW w:w="1200" w:type="dxa"/>
            <w:vAlign w:val="bottom"/>
            <w:gridSpan w:val="3"/>
            <w:shd w:val="clear" w:color="auto" w:fill="CCEEFF"/>
          </w:tcPr>
          <w:p>
            <w:pPr>
              <w:jc w:val="right"/>
              <w:ind w:right="520"/>
              <w:spacing w:after="0"/>
              <w:rPr>
                <w:sz w:val="20"/>
                <w:szCs w:val="20"/>
                <w:color w:val="auto"/>
              </w:rPr>
            </w:pPr>
            <w:r>
              <w:rPr>
                <w:rFonts w:ascii="Arial" w:cs="Arial" w:eastAsia="Arial" w:hAnsi="Arial"/>
                <w:sz w:val="18"/>
                <w:szCs w:val="18"/>
                <w:b w:val="1"/>
                <w:bCs w:val="1"/>
                <w:color w:val="auto"/>
              </w:rPr>
              <w:t>—</w:t>
            </w:r>
          </w:p>
        </w:tc>
        <w:tc>
          <w:tcPr>
            <w:tcW w:w="820" w:type="dxa"/>
            <w:vAlign w:val="bottom"/>
            <w:gridSpan w:val="2"/>
            <w:shd w:val="clear" w:color="auto" w:fill="CCEEFF"/>
          </w:tcPr>
          <w:p>
            <w:pPr>
              <w:jc w:val="right"/>
              <w:ind w:right="170"/>
              <w:spacing w:after="0"/>
              <w:rPr>
                <w:sz w:val="20"/>
                <w:szCs w:val="20"/>
                <w:color w:val="auto"/>
              </w:rPr>
            </w:pPr>
            <w:r>
              <w:rPr>
                <w:rFonts w:ascii="Arial" w:cs="Arial" w:eastAsia="Arial" w:hAnsi="Arial"/>
                <w:sz w:val="18"/>
                <w:szCs w:val="18"/>
                <w:color w:val="auto"/>
              </w:rPr>
              <w:t>(3)</w:t>
            </w:r>
          </w:p>
        </w:tc>
        <w:tc>
          <w:tcPr>
            <w:tcW w:w="1020" w:type="dxa"/>
            <w:vAlign w:val="bottom"/>
            <w:gridSpan w:val="2"/>
            <w:shd w:val="clear" w:color="auto" w:fill="CCEEFF"/>
          </w:tcPr>
          <w:p>
            <w:pPr>
              <w:jc w:val="right"/>
              <w:ind w:right="210"/>
              <w:spacing w:after="0"/>
              <w:rPr>
                <w:sz w:val="20"/>
                <w:szCs w:val="20"/>
                <w:color w:val="auto"/>
              </w:rPr>
            </w:pPr>
            <w:r>
              <w:rPr>
                <w:rFonts w:ascii="Arial" w:cs="Arial" w:eastAsia="Arial" w:hAnsi="Arial"/>
                <w:sz w:val="18"/>
                <w:szCs w:val="18"/>
                <w:b w:val="1"/>
                <w:bCs w:val="1"/>
                <w:color w:val="auto"/>
              </w:rPr>
              <w:t>(1)</w:t>
            </w:r>
          </w:p>
        </w:tc>
        <w:tc>
          <w:tcPr>
            <w:tcW w:w="24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9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6"/>
        </w:trPr>
        <w:tc>
          <w:tcPr>
            <w:tcW w:w="3940" w:type="dxa"/>
            <w:vAlign w:val="bottom"/>
          </w:tcPr>
          <w:p>
            <w:pPr>
              <w:spacing w:after="0"/>
              <w:rPr>
                <w:sz w:val="20"/>
                <w:szCs w:val="20"/>
                <w:color w:val="auto"/>
              </w:rPr>
            </w:pPr>
            <w:r>
              <w:rPr>
                <w:rFonts w:ascii="Arial" w:cs="Arial" w:eastAsia="Arial" w:hAnsi="Arial"/>
                <w:sz w:val="18"/>
                <w:szCs w:val="18"/>
                <w:color w:val="auto"/>
              </w:rPr>
              <w:t>Interest exclusion from taxable income</w:t>
            </w:r>
          </w:p>
        </w:tc>
        <w:tc>
          <w:tcPr>
            <w:tcW w:w="2040" w:type="dxa"/>
            <w:vAlign w:val="bottom"/>
          </w:tcPr>
          <w:p>
            <w:pPr>
              <w:spacing w:after="0"/>
              <w:rPr>
                <w:sz w:val="18"/>
                <w:szCs w:val="18"/>
                <w:color w:val="auto"/>
              </w:rPr>
            </w:pPr>
          </w:p>
        </w:tc>
        <w:tc>
          <w:tcPr>
            <w:tcW w:w="1200" w:type="dxa"/>
            <w:vAlign w:val="bottom"/>
            <w:gridSpan w:val="3"/>
          </w:tcPr>
          <w:p>
            <w:pPr>
              <w:jc w:val="right"/>
              <w:ind w:right="520"/>
              <w:spacing w:after="0"/>
              <w:rPr>
                <w:sz w:val="20"/>
                <w:szCs w:val="20"/>
                <w:color w:val="auto"/>
              </w:rPr>
            </w:pPr>
            <w:r>
              <w:rPr>
                <w:rFonts w:ascii="Arial" w:cs="Arial" w:eastAsia="Arial" w:hAnsi="Arial"/>
                <w:sz w:val="18"/>
                <w:szCs w:val="18"/>
                <w:b w:val="1"/>
                <w:bCs w:val="1"/>
                <w:color w:val="auto"/>
              </w:rPr>
              <w:t>—</w:t>
            </w:r>
          </w:p>
        </w:tc>
        <w:tc>
          <w:tcPr>
            <w:tcW w:w="820" w:type="dxa"/>
            <w:vAlign w:val="bottom"/>
            <w:gridSpan w:val="2"/>
          </w:tcPr>
          <w:p>
            <w:pPr>
              <w:jc w:val="right"/>
              <w:ind w:right="170"/>
              <w:spacing w:after="0"/>
              <w:rPr>
                <w:sz w:val="20"/>
                <w:szCs w:val="20"/>
                <w:color w:val="auto"/>
              </w:rPr>
            </w:pPr>
            <w:r>
              <w:rPr>
                <w:rFonts w:ascii="Arial" w:cs="Arial" w:eastAsia="Arial" w:hAnsi="Arial"/>
                <w:sz w:val="18"/>
                <w:szCs w:val="18"/>
                <w:color w:val="auto"/>
              </w:rPr>
              <w:t>(1)</w:t>
            </w:r>
          </w:p>
        </w:tc>
        <w:tc>
          <w:tcPr>
            <w:tcW w:w="1260" w:type="dxa"/>
            <w:vAlign w:val="bottom"/>
            <w:gridSpan w:val="3"/>
          </w:tcPr>
          <w:p>
            <w:pPr>
              <w:jc w:val="right"/>
              <w:ind w:right="600"/>
              <w:spacing w:after="0"/>
              <w:rPr>
                <w:sz w:val="20"/>
                <w:szCs w:val="20"/>
                <w:color w:val="auto"/>
              </w:rPr>
            </w:pPr>
            <w:r>
              <w:rPr>
                <w:rFonts w:ascii="Arial" w:cs="Arial" w:eastAsia="Arial" w:hAnsi="Arial"/>
                <w:sz w:val="18"/>
                <w:szCs w:val="18"/>
                <w:b w:val="1"/>
                <w:bCs w:val="1"/>
                <w:color w:val="auto"/>
              </w:rPr>
              <w:t>—</w:t>
            </w:r>
          </w:p>
        </w:tc>
        <w:tc>
          <w:tcPr>
            <w:tcW w:w="660" w:type="dxa"/>
            <w:vAlign w:val="bottom"/>
            <w:gridSpan w:val="2"/>
          </w:tcPr>
          <w:p>
            <w:pPr>
              <w:jc w:val="right"/>
              <w:ind w:right="9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Local country permanent tax adjustments</w:t>
            </w:r>
          </w:p>
        </w:tc>
        <w:tc>
          <w:tcPr>
            <w:tcW w:w="2040" w:type="dxa"/>
            <w:vAlign w:val="bottom"/>
            <w:shd w:val="clear" w:color="auto" w:fill="CCEEFF"/>
          </w:tcPr>
          <w:p>
            <w:pPr>
              <w:spacing w:after="0"/>
              <w:rPr>
                <w:sz w:val="18"/>
                <w:szCs w:val="18"/>
                <w:color w:val="auto"/>
              </w:rPr>
            </w:pPr>
          </w:p>
        </w:tc>
        <w:tc>
          <w:tcPr>
            <w:tcW w:w="1200" w:type="dxa"/>
            <w:vAlign w:val="bottom"/>
            <w:gridSpan w:val="3"/>
            <w:shd w:val="clear" w:color="auto" w:fill="CCEEFF"/>
          </w:tcPr>
          <w:p>
            <w:pPr>
              <w:jc w:val="right"/>
              <w:ind w:right="520"/>
              <w:spacing w:after="0"/>
              <w:rPr>
                <w:sz w:val="20"/>
                <w:szCs w:val="20"/>
                <w:color w:val="auto"/>
              </w:rPr>
            </w:pPr>
            <w:r>
              <w:rPr>
                <w:rFonts w:ascii="Arial" w:cs="Arial" w:eastAsia="Arial" w:hAnsi="Arial"/>
                <w:sz w:val="18"/>
                <w:szCs w:val="18"/>
                <w:b w:val="1"/>
                <w:bCs w:val="1"/>
                <w:color w:val="auto"/>
              </w:rPr>
              <w:t>—</w:t>
            </w:r>
          </w:p>
        </w:tc>
        <w:tc>
          <w:tcPr>
            <w:tcW w:w="820" w:type="dxa"/>
            <w:vAlign w:val="bottom"/>
            <w:gridSpan w:val="2"/>
            <w:shd w:val="clear" w:color="auto" w:fill="CCEEFF"/>
          </w:tcPr>
          <w:p>
            <w:pPr>
              <w:jc w:val="right"/>
              <w:ind w:right="170"/>
              <w:spacing w:after="0"/>
              <w:rPr>
                <w:sz w:val="20"/>
                <w:szCs w:val="20"/>
                <w:color w:val="auto"/>
              </w:rPr>
            </w:pPr>
            <w:r>
              <w:rPr>
                <w:rFonts w:ascii="Arial" w:cs="Arial" w:eastAsia="Arial" w:hAnsi="Arial"/>
                <w:sz w:val="18"/>
                <w:szCs w:val="18"/>
                <w:color w:val="auto"/>
              </w:rPr>
              <w:t>(1)</w:t>
            </w:r>
          </w:p>
        </w:tc>
        <w:tc>
          <w:tcPr>
            <w:tcW w:w="1260" w:type="dxa"/>
            <w:vAlign w:val="bottom"/>
            <w:gridSpan w:val="3"/>
            <w:shd w:val="clear" w:color="auto" w:fill="CCEEFF"/>
          </w:tcPr>
          <w:p>
            <w:pPr>
              <w:jc w:val="right"/>
              <w:ind w:right="600"/>
              <w:spacing w:after="0"/>
              <w:rPr>
                <w:sz w:val="20"/>
                <w:szCs w:val="20"/>
                <w:color w:val="auto"/>
              </w:rPr>
            </w:pPr>
            <w:r>
              <w:rPr>
                <w:rFonts w:ascii="Arial" w:cs="Arial" w:eastAsia="Arial" w:hAnsi="Arial"/>
                <w:sz w:val="18"/>
                <w:szCs w:val="18"/>
                <w:b w:val="1"/>
                <w:bCs w:val="1"/>
                <w:color w:val="auto"/>
              </w:rPr>
              <w:t>—</w:t>
            </w:r>
          </w:p>
        </w:tc>
        <w:tc>
          <w:tcPr>
            <w:tcW w:w="660" w:type="dxa"/>
            <w:vAlign w:val="bottom"/>
            <w:gridSpan w:val="2"/>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3940" w:type="dxa"/>
            <w:vAlign w:val="bottom"/>
          </w:tcPr>
          <w:p>
            <w:pPr>
              <w:spacing w:after="0"/>
              <w:rPr>
                <w:sz w:val="20"/>
                <w:szCs w:val="20"/>
                <w:color w:val="auto"/>
              </w:rPr>
            </w:pPr>
            <w:r>
              <w:rPr>
                <w:rFonts w:ascii="Arial" w:cs="Arial" w:eastAsia="Arial" w:hAnsi="Arial"/>
                <w:sz w:val="18"/>
                <w:szCs w:val="18"/>
                <w:color w:val="auto"/>
              </w:rPr>
              <w:t>State income taxes</w:t>
            </w:r>
          </w:p>
        </w:tc>
        <w:tc>
          <w:tcPr>
            <w:tcW w:w="2040" w:type="dxa"/>
            <w:vAlign w:val="bottom"/>
          </w:tcPr>
          <w:p>
            <w:pPr>
              <w:spacing w:after="0"/>
              <w:rPr>
                <w:sz w:val="18"/>
                <w:szCs w:val="18"/>
                <w:color w:val="auto"/>
              </w:rPr>
            </w:pPr>
          </w:p>
        </w:tc>
        <w:tc>
          <w:tcPr>
            <w:tcW w:w="1200" w:type="dxa"/>
            <w:vAlign w:val="bottom"/>
            <w:gridSpan w:val="3"/>
          </w:tcPr>
          <w:p>
            <w:pPr>
              <w:jc w:val="right"/>
              <w:ind w:right="520"/>
              <w:spacing w:after="0"/>
              <w:rPr>
                <w:sz w:val="20"/>
                <w:szCs w:val="20"/>
                <w:color w:val="auto"/>
              </w:rPr>
            </w:pPr>
            <w:r>
              <w:rPr>
                <w:rFonts w:ascii="Arial" w:cs="Arial" w:eastAsia="Arial" w:hAnsi="Arial"/>
                <w:sz w:val="18"/>
                <w:szCs w:val="18"/>
                <w:b w:val="1"/>
                <w:bCs w:val="1"/>
                <w:color w:val="auto"/>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1</w:t>
            </w:r>
          </w:p>
        </w:tc>
        <w:tc>
          <w:tcPr>
            <w:tcW w:w="260" w:type="dxa"/>
            <w:vAlign w:val="bottom"/>
          </w:tcPr>
          <w:p>
            <w:pPr>
              <w:spacing w:after="0"/>
              <w:rPr>
                <w:sz w:val="18"/>
                <w:szCs w:val="18"/>
                <w:color w:val="auto"/>
              </w:rPr>
            </w:pPr>
          </w:p>
        </w:tc>
        <w:tc>
          <w:tcPr>
            <w:tcW w:w="1260" w:type="dxa"/>
            <w:vAlign w:val="bottom"/>
            <w:gridSpan w:val="3"/>
          </w:tcPr>
          <w:p>
            <w:pPr>
              <w:jc w:val="right"/>
              <w:ind w:right="600"/>
              <w:spacing w:after="0"/>
              <w:rPr>
                <w:sz w:val="20"/>
                <w:szCs w:val="20"/>
                <w:color w:val="auto"/>
              </w:rPr>
            </w:pPr>
            <w:r>
              <w:rPr>
                <w:rFonts w:ascii="Arial" w:cs="Arial" w:eastAsia="Arial" w:hAnsi="Arial"/>
                <w:sz w:val="18"/>
                <w:szCs w:val="18"/>
                <w:b w:val="1"/>
                <w:bCs w:val="1"/>
                <w:color w:val="auto"/>
              </w:rPr>
              <w:t>—</w:t>
            </w:r>
          </w:p>
        </w:tc>
        <w:tc>
          <w:tcPr>
            <w:tcW w:w="480" w:type="dxa"/>
            <w:vAlign w:val="bottom"/>
          </w:tcPr>
          <w:p>
            <w:pPr>
              <w:jc w:val="right"/>
              <w:spacing w:after="0"/>
              <w:rPr>
                <w:sz w:val="20"/>
                <w:szCs w:val="20"/>
                <w:color w:val="auto"/>
              </w:rPr>
            </w:pPr>
            <w:r>
              <w:rPr>
                <w:rFonts w:ascii="Arial" w:cs="Arial" w:eastAsia="Arial" w:hAnsi="Arial"/>
                <w:sz w:val="18"/>
                <w:szCs w:val="18"/>
                <w:color w:val="auto"/>
              </w:rPr>
              <w:t>1</w:t>
            </w: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Other</w:t>
            </w:r>
          </w:p>
        </w:tc>
        <w:tc>
          <w:tcPr>
            <w:tcW w:w="27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1</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26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w:t>
            </w: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0"/>
        </w:trPr>
        <w:tc>
          <w:tcPr>
            <w:tcW w:w="3940" w:type="dxa"/>
            <w:vAlign w:val="bottom"/>
          </w:tcPr>
          <w:p>
            <w:pPr>
              <w:spacing w:after="0"/>
              <w:rPr>
                <w:sz w:val="20"/>
                <w:szCs w:val="20"/>
                <w:color w:val="auto"/>
              </w:rPr>
            </w:pPr>
            <w:r>
              <w:rPr>
                <w:rFonts w:ascii="Arial" w:cs="Arial" w:eastAsia="Arial" w:hAnsi="Arial"/>
                <w:sz w:val="18"/>
                <w:szCs w:val="18"/>
                <w:color w:val="auto"/>
              </w:rPr>
              <w:t>Effective income tax rate</w:t>
            </w:r>
          </w:p>
        </w:tc>
        <w:tc>
          <w:tcPr>
            <w:tcW w:w="2040" w:type="dxa"/>
            <w:vAlign w:val="bottom"/>
          </w:tcPr>
          <w:p>
            <w:pPr>
              <w:spacing w:after="0"/>
              <w:rPr>
                <w:sz w:val="18"/>
                <w:szCs w:val="18"/>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21</w:t>
            </w:r>
          </w:p>
        </w:tc>
        <w:tc>
          <w:tcPr>
            <w:tcW w:w="300" w:type="dxa"/>
            <w:vAlign w:val="bottom"/>
          </w:tcPr>
          <w:p>
            <w:pPr>
              <w:jc w:val="right"/>
              <w:ind w:right="30"/>
              <w:spacing w:after="0"/>
              <w:rPr>
                <w:sz w:val="20"/>
                <w:szCs w:val="20"/>
                <w:color w:val="auto"/>
              </w:rPr>
            </w:pPr>
            <w:r>
              <w:rPr>
                <w:rFonts w:ascii="Arial" w:cs="Arial" w:eastAsia="Arial" w:hAnsi="Arial"/>
                <w:sz w:val="18"/>
                <w:szCs w:val="18"/>
                <w:b w:val="1"/>
                <w:bCs w:val="1"/>
                <w:color w:val="auto"/>
                <w:w w:val="99"/>
              </w:rPr>
              <w:t>%</w:t>
            </w:r>
          </w:p>
        </w:tc>
        <w:tc>
          <w:tcPr>
            <w:tcW w:w="160" w:type="dxa"/>
            <w:vAlign w:val="bottom"/>
            <w:tcBorders>
              <w:top w:val="single" w:sz="8" w:color="auto"/>
              <w:bottom w:val="single" w:sz="8" w:color="auto"/>
            </w:tcBorders>
          </w:tcPr>
          <w:p>
            <w:pPr>
              <w:spacing w:after="0"/>
              <w:rPr>
                <w:sz w:val="18"/>
                <w:szCs w:val="18"/>
                <w:color w:val="auto"/>
              </w:rPr>
            </w:pP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w:t>
            </w:r>
          </w:p>
        </w:tc>
        <w:tc>
          <w:tcPr>
            <w:tcW w:w="260" w:type="dxa"/>
            <w:vAlign w:val="bottom"/>
          </w:tcPr>
          <w:p>
            <w:pPr>
              <w:jc w:val="right"/>
              <w:ind w:right="10"/>
              <w:spacing w:after="0"/>
              <w:rPr>
                <w:sz w:val="20"/>
                <w:szCs w:val="20"/>
                <w:color w:val="auto"/>
              </w:rPr>
            </w:pPr>
            <w:r>
              <w:rPr>
                <w:rFonts w:ascii="Arial" w:cs="Arial" w:eastAsia="Arial" w:hAnsi="Arial"/>
                <w:sz w:val="18"/>
                <w:szCs w:val="18"/>
                <w:color w:val="auto"/>
                <w:w w:val="87"/>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w:t>
            </w:r>
          </w:p>
        </w:tc>
        <w:tc>
          <w:tcPr>
            <w:tcW w:w="300" w:type="dxa"/>
            <w:vAlign w:val="bottom"/>
          </w:tcPr>
          <w:p>
            <w:pPr>
              <w:jc w:val="right"/>
              <w:ind w:right="30"/>
              <w:spacing w:after="0"/>
              <w:rPr>
                <w:sz w:val="20"/>
                <w:szCs w:val="20"/>
                <w:color w:val="auto"/>
              </w:rPr>
            </w:pPr>
            <w:r>
              <w:rPr>
                <w:rFonts w:ascii="Arial" w:cs="Arial" w:eastAsia="Arial" w:hAnsi="Arial"/>
                <w:sz w:val="18"/>
                <w:szCs w:val="18"/>
                <w:b w:val="1"/>
                <w:bCs w:val="1"/>
                <w:color w:val="auto"/>
                <w:w w:val="99"/>
              </w:rPr>
              <w:t>%</w:t>
            </w:r>
          </w:p>
        </w:tc>
        <w:tc>
          <w:tcPr>
            <w:tcW w:w="240" w:type="dxa"/>
            <w:vAlign w:val="bottom"/>
            <w:tcBorders>
              <w:top w:val="single" w:sz="8" w:color="auto"/>
              <w:bottom w:val="single" w:sz="8" w:color="auto"/>
            </w:tcBorders>
          </w:tcPr>
          <w:p>
            <w:pPr>
              <w:spacing w:after="0"/>
              <w:rPr>
                <w:sz w:val="18"/>
                <w:szCs w:val="18"/>
                <w:color w:val="auto"/>
              </w:rPr>
            </w:pP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15</w:t>
            </w:r>
          </w:p>
        </w:tc>
        <w:tc>
          <w:tcPr>
            <w:tcW w:w="180" w:type="dxa"/>
            <w:vAlign w:val="bottom"/>
          </w:tcPr>
          <w:p>
            <w:pPr>
              <w:jc w:val="right"/>
              <w:spacing w:after="0"/>
              <w:rPr>
                <w:sz w:val="20"/>
                <w:szCs w:val="20"/>
                <w:color w:val="auto"/>
              </w:rPr>
            </w:pPr>
            <w:r>
              <w:rPr>
                <w:rFonts w:ascii="Arial" w:cs="Arial" w:eastAsia="Arial" w:hAnsi="Arial"/>
                <w:sz w:val="18"/>
                <w:szCs w:val="18"/>
                <w:color w:val="auto"/>
                <w:w w:val="87"/>
              </w:rPr>
              <w:t>%</w:t>
            </w:r>
          </w:p>
        </w:tc>
        <w:tc>
          <w:tcPr>
            <w:tcW w:w="0" w:type="dxa"/>
            <w:vAlign w:val="bottom"/>
          </w:tcPr>
          <w:p>
            <w:pPr>
              <w:spacing w:after="0"/>
              <w:rPr>
                <w:sz w:val="1"/>
                <w:szCs w:val="1"/>
                <w:color w:val="auto"/>
              </w:rPr>
            </w:pPr>
          </w:p>
        </w:tc>
      </w:tr>
      <w:tr>
        <w:trPr>
          <w:trHeight w:val="20"/>
        </w:trPr>
        <w:tc>
          <w:tcPr>
            <w:tcW w:w="3940" w:type="dxa"/>
            <w:vAlign w:val="bottom"/>
          </w:tcPr>
          <w:p>
            <w:pPr>
              <w:spacing w:after="0" w:line="20" w:lineRule="exact"/>
              <w:rPr>
                <w:sz w:val="1"/>
                <w:szCs w:val="1"/>
                <w:color w:val="auto"/>
              </w:rPr>
            </w:pPr>
          </w:p>
        </w:tc>
        <w:tc>
          <w:tcPr>
            <w:tcW w:w="2040" w:type="dxa"/>
            <w:vAlign w:val="bottom"/>
            <w:vMerge w:val="restart"/>
          </w:tcPr>
          <w:p>
            <w:pPr>
              <w:jc w:val="right"/>
              <w:ind w:right="830"/>
              <w:spacing w:after="0"/>
              <w:rPr>
                <w:sz w:val="20"/>
                <w:szCs w:val="20"/>
                <w:color w:val="auto"/>
              </w:rPr>
            </w:pPr>
            <w:r>
              <w:rPr>
                <w:rFonts w:ascii="Arial" w:cs="Arial" w:eastAsia="Arial" w:hAnsi="Arial"/>
                <w:sz w:val="18"/>
                <w:szCs w:val="18"/>
                <w:color w:val="auto"/>
              </w:rPr>
              <w:t>52</w:t>
            </w:r>
          </w:p>
        </w:tc>
        <w:tc>
          <w:tcPr>
            <w:tcW w:w="74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71"/>
        </w:trPr>
        <w:tc>
          <w:tcPr>
            <w:tcW w:w="3940" w:type="dxa"/>
            <w:vAlign w:val="bottom"/>
          </w:tcPr>
          <w:p>
            <w:pPr>
              <w:spacing w:after="0"/>
              <w:rPr>
                <w:sz w:val="24"/>
                <w:szCs w:val="24"/>
                <w:color w:val="auto"/>
              </w:rPr>
            </w:pPr>
          </w:p>
        </w:tc>
        <w:tc>
          <w:tcPr>
            <w:tcW w:w="2040" w:type="dxa"/>
            <w:vAlign w:val="bottom"/>
            <w:vMerge w:val="continue"/>
          </w:tcPr>
          <w:p>
            <w:pPr>
              <w:spacing w:after="0"/>
              <w:rPr>
                <w:sz w:val="24"/>
                <w:szCs w:val="24"/>
                <w:color w:val="auto"/>
              </w:rPr>
            </w:pPr>
          </w:p>
        </w:tc>
        <w:tc>
          <w:tcPr>
            <w:tcW w:w="7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61"/>
        </w:trPr>
        <w:tc>
          <w:tcPr>
            <w:tcW w:w="3940" w:type="dxa"/>
            <w:vAlign w:val="bottom"/>
            <w:tcBorders>
              <w:bottom w:val="single" w:sz="8" w:color="auto"/>
            </w:tcBorders>
          </w:tcPr>
          <w:p>
            <w:pPr>
              <w:spacing w:after="0"/>
              <w:rPr>
                <w:sz w:val="24"/>
                <w:szCs w:val="24"/>
                <w:color w:val="auto"/>
              </w:rPr>
            </w:pPr>
          </w:p>
        </w:tc>
        <w:tc>
          <w:tcPr>
            <w:tcW w:w="204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920"/>
          </w:cols>
          <w:pgMar w:left="980" w:top="665" w:right="999" w:bottom="1440" w:gutter="0" w:footer="0" w:header="0"/>
        </w:sectPr>
      </w:pPr>
    </w:p>
    <w:bookmarkStart w:id="52" w:name="page53"/>
    <w:bookmarkEnd w:id="52"/>
    <w:p>
      <w:pPr>
        <w:ind w:left="1"/>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ind w:left="1" w:right="6760" w:firstLine="8"/>
        <w:spacing w:after="0" w:line="569" w:lineRule="auto"/>
        <w:tabs>
          <w:tab w:leader="none" w:pos="181" w:val="left"/>
        </w:tabs>
        <w:numPr>
          <w:ilvl w:val="0"/>
          <w:numId w:val="23"/>
        </w:numPr>
        <w:rPr>
          <w:rFonts w:ascii="Arial" w:cs="Arial" w:eastAsia="Arial" w:hAnsi="Arial"/>
          <w:sz w:val="16"/>
          <w:szCs w:val="16"/>
          <w:b w:val="1"/>
          <w:bCs w:val="1"/>
          <w:color w:val="auto"/>
        </w:rPr>
      </w:pPr>
      <w:r>
        <w:rPr>
          <w:rFonts w:ascii="Arial" w:cs="Arial" w:eastAsia="Arial" w:hAnsi="Arial"/>
          <w:sz w:val="16"/>
          <w:szCs w:val="16"/>
          <w:b w:val="1"/>
          <w:bCs w:val="1"/>
          <w:color w:val="auto"/>
        </w:rPr>
        <w:t>Employee and Agent Benefits Components of Net Periodic Benefit Cost</w:t>
      </w:r>
    </w:p>
    <w:tbl>
      <w:tblPr>
        <w:tblLayout w:type="fixed"/>
        <w:tblInd w:w="1" w:type="dxa"/>
        <w:tblCellMar>
          <w:top w:w="0" w:type="dxa"/>
          <w:left w:w="0" w:type="dxa"/>
          <w:bottom w:w="0" w:type="dxa"/>
          <w:right w:w="0" w:type="dxa"/>
        </w:tblCellMar>
      </w:tblPr>
      <w:tr>
        <w:trPr>
          <w:trHeight w:val="149"/>
        </w:trPr>
        <w:tc>
          <w:tcPr>
            <w:tcW w:w="37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600" w:type="dxa"/>
            <w:vAlign w:val="bottom"/>
            <w:gridSpan w:val="4"/>
            <w:vMerge w:val="restart"/>
          </w:tcPr>
          <w:p>
            <w:pPr>
              <w:jc w:val="center"/>
              <w:ind w:right="319"/>
              <w:spacing w:after="0"/>
              <w:rPr>
                <w:sz w:val="20"/>
                <w:szCs w:val="20"/>
                <w:color w:val="auto"/>
              </w:rPr>
            </w:pPr>
            <w:r>
              <w:rPr>
                <w:rFonts w:ascii="Arial" w:cs="Arial" w:eastAsia="Arial" w:hAnsi="Arial"/>
                <w:sz w:val="14"/>
                <w:szCs w:val="14"/>
                <w:b w:val="1"/>
                <w:bCs w:val="1"/>
                <w:color w:val="auto"/>
                <w:w w:val="89"/>
              </w:rPr>
              <w:t>Pension benefits</w:t>
            </w:r>
          </w:p>
        </w:tc>
        <w:tc>
          <w:tcPr>
            <w:tcW w:w="5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740" w:type="dxa"/>
            <w:vAlign w:val="bottom"/>
            <w:gridSpan w:val="4"/>
          </w:tcPr>
          <w:p>
            <w:pPr>
              <w:jc w:val="center"/>
              <w:ind w:left="359"/>
              <w:spacing w:after="0" w:line="149" w:lineRule="exact"/>
              <w:rPr>
                <w:sz w:val="20"/>
                <w:szCs w:val="20"/>
                <w:color w:val="auto"/>
              </w:rPr>
            </w:pPr>
            <w:r>
              <w:rPr>
                <w:rFonts w:ascii="Arial" w:cs="Arial" w:eastAsia="Arial" w:hAnsi="Arial"/>
                <w:sz w:val="14"/>
                <w:szCs w:val="14"/>
                <w:b w:val="1"/>
                <w:bCs w:val="1"/>
                <w:color w:val="auto"/>
                <w:w w:val="93"/>
              </w:rPr>
              <w:t>Other postretirement</w:t>
            </w:r>
          </w:p>
        </w:tc>
        <w:tc>
          <w:tcPr>
            <w:tcW w:w="8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3700" w:type="dxa"/>
            <w:vAlign w:val="bottom"/>
          </w:tcPr>
          <w:p>
            <w:pPr>
              <w:spacing w:after="0"/>
              <w:rPr>
                <w:sz w:val="14"/>
                <w:szCs w:val="14"/>
                <w:color w:val="auto"/>
              </w:rPr>
            </w:pPr>
          </w:p>
        </w:tc>
        <w:tc>
          <w:tcPr>
            <w:tcW w:w="900" w:type="dxa"/>
            <w:vAlign w:val="bottom"/>
            <w:tcBorders>
              <w:bottom w:val="single" w:sz="8" w:color="auto"/>
            </w:tcBorders>
          </w:tcPr>
          <w:p>
            <w:pPr>
              <w:spacing w:after="0"/>
              <w:rPr>
                <w:sz w:val="14"/>
                <w:szCs w:val="14"/>
                <w:color w:val="auto"/>
              </w:rPr>
            </w:pPr>
          </w:p>
        </w:tc>
        <w:tc>
          <w:tcPr>
            <w:tcW w:w="1600" w:type="dxa"/>
            <w:vAlign w:val="bottom"/>
            <w:tcBorders>
              <w:bottom w:val="single" w:sz="8" w:color="auto"/>
            </w:tcBorders>
            <w:gridSpan w:val="4"/>
            <w:vMerge w:val="continue"/>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1740" w:type="dxa"/>
            <w:vAlign w:val="bottom"/>
            <w:tcBorders>
              <w:bottom w:val="single" w:sz="8" w:color="auto"/>
            </w:tcBorders>
            <w:gridSpan w:val="4"/>
          </w:tcPr>
          <w:p>
            <w:pPr>
              <w:jc w:val="center"/>
              <w:ind w:left="379"/>
              <w:spacing w:after="0"/>
              <w:rPr>
                <w:sz w:val="20"/>
                <w:szCs w:val="20"/>
                <w:color w:val="auto"/>
              </w:rPr>
            </w:pPr>
            <w:r>
              <w:rPr>
                <w:rFonts w:ascii="Arial" w:cs="Arial" w:eastAsia="Arial" w:hAnsi="Arial"/>
                <w:sz w:val="14"/>
                <w:szCs w:val="14"/>
                <w:b w:val="1"/>
                <w:bCs w:val="1"/>
                <w:color w:val="auto"/>
                <w:w w:val="89"/>
              </w:rPr>
              <w:t>benefits</w:t>
            </w:r>
          </w:p>
        </w:tc>
        <w:tc>
          <w:tcPr>
            <w:tcW w:w="86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3700" w:type="dxa"/>
            <w:vAlign w:val="bottom"/>
          </w:tcPr>
          <w:p>
            <w:pPr>
              <w:spacing w:after="0"/>
              <w:rPr>
                <w:sz w:val="10"/>
                <w:szCs w:val="10"/>
                <w:color w:val="auto"/>
              </w:rPr>
            </w:pPr>
          </w:p>
        </w:tc>
        <w:tc>
          <w:tcPr>
            <w:tcW w:w="2500" w:type="dxa"/>
            <w:vAlign w:val="bottom"/>
            <w:gridSpan w:val="5"/>
          </w:tcPr>
          <w:p>
            <w:pPr>
              <w:jc w:val="center"/>
              <w:ind w:left="449"/>
              <w:spacing w:after="0" w:line="119" w:lineRule="exact"/>
              <w:rPr>
                <w:sz w:val="20"/>
                <w:szCs w:val="20"/>
                <w:color w:val="auto"/>
              </w:rPr>
            </w:pPr>
            <w:r>
              <w:rPr>
                <w:rFonts w:ascii="Arial" w:cs="Arial" w:eastAsia="Arial" w:hAnsi="Arial"/>
                <w:sz w:val="13"/>
                <w:szCs w:val="13"/>
                <w:b w:val="1"/>
                <w:bCs w:val="1"/>
                <w:color w:val="auto"/>
                <w:w w:val="98"/>
              </w:rPr>
              <w:t>For the three months ended</w:t>
            </w:r>
          </w:p>
        </w:tc>
        <w:tc>
          <w:tcPr>
            <w:tcW w:w="5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2600" w:type="dxa"/>
            <w:vAlign w:val="bottom"/>
            <w:gridSpan w:val="5"/>
          </w:tcPr>
          <w:p>
            <w:pPr>
              <w:jc w:val="center"/>
              <w:ind w:right="333"/>
              <w:spacing w:after="0" w:line="119" w:lineRule="exact"/>
              <w:rPr>
                <w:sz w:val="20"/>
                <w:szCs w:val="20"/>
                <w:color w:val="auto"/>
              </w:rPr>
            </w:pPr>
            <w:r>
              <w:rPr>
                <w:rFonts w:ascii="Arial" w:cs="Arial" w:eastAsia="Arial" w:hAnsi="Arial"/>
                <w:sz w:val="13"/>
                <w:szCs w:val="13"/>
                <w:b w:val="1"/>
                <w:bCs w:val="1"/>
                <w:color w:val="auto"/>
                <w:w w:val="98"/>
              </w:rPr>
              <w:t>For the three months ended</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3700" w:type="dxa"/>
            <w:vAlign w:val="bottom"/>
          </w:tcPr>
          <w:p>
            <w:pPr>
              <w:spacing w:after="0"/>
              <w:rPr>
                <w:sz w:val="14"/>
                <w:szCs w:val="14"/>
                <w:color w:val="auto"/>
              </w:rPr>
            </w:pPr>
          </w:p>
        </w:tc>
        <w:tc>
          <w:tcPr>
            <w:tcW w:w="900" w:type="dxa"/>
            <w:vAlign w:val="bottom"/>
            <w:tcBorders>
              <w:bottom w:val="single" w:sz="8" w:color="auto"/>
            </w:tcBorders>
          </w:tcPr>
          <w:p>
            <w:pPr>
              <w:spacing w:after="0"/>
              <w:rPr>
                <w:sz w:val="14"/>
                <w:szCs w:val="14"/>
                <w:color w:val="auto"/>
              </w:rPr>
            </w:pPr>
          </w:p>
        </w:tc>
        <w:tc>
          <w:tcPr>
            <w:tcW w:w="1600" w:type="dxa"/>
            <w:vAlign w:val="bottom"/>
            <w:tcBorders>
              <w:bottom w:val="single" w:sz="8" w:color="auto"/>
            </w:tcBorders>
            <w:gridSpan w:val="4"/>
          </w:tcPr>
          <w:p>
            <w:pPr>
              <w:jc w:val="center"/>
              <w:ind w:right="359"/>
              <w:spacing w:after="0"/>
              <w:rPr>
                <w:sz w:val="20"/>
                <w:szCs w:val="20"/>
                <w:color w:val="auto"/>
              </w:rPr>
            </w:pPr>
            <w:r>
              <w:rPr>
                <w:rFonts w:ascii="Arial" w:cs="Arial" w:eastAsia="Arial" w:hAnsi="Arial"/>
                <w:sz w:val="14"/>
                <w:szCs w:val="14"/>
                <w:b w:val="1"/>
                <w:bCs w:val="1"/>
                <w:color w:val="auto"/>
                <w:w w:val="92"/>
              </w:rPr>
              <w:t>June 30,</w:t>
            </w:r>
          </w:p>
        </w:tc>
        <w:tc>
          <w:tcPr>
            <w:tcW w:w="50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1740" w:type="dxa"/>
            <w:vAlign w:val="bottom"/>
            <w:tcBorders>
              <w:bottom w:val="single" w:sz="8" w:color="auto"/>
            </w:tcBorders>
            <w:gridSpan w:val="4"/>
          </w:tcPr>
          <w:p>
            <w:pPr>
              <w:jc w:val="center"/>
              <w:ind w:left="339"/>
              <w:spacing w:after="0"/>
              <w:rPr>
                <w:sz w:val="20"/>
                <w:szCs w:val="20"/>
                <w:color w:val="auto"/>
              </w:rPr>
            </w:pPr>
            <w:r>
              <w:rPr>
                <w:rFonts w:ascii="Arial" w:cs="Arial" w:eastAsia="Arial" w:hAnsi="Arial"/>
                <w:sz w:val="14"/>
                <w:szCs w:val="14"/>
                <w:b w:val="1"/>
                <w:bCs w:val="1"/>
                <w:color w:val="auto"/>
                <w:w w:val="92"/>
              </w:rPr>
              <w:t>June 30,</w:t>
            </w:r>
          </w:p>
        </w:tc>
        <w:tc>
          <w:tcPr>
            <w:tcW w:w="86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3700" w:type="dxa"/>
            <w:vAlign w:val="bottom"/>
          </w:tcPr>
          <w:p>
            <w:pPr>
              <w:spacing w:after="0"/>
              <w:rPr>
                <w:sz w:val="12"/>
                <w:szCs w:val="12"/>
                <w:color w:val="auto"/>
              </w:rPr>
            </w:pPr>
          </w:p>
        </w:tc>
        <w:tc>
          <w:tcPr>
            <w:tcW w:w="9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2022</w:t>
            </w:r>
          </w:p>
        </w:tc>
        <w:tc>
          <w:tcPr>
            <w:tcW w:w="500" w:type="dxa"/>
            <w:vAlign w:val="bottom"/>
            <w:tcBorders>
              <w:bottom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2021</w:t>
            </w:r>
          </w:p>
        </w:tc>
        <w:tc>
          <w:tcPr>
            <w:tcW w:w="500" w:type="dxa"/>
            <w:vAlign w:val="bottom"/>
            <w:tcBorders>
              <w:bottom w:val="single" w:sz="8" w:color="auto"/>
            </w:tcBorders>
          </w:tcPr>
          <w:p>
            <w:pPr>
              <w:spacing w:after="0"/>
              <w:rPr>
                <w:sz w:val="12"/>
                <w:szCs w:val="12"/>
                <w:color w:val="auto"/>
              </w:rPr>
            </w:pPr>
          </w:p>
        </w:tc>
        <w:tc>
          <w:tcPr>
            <w:tcW w:w="200" w:type="dxa"/>
            <w:vAlign w:val="bottom"/>
          </w:tcPr>
          <w:p>
            <w:pPr>
              <w:spacing w:after="0"/>
              <w:rPr>
                <w:sz w:val="12"/>
                <w:szCs w:val="12"/>
                <w:color w:val="auto"/>
              </w:rPr>
            </w:pPr>
          </w:p>
        </w:tc>
        <w:tc>
          <w:tcPr>
            <w:tcW w:w="420" w:type="dxa"/>
            <w:vAlign w:val="bottom"/>
            <w:tcBorders>
              <w:bottom w:val="single" w:sz="8" w:color="auto"/>
            </w:tcBorders>
          </w:tcPr>
          <w:p>
            <w:pPr>
              <w:spacing w:after="0"/>
              <w:rPr>
                <w:sz w:val="12"/>
                <w:szCs w:val="12"/>
                <w:color w:val="auto"/>
              </w:rPr>
            </w:pPr>
          </w:p>
        </w:tc>
        <w:tc>
          <w:tcPr>
            <w:tcW w:w="1000" w:type="dxa"/>
            <w:vAlign w:val="bottom"/>
            <w:tcBorders>
              <w:bottom w:val="single" w:sz="8" w:color="auto"/>
            </w:tcBorders>
          </w:tcPr>
          <w:p>
            <w:pPr>
              <w:jc w:val="right"/>
              <w:ind w:right="479"/>
              <w:spacing w:after="0" w:line="142" w:lineRule="exact"/>
              <w:rPr>
                <w:sz w:val="20"/>
                <w:szCs w:val="20"/>
                <w:color w:val="auto"/>
              </w:rPr>
            </w:pPr>
            <w:r>
              <w:rPr>
                <w:rFonts w:ascii="Arial" w:cs="Arial" w:eastAsia="Arial" w:hAnsi="Arial"/>
                <w:sz w:val="14"/>
                <w:szCs w:val="14"/>
                <w:b w:val="1"/>
                <w:bCs w:val="1"/>
                <w:color w:val="auto"/>
              </w:rPr>
              <w:t>2022</w:t>
            </w:r>
          </w:p>
        </w:tc>
        <w:tc>
          <w:tcPr>
            <w:tcW w:w="2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52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tcPr>
          <w:p>
            <w:pPr>
              <w:jc w:val="right"/>
              <w:ind w:right="473"/>
              <w:spacing w:after="0" w:line="142" w:lineRule="exact"/>
              <w:rPr>
                <w:sz w:val="20"/>
                <w:szCs w:val="20"/>
                <w:color w:val="auto"/>
              </w:rPr>
            </w:pPr>
            <w:r>
              <w:rPr>
                <w:rFonts w:ascii="Arial" w:cs="Arial" w:eastAsia="Arial" w:hAnsi="Arial"/>
                <w:sz w:val="14"/>
                <w:szCs w:val="14"/>
                <w:b w:val="1"/>
                <w:bCs w:val="1"/>
                <w:color w:val="auto"/>
                <w:w w:val="89"/>
              </w:rPr>
              <w:t>2021</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8"/>
        </w:trPr>
        <w:tc>
          <w:tcPr>
            <w:tcW w:w="37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120" w:type="dxa"/>
            <w:vAlign w:val="bottom"/>
            <w:gridSpan w:val="3"/>
          </w:tcPr>
          <w:p>
            <w:pPr>
              <w:jc w:val="right"/>
              <w:ind w:right="70"/>
              <w:spacing w:after="0" w:line="129" w:lineRule="exact"/>
              <w:rPr>
                <w:sz w:val="20"/>
                <w:szCs w:val="20"/>
                <w:color w:val="auto"/>
              </w:rPr>
            </w:pPr>
            <w:r>
              <w:rPr>
                <w:rFonts w:ascii="Arial" w:cs="Arial" w:eastAsia="Arial" w:hAnsi="Arial"/>
                <w:sz w:val="14"/>
                <w:szCs w:val="14"/>
                <w:i w:val="1"/>
                <w:iCs w:val="1"/>
                <w:color w:val="auto"/>
              </w:rPr>
              <w:t>(in millions)</w:t>
            </w:r>
          </w:p>
        </w:tc>
        <w:tc>
          <w:tcPr>
            <w:tcW w:w="10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3700" w:type="dxa"/>
            <w:vAlign w:val="bottom"/>
            <w:shd w:val="clear" w:color="auto" w:fill="CCEEFF"/>
          </w:tcPr>
          <w:p>
            <w:pPr>
              <w:spacing w:after="0"/>
              <w:rPr>
                <w:sz w:val="20"/>
                <w:szCs w:val="20"/>
                <w:color w:val="auto"/>
              </w:rPr>
            </w:pPr>
            <w:r>
              <w:rPr>
                <w:rFonts w:ascii="Arial" w:cs="Arial" w:eastAsia="Arial" w:hAnsi="Arial"/>
                <w:sz w:val="18"/>
                <w:szCs w:val="18"/>
                <w:color w:val="auto"/>
              </w:rPr>
              <w:t>Service cost</w:t>
            </w:r>
          </w:p>
        </w:tc>
        <w:tc>
          <w:tcPr>
            <w:tcW w:w="900" w:type="dxa"/>
            <w:vAlign w:val="bottom"/>
            <w:shd w:val="clear" w:color="auto" w:fill="CCEEFF"/>
          </w:tcPr>
          <w:p>
            <w:pPr>
              <w:jc w:val="right"/>
              <w:ind w:right="749"/>
              <w:spacing w:after="0"/>
              <w:rPr>
                <w:sz w:val="20"/>
                <w:szCs w:val="20"/>
                <w:color w:val="auto"/>
              </w:rPr>
            </w:pPr>
            <w:r>
              <w:rPr>
                <w:rFonts w:ascii="Arial" w:cs="Arial" w:eastAsia="Arial" w:hAnsi="Arial"/>
                <w:sz w:val="15"/>
                <w:szCs w:val="15"/>
                <w:b w:val="1"/>
                <w:bCs w:val="1"/>
                <w:color w:val="auto"/>
                <w:w w:val="71"/>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18.9</w:t>
            </w:r>
          </w:p>
        </w:tc>
        <w:tc>
          <w:tcPr>
            <w:tcW w:w="1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719"/>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20.8</w:t>
            </w:r>
          </w:p>
        </w:tc>
        <w:tc>
          <w:tcPr>
            <w:tcW w:w="200" w:type="dxa"/>
            <w:vAlign w:val="bottom"/>
            <w:shd w:val="clear" w:color="auto" w:fill="CCEEFF"/>
          </w:tcPr>
          <w:p>
            <w:pPr>
              <w:spacing w:after="0"/>
              <w:rPr>
                <w:sz w:val="18"/>
                <w:szCs w:val="18"/>
                <w:color w:val="auto"/>
              </w:rPr>
            </w:pPr>
          </w:p>
        </w:tc>
        <w:tc>
          <w:tcPr>
            <w:tcW w:w="420" w:type="dxa"/>
            <w:vAlign w:val="bottom"/>
            <w:shd w:val="clear" w:color="auto" w:fill="CCEEFF"/>
          </w:tcPr>
          <w:p>
            <w:pPr>
              <w:jc w:val="right"/>
              <w:ind w:right="230"/>
              <w:spacing w:after="0"/>
              <w:rPr>
                <w:sz w:val="20"/>
                <w:szCs w:val="20"/>
                <w:color w:val="auto"/>
              </w:rPr>
            </w:pPr>
            <w:r>
              <w:rPr>
                <w:rFonts w:ascii="Arial" w:cs="Arial" w:eastAsia="Arial" w:hAnsi="Arial"/>
                <w:sz w:val="18"/>
                <w:szCs w:val="18"/>
                <w:b w:val="1"/>
                <w:bCs w:val="1"/>
                <w:color w:val="auto"/>
                <w:w w:val="79"/>
              </w:rPr>
              <w:t>$</w:t>
            </w:r>
          </w:p>
        </w:tc>
        <w:tc>
          <w:tcPr>
            <w:tcW w:w="12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b w:val="1"/>
                <w:bCs w:val="1"/>
                <w:color w:val="auto"/>
              </w:rPr>
              <w:t>—</w:t>
            </w:r>
          </w:p>
        </w:tc>
        <w:tc>
          <w:tcPr>
            <w:tcW w:w="540" w:type="dxa"/>
            <w:vAlign w:val="bottom"/>
            <w:gridSpan w:val="2"/>
            <w:shd w:val="clear" w:color="auto" w:fill="CCEEFF"/>
          </w:tcPr>
          <w:p>
            <w:pPr>
              <w:jc w:val="right"/>
              <w:ind w:right="409"/>
              <w:spacing w:after="0"/>
              <w:rPr>
                <w:sz w:val="20"/>
                <w:szCs w:val="20"/>
                <w:color w:val="auto"/>
              </w:rPr>
            </w:pPr>
            <w:r>
              <w:rPr>
                <w:rFonts w:ascii="Arial" w:cs="Arial" w:eastAsia="Arial" w:hAnsi="Arial"/>
                <w:sz w:val="15"/>
                <w:szCs w:val="15"/>
                <w:color w:val="auto"/>
                <w:w w:val="71"/>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00" w:type="dxa"/>
            <w:vAlign w:val="bottom"/>
          </w:tcPr>
          <w:p>
            <w:pPr>
              <w:spacing w:after="0"/>
              <w:rPr>
                <w:sz w:val="20"/>
                <w:szCs w:val="20"/>
                <w:color w:val="auto"/>
              </w:rPr>
            </w:pPr>
            <w:r>
              <w:rPr>
                <w:rFonts w:ascii="Arial" w:cs="Arial" w:eastAsia="Arial" w:hAnsi="Arial"/>
                <w:sz w:val="18"/>
                <w:szCs w:val="18"/>
                <w:color w:val="auto"/>
              </w:rPr>
              <w:t>Interest cost</w:t>
            </w:r>
          </w:p>
        </w:tc>
        <w:tc>
          <w:tcPr>
            <w:tcW w:w="90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b w:val="1"/>
                <w:bCs w:val="1"/>
                <w:color w:val="auto"/>
              </w:rPr>
              <w:t>28.3</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25.8</w:t>
            </w:r>
          </w:p>
        </w:tc>
        <w:tc>
          <w:tcPr>
            <w:tcW w:w="2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0.5</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0.6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00" w:type="dxa"/>
            <w:vAlign w:val="bottom"/>
            <w:shd w:val="clear" w:color="auto" w:fill="CCEEFF"/>
          </w:tcPr>
          <w:p>
            <w:pPr>
              <w:spacing w:after="0"/>
              <w:rPr>
                <w:sz w:val="20"/>
                <w:szCs w:val="20"/>
                <w:color w:val="auto"/>
              </w:rPr>
            </w:pPr>
            <w:r>
              <w:rPr>
                <w:rFonts w:ascii="Arial" w:cs="Arial" w:eastAsia="Arial" w:hAnsi="Arial"/>
                <w:sz w:val="18"/>
                <w:szCs w:val="18"/>
                <w:color w:val="auto"/>
              </w:rPr>
              <w:t>Expected return on plan assets</w:t>
            </w:r>
          </w:p>
        </w:tc>
        <w:tc>
          <w:tcPr>
            <w:tcW w:w="9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(44.7)</w:t>
            </w: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(45.6)</w:t>
            </w:r>
          </w:p>
        </w:tc>
        <w:tc>
          <w:tcPr>
            <w:tcW w:w="4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(1.2)</w:t>
            </w:r>
          </w:p>
        </w:tc>
        <w:tc>
          <w:tcPr>
            <w:tcW w:w="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00" w:type="dxa"/>
            <w:vAlign w:val="bottom"/>
          </w:tcPr>
          <w:p>
            <w:pPr>
              <w:spacing w:after="0"/>
              <w:rPr>
                <w:sz w:val="20"/>
                <w:szCs w:val="20"/>
                <w:color w:val="auto"/>
              </w:rPr>
            </w:pPr>
            <w:r>
              <w:rPr>
                <w:rFonts w:ascii="Arial" w:cs="Arial" w:eastAsia="Arial" w:hAnsi="Arial"/>
                <w:sz w:val="18"/>
                <w:szCs w:val="18"/>
                <w:color w:val="auto"/>
              </w:rPr>
              <w:t>Amortization of prior service benefit</w:t>
            </w:r>
          </w:p>
        </w:tc>
        <w:tc>
          <w:tcPr>
            <w:tcW w:w="900" w:type="dxa"/>
            <w:vAlign w:val="bottom"/>
          </w:tcPr>
          <w:p>
            <w:pPr>
              <w:spacing w:after="0"/>
              <w:rPr>
                <w:sz w:val="18"/>
                <w:szCs w:val="18"/>
                <w:color w:val="auto"/>
              </w:rPr>
            </w:pPr>
          </w:p>
        </w:tc>
        <w:tc>
          <w:tcPr>
            <w:tcW w:w="6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(4.2)</w:t>
            </w: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700" w:type="dxa"/>
            <w:vAlign w:val="bottom"/>
            <w:gridSpan w:val="2"/>
          </w:tcPr>
          <w:p>
            <w:pPr>
              <w:jc w:val="right"/>
              <w:ind w:right="200"/>
              <w:spacing w:after="0"/>
              <w:rPr>
                <w:sz w:val="20"/>
                <w:szCs w:val="20"/>
                <w:color w:val="auto"/>
              </w:rPr>
            </w:pPr>
            <w:r>
              <w:rPr>
                <w:rFonts w:ascii="Arial" w:cs="Arial" w:eastAsia="Arial" w:hAnsi="Arial"/>
                <w:sz w:val="18"/>
                <w:szCs w:val="18"/>
                <w:color w:val="auto"/>
              </w:rPr>
              <w:t>(4.2)</w:t>
            </w:r>
          </w:p>
        </w:tc>
        <w:tc>
          <w:tcPr>
            <w:tcW w:w="420" w:type="dxa"/>
            <w:vAlign w:val="bottom"/>
          </w:tcPr>
          <w:p>
            <w:pPr>
              <w:spacing w:after="0"/>
              <w:rPr>
                <w:sz w:val="18"/>
                <w:szCs w:val="18"/>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(0.2)</w:t>
            </w:r>
          </w:p>
        </w:tc>
        <w:tc>
          <w:tcPr>
            <w:tcW w:w="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(0.2)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00" w:type="dxa"/>
            <w:vAlign w:val="bottom"/>
            <w:shd w:val="clear" w:color="auto" w:fill="CCEEFF"/>
          </w:tcPr>
          <w:p>
            <w:pPr>
              <w:spacing w:after="0"/>
              <w:rPr>
                <w:sz w:val="20"/>
                <w:szCs w:val="20"/>
                <w:color w:val="auto"/>
              </w:rPr>
            </w:pPr>
            <w:r>
              <w:rPr>
                <w:rFonts w:ascii="Arial" w:cs="Arial" w:eastAsia="Arial" w:hAnsi="Arial"/>
                <w:sz w:val="18"/>
                <w:szCs w:val="18"/>
                <w:color w:val="auto"/>
              </w:rPr>
              <w:t>Recognized net actuarial (gain) loss</w:t>
            </w:r>
          </w:p>
        </w:tc>
        <w:tc>
          <w:tcPr>
            <w:tcW w:w="9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14.1</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17.5</w:t>
            </w:r>
          </w:p>
        </w:tc>
        <w:tc>
          <w:tcPr>
            <w:tcW w:w="2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(0.3)</w:t>
            </w:r>
          </w:p>
        </w:tc>
        <w:tc>
          <w:tcPr>
            <w:tcW w:w="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3700" w:type="dxa"/>
            <w:vAlign w:val="bottom"/>
          </w:tcPr>
          <w:p>
            <w:pPr>
              <w:spacing w:after="0"/>
              <w:rPr>
                <w:sz w:val="20"/>
                <w:szCs w:val="20"/>
                <w:color w:val="auto"/>
              </w:rPr>
            </w:pPr>
            <w:r>
              <w:rPr>
                <w:rFonts w:ascii="Arial" w:cs="Arial" w:eastAsia="Arial" w:hAnsi="Arial"/>
                <w:sz w:val="18"/>
                <w:szCs w:val="18"/>
                <w:color w:val="auto"/>
              </w:rPr>
              <w:t>Net periodic benefit cost (income)</w:t>
            </w:r>
          </w:p>
        </w:tc>
        <w:tc>
          <w:tcPr>
            <w:tcW w:w="900" w:type="dxa"/>
            <w:vAlign w:val="bottom"/>
            <w:tcBorders>
              <w:top w:val="single" w:sz="8" w:color="auto"/>
              <w:bottom w:val="single" w:sz="8" w:color="auto"/>
            </w:tcBorders>
          </w:tcPr>
          <w:p>
            <w:pPr>
              <w:jc w:val="right"/>
              <w:ind w:right="749"/>
              <w:spacing w:after="0"/>
              <w:rPr>
                <w:sz w:val="20"/>
                <w:szCs w:val="20"/>
                <w:color w:val="auto"/>
              </w:rPr>
            </w:pPr>
            <w:r>
              <w:rPr>
                <w:rFonts w:ascii="Arial" w:cs="Arial" w:eastAsia="Arial" w:hAnsi="Arial"/>
                <w:sz w:val="15"/>
                <w:szCs w:val="15"/>
                <w:b w:val="1"/>
                <w:bCs w:val="1"/>
                <w:color w:val="auto"/>
                <w:w w:val="71"/>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12.4</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Borders>
              <w:top w:val="single" w:sz="8" w:color="auto"/>
              <w:bottom w:val="single" w:sz="8" w:color="auto"/>
            </w:tcBorders>
          </w:tcPr>
          <w:p>
            <w:pPr>
              <w:jc w:val="right"/>
              <w:ind w:right="719"/>
              <w:spacing w:after="0"/>
              <w:rPr>
                <w:sz w:val="20"/>
                <w:szCs w:val="20"/>
                <w:color w:val="auto"/>
              </w:rPr>
            </w:pPr>
            <w:r>
              <w:rPr>
                <w:rFonts w:ascii="Arial" w:cs="Arial" w:eastAsia="Arial" w:hAnsi="Arial"/>
                <w:sz w:val="18"/>
                <w:szCs w:val="18"/>
                <w:color w:val="auto"/>
                <w:w w:val="79"/>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14.3</w:t>
            </w:r>
          </w:p>
        </w:tc>
        <w:tc>
          <w:tcPr>
            <w:tcW w:w="200" w:type="dxa"/>
            <w:vAlign w:val="bottom"/>
          </w:tcPr>
          <w:p>
            <w:pPr>
              <w:spacing w:after="0"/>
              <w:rPr>
                <w:sz w:val="18"/>
                <w:szCs w:val="18"/>
                <w:color w:val="auto"/>
              </w:rPr>
            </w:pPr>
          </w:p>
        </w:tc>
        <w:tc>
          <w:tcPr>
            <w:tcW w:w="420" w:type="dxa"/>
            <w:vAlign w:val="bottom"/>
            <w:tcBorders>
              <w:top w:val="single" w:sz="8" w:color="auto"/>
              <w:bottom w:val="single" w:sz="8" w:color="auto"/>
            </w:tcBorders>
          </w:tcPr>
          <w:p>
            <w:pPr>
              <w:jc w:val="right"/>
              <w:ind w:right="230"/>
              <w:spacing w:after="0"/>
              <w:rPr>
                <w:sz w:val="20"/>
                <w:szCs w:val="20"/>
                <w:color w:val="auto"/>
              </w:rPr>
            </w:pPr>
            <w:r>
              <w:rPr>
                <w:rFonts w:ascii="Arial" w:cs="Arial" w:eastAsia="Arial" w:hAnsi="Arial"/>
                <w:sz w:val="18"/>
                <w:szCs w:val="18"/>
                <w:b w:val="1"/>
                <w:bCs w:val="1"/>
                <w:color w:val="auto"/>
                <w:w w:val="79"/>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(1.2)</w:t>
            </w:r>
          </w:p>
        </w:tc>
        <w:tc>
          <w:tcPr>
            <w:tcW w:w="20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520" w:type="dxa"/>
            <w:vAlign w:val="bottom"/>
            <w:tcBorders>
              <w:top w:val="single" w:sz="8" w:color="auto"/>
              <w:bottom w:val="single" w:sz="8" w:color="auto"/>
            </w:tcBorders>
          </w:tcPr>
          <w:p>
            <w:pPr>
              <w:jc w:val="right"/>
              <w:ind w:right="409"/>
              <w:spacing w:after="0"/>
              <w:rPr>
                <w:sz w:val="20"/>
                <w:szCs w:val="20"/>
                <w:color w:val="auto"/>
              </w:rPr>
            </w:pPr>
            <w:r>
              <w:rPr>
                <w:rFonts w:ascii="Arial" w:cs="Arial" w:eastAsia="Arial" w:hAnsi="Arial"/>
                <w:sz w:val="10"/>
                <w:szCs w:val="10"/>
                <w:color w:val="auto"/>
                <w:w w:val="71"/>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70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6"/>
        </w:trPr>
        <w:tc>
          <w:tcPr>
            <w:tcW w:w="37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600" w:type="dxa"/>
            <w:vAlign w:val="bottom"/>
            <w:gridSpan w:val="4"/>
            <w:vMerge w:val="restart"/>
          </w:tcPr>
          <w:p>
            <w:pPr>
              <w:jc w:val="center"/>
              <w:ind w:right="319"/>
              <w:spacing w:after="0"/>
              <w:rPr>
                <w:sz w:val="20"/>
                <w:szCs w:val="20"/>
                <w:color w:val="auto"/>
              </w:rPr>
            </w:pPr>
            <w:r>
              <w:rPr>
                <w:rFonts w:ascii="Arial" w:cs="Arial" w:eastAsia="Arial" w:hAnsi="Arial"/>
                <w:sz w:val="14"/>
                <w:szCs w:val="14"/>
                <w:b w:val="1"/>
                <w:bCs w:val="1"/>
                <w:color w:val="auto"/>
                <w:w w:val="89"/>
              </w:rPr>
              <w:t>Pension benefits</w:t>
            </w:r>
          </w:p>
        </w:tc>
        <w:tc>
          <w:tcPr>
            <w:tcW w:w="5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740" w:type="dxa"/>
            <w:vAlign w:val="bottom"/>
            <w:gridSpan w:val="4"/>
          </w:tcPr>
          <w:p>
            <w:pPr>
              <w:jc w:val="center"/>
              <w:ind w:left="359"/>
              <w:spacing w:after="0"/>
              <w:rPr>
                <w:sz w:val="20"/>
                <w:szCs w:val="20"/>
                <w:color w:val="auto"/>
              </w:rPr>
            </w:pPr>
            <w:r>
              <w:rPr>
                <w:rFonts w:ascii="Arial" w:cs="Arial" w:eastAsia="Arial" w:hAnsi="Arial"/>
                <w:sz w:val="14"/>
                <w:szCs w:val="14"/>
                <w:b w:val="1"/>
                <w:bCs w:val="1"/>
                <w:color w:val="auto"/>
                <w:w w:val="93"/>
              </w:rPr>
              <w:t>Other postretirement</w:t>
            </w:r>
          </w:p>
        </w:tc>
        <w:tc>
          <w:tcPr>
            <w:tcW w:w="8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3700" w:type="dxa"/>
            <w:vAlign w:val="bottom"/>
          </w:tcPr>
          <w:p>
            <w:pPr>
              <w:spacing w:after="0"/>
              <w:rPr>
                <w:sz w:val="14"/>
                <w:szCs w:val="14"/>
                <w:color w:val="auto"/>
              </w:rPr>
            </w:pPr>
          </w:p>
        </w:tc>
        <w:tc>
          <w:tcPr>
            <w:tcW w:w="900" w:type="dxa"/>
            <w:vAlign w:val="bottom"/>
            <w:tcBorders>
              <w:bottom w:val="single" w:sz="8" w:color="auto"/>
            </w:tcBorders>
          </w:tcPr>
          <w:p>
            <w:pPr>
              <w:spacing w:after="0"/>
              <w:rPr>
                <w:sz w:val="14"/>
                <w:szCs w:val="14"/>
                <w:color w:val="auto"/>
              </w:rPr>
            </w:pPr>
          </w:p>
        </w:tc>
        <w:tc>
          <w:tcPr>
            <w:tcW w:w="1600" w:type="dxa"/>
            <w:vAlign w:val="bottom"/>
            <w:tcBorders>
              <w:bottom w:val="single" w:sz="8" w:color="auto"/>
            </w:tcBorders>
            <w:gridSpan w:val="4"/>
            <w:vMerge w:val="continue"/>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1740" w:type="dxa"/>
            <w:vAlign w:val="bottom"/>
            <w:tcBorders>
              <w:bottom w:val="single" w:sz="8" w:color="auto"/>
            </w:tcBorders>
            <w:gridSpan w:val="4"/>
          </w:tcPr>
          <w:p>
            <w:pPr>
              <w:jc w:val="center"/>
              <w:ind w:left="379"/>
              <w:spacing w:after="0"/>
              <w:rPr>
                <w:sz w:val="20"/>
                <w:szCs w:val="20"/>
                <w:color w:val="auto"/>
              </w:rPr>
            </w:pPr>
            <w:r>
              <w:rPr>
                <w:rFonts w:ascii="Arial" w:cs="Arial" w:eastAsia="Arial" w:hAnsi="Arial"/>
                <w:sz w:val="14"/>
                <w:szCs w:val="14"/>
                <w:b w:val="1"/>
                <w:bCs w:val="1"/>
                <w:color w:val="auto"/>
                <w:w w:val="89"/>
              </w:rPr>
              <w:t>benefits</w:t>
            </w:r>
          </w:p>
        </w:tc>
        <w:tc>
          <w:tcPr>
            <w:tcW w:w="86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3700" w:type="dxa"/>
            <w:vAlign w:val="bottom"/>
          </w:tcPr>
          <w:p>
            <w:pPr>
              <w:spacing w:after="0"/>
              <w:rPr>
                <w:sz w:val="10"/>
                <w:szCs w:val="10"/>
                <w:color w:val="auto"/>
              </w:rPr>
            </w:pPr>
          </w:p>
        </w:tc>
        <w:tc>
          <w:tcPr>
            <w:tcW w:w="2500" w:type="dxa"/>
            <w:vAlign w:val="bottom"/>
            <w:gridSpan w:val="5"/>
          </w:tcPr>
          <w:p>
            <w:pPr>
              <w:jc w:val="center"/>
              <w:ind w:left="429"/>
              <w:spacing w:after="0" w:line="119" w:lineRule="exact"/>
              <w:rPr>
                <w:sz w:val="20"/>
                <w:szCs w:val="20"/>
                <w:color w:val="auto"/>
              </w:rPr>
            </w:pPr>
            <w:r>
              <w:rPr>
                <w:rFonts w:ascii="Arial" w:cs="Arial" w:eastAsia="Arial" w:hAnsi="Arial"/>
                <w:sz w:val="13"/>
                <w:szCs w:val="13"/>
                <w:b w:val="1"/>
                <w:bCs w:val="1"/>
                <w:color w:val="auto"/>
                <w:w w:val="98"/>
              </w:rPr>
              <w:t>For the six months ended</w:t>
            </w:r>
          </w:p>
        </w:tc>
        <w:tc>
          <w:tcPr>
            <w:tcW w:w="5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2600" w:type="dxa"/>
            <w:vAlign w:val="bottom"/>
            <w:gridSpan w:val="5"/>
          </w:tcPr>
          <w:p>
            <w:pPr>
              <w:jc w:val="center"/>
              <w:ind w:right="333"/>
              <w:spacing w:after="0" w:line="119" w:lineRule="exact"/>
              <w:rPr>
                <w:sz w:val="20"/>
                <w:szCs w:val="20"/>
                <w:color w:val="auto"/>
              </w:rPr>
            </w:pPr>
            <w:r>
              <w:rPr>
                <w:rFonts w:ascii="Arial" w:cs="Arial" w:eastAsia="Arial" w:hAnsi="Arial"/>
                <w:sz w:val="13"/>
                <w:szCs w:val="13"/>
                <w:b w:val="1"/>
                <w:bCs w:val="1"/>
                <w:color w:val="auto"/>
                <w:w w:val="97"/>
              </w:rPr>
              <w:t>For the six months ended</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3700" w:type="dxa"/>
            <w:vAlign w:val="bottom"/>
          </w:tcPr>
          <w:p>
            <w:pPr>
              <w:spacing w:after="0"/>
              <w:rPr>
                <w:sz w:val="14"/>
                <w:szCs w:val="14"/>
                <w:color w:val="auto"/>
              </w:rPr>
            </w:pPr>
          </w:p>
        </w:tc>
        <w:tc>
          <w:tcPr>
            <w:tcW w:w="900" w:type="dxa"/>
            <w:vAlign w:val="bottom"/>
            <w:tcBorders>
              <w:bottom w:val="single" w:sz="8" w:color="auto"/>
            </w:tcBorders>
          </w:tcPr>
          <w:p>
            <w:pPr>
              <w:spacing w:after="0"/>
              <w:rPr>
                <w:sz w:val="14"/>
                <w:szCs w:val="14"/>
                <w:color w:val="auto"/>
              </w:rPr>
            </w:pPr>
          </w:p>
        </w:tc>
        <w:tc>
          <w:tcPr>
            <w:tcW w:w="1600" w:type="dxa"/>
            <w:vAlign w:val="bottom"/>
            <w:tcBorders>
              <w:bottom w:val="single" w:sz="8" w:color="auto"/>
            </w:tcBorders>
            <w:gridSpan w:val="4"/>
          </w:tcPr>
          <w:p>
            <w:pPr>
              <w:jc w:val="center"/>
              <w:ind w:right="359"/>
              <w:spacing w:after="0"/>
              <w:rPr>
                <w:sz w:val="20"/>
                <w:szCs w:val="20"/>
                <w:color w:val="auto"/>
              </w:rPr>
            </w:pPr>
            <w:r>
              <w:rPr>
                <w:rFonts w:ascii="Arial" w:cs="Arial" w:eastAsia="Arial" w:hAnsi="Arial"/>
                <w:sz w:val="14"/>
                <w:szCs w:val="14"/>
                <w:b w:val="1"/>
                <w:bCs w:val="1"/>
                <w:color w:val="auto"/>
                <w:w w:val="92"/>
              </w:rPr>
              <w:t>June 30,</w:t>
            </w:r>
          </w:p>
        </w:tc>
        <w:tc>
          <w:tcPr>
            <w:tcW w:w="50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1740" w:type="dxa"/>
            <w:vAlign w:val="bottom"/>
            <w:tcBorders>
              <w:bottom w:val="single" w:sz="8" w:color="auto"/>
            </w:tcBorders>
            <w:gridSpan w:val="4"/>
          </w:tcPr>
          <w:p>
            <w:pPr>
              <w:jc w:val="center"/>
              <w:ind w:left="339"/>
              <w:spacing w:after="0"/>
              <w:rPr>
                <w:sz w:val="20"/>
                <w:szCs w:val="20"/>
                <w:color w:val="auto"/>
              </w:rPr>
            </w:pPr>
            <w:r>
              <w:rPr>
                <w:rFonts w:ascii="Arial" w:cs="Arial" w:eastAsia="Arial" w:hAnsi="Arial"/>
                <w:sz w:val="14"/>
                <w:szCs w:val="14"/>
                <w:b w:val="1"/>
                <w:bCs w:val="1"/>
                <w:color w:val="auto"/>
                <w:w w:val="92"/>
              </w:rPr>
              <w:t>June 30,</w:t>
            </w:r>
          </w:p>
        </w:tc>
        <w:tc>
          <w:tcPr>
            <w:tcW w:w="86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3700" w:type="dxa"/>
            <w:vAlign w:val="bottom"/>
          </w:tcPr>
          <w:p>
            <w:pPr>
              <w:spacing w:after="0"/>
              <w:rPr>
                <w:sz w:val="12"/>
                <w:szCs w:val="12"/>
                <w:color w:val="auto"/>
              </w:rPr>
            </w:pPr>
          </w:p>
        </w:tc>
        <w:tc>
          <w:tcPr>
            <w:tcW w:w="9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2022</w:t>
            </w:r>
          </w:p>
        </w:tc>
        <w:tc>
          <w:tcPr>
            <w:tcW w:w="500" w:type="dxa"/>
            <w:vAlign w:val="bottom"/>
            <w:tcBorders>
              <w:bottom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2021</w:t>
            </w:r>
          </w:p>
        </w:tc>
        <w:tc>
          <w:tcPr>
            <w:tcW w:w="500" w:type="dxa"/>
            <w:vAlign w:val="bottom"/>
            <w:tcBorders>
              <w:bottom w:val="single" w:sz="8" w:color="auto"/>
            </w:tcBorders>
          </w:tcPr>
          <w:p>
            <w:pPr>
              <w:spacing w:after="0"/>
              <w:rPr>
                <w:sz w:val="12"/>
                <w:szCs w:val="12"/>
                <w:color w:val="auto"/>
              </w:rPr>
            </w:pPr>
          </w:p>
        </w:tc>
        <w:tc>
          <w:tcPr>
            <w:tcW w:w="200" w:type="dxa"/>
            <w:vAlign w:val="bottom"/>
          </w:tcPr>
          <w:p>
            <w:pPr>
              <w:spacing w:after="0"/>
              <w:rPr>
                <w:sz w:val="12"/>
                <w:szCs w:val="12"/>
                <w:color w:val="auto"/>
              </w:rPr>
            </w:pPr>
          </w:p>
        </w:tc>
        <w:tc>
          <w:tcPr>
            <w:tcW w:w="420" w:type="dxa"/>
            <w:vAlign w:val="bottom"/>
            <w:tcBorders>
              <w:bottom w:val="single" w:sz="8" w:color="auto"/>
            </w:tcBorders>
          </w:tcPr>
          <w:p>
            <w:pPr>
              <w:spacing w:after="0"/>
              <w:rPr>
                <w:sz w:val="12"/>
                <w:szCs w:val="12"/>
                <w:color w:val="auto"/>
              </w:rPr>
            </w:pPr>
          </w:p>
        </w:tc>
        <w:tc>
          <w:tcPr>
            <w:tcW w:w="1000" w:type="dxa"/>
            <w:vAlign w:val="bottom"/>
            <w:tcBorders>
              <w:bottom w:val="single" w:sz="8" w:color="auto"/>
            </w:tcBorders>
          </w:tcPr>
          <w:p>
            <w:pPr>
              <w:jc w:val="right"/>
              <w:ind w:right="479"/>
              <w:spacing w:after="0" w:line="142" w:lineRule="exact"/>
              <w:rPr>
                <w:sz w:val="20"/>
                <w:szCs w:val="20"/>
                <w:color w:val="auto"/>
              </w:rPr>
            </w:pPr>
            <w:r>
              <w:rPr>
                <w:rFonts w:ascii="Arial" w:cs="Arial" w:eastAsia="Arial" w:hAnsi="Arial"/>
                <w:sz w:val="14"/>
                <w:szCs w:val="14"/>
                <w:b w:val="1"/>
                <w:bCs w:val="1"/>
                <w:color w:val="auto"/>
              </w:rPr>
              <w:t>2022</w:t>
            </w:r>
          </w:p>
        </w:tc>
        <w:tc>
          <w:tcPr>
            <w:tcW w:w="2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52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tcPr>
          <w:p>
            <w:pPr>
              <w:jc w:val="right"/>
              <w:ind w:right="473"/>
              <w:spacing w:after="0" w:line="142" w:lineRule="exact"/>
              <w:rPr>
                <w:sz w:val="20"/>
                <w:szCs w:val="20"/>
                <w:color w:val="auto"/>
              </w:rPr>
            </w:pPr>
            <w:r>
              <w:rPr>
                <w:rFonts w:ascii="Arial" w:cs="Arial" w:eastAsia="Arial" w:hAnsi="Arial"/>
                <w:sz w:val="14"/>
                <w:szCs w:val="14"/>
                <w:b w:val="1"/>
                <w:bCs w:val="1"/>
                <w:color w:val="auto"/>
                <w:w w:val="89"/>
              </w:rPr>
              <w:t>2021</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8"/>
        </w:trPr>
        <w:tc>
          <w:tcPr>
            <w:tcW w:w="37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120" w:type="dxa"/>
            <w:vAlign w:val="bottom"/>
            <w:gridSpan w:val="3"/>
          </w:tcPr>
          <w:p>
            <w:pPr>
              <w:jc w:val="right"/>
              <w:ind w:right="70"/>
              <w:spacing w:after="0" w:line="129" w:lineRule="exact"/>
              <w:rPr>
                <w:sz w:val="20"/>
                <w:szCs w:val="20"/>
                <w:color w:val="auto"/>
              </w:rPr>
            </w:pPr>
            <w:r>
              <w:rPr>
                <w:rFonts w:ascii="Arial" w:cs="Arial" w:eastAsia="Arial" w:hAnsi="Arial"/>
                <w:sz w:val="14"/>
                <w:szCs w:val="14"/>
                <w:i w:val="1"/>
                <w:iCs w:val="1"/>
                <w:color w:val="auto"/>
              </w:rPr>
              <w:t>(in millions)</w:t>
            </w:r>
          </w:p>
        </w:tc>
        <w:tc>
          <w:tcPr>
            <w:tcW w:w="10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3700" w:type="dxa"/>
            <w:vAlign w:val="bottom"/>
            <w:shd w:val="clear" w:color="auto" w:fill="CCEEFF"/>
          </w:tcPr>
          <w:p>
            <w:pPr>
              <w:spacing w:after="0"/>
              <w:rPr>
                <w:sz w:val="20"/>
                <w:szCs w:val="20"/>
                <w:color w:val="auto"/>
              </w:rPr>
            </w:pPr>
            <w:r>
              <w:rPr>
                <w:rFonts w:ascii="Arial" w:cs="Arial" w:eastAsia="Arial" w:hAnsi="Arial"/>
                <w:sz w:val="18"/>
                <w:szCs w:val="18"/>
                <w:color w:val="auto"/>
              </w:rPr>
              <w:t>Service cost</w:t>
            </w:r>
          </w:p>
        </w:tc>
        <w:tc>
          <w:tcPr>
            <w:tcW w:w="900" w:type="dxa"/>
            <w:vAlign w:val="bottom"/>
            <w:shd w:val="clear" w:color="auto" w:fill="CCEEFF"/>
          </w:tcPr>
          <w:p>
            <w:pPr>
              <w:jc w:val="right"/>
              <w:ind w:right="749"/>
              <w:spacing w:after="0"/>
              <w:rPr>
                <w:sz w:val="20"/>
                <w:szCs w:val="20"/>
                <w:color w:val="auto"/>
              </w:rPr>
            </w:pPr>
            <w:r>
              <w:rPr>
                <w:rFonts w:ascii="Arial" w:cs="Arial" w:eastAsia="Arial" w:hAnsi="Arial"/>
                <w:sz w:val="15"/>
                <w:szCs w:val="15"/>
                <w:b w:val="1"/>
                <w:bCs w:val="1"/>
                <w:color w:val="auto"/>
                <w:w w:val="71"/>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39.1</w:t>
            </w:r>
          </w:p>
        </w:tc>
        <w:tc>
          <w:tcPr>
            <w:tcW w:w="1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719"/>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41.6</w:t>
            </w:r>
          </w:p>
        </w:tc>
        <w:tc>
          <w:tcPr>
            <w:tcW w:w="200" w:type="dxa"/>
            <w:vAlign w:val="bottom"/>
            <w:shd w:val="clear" w:color="auto" w:fill="CCEEFF"/>
          </w:tcPr>
          <w:p>
            <w:pPr>
              <w:spacing w:after="0"/>
              <w:rPr>
                <w:sz w:val="18"/>
                <w:szCs w:val="18"/>
                <w:color w:val="auto"/>
              </w:rPr>
            </w:pPr>
          </w:p>
        </w:tc>
        <w:tc>
          <w:tcPr>
            <w:tcW w:w="420" w:type="dxa"/>
            <w:vAlign w:val="bottom"/>
            <w:shd w:val="clear" w:color="auto" w:fill="CCEEFF"/>
          </w:tcPr>
          <w:p>
            <w:pPr>
              <w:jc w:val="right"/>
              <w:ind w:right="230"/>
              <w:spacing w:after="0"/>
              <w:rPr>
                <w:sz w:val="20"/>
                <w:szCs w:val="20"/>
                <w:color w:val="auto"/>
              </w:rPr>
            </w:pPr>
            <w:r>
              <w:rPr>
                <w:rFonts w:ascii="Arial" w:cs="Arial" w:eastAsia="Arial" w:hAnsi="Arial"/>
                <w:sz w:val="18"/>
                <w:szCs w:val="18"/>
                <w:b w:val="1"/>
                <w:bCs w:val="1"/>
                <w:color w:val="auto"/>
                <w:w w:val="79"/>
              </w:rPr>
              <w:t>$</w:t>
            </w:r>
          </w:p>
        </w:tc>
        <w:tc>
          <w:tcPr>
            <w:tcW w:w="12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b w:val="1"/>
                <w:bCs w:val="1"/>
                <w:color w:val="auto"/>
              </w:rPr>
              <w:t>—</w:t>
            </w:r>
          </w:p>
        </w:tc>
        <w:tc>
          <w:tcPr>
            <w:tcW w:w="540" w:type="dxa"/>
            <w:vAlign w:val="bottom"/>
            <w:gridSpan w:val="2"/>
            <w:shd w:val="clear" w:color="auto" w:fill="CCEEFF"/>
          </w:tcPr>
          <w:p>
            <w:pPr>
              <w:jc w:val="right"/>
              <w:ind w:right="409"/>
              <w:spacing w:after="0"/>
              <w:rPr>
                <w:sz w:val="20"/>
                <w:szCs w:val="20"/>
                <w:color w:val="auto"/>
              </w:rPr>
            </w:pPr>
            <w:r>
              <w:rPr>
                <w:rFonts w:ascii="Arial" w:cs="Arial" w:eastAsia="Arial" w:hAnsi="Arial"/>
                <w:sz w:val="15"/>
                <w:szCs w:val="15"/>
                <w:color w:val="auto"/>
                <w:w w:val="71"/>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00" w:type="dxa"/>
            <w:vAlign w:val="bottom"/>
          </w:tcPr>
          <w:p>
            <w:pPr>
              <w:spacing w:after="0"/>
              <w:rPr>
                <w:sz w:val="20"/>
                <w:szCs w:val="20"/>
                <w:color w:val="auto"/>
              </w:rPr>
            </w:pPr>
            <w:r>
              <w:rPr>
                <w:rFonts w:ascii="Arial" w:cs="Arial" w:eastAsia="Arial" w:hAnsi="Arial"/>
                <w:sz w:val="18"/>
                <w:szCs w:val="18"/>
                <w:color w:val="auto"/>
              </w:rPr>
              <w:t>Interest cost</w:t>
            </w:r>
          </w:p>
        </w:tc>
        <w:tc>
          <w:tcPr>
            <w:tcW w:w="90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b w:val="1"/>
                <w:bCs w:val="1"/>
                <w:color w:val="auto"/>
              </w:rPr>
              <w:t>56.4</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51.6</w:t>
            </w:r>
          </w:p>
        </w:tc>
        <w:tc>
          <w:tcPr>
            <w:tcW w:w="2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1.1</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00" w:type="dxa"/>
            <w:vAlign w:val="bottom"/>
            <w:shd w:val="clear" w:color="auto" w:fill="CCEEFF"/>
          </w:tcPr>
          <w:p>
            <w:pPr>
              <w:spacing w:after="0"/>
              <w:rPr>
                <w:sz w:val="20"/>
                <w:szCs w:val="20"/>
                <w:color w:val="auto"/>
              </w:rPr>
            </w:pPr>
            <w:r>
              <w:rPr>
                <w:rFonts w:ascii="Arial" w:cs="Arial" w:eastAsia="Arial" w:hAnsi="Arial"/>
                <w:sz w:val="18"/>
                <w:szCs w:val="18"/>
                <w:color w:val="auto"/>
              </w:rPr>
              <w:t>Expected return on plan assets</w:t>
            </w:r>
          </w:p>
        </w:tc>
        <w:tc>
          <w:tcPr>
            <w:tcW w:w="9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(89.4)</w:t>
            </w: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(91.3)</w:t>
            </w:r>
          </w:p>
        </w:tc>
        <w:tc>
          <w:tcPr>
            <w:tcW w:w="4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(2.4)</w:t>
            </w:r>
          </w:p>
        </w:tc>
        <w:tc>
          <w:tcPr>
            <w:tcW w:w="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00" w:type="dxa"/>
            <w:vAlign w:val="bottom"/>
          </w:tcPr>
          <w:p>
            <w:pPr>
              <w:spacing w:after="0"/>
              <w:rPr>
                <w:sz w:val="20"/>
                <w:szCs w:val="20"/>
                <w:color w:val="auto"/>
              </w:rPr>
            </w:pPr>
            <w:r>
              <w:rPr>
                <w:rFonts w:ascii="Arial" w:cs="Arial" w:eastAsia="Arial" w:hAnsi="Arial"/>
                <w:sz w:val="18"/>
                <w:szCs w:val="18"/>
                <w:color w:val="auto"/>
              </w:rPr>
              <w:t>Amortization of prior service benefit</w:t>
            </w:r>
          </w:p>
        </w:tc>
        <w:tc>
          <w:tcPr>
            <w:tcW w:w="900" w:type="dxa"/>
            <w:vAlign w:val="bottom"/>
          </w:tcPr>
          <w:p>
            <w:pPr>
              <w:spacing w:after="0"/>
              <w:rPr>
                <w:sz w:val="18"/>
                <w:szCs w:val="18"/>
                <w:color w:val="auto"/>
              </w:rPr>
            </w:pPr>
          </w:p>
        </w:tc>
        <w:tc>
          <w:tcPr>
            <w:tcW w:w="6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(8.4)</w:t>
            </w: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700" w:type="dxa"/>
            <w:vAlign w:val="bottom"/>
            <w:gridSpan w:val="2"/>
          </w:tcPr>
          <w:p>
            <w:pPr>
              <w:jc w:val="right"/>
              <w:ind w:right="200"/>
              <w:spacing w:after="0"/>
              <w:rPr>
                <w:sz w:val="20"/>
                <w:szCs w:val="20"/>
                <w:color w:val="auto"/>
              </w:rPr>
            </w:pPr>
            <w:r>
              <w:rPr>
                <w:rFonts w:ascii="Arial" w:cs="Arial" w:eastAsia="Arial" w:hAnsi="Arial"/>
                <w:sz w:val="18"/>
                <w:szCs w:val="18"/>
                <w:color w:val="auto"/>
              </w:rPr>
              <w:t>(8.4)</w:t>
            </w:r>
          </w:p>
        </w:tc>
        <w:tc>
          <w:tcPr>
            <w:tcW w:w="420" w:type="dxa"/>
            <w:vAlign w:val="bottom"/>
          </w:tcPr>
          <w:p>
            <w:pPr>
              <w:spacing w:after="0"/>
              <w:rPr>
                <w:sz w:val="18"/>
                <w:szCs w:val="18"/>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(0.5)</w:t>
            </w:r>
          </w:p>
        </w:tc>
        <w:tc>
          <w:tcPr>
            <w:tcW w:w="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(0.5)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00" w:type="dxa"/>
            <w:vAlign w:val="bottom"/>
            <w:shd w:val="clear" w:color="auto" w:fill="CCEEFF"/>
          </w:tcPr>
          <w:p>
            <w:pPr>
              <w:spacing w:after="0"/>
              <w:rPr>
                <w:sz w:val="20"/>
                <w:szCs w:val="20"/>
                <w:color w:val="auto"/>
              </w:rPr>
            </w:pPr>
            <w:r>
              <w:rPr>
                <w:rFonts w:ascii="Arial" w:cs="Arial" w:eastAsia="Arial" w:hAnsi="Arial"/>
                <w:sz w:val="18"/>
                <w:szCs w:val="18"/>
                <w:color w:val="auto"/>
              </w:rPr>
              <w:t>Recognized net actuarial (gain) loss</w:t>
            </w:r>
          </w:p>
        </w:tc>
        <w:tc>
          <w:tcPr>
            <w:tcW w:w="9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27.9</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35.1</w:t>
            </w:r>
          </w:p>
        </w:tc>
        <w:tc>
          <w:tcPr>
            <w:tcW w:w="2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(0.6)</w:t>
            </w:r>
          </w:p>
        </w:tc>
        <w:tc>
          <w:tcPr>
            <w:tcW w:w="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700" w:type="dxa"/>
            <w:vAlign w:val="bottom"/>
          </w:tcPr>
          <w:p>
            <w:pPr>
              <w:spacing w:after="0"/>
              <w:rPr>
                <w:sz w:val="20"/>
                <w:szCs w:val="20"/>
                <w:color w:val="auto"/>
              </w:rPr>
            </w:pPr>
            <w:r>
              <w:rPr>
                <w:rFonts w:ascii="Arial" w:cs="Arial" w:eastAsia="Arial" w:hAnsi="Arial"/>
                <w:sz w:val="18"/>
                <w:szCs w:val="18"/>
                <w:color w:val="auto"/>
              </w:rPr>
              <w:t>Net periodic benefit cost (income)</w:t>
            </w:r>
          </w:p>
        </w:tc>
        <w:tc>
          <w:tcPr>
            <w:tcW w:w="900" w:type="dxa"/>
            <w:vAlign w:val="bottom"/>
            <w:tcBorders>
              <w:top w:val="single" w:sz="8" w:color="auto"/>
              <w:bottom w:val="single" w:sz="8" w:color="auto"/>
            </w:tcBorders>
          </w:tcPr>
          <w:p>
            <w:pPr>
              <w:jc w:val="right"/>
              <w:ind w:right="749"/>
              <w:spacing w:after="0"/>
              <w:rPr>
                <w:sz w:val="20"/>
                <w:szCs w:val="20"/>
                <w:color w:val="auto"/>
              </w:rPr>
            </w:pPr>
            <w:r>
              <w:rPr>
                <w:rFonts w:ascii="Arial" w:cs="Arial" w:eastAsia="Arial" w:hAnsi="Arial"/>
                <w:sz w:val="15"/>
                <w:szCs w:val="15"/>
                <w:b w:val="1"/>
                <w:bCs w:val="1"/>
                <w:color w:val="auto"/>
                <w:w w:val="71"/>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25.6</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Borders>
              <w:top w:val="single" w:sz="8" w:color="auto"/>
              <w:bottom w:val="single" w:sz="8" w:color="auto"/>
            </w:tcBorders>
          </w:tcPr>
          <w:p>
            <w:pPr>
              <w:jc w:val="right"/>
              <w:ind w:right="719"/>
              <w:spacing w:after="0"/>
              <w:rPr>
                <w:sz w:val="20"/>
                <w:szCs w:val="20"/>
                <w:color w:val="auto"/>
              </w:rPr>
            </w:pPr>
            <w:r>
              <w:rPr>
                <w:rFonts w:ascii="Arial" w:cs="Arial" w:eastAsia="Arial" w:hAnsi="Arial"/>
                <w:sz w:val="18"/>
                <w:szCs w:val="18"/>
                <w:color w:val="auto"/>
                <w:w w:val="79"/>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28.6</w:t>
            </w:r>
          </w:p>
        </w:tc>
        <w:tc>
          <w:tcPr>
            <w:tcW w:w="200" w:type="dxa"/>
            <w:vAlign w:val="bottom"/>
          </w:tcPr>
          <w:p>
            <w:pPr>
              <w:spacing w:after="0"/>
              <w:rPr>
                <w:sz w:val="18"/>
                <w:szCs w:val="18"/>
                <w:color w:val="auto"/>
              </w:rPr>
            </w:pPr>
          </w:p>
        </w:tc>
        <w:tc>
          <w:tcPr>
            <w:tcW w:w="420" w:type="dxa"/>
            <w:vAlign w:val="bottom"/>
            <w:tcBorders>
              <w:top w:val="single" w:sz="8" w:color="auto"/>
              <w:bottom w:val="single" w:sz="8" w:color="auto"/>
            </w:tcBorders>
          </w:tcPr>
          <w:p>
            <w:pPr>
              <w:jc w:val="right"/>
              <w:ind w:right="230"/>
              <w:spacing w:after="0"/>
              <w:rPr>
                <w:sz w:val="20"/>
                <w:szCs w:val="20"/>
                <w:color w:val="auto"/>
              </w:rPr>
            </w:pPr>
            <w:r>
              <w:rPr>
                <w:rFonts w:ascii="Arial" w:cs="Arial" w:eastAsia="Arial" w:hAnsi="Arial"/>
                <w:sz w:val="18"/>
                <w:szCs w:val="18"/>
                <w:b w:val="1"/>
                <w:bCs w:val="1"/>
                <w:color w:val="auto"/>
                <w:w w:val="79"/>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(2.4)</w:t>
            </w:r>
          </w:p>
        </w:tc>
        <w:tc>
          <w:tcPr>
            <w:tcW w:w="20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520" w:type="dxa"/>
            <w:vAlign w:val="bottom"/>
            <w:tcBorders>
              <w:top w:val="single" w:sz="8" w:color="auto"/>
              <w:bottom w:val="single" w:sz="8" w:color="auto"/>
            </w:tcBorders>
          </w:tcPr>
          <w:p>
            <w:pPr>
              <w:jc w:val="right"/>
              <w:ind w:right="409"/>
              <w:spacing w:after="0"/>
              <w:rPr>
                <w:sz w:val="20"/>
                <w:szCs w:val="20"/>
                <w:color w:val="auto"/>
              </w:rPr>
            </w:pPr>
            <w:r>
              <w:rPr>
                <w:rFonts w:ascii="Arial" w:cs="Arial" w:eastAsia="Arial" w:hAnsi="Arial"/>
                <w:sz w:val="10"/>
                <w:szCs w:val="10"/>
                <w:color w:val="auto"/>
                <w:w w:val="71"/>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w:t>
            </w:r>
          </w:p>
        </w:tc>
        <w:tc>
          <w:tcPr>
            <w:tcW w:w="2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70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1" w:right="340" w:firstLine="648"/>
        <w:spacing w:after="0" w:line="277" w:lineRule="auto"/>
        <w:rPr>
          <w:sz w:val="20"/>
          <w:szCs w:val="20"/>
          <w:color w:val="auto"/>
        </w:rPr>
      </w:pPr>
      <w:r>
        <w:rPr>
          <w:rFonts w:ascii="Arial" w:cs="Arial" w:eastAsia="Arial" w:hAnsi="Arial"/>
          <w:sz w:val="18"/>
          <w:szCs w:val="18"/>
          <w:color w:val="auto"/>
        </w:rPr>
        <w:t>The components of net periodic benefit cost including the service cost component are included in operating expenses on the consolidated statements of operations.</w:t>
      </w:r>
    </w:p>
    <w:p>
      <w:pPr>
        <w:spacing w:after="0" w:line="166" w:lineRule="exact"/>
        <w:rPr>
          <w:sz w:val="20"/>
          <w:szCs w:val="20"/>
          <w:color w:val="auto"/>
        </w:rPr>
      </w:pPr>
    </w:p>
    <w:p>
      <w:pPr>
        <w:ind w:left="1"/>
        <w:spacing w:after="0"/>
        <w:rPr>
          <w:sz w:val="20"/>
          <w:szCs w:val="20"/>
          <w:color w:val="auto"/>
        </w:rPr>
      </w:pPr>
      <w:r>
        <w:rPr>
          <w:rFonts w:ascii="Arial" w:cs="Arial" w:eastAsia="Arial" w:hAnsi="Arial"/>
          <w:sz w:val="18"/>
          <w:szCs w:val="18"/>
          <w:b w:val="1"/>
          <w:bCs w:val="1"/>
          <w:color w:val="auto"/>
        </w:rPr>
        <w:t>Contributions</w:t>
      </w:r>
    </w:p>
    <w:p>
      <w:pPr>
        <w:spacing w:after="0" w:line="229" w:lineRule="exact"/>
        <w:rPr>
          <w:sz w:val="20"/>
          <w:szCs w:val="20"/>
          <w:color w:val="auto"/>
        </w:rPr>
      </w:pPr>
    </w:p>
    <w:p>
      <w:pPr>
        <w:ind w:left="1" w:firstLine="648"/>
        <w:spacing w:after="0" w:line="255" w:lineRule="auto"/>
        <w:rPr>
          <w:sz w:val="20"/>
          <w:szCs w:val="20"/>
          <w:color w:val="auto"/>
        </w:rPr>
      </w:pPr>
      <w:r>
        <w:rPr>
          <w:rFonts w:ascii="Arial" w:cs="Arial" w:eastAsia="Arial" w:hAnsi="Arial"/>
          <w:sz w:val="18"/>
          <w:szCs w:val="18"/>
          <w:color w:val="auto"/>
        </w:rPr>
        <w:t>Our funding policy for our qualified pension plan is to fund the plan annually in an amount at least equal to the minimum annual contribution required under the Employee Retirement Income Security Act (“ERISA”) and, generally, not greater than the maximum amount that can be deducted for federal income tax purposes. It is too early to determine, but we do not anticipate that we will be required to fund a minimum required contribution under ERISA. Regardless, it is possible that we may fund the qualified and nonqualified pension plans in 2022 for a combined total of up to $75.0 million. During the three and six months ended June 30, 2022, we contributed $22.3 million and $44.7 million to these plans, respectively.</w:t>
      </w:r>
    </w:p>
    <w:p>
      <w:pPr>
        <w:spacing w:after="0" w:line="202" w:lineRule="exact"/>
        <w:rPr>
          <w:sz w:val="20"/>
          <w:szCs w:val="20"/>
          <w:color w:val="auto"/>
        </w:rPr>
      </w:pPr>
    </w:p>
    <w:p>
      <w:pPr>
        <w:ind w:left="1" w:right="5920" w:hanging="1"/>
        <w:spacing w:after="0" w:line="566" w:lineRule="auto"/>
        <w:tabs>
          <w:tab w:leader="none" w:pos="270" w:val="left"/>
        </w:tabs>
        <w:numPr>
          <w:ilvl w:val="0"/>
          <w:numId w:val="24"/>
        </w:numPr>
        <w:rPr>
          <w:rFonts w:ascii="Arial" w:cs="Arial" w:eastAsia="Arial" w:hAnsi="Arial"/>
          <w:sz w:val="16"/>
          <w:szCs w:val="16"/>
          <w:b w:val="1"/>
          <w:bCs w:val="1"/>
          <w:color w:val="auto"/>
        </w:rPr>
      </w:pPr>
      <w:r>
        <w:rPr>
          <w:rFonts w:ascii="Arial" w:cs="Arial" w:eastAsia="Arial" w:hAnsi="Arial"/>
          <w:sz w:val="16"/>
          <w:szCs w:val="16"/>
          <w:b w:val="1"/>
          <w:bCs w:val="1"/>
          <w:color w:val="auto"/>
        </w:rPr>
        <w:t>Contingencies, Guarantees and Indemnifications Litigation and Regulatory Contingencies</w:t>
      </w:r>
    </w:p>
    <w:p>
      <w:pPr>
        <w:ind w:left="1" w:right="80" w:firstLine="648"/>
        <w:spacing w:after="0" w:line="279" w:lineRule="auto"/>
        <w:rPr>
          <w:sz w:val="20"/>
          <w:szCs w:val="20"/>
          <w:color w:val="auto"/>
        </w:rPr>
      </w:pPr>
      <w:r>
        <w:rPr>
          <w:rFonts w:ascii="Arial" w:cs="Arial" w:eastAsia="Arial" w:hAnsi="Arial"/>
          <w:sz w:val="17"/>
          <w:szCs w:val="17"/>
          <w:color w:val="auto"/>
        </w:rPr>
        <w:t>We are regularly involved in litigation, both as a defendant and as a plaintiff, but primarily as a defendant. Litigation naming us as a defendant ordinarily arises out of our business operations as a provider of asset management and accumulation products and services, individual life insurance, specialty benefits insurance and our investment activities. Some of the lawsuits may be class actions, or purport to be, and some may include claims for unspecified or substantial punitive and treble damages.</w:t>
      </w: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357505</wp:posOffset>
            </wp:positionV>
            <wp:extent cx="6292215" cy="2603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921"/>
          </w:cols>
          <w:pgMar w:left="979" w:top="665" w:right="999" w:bottom="1440" w:gutter="0" w:footer="0" w:header="0"/>
        </w:sectPr>
      </w:pPr>
    </w:p>
    <w:bookmarkStart w:id="53" w:name="page54"/>
    <w:bookmarkEnd w:id="53"/>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right="220" w:firstLine="648"/>
        <w:spacing w:after="0" w:line="275" w:lineRule="auto"/>
        <w:rPr>
          <w:sz w:val="20"/>
          <w:szCs w:val="20"/>
          <w:color w:val="auto"/>
        </w:rPr>
      </w:pPr>
      <w:r>
        <w:rPr>
          <w:rFonts w:ascii="Arial" w:cs="Arial" w:eastAsia="Arial" w:hAnsi="Arial"/>
          <w:sz w:val="17"/>
          <w:szCs w:val="17"/>
          <w:color w:val="auto"/>
        </w:rPr>
        <w:t>We may discuss such litigation in one of three ways. We accrue a charge to income and disclose legal matters for which the chance of loss is probable and for which the amount of loss can be reasonably estimated. We may disclose contingencies for which the chance of loss is reasonably possible and provide an estimate of the possible loss or range of loss or a statement that such an estimate cannot be made. Finally, we may voluntarily disclose loss contingencies for which the chance of loss is remote in order to provide information concerning matters that potentially expose us to possible losses.</w:t>
      </w:r>
    </w:p>
    <w:p>
      <w:pPr>
        <w:spacing w:after="0" w:line="176"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In addition, regulatory bodies such as state insurance departments, the SEC, the Financial Industry Regulatory Authority (“FINRA”), the Department of Labor (“DOL”) and other regulatory agencies in the U.S. and in international locations in which we do business, regularly make inquiries and conduct examinations or investigations concerning our compliance with, among other things, insurance laws, securities laws, ERISA and laws governing the activities of broker-dealers. We receive requests from regulators and other governmental authorities relating to industry issues and may receive additional requests, including subpoenas and interrogatories, in the future.</w:t>
      </w:r>
    </w:p>
    <w:p>
      <w:pPr>
        <w:spacing w:after="0" w:line="192" w:lineRule="exact"/>
        <w:rPr>
          <w:sz w:val="20"/>
          <w:szCs w:val="20"/>
          <w:color w:val="auto"/>
        </w:rPr>
      </w:pPr>
    </w:p>
    <w:p>
      <w:pPr>
        <w:ind w:right="120" w:firstLine="648"/>
        <w:spacing w:after="0" w:line="270" w:lineRule="auto"/>
        <w:rPr>
          <w:sz w:val="20"/>
          <w:szCs w:val="20"/>
          <w:color w:val="auto"/>
        </w:rPr>
      </w:pPr>
      <w:r>
        <w:rPr>
          <w:rFonts w:ascii="Arial" w:cs="Arial" w:eastAsia="Arial" w:hAnsi="Arial"/>
          <w:sz w:val="17"/>
          <w:szCs w:val="17"/>
          <w:color w:val="auto"/>
        </w:rPr>
        <w:t>On November 12, 2014, Frederick Rozo filed a class action lawsuit in the United States District Court for the Southern District of Iowa against Principal Life and us. We were later dismissed as a defendant. The Plaintiff alleged that defendants breached fiduciary duties and engaged in prohibited transactions under ERISA in connection with a general account guaranteed product known as the Principal Fixed Income Option (“PFIO”). On May 12, 2017, the district court certified a nationwide class of participants and beneficiaries who had funds invested in one of the PFIO contracts. On September 25, 2018, the district court granted Principal Life’s motion for summary judgment. On February 3, 2020, the Eighth Circuit Court of Appeals reversed that ruling and remanded the case back to the district court. A bench trial was held before the district court November 3-10, 2020. The court issued its ruling on April 8, 2021, and found in favor of Principal Life on all claims. The Plaintiff has appealed this ruling to the Eighth Circuit Court of Appeals. Principal Life will continue to aggressively defend the case.</w:t>
      </w:r>
    </w:p>
    <w:p>
      <w:pPr>
        <w:spacing w:after="0" w:line="181" w:lineRule="exact"/>
        <w:rPr>
          <w:sz w:val="20"/>
          <w:szCs w:val="20"/>
          <w:color w:val="auto"/>
        </w:rPr>
      </w:pPr>
    </w:p>
    <w:p>
      <w:pPr>
        <w:ind w:right="20" w:firstLine="648"/>
        <w:spacing w:after="0" w:line="259" w:lineRule="auto"/>
        <w:rPr>
          <w:sz w:val="20"/>
          <w:szCs w:val="20"/>
          <w:color w:val="auto"/>
        </w:rPr>
      </w:pPr>
      <w:r>
        <w:rPr>
          <w:rFonts w:ascii="Arial" w:cs="Arial" w:eastAsia="Arial" w:hAnsi="Arial"/>
          <w:sz w:val="18"/>
          <w:szCs w:val="18"/>
          <w:color w:val="auto"/>
        </w:rPr>
        <w:t>While the outcome of any pending or future litigation or regulatory matter cannot be predicted, management does not believe any such matter will have a material adverse effect on our business or financial position. As of June 30, 2022, we had no estimated loss accrued related to the legal matter discussed above because we believe the chance of loss from this matter is not probable and the amount of loss cannot be reasonably estimated.</w:t>
      </w:r>
    </w:p>
    <w:p>
      <w:pPr>
        <w:spacing w:after="0" w:line="187" w:lineRule="exact"/>
        <w:rPr>
          <w:sz w:val="20"/>
          <w:szCs w:val="20"/>
          <w:color w:val="auto"/>
        </w:rPr>
      </w:pPr>
    </w:p>
    <w:p>
      <w:pPr>
        <w:ind w:right="20" w:firstLine="648"/>
        <w:spacing w:after="0" w:line="259" w:lineRule="auto"/>
        <w:rPr>
          <w:sz w:val="20"/>
          <w:szCs w:val="20"/>
          <w:color w:val="auto"/>
        </w:rPr>
      </w:pPr>
      <w:r>
        <w:rPr>
          <w:rFonts w:ascii="Arial" w:cs="Arial" w:eastAsia="Arial" w:hAnsi="Arial"/>
          <w:sz w:val="18"/>
          <w:szCs w:val="18"/>
          <w:color w:val="auto"/>
        </w:rPr>
        <w:t>To the extent such matters present a reasonably possible chance of loss, we are generally not able to estimate the possible loss or range of loss associated therewith. The outcome of such matters is always uncertain and unforeseen results can occur. It is possible that such outcomes could require us to pay damages or make other expenditures or establish accruals in amounts that we could not estimate at June 30, 2022.</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Guarantees and Indemnifications</w:t>
      </w:r>
    </w:p>
    <w:p>
      <w:pPr>
        <w:spacing w:after="0" w:line="229" w:lineRule="exact"/>
        <w:rPr>
          <w:sz w:val="20"/>
          <w:szCs w:val="20"/>
          <w:color w:val="auto"/>
        </w:rPr>
      </w:pPr>
    </w:p>
    <w:p>
      <w:pPr>
        <w:ind w:right="60" w:firstLine="648"/>
        <w:spacing w:after="0" w:line="269" w:lineRule="auto"/>
        <w:rPr>
          <w:sz w:val="20"/>
          <w:szCs w:val="20"/>
          <w:color w:val="auto"/>
        </w:rPr>
      </w:pPr>
      <w:r>
        <w:rPr>
          <w:rFonts w:ascii="Arial" w:cs="Arial" w:eastAsia="Arial" w:hAnsi="Arial"/>
          <w:sz w:val="17"/>
          <w:szCs w:val="17"/>
          <w:color w:val="auto"/>
        </w:rPr>
        <w:t>In the normal course of business, we have provided guarantees to third parties primarily related to former subsidiaries and joint ventures. The terms of these agreements range in duration and often are not explicitly defined. The maximum exposure under these agreements as of June 30, 2022, was approximately $85.0 million. At inception, the fair value of such guarantees was insignificant. In addition, we believe the likelihood is remote that material payments will be required. Therefore, any liability accrued within our consolidated statements of financial position is insignificant. Should we be required to perform under these guarantees, we generally could recover a portion of the loss from third parties through recourse provisions included in agreements with such parties, the sale of assets held as collateral that can be liquidated in the event performance is required under the guarantees or other recourse generally available to us; therefore, such guarantees would not result in a material adverse effect on our business or financial position. While the likelihood is remote, such outcomes could materially affect net income in a particular quarter or annual period. Furthermore, in connection with our contingent funding agreements, we are required to purchase any principal and interest strips of U.S. Treasury securities that are due and not paid from the associated unconsolidated trusts. The maximum exposure under these agreements as of June 30, 2022, was $750.0 million.</w:t>
      </w:r>
    </w:p>
    <w:p>
      <w:pPr>
        <w:spacing w:after="0" w:line="179" w:lineRule="exact"/>
        <w:rPr>
          <w:sz w:val="20"/>
          <w:szCs w:val="20"/>
          <w:color w:val="auto"/>
        </w:rPr>
      </w:pPr>
    </w:p>
    <w:p>
      <w:pPr>
        <w:ind w:right="200" w:firstLine="648"/>
        <w:spacing w:after="0" w:line="263" w:lineRule="auto"/>
        <w:rPr>
          <w:sz w:val="20"/>
          <w:szCs w:val="20"/>
          <w:color w:val="auto"/>
        </w:rPr>
      </w:pPr>
      <w:r>
        <w:rPr>
          <w:rFonts w:ascii="Arial" w:cs="Arial" w:eastAsia="Arial" w:hAnsi="Arial"/>
          <w:sz w:val="18"/>
          <w:szCs w:val="18"/>
          <w:color w:val="auto"/>
        </w:rPr>
        <w:t>We manage mandatory privatized social security funds in Chile. By regulation, we have a required minimum guarantee on the funds’ relative return. Because the guarantee has no limitation with respect to duration or amount, the maximum exposure of the guarantee in the future is indeterminable.</w:t>
      </w:r>
    </w:p>
    <w:p>
      <w:pPr>
        <w:sectPr>
          <w:pgSz w:w="11900" w:h="16838" w:orient="portrait"/>
          <w:cols w:equalWidth="0" w:num="1">
            <w:col w:w="9920"/>
          </w:cols>
          <w:pgMar w:left="980" w:top="665" w:right="999" w:bottom="1440" w:gutter="0" w:footer="0" w:header="0"/>
        </w:sectPr>
      </w:pPr>
    </w:p>
    <w:p>
      <w:pPr>
        <w:spacing w:after="0" w:line="400"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372110</wp:posOffset>
            </wp:positionV>
            <wp:extent cx="6292215" cy="2603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type w:val="continuous"/>
        </w:sectPr>
      </w:pPr>
    </w:p>
    <w:bookmarkStart w:id="54" w:name="page55"/>
    <w:bookmarkEnd w:id="54"/>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right="60" w:firstLine="648"/>
        <w:spacing w:after="0" w:line="270" w:lineRule="auto"/>
        <w:rPr>
          <w:sz w:val="20"/>
          <w:szCs w:val="20"/>
          <w:color w:val="auto"/>
        </w:rPr>
      </w:pPr>
      <w:r>
        <w:rPr>
          <w:rFonts w:ascii="Arial" w:cs="Arial" w:eastAsia="Arial" w:hAnsi="Arial"/>
          <w:sz w:val="17"/>
          <w:szCs w:val="17"/>
          <w:color w:val="auto"/>
        </w:rPr>
        <w:t>We are also subject to various other indemnification obligations issued in conjunction with divestitures, acquisitions, financing and reinsurance transactions whose terms range in duration and often are not explicitly defined. Certain portions of these indemnifications may be capped, while other portions are not subject to such limitations; therefore, the overall maximum amount of the obligation under the indemnifications cannot be reasonably estimated. At inception, the fair value of such indemnifications was insignificant. In addition, we believe the likelihood is remote that material payments will be required. Therefore, any liability accrued within our consolidated statements of financial position is insignificant. While we are unable to estimate with certainty the ultimate legal and financial liability with respect to these indemnifications, we believe that performance under these indemnifications would not result in a material adverse effect on our business or financial position. While the likelihood is remote, performance under these indemnifications could materially affect net income in a particular quarter or annual period.</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Stockholders’ Equity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Common Stock Dividends</w:t>
      </w:r>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3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100" w:type="dxa"/>
            <w:vAlign w:val="bottom"/>
            <w:gridSpan w:val="7"/>
          </w:tcPr>
          <w:p>
            <w:pPr>
              <w:jc w:val="center"/>
              <w:ind w:right="80"/>
              <w:spacing w:after="0"/>
              <w:rPr>
                <w:sz w:val="20"/>
                <w:szCs w:val="20"/>
                <w:color w:val="auto"/>
              </w:rPr>
            </w:pPr>
            <w:r>
              <w:rPr>
                <w:rFonts w:ascii="Arial" w:cs="Arial" w:eastAsia="Arial" w:hAnsi="Arial"/>
                <w:sz w:val="14"/>
                <w:szCs w:val="14"/>
                <w:b w:val="1"/>
                <w:bCs w:val="1"/>
                <w:color w:val="auto"/>
                <w:w w:val="91"/>
              </w:rPr>
              <w:t>For the three months ended</w:t>
            </w: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860" w:type="dxa"/>
            <w:vAlign w:val="bottom"/>
            <w:gridSpan w:val="5"/>
          </w:tcPr>
          <w:p>
            <w:pPr>
              <w:jc w:val="right"/>
              <w:ind w:right="215"/>
              <w:spacing w:after="0"/>
              <w:rPr>
                <w:sz w:val="20"/>
                <w:szCs w:val="20"/>
                <w:color w:val="auto"/>
              </w:rPr>
            </w:pPr>
            <w:r>
              <w:rPr>
                <w:rFonts w:ascii="Arial" w:cs="Arial" w:eastAsia="Arial" w:hAnsi="Arial"/>
                <w:sz w:val="14"/>
                <w:szCs w:val="14"/>
                <w:b w:val="1"/>
                <w:bCs w:val="1"/>
                <w:color w:val="auto"/>
                <w:w w:val="90"/>
              </w:rPr>
              <w:t>For the six months ended</w:t>
            </w:r>
          </w:p>
        </w:tc>
        <w:tc>
          <w:tcPr>
            <w:tcW w:w="0" w:type="dxa"/>
            <w:vAlign w:val="bottom"/>
          </w:tcPr>
          <w:p>
            <w:pPr>
              <w:spacing w:after="0"/>
              <w:rPr>
                <w:sz w:val="1"/>
                <w:szCs w:val="1"/>
                <w:color w:val="auto"/>
              </w:rPr>
            </w:pPr>
          </w:p>
        </w:tc>
      </w:tr>
      <w:tr>
        <w:trPr>
          <w:trHeight w:val="171"/>
        </w:trPr>
        <w:tc>
          <w:tcPr>
            <w:tcW w:w="53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380" w:type="dxa"/>
            <w:vAlign w:val="bottom"/>
            <w:tcBorders>
              <w:bottom w:val="single" w:sz="8" w:color="auto"/>
            </w:tcBorders>
            <w:gridSpan w:val="5"/>
          </w:tcPr>
          <w:p>
            <w:pPr>
              <w:jc w:val="center"/>
              <w:ind w:left="520"/>
              <w:spacing w:after="0"/>
              <w:rPr>
                <w:sz w:val="20"/>
                <w:szCs w:val="20"/>
                <w:color w:val="auto"/>
              </w:rPr>
            </w:pPr>
            <w:r>
              <w:rPr>
                <w:rFonts w:ascii="Arial" w:cs="Arial" w:eastAsia="Arial" w:hAnsi="Arial"/>
                <w:sz w:val="14"/>
                <w:szCs w:val="14"/>
                <w:b w:val="1"/>
                <w:bCs w:val="1"/>
                <w:color w:val="auto"/>
                <w:w w:val="89"/>
              </w:rPr>
              <w:t>June 30,</w:t>
            </w:r>
          </w:p>
        </w:tc>
        <w:tc>
          <w:tcPr>
            <w:tcW w:w="70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gridSpan w:val="4"/>
          </w:tcPr>
          <w:p>
            <w:pPr>
              <w:ind w:left="500"/>
              <w:spacing w:after="0"/>
              <w:rPr>
                <w:sz w:val="20"/>
                <w:szCs w:val="20"/>
                <w:color w:val="auto"/>
              </w:rPr>
            </w:pPr>
            <w:r>
              <w:rPr>
                <w:rFonts w:ascii="Arial" w:cs="Arial" w:eastAsia="Arial" w:hAnsi="Arial"/>
                <w:sz w:val="14"/>
                <w:szCs w:val="14"/>
                <w:b w:val="1"/>
                <w:bCs w:val="1"/>
                <w:color w:val="auto"/>
              </w:rPr>
              <w:t>June 30,</w:t>
            </w:r>
          </w:p>
        </w:tc>
        <w:tc>
          <w:tcPr>
            <w:tcW w:w="72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536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900" w:type="dxa"/>
            <w:vAlign w:val="bottom"/>
            <w:tcBorders>
              <w:bottom w:val="single" w:sz="8" w:color="auto"/>
            </w:tcBorders>
          </w:tcPr>
          <w:p>
            <w:pPr>
              <w:jc w:val="right"/>
              <w:ind w:right="260"/>
              <w:spacing w:after="0" w:line="142" w:lineRule="exact"/>
              <w:rPr>
                <w:sz w:val="20"/>
                <w:szCs w:val="20"/>
                <w:color w:val="auto"/>
              </w:rPr>
            </w:pPr>
            <w:r>
              <w:rPr>
                <w:rFonts w:ascii="Arial" w:cs="Arial" w:eastAsia="Arial" w:hAnsi="Arial"/>
                <w:sz w:val="14"/>
                <w:szCs w:val="14"/>
                <w:b w:val="1"/>
                <w:bCs w:val="1"/>
                <w:color w:val="auto"/>
              </w:rPr>
              <w:t>2022</w:t>
            </w:r>
          </w:p>
        </w:tc>
        <w:tc>
          <w:tcPr>
            <w:tcW w:w="20" w:type="dxa"/>
            <w:vAlign w:val="bottom"/>
            <w:tcBorders>
              <w:bottom w:val="single" w:sz="8" w:color="auto"/>
            </w:tcBorders>
          </w:tcPr>
          <w:p>
            <w:pPr>
              <w:spacing w:after="0"/>
              <w:rPr>
                <w:sz w:val="12"/>
                <w:szCs w:val="12"/>
                <w:color w:val="auto"/>
              </w:rPr>
            </w:pPr>
          </w:p>
        </w:tc>
        <w:tc>
          <w:tcPr>
            <w:tcW w:w="200" w:type="dxa"/>
            <w:vAlign w:val="bottom"/>
            <w:tcBorders>
              <w:bottom w:val="single" w:sz="8" w:color="CCEEFF"/>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ind w:right="237"/>
              <w:spacing w:after="0" w:line="142" w:lineRule="exact"/>
              <w:rPr>
                <w:sz w:val="20"/>
                <w:szCs w:val="20"/>
                <w:color w:val="auto"/>
              </w:rPr>
            </w:pPr>
            <w:r>
              <w:rPr>
                <w:rFonts w:ascii="Arial" w:cs="Arial" w:eastAsia="Arial" w:hAnsi="Arial"/>
                <w:sz w:val="14"/>
                <w:szCs w:val="14"/>
                <w:b w:val="1"/>
                <w:bCs w:val="1"/>
                <w:color w:val="auto"/>
              </w:rPr>
              <w:t>2021</w:t>
            </w:r>
          </w:p>
        </w:tc>
        <w:tc>
          <w:tcPr>
            <w:tcW w:w="20" w:type="dxa"/>
            <w:vAlign w:val="bottom"/>
            <w:tcBorders>
              <w:bottom w:val="single" w:sz="8" w:color="auto"/>
            </w:tcBorders>
          </w:tcPr>
          <w:p>
            <w:pPr>
              <w:spacing w:after="0"/>
              <w:rPr>
                <w:sz w:val="12"/>
                <w:szCs w:val="12"/>
                <w:color w:val="auto"/>
              </w:rPr>
            </w:pPr>
          </w:p>
        </w:tc>
        <w:tc>
          <w:tcPr>
            <w:tcW w:w="200" w:type="dxa"/>
            <w:vAlign w:val="bottom"/>
            <w:tcBorders>
              <w:bottom w:val="single" w:sz="8" w:color="CCEEFF"/>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ind w:left="40"/>
              <w:spacing w:after="0" w:line="142" w:lineRule="exact"/>
              <w:rPr>
                <w:sz w:val="20"/>
                <w:szCs w:val="20"/>
                <w:color w:val="auto"/>
              </w:rPr>
            </w:pPr>
            <w:r>
              <w:rPr>
                <w:rFonts w:ascii="Arial" w:cs="Arial" w:eastAsia="Arial" w:hAnsi="Arial"/>
                <w:sz w:val="14"/>
                <w:szCs w:val="14"/>
                <w:b w:val="1"/>
                <w:bCs w:val="1"/>
                <w:color w:val="auto"/>
              </w:rPr>
              <w:t>2022</w:t>
            </w:r>
          </w:p>
        </w:tc>
        <w:tc>
          <w:tcPr>
            <w:tcW w:w="200" w:type="dxa"/>
            <w:vAlign w:val="bottom"/>
            <w:tcBorders>
              <w:bottom w:val="single" w:sz="8" w:color="CCEEFF"/>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tcPr>
          <w:p>
            <w:pPr>
              <w:jc w:val="right"/>
              <w:ind w:right="275"/>
              <w:spacing w:after="0" w:line="142" w:lineRule="exact"/>
              <w:rPr>
                <w:sz w:val="20"/>
                <w:szCs w:val="20"/>
                <w:color w:val="auto"/>
              </w:rPr>
            </w:pPr>
            <w:r>
              <w:rPr>
                <w:rFonts w:ascii="Arial" w:cs="Arial" w:eastAsia="Arial" w:hAnsi="Arial"/>
                <w:sz w:val="14"/>
                <w:szCs w:val="14"/>
                <w:b w:val="1"/>
                <w:bCs w:val="1"/>
                <w:color w:val="auto"/>
              </w:rPr>
              <w:t>2021</w:t>
            </w:r>
          </w:p>
        </w:tc>
        <w:tc>
          <w:tcPr>
            <w:tcW w:w="0" w:type="dxa"/>
            <w:vAlign w:val="bottom"/>
          </w:tcPr>
          <w:p>
            <w:pPr>
              <w:spacing w:after="0"/>
              <w:rPr>
                <w:sz w:val="1"/>
                <w:szCs w:val="1"/>
                <w:color w:val="auto"/>
              </w:rPr>
            </w:pPr>
          </w:p>
        </w:tc>
      </w:tr>
      <w:tr>
        <w:trPr>
          <w:trHeight w:val="210"/>
        </w:trPr>
        <w:tc>
          <w:tcPr>
            <w:tcW w:w="53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Dividends declared per common share</w:t>
            </w: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0.64</w:t>
            </w:r>
          </w:p>
        </w:tc>
        <w:tc>
          <w:tcPr>
            <w:tcW w:w="20" w:type="dxa"/>
            <w:vAlign w:val="bottom"/>
            <w:tcBorders>
              <w:bottom w:val="single" w:sz="8" w:color="auto"/>
            </w:tcBorders>
            <w:shd w:val="clear" w:color="auto" w:fill="CCEEFF"/>
          </w:tcPr>
          <w:p>
            <w:pPr>
              <w:spacing w:after="0"/>
              <w:rPr>
                <w:sz w:val="18"/>
                <w:szCs w:val="18"/>
                <w:color w:val="auto"/>
              </w:rPr>
            </w:pPr>
          </w:p>
        </w:tc>
        <w:tc>
          <w:tcPr>
            <w:tcW w:w="200" w:type="dxa"/>
            <w:vAlign w:val="bottom"/>
            <w:tcBorders>
              <w:bottom w:val="single" w:sz="8" w:color="CCEEFF"/>
            </w:tcBorders>
            <w:shd w:val="clear" w:color="auto" w:fill="CCEEFF"/>
          </w:tcPr>
          <w:p>
            <w:pPr>
              <w:spacing w:after="0"/>
              <w:rPr>
                <w:sz w:val="18"/>
                <w:szCs w:val="18"/>
                <w:color w:val="auto"/>
              </w:rPr>
            </w:pPr>
          </w:p>
        </w:tc>
        <w:tc>
          <w:tcPr>
            <w:tcW w:w="260" w:type="dxa"/>
            <w:vAlign w:val="bottom"/>
            <w:tcBorders>
              <w:bottom w:val="single" w:sz="8" w:color="auto"/>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79"/>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0.61</w:t>
            </w:r>
          </w:p>
        </w:tc>
        <w:tc>
          <w:tcPr>
            <w:tcW w:w="20" w:type="dxa"/>
            <w:vAlign w:val="bottom"/>
            <w:tcBorders>
              <w:bottom w:val="single" w:sz="8" w:color="auto"/>
            </w:tcBorders>
            <w:shd w:val="clear" w:color="auto" w:fill="CCEEFF"/>
          </w:tcPr>
          <w:p>
            <w:pPr>
              <w:spacing w:after="0"/>
              <w:rPr>
                <w:sz w:val="18"/>
                <w:szCs w:val="18"/>
                <w:color w:val="auto"/>
              </w:rPr>
            </w:pPr>
          </w:p>
        </w:tc>
        <w:tc>
          <w:tcPr>
            <w:tcW w:w="200" w:type="dxa"/>
            <w:vAlign w:val="bottom"/>
            <w:tcBorders>
              <w:bottom w:val="single" w:sz="8" w:color="CCEEFF"/>
            </w:tcBorders>
            <w:shd w:val="clear" w:color="auto" w:fill="CCEEFF"/>
          </w:tcPr>
          <w:p>
            <w:pPr>
              <w:spacing w:after="0"/>
              <w:rPr>
                <w:sz w:val="18"/>
                <w:szCs w:val="18"/>
                <w:color w:val="auto"/>
              </w:rPr>
            </w:pPr>
          </w:p>
        </w:tc>
        <w:tc>
          <w:tcPr>
            <w:tcW w:w="300" w:type="dxa"/>
            <w:vAlign w:val="bottom"/>
            <w:tcBorders>
              <w:bottom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5"/>
                <w:szCs w:val="15"/>
                <w:b w:val="1"/>
                <w:bCs w:val="1"/>
                <w:color w:val="auto"/>
                <w:w w:val="71"/>
              </w:rPr>
              <w:t>$</w:t>
            </w: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1.28</w:t>
            </w:r>
          </w:p>
        </w:tc>
        <w:tc>
          <w:tcPr>
            <w:tcW w:w="20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8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1.17</w:t>
            </w:r>
          </w:p>
        </w:tc>
        <w:tc>
          <w:tcPr>
            <w:tcW w:w="0" w:type="dxa"/>
            <w:vAlign w:val="bottom"/>
          </w:tcPr>
          <w:p>
            <w:pPr>
              <w:spacing w:after="0"/>
              <w:rPr>
                <w:sz w:val="1"/>
                <w:szCs w:val="1"/>
                <w:color w:val="auto"/>
              </w:rPr>
            </w:pPr>
          </w:p>
        </w:tc>
      </w:tr>
      <w:tr>
        <w:trPr>
          <w:trHeight w:val="20"/>
        </w:trPr>
        <w:tc>
          <w:tcPr>
            <w:tcW w:w="5360" w:type="dxa"/>
            <w:vAlign w:val="bottom"/>
            <w:vMerge w:val="restart"/>
          </w:tcPr>
          <w:p>
            <w:pPr>
              <w:spacing w:after="0"/>
              <w:rPr>
                <w:sz w:val="20"/>
                <w:szCs w:val="20"/>
                <w:color w:val="auto"/>
              </w:rPr>
            </w:pPr>
            <w:r>
              <w:rPr>
                <w:rFonts w:ascii="Arial" w:cs="Arial" w:eastAsia="Arial" w:hAnsi="Arial"/>
                <w:sz w:val="18"/>
                <w:szCs w:val="18"/>
                <w:b w:val="1"/>
                <w:bCs w:val="1"/>
                <w:color w:val="auto"/>
              </w:rPr>
              <w:t>Reconciliation of Outstanding Common Shares</w:t>
            </w:r>
          </w:p>
        </w:tc>
        <w:tc>
          <w:tcPr>
            <w:tcW w:w="1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5360" w:type="dxa"/>
            <w:vAlign w:val="bottom"/>
            <w:vMerge w:val="continue"/>
          </w:tcPr>
          <w:p>
            <w:pPr>
              <w:spacing w:after="0"/>
              <w:rPr>
                <w:sz w:val="24"/>
                <w:szCs w:val="24"/>
                <w:color w:val="auto"/>
              </w:rPr>
            </w:pPr>
          </w:p>
        </w:tc>
        <w:tc>
          <w:tcPr>
            <w:tcW w:w="1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5"/>
        </w:trPr>
        <w:tc>
          <w:tcPr>
            <w:tcW w:w="5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100" w:type="dxa"/>
            <w:vAlign w:val="bottom"/>
            <w:gridSpan w:val="7"/>
          </w:tcPr>
          <w:p>
            <w:pPr>
              <w:jc w:val="right"/>
              <w:ind w:right="200"/>
              <w:spacing w:after="0"/>
              <w:rPr>
                <w:sz w:val="20"/>
                <w:szCs w:val="20"/>
                <w:color w:val="auto"/>
              </w:rPr>
            </w:pPr>
            <w:r>
              <w:rPr>
                <w:rFonts w:ascii="Arial" w:cs="Arial" w:eastAsia="Arial" w:hAnsi="Arial"/>
                <w:sz w:val="14"/>
                <w:szCs w:val="14"/>
                <w:b w:val="1"/>
                <w:bCs w:val="1"/>
                <w:color w:val="auto"/>
              </w:rPr>
              <w:t>For the three months ended</w:t>
            </w: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60" w:type="dxa"/>
            <w:vAlign w:val="bottom"/>
            <w:gridSpan w:val="5"/>
          </w:tcPr>
          <w:p>
            <w:pPr>
              <w:ind w:left="40"/>
              <w:spacing w:after="0"/>
              <w:rPr>
                <w:sz w:val="20"/>
                <w:szCs w:val="20"/>
                <w:color w:val="auto"/>
              </w:rPr>
            </w:pPr>
            <w:r>
              <w:rPr>
                <w:rFonts w:ascii="Arial" w:cs="Arial" w:eastAsia="Arial" w:hAnsi="Arial"/>
                <w:sz w:val="14"/>
                <w:szCs w:val="14"/>
                <w:b w:val="1"/>
                <w:bCs w:val="1"/>
                <w:color w:val="auto"/>
              </w:rPr>
              <w:t>For the six months ended</w:t>
            </w:r>
          </w:p>
        </w:tc>
        <w:tc>
          <w:tcPr>
            <w:tcW w:w="0" w:type="dxa"/>
            <w:vAlign w:val="bottom"/>
          </w:tcPr>
          <w:p>
            <w:pPr>
              <w:spacing w:after="0"/>
              <w:rPr>
                <w:sz w:val="1"/>
                <w:szCs w:val="1"/>
                <w:color w:val="auto"/>
              </w:rPr>
            </w:pPr>
          </w:p>
        </w:tc>
      </w:tr>
      <w:tr>
        <w:trPr>
          <w:trHeight w:val="171"/>
        </w:trPr>
        <w:tc>
          <w:tcPr>
            <w:tcW w:w="53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80" w:type="dxa"/>
            <w:vAlign w:val="bottom"/>
            <w:tcBorders>
              <w:bottom w:val="single" w:sz="8" w:color="auto"/>
            </w:tcBorders>
            <w:gridSpan w:val="5"/>
          </w:tcPr>
          <w:p>
            <w:pPr>
              <w:jc w:val="center"/>
              <w:ind w:left="580"/>
              <w:spacing w:after="0"/>
              <w:rPr>
                <w:sz w:val="20"/>
                <w:szCs w:val="20"/>
                <w:color w:val="auto"/>
              </w:rPr>
            </w:pPr>
            <w:r>
              <w:rPr>
                <w:rFonts w:ascii="Arial" w:cs="Arial" w:eastAsia="Arial" w:hAnsi="Arial"/>
                <w:sz w:val="14"/>
                <w:szCs w:val="14"/>
                <w:b w:val="1"/>
                <w:bCs w:val="1"/>
                <w:color w:val="auto"/>
                <w:w w:val="92"/>
              </w:rPr>
              <w:t>June 30,</w:t>
            </w:r>
          </w:p>
        </w:tc>
        <w:tc>
          <w:tcPr>
            <w:tcW w:w="70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gridSpan w:val="4"/>
          </w:tcPr>
          <w:p>
            <w:pPr>
              <w:ind w:left="540"/>
              <w:spacing w:after="0"/>
              <w:rPr>
                <w:sz w:val="20"/>
                <w:szCs w:val="20"/>
                <w:color w:val="auto"/>
              </w:rPr>
            </w:pPr>
            <w:r>
              <w:rPr>
                <w:rFonts w:ascii="Arial" w:cs="Arial" w:eastAsia="Arial" w:hAnsi="Arial"/>
                <w:sz w:val="14"/>
                <w:szCs w:val="14"/>
                <w:b w:val="1"/>
                <w:bCs w:val="1"/>
                <w:color w:val="auto"/>
              </w:rPr>
              <w:t>June 30,</w:t>
            </w:r>
          </w:p>
        </w:tc>
        <w:tc>
          <w:tcPr>
            <w:tcW w:w="72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53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Borders>
              <w:bottom w:val="single" w:sz="8" w:color="auto"/>
            </w:tcBorders>
          </w:tcPr>
          <w:p>
            <w:pPr>
              <w:jc w:val="right"/>
              <w:ind w:right="220"/>
              <w:spacing w:after="0" w:line="142" w:lineRule="exact"/>
              <w:rPr>
                <w:sz w:val="20"/>
                <w:szCs w:val="20"/>
                <w:color w:val="auto"/>
              </w:rPr>
            </w:pPr>
            <w:r>
              <w:rPr>
                <w:rFonts w:ascii="Arial" w:cs="Arial" w:eastAsia="Arial" w:hAnsi="Arial"/>
                <w:sz w:val="14"/>
                <w:szCs w:val="14"/>
                <w:b w:val="1"/>
                <w:bCs w:val="1"/>
                <w:color w:val="auto"/>
              </w:rPr>
              <w:t>2022</w:t>
            </w: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ind w:right="217"/>
              <w:spacing w:after="0" w:line="142" w:lineRule="exact"/>
              <w:rPr>
                <w:sz w:val="20"/>
                <w:szCs w:val="20"/>
                <w:color w:val="auto"/>
              </w:rPr>
            </w:pPr>
            <w:r>
              <w:rPr>
                <w:rFonts w:ascii="Arial" w:cs="Arial" w:eastAsia="Arial" w:hAnsi="Arial"/>
                <w:sz w:val="14"/>
                <w:szCs w:val="14"/>
                <w:b w:val="1"/>
                <w:bCs w:val="1"/>
                <w:color w:val="auto"/>
              </w:rPr>
              <w:t>2021</w:t>
            </w: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ind w:right="240"/>
              <w:spacing w:after="0" w:line="142" w:lineRule="exact"/>
              <w:rPr>
                <w:sz w:val="20"/>
                <w:szCs w:val="20"/>
                <w:color w:val="auto"/>
              </w:rPr>
            </w:pPr>
            <w:r>
              <w:rPr>
                <w:rFonts w:ascii="Arial" w:cs="Arial" w:eastAsia="Arial" w:hAnsi="Arial"/>
                <w:sz w:val="14"/>
                <w:szCs w:val="14"/>
                <w:b w:val="1"/>
                <w:bCs w:val="1"/>
                <w:color w:val="auto"/>
              </w:rPr>
              <w:t>2022</w:t>
            </w: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tcPr>
          <w:p>
            <w:pPr>
              <w:jc w:val="right"/>
              <w:ind w:right="215"/>
              <w:spacing w:after="0" w:line="142" w:lineRule="exact"/>
              <w:rPr>
                <w:sz w:val="20"/>
                <w:szCs w:val="20"/>
                <w:color w:val="auto"/>
              </w:rPr>
            </w:pPr>
            <w:r>
              <w:rPr>
                <w:rFonts w:ascii="Arial" w:cs="Arial" w:eastAsia="Arial" w:hAnsi="Arial"/>
                <w:sz w:val="14"/>
                <w:szCs w:val="14"/>
                <w:b w:val="1"/>
                <w:bCs w:val="1"/>
                <w:color w:val="auto"/>
              </w:rPr>
              <w:t>2021</w:t>
            </w:r>
          </w:p>
        </w:tc>
        <w:tc>
          <w:tcPr>
            <w:tcW w:w="0" w:type="dxa"/>
            <w:vAlign w:val="bottom"/>
          </w:tcPr>
          <w:p>
            <w:pPr>
              <w:spacing w:after="0"/>
              <w:rPr>
                <w:sz w:val="1"/>
                <w:szCs w:val="1"/>
                <w:color w:val="auto"/>
              </w:rPr>
            </w:pPr>
          </w:p>
        </w:tc>
      </w:tr>
      <w:tr>
        <w:trPr>
          <w:trHeight w:val="128"/>
        </w:trPr>
        <w:tc>
          <w:tcPr>
            <w:tcW w:w="53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20" w:type="dxa"/>
            <w:vAlign w:val="bottom"/>
            <w:gridSpan w:val="5"/>
          </w:tcPr>
          <w:p>
            <w:pPr>
              <w:jc w:val="right"/>
              <w:ind w:right="20"/>
              <w:spacing w:after="0" w:line="129" w:lineRule="exact"/>
              <w:rPr>
                <w:sz w:val="20"/>
                <w:szCs w:val="20"/>
                <w:color w:val="auto"/>
              </w:rPr>
            </w:pPr>
            <w:r>
              <w:rPr>
                <w:rFonts w:ascii="Arial" w:cs="Arial" w:eastAsia="Arial" w:hAnsi="Arial"/>
                <w:sz w:val="14"/>
                <w:szCs w:val="14"/>
                <w:i w:val="1"/>
                <w:iCs w:val="1"/>
                <w:color w:val="auto"/>
              </w:rPr>
              <w:t>(in millions)</w:t>
            </w:r>
          </w:p>
        </w:tc>
        <w:tc>
          <w:tcPr>
            <w:tcW w:w="6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5360" w:type="dxa"/>
            <w:vAlign w:val="bottom"/>
            <w:shd w:val="clear" w:color="auto" w:fill="CCEEFF"/>
          </w:tcPr>
          <w:p>
            <w:pPr>
              <w:spacing w:after="0"/>
              <w:rPr>
                <w:sz w:val="20"/>
                <w:szCs w:val="20"/>
                <w:color w:val="auto"/>
              </w:rPr>
            </w:pPr>
            <w:r>
              <w:rPr>
                <w:rFonts w:ascii="Arial" w:cs="Arial" w:eastAsia="Arial" w:hAnsi="Arial"/>
                <w:sz w:val="18"/>
                <w:szCs w:val="18"/>
                <w:color w:val="auto"/>
              </w:rPr>
              <w:t>Beginning balance</w:t>
            </w: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252.2</w:t>
            </w: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272.5</w:t>
            </w: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261.7</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273.3</w:t>
            </w:r>
          </w:p>
        </w:tc>
        <w:tc>
          <w:tcPr>
            <w:tcW w:w="0" w:type="dxa"/>
            <w:vAlign w:val="bottom"/>
          </w:tcPr>
          <w:p>
            <w:pPr>
              <w:spacing w:after="0"/>
              <w:rPr>
                <w:sz w:val="1"/>
                <w:szCs w:val="1"/>
                <w:color w:val="auto"/>
              </w:rPr>
            </w:pPr>
          </w:p>
        </w:tc>
      </w:tr>
      <w:tr>
        <w:trPr>
          <w:trHeight w:val="216"/>
        </w:trPr>
        <w:tc>
          <w:tcPr>
            <w:tcW w:w="5360" w:type="dxa"/>
            <w:vAlign w:val="bottom"/>
          </w:tcPr>
          <w:p>
            <w:pPr>
              <w:spacing w:after="0"/>
              <w:rPr>
                <w:sz w:val="20"/>
                <w:szCs w:val="20"/>
                <w:color w:val="auto"/>
              </w:rPr>
            </w:pPr>
            <w:r>
              <w:rPr>
                <w:rFonts w:ascii="Arial" w:cs="Arial" w:eastAsia="Arial" w:hAnsi="Arial"/>
                <w:sz w:val="18"/>
                <w:szCs w:val="18"/>
                <w:color w:val="auto"/>
              </w:rPr>
              <w:t>Shares issued</w:t>
            </w:r>
          </w:p>
        </w:tc>
        <w:tc>
          <w:tcPr>
            <w:tcW w:w="1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b w:val="1"/>
                <w:bCs w:val="1"/>
                <w:color w:val="auto"/>
              </w:rPr>
              <w:t>0.6</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0.7</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b w:val="1"/>
                <w:bCs w:val="1"/>
                <w:color w:val="auto"/>
              </w:rPr>
              <w:t>2.3</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16"/>
        </w:trPr>
        <w:tc>
          <w:tcPr>
            <w:tcW w:w="5360" w:type="dxa"/>
            <w:vAlign w:val="bottom"/>
            <w:shd w:val="clear" w:color="auto" w:fill="CCEEFF"/>
          </w:tcPr>
          <w:p>
            <w:pPr>
              <w:spacing w:after="0"/>
              <w:rPr>
                <w:sz w:val="20"/>
                <w:szCs w:val="20"/>
                <w:color w:val="auto"/>
              </w:rPr>
            </w:pPr>
            <w:r>
              <w:rPr>
                <w:rFonts w:ascii="Arial" w:cs="Arial" w:eastAsia="Arial" w:hAnsi="Arial"/>
                <w:sz w:val="18"/>
                <w:szCs w:val="18"/>
                <w:color w:val="auto"/>
              </w:rPr>
              <w:t>Treasury stock acquired</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(2.9)</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(4.2)</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(14.1)</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(6.4)</w:t>
            </w:r>
          </w:p>
        </w:tc>
        <w:tc>
          <w:tcPr>
            <w:tcW w:w="0" w:type="dxa"/>
            <w:vAlign w:val="bottom"/>
          </w:tcPr>
          <w:p>
            <w:pPr>
              <w:spacing w:after="0"/>
              <w:rPr>
                <w:sz w:val="1"/>
                <w:szCs w:val="1"/>
                <w:color w:val="auto"/>
              </w:rPr>
            </w:pPr>
          </w:p>
        </w:tc>
      </w:tr>
      <w:tr>
        <w:trPr>
          <w:trHeight w:val="210"/>
        </w:trPr>
        <w:tc>
          <w:tcPr>
            <w:tcW w:w="5360" w:type="dxa"/>
            <w:vAlign w:val="bottom"/>
          </w:tcPr>
          <w:p>
            <w:pPr>
              <w:spacing w:after="0"/>
              <w:rPr>
                <w:sz w:val="20"/>
                <w:szCs w:val="20"/>
                <w:color w:val="auto"/>
              </w:rPr>
            </w:pPr>
            <w:r>
              <w:rPr>
                <w:rFonts w:ascii="Arial" w:cs="Arial" w:eastAsia="Arial" w:hAnsi="Arial"/>
                <w:sz w:val="18"/>
                <w:szCs w:val="18"/>
                <w:color w:val="auto"/>
              </w:rPr>
              <w:t>Ending balance</w:t>
            </w:r>
          </w:p>
        </w:tc>
        <w:tc>
          <w:tcPr>
            <w:tcW w:w="100" w:type="dxa"/>
            <w:vAlign w:val="bottom"/>
          </w:tcPr>
          <w:p>
            <w:pPr>
              <w:spacing w:after="0"/>
              <w:rPr>
                <w:sz w:val="18"/>
                <w:szCs w:val="18"/>
                <w:color w:val="auto"/>
              </w:rPr>
            </w:pP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249.9</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Borders>
              <w:top w:val="single" w:sz="8" w:color="auto"/>
              <w:bottom w:val="single" w:sz="8" w:color="auto"/>
            </w:tcBorders>
          </w:tcPr>
          <w:p>
            <w:pPr>
              <w:spacing w:after="0"/>
              <w:rPr>
                <w:sz w:val="18"/>
                <w:szCs w:val="18"/>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269.0</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249.9</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Borders>
              <w:top w:val="single" w:sz="8" w:color="auto"/>
              <w:bottom w:val="single" w:sz="8" w:color="auto"/>
            </w:tcBorders>
          </w:tcPr>
          <w:p>
            <w:pPr>
              <w:spacing w:after="0"/>
              <w:rPr>
                <w:sz w:val="18"/>
                <w:szCs w:val="18"/>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269.0</w:t>
            </w:r>
          </w:p>
        </w:tc>
        <w:tc>
          <w:tcPr>
            <w:tcW w:w="0" w:type="dxa"/>
            <w:vAlign w:val="bottom"/>
          </w:tcPr>
          <w:p>
            <w:pPr>
              <w:spacing w:after="0"/>
              <w:rPr>
                <w:sz w:val="1"/>
                <w:szCs w:val="1"/>
                <w:color w:val="auto"/>
              </w:rPr>
            </w:pPr>
          </w:p>
        </w:tc>
      </w:tr>
      <w:tr>
        <w:trPr>
          <w:trHeight w:val="20"/>
        </w:trPr>
        <w:tc>
          <w:tcPr>
            <w:tcW w:w="5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right="60" w:firstLine="648"/>
        <w:spacing w:after="0" w:line="296" w:lineRule="auto"/>
        <w:rPr>
          <w:sz w:val="20"/>
          <w:szCs w:val="20"/>
          <w:color w:val="auto"/>
        </w:rPr>
      </w:pPr>
      <w:r>
        <w:rPr>
          <w:rFonts w:ascii="Arial" w:cs="Arial" w:eastAsia="Arial" w:hAnsi="Arial"/>
          <w:sz w:val="16"/>
          <w:szCs w:val="16"/>
          <w:color w:val="auto"/>
        </w:rPr>
        <w:t>In February 2020, our Board of Directors (“Board”) authorized a share repurchase program of up to $900.0 million of our outstanding common stock, which was completed in November 2021. In June 2021, our Board authorized a share repurchase program of up to $1.2 billion of our outstanding common stock, which has no expiration date. In January 2022, our Board authorized a $1.6 billion increase to the June 2021 share repurchase program authorization, which has no expiration date. Shares repurchased under these programs are accounted for as treasury stock, carried at cost and reflected as a reduction to stockholders’ equity.</w:t>
      </w:r>
    </w:p>
    <w:p>
      <w:pPr>
        <w:spacing w:after="0" w:line="161" w:lineRule="exact"/>
        <w:rPr>
          <w:sz w:val="20"/>
          <w:szCs w:val="20"/>
          <w:color w:val="auto"/>
        </w:rPr>
      </w:pPr>
    </w:p>
    <w:p>
      <w:pPr>
        <w:ind w:left="660"/>
        <w:spacing w:after="0"/>
        <w:rPr>
          <w:sz w:val="20"/>
          <w:szCs w:val="20"/>
          <w:color w:val="auto"/>
        </w:rPr>
      </w:pPr>
      <w:r>
        <w:rPr>
          <w:rFonts w:ascii="Arial" w:cs="Arial" w:eastAsia="Arial" w:hAnsi="Arial"/>
          <w:sz w:val="16"/>
          <w:szCs w:val="16"/>
          <w:color w:val="auto"/>
        </w:rPr>
        <w:t>In March 2022, we entered into an accelerated share repurchase program with a third party financial institution to repurchase</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$700.0 million of common stock. We received approximately 8.5 million shares at an initial cost of $560.0 million from our counterparty</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as of March 31, 2022, which was recorded in treasury stock. The associated $140.0 million forward contract was recorded in additional</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paid-in capital. This program closed in June 2022, at which time an additional 1.4 million shares were delivered based on the $70.53</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daily volume-weighted average price of our common stock, less a discount, during the term of the program.</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540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55" w:name="page56"/>
    <w:bookmarkEnd w:id="55"/>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Comprehensive Loss</w:t>
      </w:r>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2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740" w:type="dxa"/>
            <w:vAlign w:val="bottom"/>
            <w:gridSpan w:val="8"/>
          </w:tcPr>
          <w:p>
            <w:pPr>
              <w:jc w:val="center"/>
              <w:ind w:right="80"/>
              <w:spacing w:after="0"/>
              <w:rPr>
                <w:sz w:val="20"/>
                <w:szCs w:val="20"/>
                <w:color w:val="auto"/>
              </w:rPr>
            </w:pPr>
            <w:r>
              <w:rPr>
                <w:rFonts w:ascii="Arial" w:cs="Arial" w:eastAsia="Arial" w:hAnsi="Arial"/>
                <w:sz w:val="14"/>
                <w:szCs w:val="14"/>
                <w:b w:val="1"/>
                <w:bCs w:val="1"/>
                <w:color w:val="auto"/>
                <w:w w:val="91"/>
              </w:rPr>
              <w:t>For the three months ended</w:t>
            </w: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660" w:type="dxa"/>
            <w:vAlign w:val="bottom"/>
            <w:gridSpan w:val="8"/>
          </w:tcPr>
          <w:p>
            <w:pPr>
              <w:ind w:left="480"/>
              <w:spacing w:after="0"/>
              <w:rPr>
                <w:sz w:val="20"/>
                <w:szCs w:val="20"/>
                <w:color w:val="auto"/>
              </w:rPr>
            </w:pPr>
            <w:r>
              <w:rPr>
                <w:rFonts w:ascii="Arial" w:cs="Arial" w:eastAsia="Arial" w:hAnsi="Arial"/>
                <w:sz w:val="14"/>
                <w:szCs w:val="14"/>
                <w:b w:val="1"/>
                <w:bCs w:val="1"/>
                <w:color w:val="auto"/>
              </w:rPr>
              <w:t>For the six months ended</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42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gridSpan w:val="4"/>
          </w:tcPr>
          <w:p>
            <w:pPr>
              <w:jc w:val="center"/>
              <w:ind w:right="60"/>
              <w:spacing w:after="0"/>
              <w:rPr>
                <w:sz w:val="20"/>
                <w:szCs w:val="20"/>
                <w:color w:val="auto"/>
              </w:rPr>
            </w:pPr>
            <w:r>
              <w:rPr>
                <w:rFonts w:ascii="Arial" w:cs="Arial" w:eastAsia="Arial" w:hAnsi="Arial"/>
                <w:sz w:val="14"/>
                <w:szCs w:val="14"/>
                <w:b w:val="1"/>
                <w:bCs w:val="1"/>
                <w:color w:val="auto"/>
                <w:w w:val="92"/>
              </w:rPr>
              <w:t>June 30, 2022</w:t>
            </w:r>
          </w:p>
        </w:tc>
        <w:tc>
          <w:tcPr>
            <w:tcW w:w="82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gridSpan w:val="3"/>
          </w:tcPr>
          <w:p>
            <w:pPr>
              <w:jc w:val="right"/>
              <w:ind w:right="80"/>
              <w:spacing w:after="0"/>
              <w:rPr>
                <w:sz w:val="20"/>
                <w:szCs w:val="20"/>
                <w:color w:val="auto"/>
              </w:rPr>
            </w:pPr>
            <w:r>
              <w:rPr>
                <w:rFonts w:ascii="Arial" w:cs="Arial" w:eastAsia="Arial" w:hAnsi="Arial"/>
                <w:sz w:val="14"/>
                <w:szCs w:val="14"/>
                <w:b w:val="1"/>
                <w:bCs w:val="1"/>
                <w:color w:val="auto"/>
                <w:w w:val="92"/>
              </w:rPr>
              <w:t>June 30, 2022</w:t>
            </w:r>
          </w:p>
        </w:tc>
        <w:tc>
          <w:tcPr>
            <w:tcW w:w="6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2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Borders>
              <w:bottom w:val="single" w:sz="8" w:color="auto"/>
            </w:tcBorders>
          </w:tcPr>
          <w:p>
            <w:pPr>
              <w:jc w:val="right"/>
              <w:ind w:right="76"/>
              <w:spacing w:after="0" w:line="142" w:lineRule="exact"/>
              <w:rPr>
                <w:sz w:val="20"/>
                <w:szCs w:val="20"/>
                <w:color w:val="auto"/>
              </w:rPr>
            </w:pPr>
            <w:r>
              <w:rPr>
                <w:rFonts w:ascii="Arial" w:cs="Arial" w:eastAsia="Arial" w:hAnsi="Arial"/>
                <w:sz w:val="14"/>
                <w:szCs w:val="14"/>
                <w:b w:val="1"/>
                <w:bCs w:val="1"/>
                <w:color w:val="auto"/>
              </w:rPr>
              <w:t>Pre-Tax</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jc w:val="center"/>
              <w:ind w:right="31"/>
              <w:spacing w:after="0" w:line="142" w:lineRule="exact"/>
              <w:rPr>
                <w:sz w:val="20"/>
                <w:szCs w:val="20"/>
                <w:color w:val="auto"/>
              </w:rPr>
            </w:pPr>
            <w:r>
              <w:rPr>
                <w:rFonts w:ascii="Arial" w:cs="Arial" w:eastAsia="Arial" w:hAnsi="Arial"/>
                <w:sz w:val="14"/>
                <w:szCs w:val="14"/>
                <w:b w:val="1"/>
                <w:bCs w:val="1"/>
                <w:color w:val="auto"/>
                <w:w w:val="90"/>
              </w:rPr>
              <w:t>Tax</w:t>
            </w:r>
          </w:p>
        </w:tc>
        <w:tc>
          <w:tcPr>
            <w:tcW w:w="140" w:type="dxa"/>
            <w:vAlign w:val="bottom"/>
          </w:tcPr>
          <w:p>
            <w:pPr>
              <w:spacing w:after="0"/>
              <w:rPr>
                <w:sz w:val="12"/>
                <w:szCs w:val="12"/>
                <w:color w:val="auto"/>
              </w:rPr>
            </w:pPr>
          </w:p>
        </w:tc>
        <w:tc>
          <w:tcPr>
            <w:tcW w:w="820" w:type="dxa"/>
            <w:vAlign w:val="bottom"/>
            <w:tcBorders>
              <w:bottom w:val="single" w:sz="8" w:color="auto"/>
            </w:tcBorders>
          </w:tcPr>
          <w:p>
            <w:pPr>
              <w:jc w:val="right"/>
              <w:ind w:right="32"/>
              <w:spacing w:after="0" w:line="142" w:lineRule="exact"/>
              <w:rPr>
                <w:sz w:val="20"/>
                <w:szCs w:val="20"/>
                <w:color w:val="auto"/>
              </w:rPr>
            </w:pPr>
            <w:r>
              <w:rPr>
                <w:rFonts w:ascii="Arial" w:cs="Arial" w:eastAsia="Arial" w:hAnsi="Arial"/>
                <w:sz w:val="14"/>
                <w:szCs w:val="14"/>
                <w:b w:val="1"/>
                <w:bCs w:val="1"/>
                <w:color w:val="auto"/>
              </w:rPr>
              <w:t>After-Tax</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ind w:right="112"/>
              <w:spacing w:after="0" w:line="142" w:lineRule="exact"/>
              <w:rPr>
                <w:sz w:val="20"/>
                <w:szCs w:val="20"/>
                <w:color w:val="auto"/>
              </w:rPr>
            </w:pPr>
            <w:r>
              <w:rPr>
                <w:rFonts w:ascii="Arial" w:cs="Arial" w:eastAsia="Arial" w:hAnsi="Arial"/>
                <w:sz w:val="14"/>
                <w:szCs w:val="14"/>
                <w:b w:val="1"/>
                <w:bCs w:val="1"/>
                <w:color w:val="auto"/>
              </w:rPr>
              <w:t>Pre-Tax</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40" w:type="dxa"/>
            <w:vAlign w:val="bottom"/>
            <w:tcBorders>
              <w:bottom w:val="single" w:sz="8" w:color="auto"/>
            </w:tcBorders>
          </w:tcPr>
          <w:p>
            <w:pPr>
              <w:jc w:val="right"/>
              <w:ind w:right="174"/>
              <w:spacing w:after="0" w:line="142" w:lineRule="exact"/>
              <w:rPr>
                <w:sz w:val="20"/>
                <w:szCs w:val="20"/>
                <w:color w:val="auto"/>
              </w:rPr>
            </w:pPr>
            <w:r>
              <w:rPr>
                <w:rFonts w:ascii="Arial" w:cs="Arial" w:eastAsia="Arial" w:hAnsi="Arial"/>
                <w:sz w:val="14"/>
                <w:szCs w:val="14"/>
                <w:b w:val="1"/>
                <w:bCs w:val="1"/>
                <w:color w:val="auto"/>
              </w:rPr>
              <w:t>Tax</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20" w:type="dxa"/>
            <w:vAlign w:val="bottom"/>
            <w:tcBorders>
              <w:bottom w:val="single" w:sz="8" w:color="auto"/>
            </w:tcBorders>
          </w:tcPr>
          <w:p>
            <w:pPr>
              <w:jc w:val="right"/>
              <w:ind w:right="14"/>
              <w:spacing w:after="0" w:line="142" w:lineRule="exact"/>
              <w:rPr>
                <w:sz w:val="20"/>
                <w:szCs w:val="20"/>
                <w:color w:val="auto"/>
              </w:rPr>
            </w:pPr>
            <w:r>
              <w:rPr>
                <w:rFonts w:ascii="Arial" w:cs="Arial" w:eastAsia="Arial" w:hAnsi="Arial"/>
                <w:sz w:val="14"/>
                <w:szCs w:val="14"/>
                <w:b w:val="1"/>
                <w:bCs w:val="1"/>
                <w:color w:val="auto"/>
              </w:rPr>
              <w:t>After-Tax</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4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860" w:type="dxa"/>
            <w:vAlign w:val="bottom"/>
            <w:gridSpan w:val="5"/>
          </w:tcPr>
          <w:p>
            <w:pPr>
              <w:jc w:val="right"/>
              <w:ind w:right="472"/>
              <w:spacing w:after="0" w:line="129" w:lineRule="exact"/>
              <w:rPr>
                <w:sz w:val="20"/>
                <w:szCs w:val="20"/>
                <w:color w:val="auto"/>
              </w:rPr>
            </w:pPr>
            <w:r>
              <w:rPr>
                <w:rFonts w:ascii="Arial" w:cs="Arial" w:eastAsia="Arial" w:hAnsi="Arial"/>
                <w:sz w:val="14"/>
                <w:szCs w:val="14"/>
                <w:i w:val="1"/>
                <w:iCs w:val="1"/>
                <w:color w:val="auto"/>
              </w:rPr>
              <w:t>(in millions)</w:t>
            </w: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2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Net unrealized losses on available-for-sale securities</w:t>
            </w:r>
          </w:p>
        </w:tc>
        <w:tc>
          <w:tcPr>
            <w:tcW w:w="940" w:type="dxa"/>
            <w:vAlign w:val="bottom"/>
            <w:gridSpan w:val="3"/>
            <w:vMerge w:val="restart"/>
            <w:shd w:val="clear" w:color="auto" w:fill="CCEEFF"/>
          </w:tcPr>
          <w:p>
            <w:pPr>
              <w:jc w:val="right"/>
              <w:ind w:right="60"/>
              <w:spacing w:after="0"/>
              <w:rPr>
                <w:sz w:val="20"/>
                <w:szCs w:val="20"/>
                <w:color w:val="auto"/>
              </w:rPr>
            </w:pPr>
            <w:r>
              <w:rPr>
                <w:rFonts w:ascii="Arial" w:cs="Arial" w:eastAsia="Arial" w:hAnsi="Arial"/>
                <w:sz w:val="18"/>
                <w:szCs w:val="18"/>
                <w:b w:val="1"/>
                <w:bCs w:val="1"/>
                <w:color w:val="auto"/>
                <w:w w:val="98"/>
              </w:rPr>
              <w:t>$ (4,850.9)</w:t>
            </w:r>
          </w:p>
        </w:tc>
        <w:tc>
          <w:tcPr>
            <w:tcW w:w="220" w:type="dxa"/>
            <w:vAlign w:val="bottom"/>
            <w:gridSpan w:val="2"/>
            <w:vMerge w:val="restart"/>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w:t>
            </w:r>
          </w:p>
        </w:tc>
        <w:tc>
          <w:tcPr>
            <w:tcW w:w="62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w w:val="89"/>
              </w:rPr>
              <w:t>1,025.3</w:t>
            </w:r>
          </w:p>
        </w:tc>
        <w:tc>
          <w:tcPr>
            <w:tcW w:w="140" w:type="dxa"/>
            <w:vAlign w:val="bottom"/>
            <w:shd w:val="clear" w:color="auto" w:fill="CCEEFF"/>
          </w:tcPr>
          <w:p>
            <w:pPr>
              <w:spacing w:after="0"/>
              <w:rPr>
                <w:sz w:val="17"/>
                <w:szCs w:val="17"/>
                <w:color w:val="auto"/>
              </w:rPr>
            </w:pPr>
          </w:p>
        </w:tc>
        <w:tc>
          <w:tcPr>
            <w:tcW w:w="900" w:type="dxa"/>
            <w:vAlign w:val="bottom"/>
            <w:gridSpan w:val="2"/>
            <w:vMerge w:val="restart"/>
            <w:shd w:val="clear" w:color="auto" w:fill="CCEEFF"/>
          </w:tcPr>
          <w:p>
            <w:pPr>
              <w:jc w:val="right"/>
              <w:ind w:right="80"/>
              <w:spacing w:after="0"/>
              <w:rPr>
                <w:sz w:val="20"/>
                <w:szCs w:val="20"/>
                <w:color w:val="auto"/>
              </w:rPr>
            </w:pPr>
            <w:r>
              <w:rPr>
                <w:rFonts w:ascii="Arial" w:cs="Arial" w:eastAsia="Arial" w:hAnsi="Arial"/>
                <w:sz w:val="18"/>
                <w:szCs w:val="18"/>
                <w:b w:val="1"/>
                <w:bCs w:val="1"/>
                <w:color w:val="auto"/>
                <w:w w:val="91"/>
              </w:rPr>
              <w:t>$ (3,825.6)</w:t>
            </w:r>
          </w:p>
        </w:tc>
        <w:tc>
          <w:tcPr>
            <w:tcW w:w="180" w:type="dxa"/>
            <w:vAlign w:val="bottom"/>
            <w:gridSpan w:val="2"/>
            <w:vMerge w:val="restart"/>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w:t>
            </w:r>
          </w:p>
        </w:tc>
        <w:tc>
          <w:tcPr>
            <w:tcW w:w="820" w:type="dxa"/>
            <w:vAlign w:val="bottom"/>
            <w:gridSpan w:val="2"/>
            <w:vMerge w:val="restart"/>
            <w:shd w:val="clear" w:color="auto" w:fill="CCEEFF"/>
          </w:tcPr>
          <w:p>
            <w:pPr>
              <w:jc w:val="right"/>
              <w:ind w:right="40"/>
              <w:spacing w:after="0"/>
              <w:rPr>
                <w:sz w:val="20"/>
                <w:szCs w:val="20"/>
                <w:color w:val="auto"/>
              </w:rPr>
            </w:pPr>
            <w:r>
              <w:rPr>
                <w:rFonts w:ascii="Arial" w:cs="Arial" w:eastAsia="Arial" w:hAnsi="Arial"/>
                <w:sz w:val="18"/>
                <w:szCs w:val="18"/>
                <w:b w:val="1"/>
                <w:bCs w:val="1"/>
                <w:color w:val="auto"/>
                <w:w w:val="92"/>
              </w:rPr>
              <w:t>(10,393.8)</w:t>
            </w:r>
          </w:p>
        </w:tc>
        <w:tc>
          <w:tcPr>
            <w:tcW w:w="860" w:type="dxa"/>
            <w:vAlign w:val="bottom"/>
            <w:gridSpan w:val="2"/>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$ 2,200.4</w:t>
            </w:r>
          </w:p>
        </w:tc>
        <w:tc>
          <w:tcPr>
            <w:tcW w:w="80" w:type="dxa"/>
            <w:vAlign w:val="bottom"/>
            <w:shd w:val="clear" w:color="auto" w:fill="CCEEFF"/>
          </w:tcPr>
          <w:p>
            <w:pPr>
              <w:spacing w:after="0"/>
              <w:rPr>
                <w:sz w:val="17"/>
                <w:szCs w:val="17"/>
                <w:color w:val="auto"/>
              </w:rPr>
            </w:pPr>
          </w:p>
        </w:tc>
        <w:tc>
          <w:tcPr>
            <w:tcW w:w="880" w:type="dxa"/>
            <w:vAlign w:val="bottom"/>
            <w:gridSpan w:val="2"/>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w w:val="98"/>
              </w:rPr>
              <w:t>$ (8,193.4)</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60" w:type="dxa"/>
            <w:vAlign w:val="bottom"/>
            <w:shd w:val="clear" w:color="auto" w:fill="CCEEFF"/>
          </w:tcPr>
          <w:p>
            <w:pPr>
              <w:ind w:left="120"/>
              <w:spacing w:after="0"/>
              <w:rPr>
                <w:sz w:val="20"/>
                <w:szCs w:val="20"/>
                <w:color w:val="auto"/>
              </w:rPr>
            </w:pPr>
            <w:r>
              <w:rPr>
                <w:rFonts w:ascii="Arial" w:cs="Arial" w:eastAsia="Arial" w:hAnsi="Arial"/>
                <w:sz w:val="18"/>
                <w:szCs w:val="18"/>
                <w:color w:val="auto"/>
              </w:rPr>
              <w:t>during the period</w:t>
            </w:r>
          </w:p>
        </w:tc>
        <w:tc>
          <w:tcPr>
            <w:tcW w:w="940" w:type="dxa"/>
            <w:vAlign w:val="bottom"/>
            <w:gridSpan w:val="3"/>
            <w:vMerge w:val="continue"/>
            <w:shd w:val="clear" w:color="auto" w:fill="CCEEFF"/>
          </w:tcPr>
          <w:p>
            <w:pPr>
              <w:spacing w:after="0"/>
              <w:rPr>
                <w:sz w:val="20"/>
                <w:szCs w:val="20"/>
                <w:color w:val="auto"/>
              </w:rPr>
            </w:pPr>
          </w:p>
        </w:tc>
        <w:tc>
          <w:tcPr>
            <w:tcW w:w="220" w:type="dxa"/>
            <w:vAlign w:val="bottom"/>
            <w:gridSpan w:val="2"/>
            <w:vMerge w:val="continue"/>
            <w:shd w:val="clear" w:color="auto" w:fill="CCEEFF"/>
          </w:tcPr>
          <w:p>
            <w:pPr>
              <w:spacing w:after="0"/>
              <w:rPr>
                <w:sz w:val="20"/>
                <w:szCs w:val="20"/>
                <w:color w:val="auto"/>
              </w:rPr>
            </w:pPr>
          </w:p>
        </w:tc>
        <w:tc>
          <w:tcPr>
            <w:tcW w:w="620" w:type="dxa"/>
            <w:vAlign w:val="bottom"/>
            <w:vMerge w:val="continue"/>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900" w:type="dxa"/>
            <w:vAlign w:val="bottom"/>
            <w:gridSpan w:val="2"/>
            <w:vMerge w:val="continue"/>
            <w:shd w:val="clear" w:color="auto" w:fill="CCEEFF"/>
          </w:tcPr>
          <w:p>
            <w:pPr>
              <w:spacing w:after="0"/>
              <w:rPr>
                <w:sz w:val="20"/>
                <w:szCs w:val="20"/>
                <w:color w:val="auto"/>
              </w:rPr>
            </w:pPr>
          </w:p>
        </w:tc>
        <w:tc>
          <w:tcPr>
            <w:tcW w:w="180" w:type="dxa"/>
            <w:vAlign w:val="bottom"/>
            <w:gridSpan w:val="2"/>
            <w:vMerge w:val="continue"/>
            <w:shd w:val="clear" w:color="auto" w:fill="CCEEFF"/>
          </w:tcPr>
          <w:p>
            <w:pPr>
              <w:spacing w:after="0"/>
              <w:rPr>
                <w:sz w:val="20"/>
                <w:szCs w:val="20"/>
                <w:color w:val="auto"/>
              </w:rPr>
            </w:pPr>
          </w:p>
        </w:tc>
        <w:tc>
          <w:tcPr>
            <w:tcW w:w="820" w:type="dxa"/>
            <w:vAlign w:val="bottom"/>
            <w:gridSpan w:val="2"/>
            <w:vMerge w:val="continue"/>
            <w:shd w:val="clear" w:color="auto" w:fill="CCEEFF"/>
          </w:tcPr>
          <w:p>
            <w:pPr>
              <w:spacing w:after="0"/>
              <w:rPr>
                <w:sz w:val="20"/>
                <w:szCs w:val="20"/>
                <w:color w:val="auto"/>
              </w:rPr>
            </w:pPr>
          </w:p>
        </w:tc>
        <w:tc>
          <w:tcPr>
            <w:tcW w:w="860" w:type="dxa"/>
            <w:vAlign w:val="bottom"/>
            <w:gridSpan w:val="2"/>
            <w:vMerge w:val="continue"/>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880" w:type="dxa"/>
            <w:vAlign w:val="bottom"/>
            <w:gridSpan w:val="2"/>
            <w:vMerge w:val="continue"/>
            <w:shd w:val="clear" w:color="auto" w:fill="CCEEFF"/>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260" w:type="dxa"/>
            <w:vAlign w:val="bottom"/>
          </w:tcPr>
          <w:p>
            <w:pPr>
              <w:spacing w:after="0" w:line="201" w:lineRule="exact"/>
              <w:rPr>
                <w:sz w:val="20"/>
                <w:szCs w:val="20"/>
                <w:color w:val="auto"/>
              </w:rPr>
            </w:pPr>
            <w:r>
              <w:rPr>
                <w:rFonts w:ascii="Arial" w:cs="Arial" w:eastAsia="Arial" w:hAnsi="Arial"/>
                <w:sz w:val="18"/>
                <w:szCs w:val="18"/>
                <w:color w:val="auto"/>
              </w:rPr>
              <w:t>Reclassification adjustment for losses included in net</w:t>
            </w:r>
          </w:p>
        </w:tc>
        <w:tc>
          <w:tcPr>
            <w:tcW w:w="880" w:type="dxa"/>
            <w:vAlign w:val="bottom"/>
            <w:gridSpan w:val="2"/>
            <w:vMerge w:val="restart"/>
          </w:tcPr>
          <w:p>
            <w:pPr>
              <w:jc w:val="right"/>
              <w:spacing w:after="0"/>
              <w:rPr>
                <w:sz w:val="20"/>
                <w:szCs w:val="20"/>
                <w:color w:val="auto"/>
              </w:rPr>
            </w:pPr>
            <w:r>
              <w:rPr>
                <w:rFonts w:ascii="Arial" w:cs="Arial" w:eastAsia="Arial" w:hAnsi="Arial"/>
                <w:sz w:val="18"/>
                <w:szCs w:val="18"/>
                <w:b w:val="1"/>
                <w:bCs w:val="1"/>
                <w:color w:val="auto"/>
              </w:rPr>
              <w:t>48.1</w:t>
            </w: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gridSpan w:val="2"/>
            <w:vMerge w:val="restart"/>
          </w:tcPr>
          <w:p>
            <w:pPr>
              <w:jc w:val="right"/>
              <w:ind w:right="140"/>
              <w:spacing w:after="0"/>
              <w:rPr>
                <w:sz w:val="20"/>
                <w:szCs w:val="20"/>
                <w:color w:val="auto"/>
              </w:rPr>
            </w:pPr>
            <w:r>
              <w:rPr>
                <w:rFonts w:ascii="Arial" w:cs="Arial" w:eastAsia="Arial" w:hAnsi="Arial"/>
                <w:sz w:val="18"/>
                <w:szCs w:val="18"/>
                <w:b w:val="1"/>
                <w:bCs w:val="1"/>
                <w:color w:val="auto"/>
              </w:rPr>
              <w:t>(10.6)</w:t>
            </w:r>
          </w:p>
        </w:tc>
        <w:tc>
          <w:tcPr>
            <w:tcW w:w="82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37.5</w:t>
            </w: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7.5</w:t>
            </w:r>
          </w:p>
        </w:tc>
        <w:tc>
          <w:tcPr>
            <w:tcW w:w="40" w:type="dxa"/>
            <w:vAlign w:val="bottom"/>
          </w:tcPr>
          <w:p>
            <w:pPr>
              <w:spacing w:after="0"/>
              <w:rPr>
                <w:sz w:val="17"/>
                <w:szCs w:val="17"/>
                <w:color w:val="auto"/>
              </w:rPr>
            </w:pPr>
          </w:p>
        </w:tc>
        <w:tc>
          <w:tcPr>
            <w:tcW w:w="940" w:type="dxa"/>
            <w:vAlign w:val="bottom"/>
            <w:gridSpan w:val="3"/>
            <w:vMerge w:val="restart"/>
          </w:tcPr>
          <w:p>
            <w:pPr>
              <w:jc w:val="right"/>
              <w:ind w:right="80"/>
              <w:spacing w:after="0"/>
              <w:rPr>
                <w:sz w:val="20"/>
                <w:szCs w:val="20"/>
                <w:color w:val="auto"/>
              </w:rPr>
            </w:pPr>
            <w:r>
              <w:rPr>
                <w:rFonts w:ascii="Arial" w:cs="Arial" w:eastAsia="Arial" w:hAnsi="Arial"/>
                <w:sz w:val="18"/>
                <w:szCs w:val="18"/>
                <w:b w:val="1"/>
                <w:bCs w:val="1"/>
                <w:color w:val="auto"/>
              </w:rPr>
              <w:t>(5.4)</w:t>
            </w:r>
          </w:p>
        </w:tc>
        <w:tc>
          <w:tcPr>
            <w:tcW w:w="880" w:type="dxa"/>
            <w:vAlign w:val="bottom"/>
            <w:gridSpan w:val="2"/>
            <w:vMerge w:val="restart"/>
          </w:tcPr>
          <w:p>
            <w:pPr>
              <w:jc w:val="right"/>
              <w:spacing w:after="0"/>
              <w:rPr>
                <w:sz w:val="20"/>
                <w:szCs w:val="20"/>
                <w:color w:val="auto"/>
              </w:rPr>
            </w:pPr>
            <w:r>
              <w:rPr>
                <w:rFonts w:ascii="Arial" w:cs="Arial" w:eastAsia="Arial" w:hAnsi="Arial"/>
                <w:sz w:val="18"/>
                <w:szCs w:val="18"/>
                <w:b w:val="1"/>
                <w:bCs w:val="1"/>
                <w:color w:val="auto"/>
              </w:rPr>
              <w:t>2.1</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60" w:type="dxa"/>
            <w:vAlign w:val="bottom"/>
          </w:tcPr>
          <w:p>
            <w:pPr>
              <w:ind w:left="120"/>
              <w:spacing w:after="0"/>
              <w:rPr>
                <w:sz w:val="20"/>
                <w:szCs w:val="20"/>
                <w:color w:val="auto"/>
              </w:rPr>
            </w:pPr>
            <w:r>
              <w:rPr>
                <w:rFonts w:ascii="Arial" w:cs="Arial" w:eastAsia="Arial" w:hAnsi="Arial"/>
                <w:sz w:val="18"/>
                <w:szCs w:val="18"/>
                <w:color w:val="auto"/>
              </w:rPr>
              <w:t>income (1)</w:t>
            </w:r>
          </w:p>
        </w:tc>
        <w:tc>
          <w:tcPr>
            <w:tcW w:w="880" w:type="dxa"/>
            <w:vAlign w:val="bottom"/>
            <w:gridSpan w:val="2"/>
            <w:vMerge w:val="continue"/>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60" w:type="dxa"/>
            <w:vAlign w:val="bottom"/>
            <w:gridSpan w:val="2"/>
            <w:vMerge w:val="continue"/>
          </w:tcPr>
          <w:p>
            <w:pPr>
              <w:spacing w:after="0"/>
              <w:rPr>
                <w:sz w:val="20"/>
                <w:szCs w:val="20"/>
                <w:color w:val="auto"/>
              </w:rPr>
            </w:pPr>
          </w:p>
        </w:tc>
        <w:tc>
          <w:tcPr>
            <w:tcW w:w="820" w:type="dxa"/>
            <w:vAlign w:val="bottom"/>
            <w:vMerge w:val="continue"/>
          </w:tcPr>
          <w:p>
            <w:pPr>
              <w:spacing w:after="0"/>
              <w:rPr>
                <w:sz w:val="20"/>
                <w:szCs w:val="20"/>
                <w:color w:val="auto"/>
              </w:rPr>
            </w:pPr>
          </w:p>
        </w:tc>
        <w:tc>
          <w:tcPr>
            <w:tcW w:w="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80" w:type="dxa"/>
            <w:vAlign w:val="bottom"/>
            <w:vMerge w:val="continue"/>
          </w:tcPr>
          <w:p>
            <w:pPr>
              <w:spacing w:after="0"/>
              <w:rPr>
                <w:sz w:val="20"/>
                <w:szCs w:val="20"/>
                <w:color w:val="auto"/>
              </w:rPr>
            </w:pPr>
          </w:p>
        </w:tc>
        <w:tc>
          <w:tcPr>
            <w:tcW w:w="40" w:type="dxa"/>
            <w:vAlign w:val="bottom"/>
          </w:tcPr>
          <w:p>
            <w:pPr>
              <w:spacing w:after="0"/>
              <w:rPr>
                <w:sz w:val="20"/>
                <w:szCs w:val="20"/>
                <w:color w:val="auto"/>
              </w:rPr>
            </w:pPr>
          </w:p>
        </w:tc>
        <w:tc>
          <w:tcPr>
            <w:tcW w:w="940" w:type="dxa"/>
            <w:vAlign w:val="bottom"/>
            <w:gridSpan w:val="3"/>
            <w:vMerge w:val="continue"/>
          </w:tcPr>
          <w:p>
            <w:pPr>
              <w:spacing w:after="0"/>
              <w:rPr>
                <w:sz w:val="20"/>
                <w:szCs w:val="20"/>
                <w:color w:val="auto"/>
              </w:rPr>
            </w:pPr>
          </w:p>
        </w:tc>
        <w:tc>
          <w:tcPr>
            <w:tcW w:w="880" w:type="dxa"/>
            <w:vAlign w:val="bottom"/>
            <w:gridSpan w:val="2"/>
            <w:vMerge w:val="continue"/>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2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Adjustments for assumed changes in amortization</w:t>
            </w:r>
          </w:p>
        </w:tc>
        <w:tc>
          <w:tcPr>
            <w:tcW w:w="880" w:type="dxa"/>
            <w:vAlign w:val="bottom"/>
            <w:gridSpan w:val="2"/>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402.5</w:t>
            </w:r>
          </w:p>
        </w:tc>
        <w:tc>
          <w:tcPr>
            <w:tcW w:w="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60" w:type="dxa"/>
            <w:vAlign w:val="bottom"/>
            <w:gridSpan w:val="2"/>
            <w:vMerge w:val="restart"/>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(84.5)</w:t>
            </w:r>
          </w:p>
        </w:tc>
        <w:tc>
          <w:tcPr>
            <w:tcW w:w="82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318.0</w:t>
            </w:r>
          </w:p>
        </w:tc>
        <w:tc>
          <w:tcPr>
            <w:tcW w:w="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8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747.4</w:t>
            </w:r>
          </w:p>
        </w:tc>
        <w:tc>
          <w:tcPr>
            <w:tcW w:w="40" w:type="dxa"/>
            <w:vAlign w:val="bottom"/>
            <w:shd w:val="clear" w:color="auto" w:fill="CCEEFF"/>
          </w:tcPr>
          <w:p>
            <w:pPr>
              <w:spacing w:after="0"/>
              <w:rPr>
                <w:sz w:val="17"/>
                <w:szCs w:val="17"/>
                <w:color w:val="auto"/>
              </w:rPr>
            </w:pPr>
          </w:p>
        </w:tc>
        <w:tc>
          <w:tcPr>
            <w:tcW w:w="940" w:type="dxa"/>
            <w:vAlign w:val="bottom"/>
            <w:gridSpan w:val="3"/>
            <w:vMerge w:val="restart"/>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(156.9)</w:t>
            </w:r>
          </w:p>
        </w:tc>
        <w:tc>
          <w:tcPr>
            <w:tcW w:w="880" w:type="dxa"/>
            <w:vAlign w:val="bottom"/>
            <w:gridSpan w:val="2"/>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590.5</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60" w:type="dxa"/>
            <w:vAlign w:val="bottom"/>
            <w:shd w:val="clear" w:color="auto" w:fill="CCEEFF"/>
          </w:tcPr>
          <w:p>
            <w:pPr>
              <w:ind w:left="120"/>
              <w:spacing w:after="0"/>
              <w:rPr>
                <w:sz w:val="20"/>
                <w:szCs w:val="20"/>
                <w:color w:val="auto"/>
              </w:rPr>
            </w:pPr>
            <w:r>
              <w:rPr>
                <w:rFonts w:ascii="Arial" w:cs="Arial" w:eastAsia="Arial" w:hAnsi="Arial"/>
                <w:sz w:val="18"/>
                <w:szCs w:val="18"/>
                <w:color w:val="auto"/>
              </w:rPr>
              <w:t>patterns</w:t>
            </w:r>
          </w:p>
        </w:tc>
        <w:tc>
          <w:tcPr>
            <w:tcW w:w="880" w:type="dxa"/>
            <w:vAlign w:val="bottom"/>
            <w:gridSpan w:val="2"/>
            <w:vMerge w:val="continue"/>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760" w:type="dxa"/>
            <w:vAlign w:val="bottom"/>
            <w:gridSpan w:val="2"/>
            <w:vMerge w:val="continue"/>
            <w:shd w:val="clear" w:color="auto" w:fill="CCEEFF"/>
          </w:tcPr>
          <w:p>
            <w:pPr>
              <w:spacing w:after="0"/>
              <w:rPr>
                <w:sz w:val="20"/>
                <w:szCs w:val="20"/>
                <w:color w:val="auto"/>
              </w:rPr>
            </w:pPr>
          </w:p>
        </w:tc>
        <w:tc>
          <w:tcPr>
            <w:tcW w:w="820" w:type="dxa"/>
            <w:vAlign w:val="bottom"/>
            <w:vMerge w:val="continue"/>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780" w:type="dxa"/>
            <w:vAlign w:val="bottom"/>
            <w:vMerge w:val="continue"/>
            <w:shd w:val="clear" w:color="auto" w:fill="CCEEFF"/>
          </w:tcPr>
          <w:p>
            <w:pPr>
              <w:spacing w:after="0"/>
              <w:rPr>
                <w:sz w:val="20"/>
                <w:szCs w:val="20"/>
                <w:color w:val="auto"/>
              </w:rPr>
            </w:pPr>
          </w:p>
        </w:tc>
        <w:tc>
          <w:tcPr>
            <w:tcW w:w="40" w:type="dxa"/>
            <w:vAlign w:val="bottom"/>
            <w:shd w:val="clear" w:color="auto" w:fill="CCEEFF"/>
          </w:tcPr>
          <w:p>
            <w:pPr>
              <w:spacing w:after="0"/>
              <w:rPr>
                <w:sz w:val="20"/>
                <w:szCs w:val="20"/>
                <w:color w:val="auto"/>
              </w:rPr>
            </w:pPr>
          </w:p>
        </w:tc>
        <w:tc>
          <w:tcPr>
            <w:tcW w:w="940" w:type="dxa"/>
            <w:vAlign w:val="bottom"/>
            <w:gridSpan w:val="3"/>
            <w:vMerge w:val="continue"/>
            <w:shd w:val="clear" w:color="auto" w:fill="CCEEFF"/>
          </w:tcPr>
          <w:p>
            <w:pPr>
              <w:spacing w:after="0"/>
              <w:rPr>
                <w:sz w:val="20"/>
                <w:szCs w:val="20"/>
                <w:color w:val="auto"/>
              </w:rPr>
            </w:pPr>
          </w:p>
        </w:tc>
        <w:tc>
          <w:tcPr>
            <w:tcW w:w="880" w:type="dxa"/>
            <w:vAlign w:val="bottom"/>
            <w:gridSpan w:val="2"/>
            <w:vMerge w:val="continue"/>
            <w:shd w:val="clear" w:color="auto" w:fill="CCEEFF"/>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260" w:type="dxa"/>
            <w:vAlign w:val="bottom"/>
          </w:tcPr>
          <w:p>
            <w:pPr>
              <w:spacing w:after="0" w:line="201" w:lineRule="exact"/>
              <w:rPr>
                <w:sz w:val="20"/>
                <w:szCs w:val="20"/>
                <w:color w:val="auto"/>
              </w:rPr>
            </w:pPr>
            <w:r>
              <w:rPr>
                <w:rFonts w:ascii="Arial" w:cs="Arial" w:eastAsia="Arial" w:hAnsi="Arial"/>
                <w:sz w:val="18"/>
                <w:szCs w:val="18"/>
                <w:color w:val="auto"/>
              </w:rPr>
              <w:t>Adjustments for assumed changes in policyholder</w:t>
            </w:r>
          </w:p>
        </w:tc>
        <w:tc>
          <w:tcPr>
            <w:tcW w:w="940" w:type="dxa"/>
            <w:vAlign w:val="bottom"/>
            <w:gridSpan w:val="3"/>
            <w:vMerge w:val="restart"/>
          </w:tcPr>
          <w:p>
            <w:pPr>
              <w:jc w:val="right"/>
              <w:ind w:right="60"/>
              <w:spacing w:after="0"/>
              <w:rPr>
                <w:sz w:val="20"/>
                <w:szCs w:val="20"/>
                <w:color w:val="auto"/>
              </w:rPr>
            </w:pPr>
            <w:r>
              <w:rPr>
                <w:rFonts w:ascii="Arial" w:cs="Arial" w:eastAsia="Arial" w:hAnsi="Arial"/>
                <w:sz w:val="18"/>
                <w:szCs w:val="18"/>
                <w:b w:val="1"/>
                <w:bCs w:val="1"/>
                <w:color w:val="auto"/>
              </w:rPr>
              <w:t>(123.6)</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2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26.0</w:t>
            </w:r>
          </w:p>
        </w:tc>
        <w:tc>
          <w:tcPr>
            <w:tcW w:w="140" w:type="dxa"/>
            <w:vAlign w:val="bottom"/>
          </w:tcPr>
          <w:p>
            <w:pPr>
              <w:spacing w:after="0"/>
              <w:rPr>
                <w:sz w:val="17"/>
                <w:szCs w:val="17"/>
                <w:color w:val="auto"/>
              </w:rPr>
            </w:pPr>
          </w:p>
        </w:tc>
        <w:tc>
          <w:tcPr>
            <w:tcW w:w="900" w:type="dxa"/>
            <w:vAlign w:val="bottom"/>
            <w:gridSpan w:val="2"/>
            <w:vMerge w:val="restart"/>
          </w:tcPr>
          <w:p>
            <w:pPr>
              <w:jc w:val="right"/>
              <w:ind w:right="80"/>
              <w:spacing w:after="0"/>
              <w:rPr>
                <w:sz w:val="20"/>
                <w:szCs w:val="20"/>
                <w:color w:val="auto"/>
              </w:rPr>
            </w:pPr>
            <w:r>
              <w:rPr>
                <w:rFonts w:ascii="Arial" w:cs="Arial" w:eastAsia="Arial" w:hAnsi="Arial"/>
                <w:sz w:val="18"/>
                <w:szCs w:val="18"/>
                <w:b w:val="1"/>
                <w:bCs w:val="1"/>
                <w:color w:val="auto"/>
              </w:rPr>
              <w:t>(97.6)</w:t>
            </w: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452.0</w:t>
            </w:r>
          </w:p>
        </w:tc>
        <w:tc>
          <w:tcPr>
            <w:tcW w:w="40" w:type="dxa"/>
            <w:vAlign w:val="bottom"/>
          </w:tcPr>
          <w:p>
            <w:pPr>
              <w:spacing w:after="0"/>
              <w:rPr>
                <w:sz w:val="17"/>
                <w:szCs w:val="17"/>
                <w:color w:val="auto"/>
              </w:rPr>
            </w:pPr>
          </w:p>
        </w:tc>
        <w:tc>
          <w:tcPr>
            <w:tcW w:w="940" w:type="dxa"/>
            <w:vAlign w:val="bottom"/>
            <w:gridSpan w:val="3"/>
            <w:vMerge w:val="restart"/>
          </w:tcPr>
          <w:p>
            <w:pPr>
              <w:jc w:val="right"/>
              <w:ind w:right="80"/>
              <w:spacing w:after="0"/>
              <w:rPr>
                <w:sz w:val="20"/>
                <w:szCs w:val="20"/>
                <w:color w:val="auto"/>
              </w:rPr>
            </w:pPr>
            <w:r>
              <w:rPr>
                <w:rFonts w:ascii="Arial" w:cs="Arial" w:eastAsia="Arial" w:hAnsi="Arial"/>
                <w:sz w:val="18"/>
                <w:szCs w:val="18"/>
                <w:b w:val="1"/>
                <w:bCs w:val="1"/>
                <w:color w:val="auto"/>
              </w:rPr>
              <w:t>(92.8)</w:t>
            </w:r>
          </w:p>
        </w:tc>
        <w:tc>
          <w:tcPr>
            <w:tcW w:w="880" w:type="dxa"/>
            <w:vAlign w:val="bottom"/>
            <w:gridSpan w:val="2"/>
            <w:vMerge w:val="restart"/>
          </w:tcPr>
          <w:p>
            <w:pPr>
              <w:jc w:val="right"/>
              <w:spacing w:after="0"/>
              <w:rPr>
                <w:sz w:val="20"/>
                <w:szCs w:val="20"/>
                <w:color w:val="auto"/>
              </w:rPr>
            </w:pPr>
            <w:r>
              <w:rPr>
                <w:rFonts w:ascii="Arial" w:cs="Arial" w:eastAsia="Arial" w:hAnsi="Arial"/>
                <w:sz w:val="18"/>
                <w:szCs w:val="18"/>
                <w:b w:val="1"/>
                <w:bCs w:val="1"/>
                <w:color w:val="auto"/>
              </w:rPr>
              <w:t>359.2</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60" w:type="dxa"/>
            <w:vAlign w:val="bottom"/>
          </w:tcPr>
          <w:p>
            <w:pPr>
              <w:ind w:left="120"/>
              <w:spacing w:after="0"/>
              <w:rPr>
                <w:sz w:val="20"/>
                <w:szCs w:val="20"/>
                <w:color w:val="auto"/>
              </w:rPr>
            </w:pPr>
            <w:r>
              <w:rPr>
                <w:rFonts w:ascii="Arial" w:cs="Arial" w:eastAsia="Arial" w:hAnsi="Arial"/>
                <w:sz w:val="18"/>
                <w:szCs w:val="18"/>
                <w:color w:val="auto"/>
              </w:rPr>
              <w:t>liabilities</w:t>
            </w:r>
          </w:p>
        </w:tc>
        <w:tc>
          <w:tcPr>
            <w:tcW w:w="940" w:type="dxa"/>
            <w:vAlign w:val="bottom"/>
            <w:gridSpan w:val="3"/>
            <w:vMerge w:val="continue"/>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20" w:type="dxa"/>
            <w:vAlign w:val="bottom"/>
            <w:vMerge w:val="continue"/>
          </w:tcPr>
          <w:p>
            <w:pPr>
              <w:spacing w:after="0"/>
              <w:rPr>
                <w:sz w:val="20"/>
                <w:szCs w:val="20"/>
                <w:color w:val="auto"/>
              </w:rPr>
            </w:pPr>
          </w:p>
        </w:tc>
        <w:tc>
          <w:tcPr>
            <w:tcW w:w="140" w:type="dxa"/>
            <w:vAlign w:val="bottom"/>
          </w:tcPr>
          <w:p>
            <w:pPr>
              <w:spacing w:after="0"/>
              <w:rPr>
                <w:sz w:val="20"/>
                <w:szCs w:val="20"/>
                <w:color w:val="auto"/>
              </w:rPr>
            </w:pPr>
          </w:p>
        </w:tc>
        <w:tc>
          <w:tcPr>
            <w:tcW w:w="900" w:type="dxa"/>
            <w:vAlign w:val="bottom"/>
            <w:gridSpan w:val="2"/>
            <w:vMerge w:val="continue"/>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80" w:type="dxa"/>
            <w:vAlign w:val="bottom"/>
            <w:vMerge w:val="continue"/>
          </w:tcPr>
          <w:p>
            <w:pPr>
              <w:spacing w:after="0"/>
              <w:rPr>
                <w:sz w:val="20"/>
                <w:szCs w:val="20"/>
                <w:color w:val="auto"/>
              </w:rPr>
            </w:pPr>
          </w:p>
        </w:tc>
        <w:tc>
          <w:tcPr>
            <w:tcW w:w="40" w:type="dxa"/>
            <w:vAlign w:val="bottom"/>
          </w:tcPr>
          <w:p>
            <w:pPr>
              <w:spacing w:after="0"/>
              <w:rPr>
                <w:sz w:val="20"/>
                <w:szCs w:val="20"/>
                <w:color w:val="auto"/>
              </w:rPr>
            </w:pPr>
          </w:p>
        </w:tc>
        <w:tc>
          <w:tcPr>
            <w:tcW w:w="940" w:type="dxa"/>
            <w:vAlign w:val="bottom"/>
            <w:gridSpan w:val="3"/>
            <w:vMerge w:val="continue"/>
          </w:tcPr>
          <w:p>
            <w:pPr>
              <w:spacing w:after="0"/>
              <w:rPr>
                <w:sz w:val="20"/>
                <w:szCs w:val="20"/>
                <w:color w:val="auto"/>
              </w:rPr>
            </w:pPr>
          </w:p>
        </w:tc>
        <w:tc>
          <w:tcPr>
            <w:tcW w:w="880" w:type="dxa"/>
            <w:vAlign w:val="bottom"/>
            <w:gridSpan w:val="2"/>
            <w:vMerge w:val="continue"/>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42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unrealized losses on available-for-sale securities</w:t>
            </w:r>
          </w:p>
        </w:tc>
        <w:tc>
          <w:tcPr>
            <w:tcW w:w="80" w:type="dxa"/>
            <w:vAlign w:val="bottom"/>
            <w:tcBorders>
              <w:top w:val="single" w:sz="8" w:color="CCEEFF"/>
            </w:tcBorders>
            <w:shd w:val="clear" w:color="auto" w:fill="CCEEFF"/>
          </w:tcPr>
          <w:p>
            <w:pPr>
              <w:spacing w:after="0"/>
              <w:rPr>
                <w:sz w:val="18"/>
                <w:szCs w:val="18"/>
                <w:color w:val="auto"/>
              </w:rPr>
            </w:pP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(4,523.9)</w:t>
            </w:r>
          </w:p>
        </w:tc>
        <w:tc>
          <w:tcPr>
            <w:tcW w:w="6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956.2</w:t>
            </w:r>
          </w:p>
        </w:tc>
        <w:tc>
          <w:tcPr>
            <w:tcW w:w="140" w:type="dxa"/>
            <w:vAlign w:val="bottom"/>
            <w:tcBorders>
              <w:top w:val="single" w:sz="8" w:color="CCEEFF"/>
            </w:tcBorders>
            <w:shd w:val="clear" w:color="auto" w:fill="CCEEFF"/>
          </w:tcPr>
          <w:p>
            <w:pPr>
              <w:spacing w:after="0"/>
              <w:rPr>
                <w:sz w:val="18"/>
                <w:szCs w:val="18"/>
                <w:color w:val="auto"/>
              </w:rPr>
            </w:pP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(3,567.7)</w:t>
            </w:r>
          </w:p>
        </w:tc>
        <w:tc>
          <w:tcPr>
            <w:tcW w:w="80" w:type="dxa"/>
            <w:vAlign w:val="bottom"/>
            <w:tcBorders>
              <w:top w:val="single" w:sz="8" w:color="CCEEFF"/>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(9,186.9)</w:t>
            </w:r>
          </w:p>
        </w:tc>
        <w:tc>
          <w:tcPr>
            <w:tcW w:w="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1,945.3</w:t>
            </w:r>
          </w:p>
        </w:tc>
        <w:tc>
          <w:tcPr>
            <w:tcW w:w="80" w:type="dxa"/>
            <w:vAlign w:val="bottom"/>
            <w:tcBorders>
              <w:top w:val="single" w:sz="8" w:color="CCEEFF"/>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(7,241.6)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2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vMerge w:val="continue"/>
          </w:tcPr>
          <w:p>
            <w:pPr>
              <w:spacing w:after="0"/>
              <w:rPr>
                <w:sz w:val="17"/>
                <w:szCs w:val="17"/>
                <w:color w:val="auto"/>
              </w:rPr>
            </w:pPr>
          </w:p>
        </w:tc>
        <w:tc>
          <w:tcPr>
            <w:tcW w:w="42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6"/>
              </w:rPr>
              <w:t>Net unrealized gains (losses) on derivative instruments</w:t>
            </w:r>
          </w:p>
        </w:tc>
        <w:tc>
          <w:tcPr>
            <w:tcW w:w="880" w:type="dxa"/>
            <w:vAlign w:val="bottom"/>
            <w:gridSpan w:val="2"/>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0.6</w:t>
            </w:r>
          </w:p>
        </w:tc>
        <w:tc>
          <w:tcPr>
            <w:tcW w:w="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60" w:type="dxa"/>
            <w:vAlign w:val="bottom"/>
            <w:gridSpan w:val="2"/>
            <w:vMerge w:val="restart"/>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(0.1)</w:t>
            </w:r>
          </w:p>
        </w:tc>
        <w:tc>
          <w:tcPr>
            <w:tcW w:w="82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0.5</w:t>
            </w:r>
          </w:p>
        </w:tc>
        <w:tc>
          <w:tcPr>
            <w:tcW w:w="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20" w:type="dxa"/>
            <w:vAlign w:val="bottom"/>
            <w:gridSpan w:val="2"/>
            <w:vMerge w:val="restart"/>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(20.4)</w:t>
            </w:r>
          </w:p>
        </w:tc>
        <w:tc>
          <w:tcPr>
            <w:tcW w:w="860" w:type="dxa"/>
            <w:vAlign w:val="bottom"/>
            <w:gridSpan w:val="2"/>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4.3</w:t>
            </w:r>
          </w:p>
        </w:tc>
        <w:tc>
          <w:tcPr>
            <w:tcW w:w="80" w:type="dxa"/>
            <w:vAlign w:val="bottom"/>
            <w:shd w:val="clear" w:color="auto" w:fill="CCEEFF"/>
          </w:tcPr>
          <w:p>
            <w:pPr>
              <w:spacing w:after="0"/>
              <w:rPr>
                <w:sz w:val="17"/>
                <w:szCs w:val="17"/>
                <w:color w:val="auto"/>
              </w:rPr>
            </w:pPr>
          </w:p>
        </w:tc>
        <w:tc>
          <w:tcPr>
            <w:tcW w:w="880" w:type="dxa"/>
            <w:vAlign w:val="bottom"/>
            <w:gridSpan w:val="2"/>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(16.1)</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60" w:type="dxa"/>
            <w:vAlign w:val="bottom"/>
            <w:shd w:val="clear" w:color="auto" w:fill="CCEEFF"/>
          </w:tcPr>
          <w:p>
            <w:pPr>
              <w:ind w:left="120"/>
              <w:spacing w:after="0"/>
              <w:rPr>
                <w:sz w:val="20"/>
                <w:szCs w:val="20"/>
                <w:color w:val="auto"/>
              </w:rPr>
            </w:pPr>
            <w:r>
              <w:rPr>
                <w:rFonts w:ascii="Arial" w:cs="Arial" w:eastAsia="Arial" w:hAnsi="Arial"/>
                <w:sz w:val="18"/>
                <w:szCs w:val="18"/>
                <w:color w:val="auto"/>
              </w:rPr>
              <w:t>during the period</w:t>
            </w:r>
          </w:p>
        </w:tc>
        <w:tc>
          <w:tcPr>
            <w:tcW w:w="880" w:type="dxa"/>
            <w:vAlign w:val="bottom"/>
            <w:gridSpan w:val="2"/>
            <w:vMerge w:val="continue"/>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760" w:type="dxa"/>
            <w:vAlign w:val="bottom"/>
            <w:gridSpan w:val="2"/>
            <w:vMerge w:val="continue"/>
            <w:shd w:val="clear" w:color="auto" w:fill="CCEEFF"/>
          </w:tcPr>
          <w:p>
            <w:pPr>
              <w:spacing w:after="0"/>
              <w:rPr>
                <w:sz w:val="20"/>
                <w:szCs w:val="20"/>
                <w:color w:val="auto"/>
              </w:rPr>
            </w:pPr>
          </w:p>
        </w:tc>
        <w:tc>
          <w:tcPr>
            <w:tcW w:w="820" w:type="dxa"/>
            <w:vAlign w:val="bottom"/>
            <w:vMerge w:val="continue"/>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820" w:type="dxa"/>
            <w:vAlign w:val="bottom"/>
            <w:gridSpan w:val="2"/>
            <w:vMerge w:val="continue"/>
            <w:shd w:val="clear" w:color="auto" w:fill="CCEEFF"/>
          </w:tcPr>
          <w:p>
            <w:pPr>
              <w:spacing w:after="0"/>
              <w:rPr>
                <w:sz w:val="20"/>
                <w:szCs w:val="20"/>
                <w:color w:val="auto"/>
              </w:rPr>
            </w:pPr>
          </w:p>
        </w:tc>
        <w:tc>
          <w:tcPr>
            <w:tcW w:w="860" w:type="dxa"/>
            <w:vAlign w:val="bottom"/>
            <w:gridSpan w:val="2"/>
            <w:vMerge w:val="continue"/>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880" w:type="dxa"/>
            <w:vAlign w:val="bottom"/>
            <w:gridSpan w:val="2"/>
            <w:vMerge w:val="continue"/>
            <w:shd w:val="clear" w:color="auto" w:fill="CCEEFF"/>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260" w:type="dxa"/>
            <w:vAlign w:val="bottom"/>
          </w:tcPr>
          <w:p>
            <w:pPr>
              <w:spacing w:after="0" w:line="201" w:lineRule="exact"/>
              <w:rPr>
                <w:sz w:val="20"/>
                <w:szCs w:val="20"/>
                <w:color w:val="auto"/>
              </w:rPr>
            </w:pPr>
            <w:r>
              <w:rPr>
                <w:rFonts w:ascii="Arial" w:cs="Arial" w:eastAsia="Arial" w:hAnsi="Arial"/>
                <w:sz w:val="18"/>
                <w:szCs w:val="18"/>
                <w:color w:val="auto"/>
              </w:rPr>
              <w:t>Reclassification adjustment for gains included in net</w:t>
            </w:r>
          </w:p>
        </w:tc>
        <w:tc>
          <w:tcPr>
            <w:tcW w:w="940" w:type="dxa"/>
            <w:vAlign w:val="bottom"/>
            <w:gridSpan w:val="3"/>
            <w:vMerge w:val="restart"/>
          </w:tcPr>
          <w:p>
            <w:pPr>
              <w:jc w:val="right"/>
              <w:ind w:right="60"/>
              <w:spacing w:after="0"/>
              <w:rPr>
                <w:sz w:val="20"/>
                <w:szCs w:val="20"/>
                <w:color w:val="auto"/>
              </w:rPr>
            </w:pPr>
            <w:r>
              <w:rPr>
                <w:rFonts w:ascii="Arial" w:cs="Arial" w:eastAsia="Arial" w:hAnsi="Arial"/>
                <w:sz w:val="18"/>
                <w:szCs w:val="18"/>
                <w:b w:val="1"/>
                <w:bCs w:val="1"/>
                <w:color w:val="auto"/>
              </w:rPr>
              <w:t>(10.6)</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2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2.2</w:t>
            </w:r>
          </w:p>
        </w:tc>
        <w:tc>
          <w:tcPr>
            <w:tcW w:w="140" w:type="dxa"/>
            <w:vAlign w:val="bottom"/>
          </w:tcPr>
          <w:p>
            <w:pPr>
              <w:spacing w:after="0"/>
              <w:rPr>
                <w:sz w:val="17"/>
                <w:szCs w:val="17"/>
                <w:color w:val="auto"/>
              </w:rPr>
            </w:pPr>
          </w:p>
        </w:tc>
        <w:tc>
          <w:tcPr>
            <w:tcW w:w="900" w:type="dxa"/>
            <w:vAlign w:val="bottom"/>
            <w:gridSpan w:val="2"/>
            <w:vMerge w:val="restart"/>
          </w:tcPr>
          <w:p>
            <w:pPr>
              <w:jc w:val="right"/>
              <w:ind w:right="80"/>
              <w:spacing w:after="0"/>
              <w:rPr>
                <w:sz w:val="20"/>
                <w:szCs w:val="20"/>
                <w:color w:val="auto"/>
              </w:rPr>
            </w:pPr>
            <w:r>
              <w:rPr>
                <w:rFonts w:ascii="Arial" w:cs="Arial" w:eastAsia="Arial" w:hAnsi="Arial"/>
                <w:sz w:val="18"/>
                <w:szCs w:val="18"/>
                <w:b w:val="1"/>
                <w:bCs w:val="1"/>
                <w:color w:val="auto"/>
              </w:rPr>
              <w:t>(8.4)</w:t>
            </w: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gridSpan w:val="2"/>
            <w:vMerge w:val="restart"/>
          </w:tcPr>
          <w:p>
            <w:pPr>
              <w:jc w:val="right"/>
              <w:ind w:right="40"/>
              <w:spacing w:after="0"/>
              <w:rPr>
                <w:sz w:val="20"/>
                <w:szCs w:val="20"/>
                <w:color w:val="auto"/>
              </w:rPr>
            </w:pPr>
            <w:r>
              <w:rPr>
                <w:rFonts w:ascii="Arial" w:cs="Arial" w:eastAsia="Arial" w:hAnsi="Arial"/>
                <w:sz w:val="18"/>
                <w:szCs w:val="18"/>
                <w:b w:val="1"/>
                <w:bCs w:val="1"/>
                <w:color w:val="auto"/>
              </w:rPr>
              <w:t>(17.4)</w:t>
            </w:r>
          </w:p>
        </w:tc>
        <w:tc>
          <w:tcPr>
            <w:tcW w:w="860" w:type="dxa"/>
            <w:vAlign w:val="bottom"/>
            <w:gridSpan w:val="2"/>
            <w:vMerge w:val="restart"/>
          </w:tcPr>
          <w:p>
            <w:pPr>
              <w:jc w:val="right"/>
              <w:spacing w:after="0"/>
              <w:rPr>
                <w:sz w:val="20"/>
                <w:szCs w:val="20"/>
                <w:color w:val="auto"/>
              </w:rPr>
            </w:pPr>
            <w:r>
              <w:rPr>
                <w:rFonts w:ascii="Arial" w:cs="Arial" w:eastAsia="Arial" w:hAnsi="Arial"/>
                <w:sz w:val="18"/>
                <w:szCs w:val="18"/>
                <w:b w:val="1"/>
                <w:bCs w:val="1"/>
                <w:color w:val="auto"/>
              </w:rPr>
              <w:t>3.6</w:t>
            </w:r>
          </w:p>
        </w:tc>
        <w:tc>
          <w:tcPr>
            <w:tcW w:w="80" w:type="dxa"/>
            <w:vAlign w:val="bottom"/>
          </w:tcPr>
          <w:p>
            <w:pPr>
              <w:spacing w:after="0"/>
              <w:rPr>
                <w:sz w:val="17"/>
                <w:szCs w:val="17"/>
                <w:color w:val="auto"/>
              </w:rPr>
            </w:pPr>
          </w:p>
        </w:tc>
        <w:tc>
          <w:tcPr>
            <w:tcW w:w="900" w:type="dxa"/>
            <w:vAlign w:val="bottom"/>
            <w:gridSpan w:val="3"/>
            <w:vMerge w:val="restart"/>
          </w:tcPr>
          <w:p>
            <w:pPr>
              <w:jc w:val="right"/>
              <w:ind w:right="20"/>
              <w:spacing w:after="0"/>
              <w:rPr>
                <w:sz w:val="20"/>
                <w:szCs w:val="20"/>
                <w:color w:val="auto"/>
              </w:rPr>
            </w:pPr>
            <w:r>
              <w:rPr>
                <w:rFonts w:ascii="Arial" w:cs="Arial" w:eastAsia="Arial" w:hAnsi="Arial"/>
                <w:sz w:val="18"/>
                <w:szCs w:val="18"/>
                <w:b w:val="1"/>
                <w:bCs w:val="1"/>
                <w:color w:val="auto"/>
              </w:rPr>
              <w:t>(13.8)</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60" w:type="dxa"/>
            <w:vAlign w:val="bottom"/>
          </w:tcPr>
          <w:p>
            <w:pPr>
              <w:ind w:left="120"/>
              <w:spacing w:after="0"/>
              <w:rPr>
                <w:sz w:val="20"/>
                <w:szCs w:val="20"/>
                <w:color w:val="auto"/>
              </w:rPr>
            </w:pPr>
            <w:r>
              <w:rPr>
                <w:rFonts w:ascii="Arial" w:cs="Arial" w:eastAsia="Arial" w:hAnsi="Arial"/>
                <w:sz w:val="18"/>
                <w:szCs w:val="18"/>
                <w:color w:val="auto"/>
              </w:rPr>
              <w:t>income (2)</w:t>
            </w:r>
          </w:p>
        </w:tc>
        <w:tc>
          <w:tcPr>
            <w:tcW w:w="940" w:type="dxa"/>
            <w:vAlign w:val="bottom"/>
            <w:gridSpan w:val="3"/>
            <w:vMerge w:val="continue"/>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20" w:type="dxa"/>
            <w:vAlign w:val="bottom"/>
            <w:vMerge w:val="continue"/>
          </w:tcPr>
          <w:p>
            <w:pPr>
              <w:spacing w:after="0"/>
              <w:rPr>
                <w:sz w:val="20"/>
                <w:szCs w:val="20"/>
                <w:color w:val="auto"/>
              </w:rPr>
            </w:pPr>
          </w:p>
        </w:tc>
        <w:tc>
          <w:tcPr>
            <w:tcW w:w="140" w:type="dxa"/>
            <w:vAlign w:val="bottom"/>
          </w:tcPr>
          <w:p>
            <w:pPr>
              <w:spacing w:after="0"/>
              <w:rPr>
                <w:sz w:val="20"/>
                <w:szCs w:val="20"/>
                <w:color w:val="auto"/>
              </w:rPr>
            </w:pPr>
          </w:p>
        </w:tc>
        <w:tc>
          <w:tcPr>
            <w:tcW w:w="900" w:type="dxa"/>
            <w:vAlign w:val="bottom"/>
            <w:gridSpan w:val="2"/>
            <w:vMerge w:val="continue"/>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20" w:type="dxa"/>
            <w:vAlign w:val="bottom"/>
            <w:gridSpan w:val="2"/>
            <w:vMerge w:val="continue"/>
          </w:tcPr>
          <w:p>
            <w:pPr>
              <w:spacing w:after="0"/>
              <w:rPr>
                <w:sz w:val="20"/>
                <w:szCs w:val="20"/>
                <w:color w:val="auto"/>
              </w:rPr>
            </w:pPr>
          </w:p>
        </w:tc>
        <w:tc>
          <w:tcPr>
            <w:tcW w:w="860" w:type="dxa"/>
            <w:vAlign w:val="bottom"/>
            <w:gridSpan w:val="2"/>
            <w:vMerge w:val="continue"/>
          </w:tcPr>
          <w:p>
            <w:pPr>
              <w:spacing w:after="0"/>
              <w:rPr>
                <w:sz w:val="20"/>
                <w:szCs w:val="20"/>
                <w:color w:val="auto"/>
              </w:rPr>
            </w:pPr>
          </w:p>
        </w:tc>
        <w:tc>
          <w:tcPr>
            <w:tcW w:w="80" w:type="dxa"/>
            <w:vAlign w:val="bottom"/>
          </w:tcPr>
          <w:p>
            <w:pPr>
              <w:spacing w:after="0"/>
              <w:rPr>
                <w:sz w:val="20"/>
                <w:szCs w:val="20"/>
                <w:color w:val="auto"/>
              </w:rPr>
            </w:pPr>
          </w:p>
        </w:tc>
        <w:tc>
          <w:tcPr>
            <w:tcW w:w="900" w:type="dxa"/>
            <w:vAlign w:val="bottom"/>
            <w:gridSpan w:val="3"/>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2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Adjustments for assumed changes in amortization</w:t>
            </w:r>
          </w:p>
        </w:tc>
        <w:tc>
          <w:tcPr>
            <w:tcW w:w="880" w:type="dxa"/>
            <w:vAlign w:val="bottom"/>
            <w:gridSpan w:val="2"/>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3.3</w:t>
            </w:r>
          </w:p>
        </w:tc>
        <w:tc>
          <w:tcPr>
            <w:tcW w:w="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60" w:type="dxa"/>
            <w:vAlign w:val="bottom"/>
            <w:gridSpan w:val="2"/>
            <w:vMerge w:val="restart"/>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(0.7)</w:t>
            </w:r>
          </w:p>
        </w:tc>
        <w:tc>
          <w:tcPr>
            <w:tcW w:w="82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2.6</w:t>
            </w:r>
          </w:p>
        </w:tc>
        <w:tc>
          <w:tcPr>
            <w:tcW w:w="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8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5.6</w:t>
            </w:r>
          </w:p>
        </w:tc>
        <w:tc>
          <w:tcPr>
            <w:tcW w:w="40" w:type="dxa"/>
            <w:vAlign w:val="bottom"/>
            <w:shd w:val="clear" w:color="auto" w:fill="CCEEFF"/>
          </w:tcPr>
          <w:p>
            <w:pPr>
              <w:spacing w:after="0"/>
              <w:rPr>
                <w:sz w:val="17"/>
                <w:szCs w:val="17"/>
                <w:color w:val="auto"/>
              </w:rPr>
            </w:pPr>
          </w:p>
        </w:tc>
        <w:tc>
          <w:tcPr>
            <w:tcW w:w="940" w:type="dxa"/>
            <w:vAlign w:val="bottom"/>
            <w:gridSpan w:val="3"/>
            <w:vMerge w:val="restart"/>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(1.2)</w:t>
            </w:r>
          </w:p>
        </w:tc>
        <w:tc>
          <w:tcPr>
            <w:tcW w:w="880" w:type="dxa"/>
            <w:vAlign w:val="bottom"/>
            <w:gridSpan w:val="2"/>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4.4</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60" w:type="dxa"/>
            <w:vAlign w:val="bottom"/>
            <w:shd w:val="clear" w:color="auto" w:fill="CCEEFF"/>
          </w:tcPr>
          <w:p>
            <w:pPr>
              <w:ind w:left="120"/>
              <w:spacing w:after="0"/>
              <w:rPr>
                <w:sz w:val="20"/>
                <w:szCs w:val="20"/>
                <w:color w:val="auto"/>
              </w:rPr>
            </w:pPr>
            <w:r>
              <w:rPr>
                <w:rFonts w:ascii="Arial" w:cs="Arial" w:eastAsia="Arial" w:hAnsi="Arial"/>
                <w:sz w:val="18"/>
                <w:szCs w:val="18"/>
                <w:color w:val="auto"/>
              </w:rPr>
              <w:t>patterns</w:t>
            </w:r>
          </w:p>
        </w:tc>
        <w:tc>
          <w:tcPr>
            <w:tcW w:w="880" w:type="dxa"/>
            <w:vAlign w:val="bottom"/>
            <w:gridSpan w:val="2"/>
            <w:vMerge w:val="continue"/>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760" w:type="dxa"/>
            <w:vAlign w:val="bottom"/>
            <w:gridSpan w:val="2"/>
            <w:vMerge w:val="continue"/>
            <w:shd w:val="clear" w:color="auto" w:fill="CCEEFF"/>
          </w:tcPr>
          <w:p>
            <w:pPr>
              <w:spacing w:after="0"/>
              <w:rPr>
                <w:sz w:val="20"/>
                <w:szCs w:val="20"/>
                <w:color w:val="auto"/>
              </w:rPr>
            </w:pPr>
          </w:p>
        </w:tc>
        <w:tc>
          <w:tcPr>
            <w:tcW w:w="820" w:type="dxa"/>
            <w:vAlign w:val="bottom"/>
            <w:vMerge w:val="continue"/>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780" w:type="dxa"/>
            <w:vAlign w:val="bottom"/>
            <w:vMerge w:val="continue"/>
            <w:shd w:val="clear" w:color="auto" w:fill="CCEEFF"/>
          </w:tcPr>
          <w:p>
            <w:pPr>
              <w:spacing w:after="0"/>
              <w:rPr>
                <w:sz w:val="20"/>
                <w:szCs w:val="20"/>
                <w:color w:val="auto"/>
              </w:rPr>
            </w:pPr>
          </w:p>
        </w:tc>
        <w:tc>
          <w:tcPr>
            <w:tcW w:w="40" w:type="dxa"/>
            <w:vAlign w:val="bottom"/>
            <w:shd w:val="clear" w:color="auto" w:fill="CCEEFF"/>
          </w:tcPr>
          <w:p>
            <w:pPr>
              <w:spacing w:after="0"/>
              <w:rPr>
                <w:sz w:val="20"/>
                <w:szCs w:val="20"/>
                <w:color w:val="auto"/>
              </w:rPr>
            </w:pPr>
          </w:p>
        </w:tc>
        <w:tc>
          <w:tcPr>
            <w:tcW w:w="940" w:type="dxa"/>
            <w:vAlign w:val="bottom"/>
            <w:gridSpan w:val="3"/>
            <w:vMerge w:val="continue"/>
            <w:shd w:val="clear" w:color="auto" w:fill="CCEEFF"/>
          </w:tcPr>
          <w:p>
            <w:pPr>
              <w:spacing w:after="0"/>
              <w:rPr>
                <w:sz w:val="20"/>
                <w:szCs w:val="20"/>
                <w:color w:val="auto"/>
              </w:rPr>
            </w:pPr>
          </w:p>
        </w:tc>
        <w:tc>
          <w:tcPr>
            <w:tcW w:w="880" w:type="dxa"/>
            <w:vAlign w:val="bottom"/>
            <w:gridSpan w:val="2"/>
            <w:vMerge w:val="continue"/>
            <w:shd w:val="clear" w:color="auto" w:fill="CCEEFF"/>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260" w:type="dxa"/>
            <w:vAlign w:val="bottom"/>
          </w:tcPr>
          <w:p>
            <w:pPr>
              <w:spacing w:after="0" w:line="201" w:lineRule="exact"/>
              <w:rPr>
                <w:sz w:val="20"/>
                <w:szCs w:val="20"/>
                <w:color w:val="auto"/>
              </w:rPr>
            </w:pPr>
            <w:r>
              <w:rPr>
                <w:rFonts w:ascii="Arial" w:cs="Arial" w:eastAsia="Arial" w:hAnsi="Arial"/>
                <w:sz w:val="18"/>
                <w:szCs w:val="18"/>
                <w:color w:val="auto"/>
              </w:rPr>
              <w:t>Adjustments for assumed changes in policyholder</w:t>
            </w:r>
          </w:p>
        </w:tc>
        <w:tc>
          <w:tcPr>
            <w:tcW w:w="940" w:type="dxa"/>
            <w:vAlign w:val="bottom"/>
            <w:gridSpan w:val="3"/>
            <w:vMerge w:val="restart"/>
          </w:tcPr>
          <w:p>
            <w:pPr>
              <w:jc w:val="right"/>
              <w:ind w:right="60"/>
              <w:spacing w:after="0"/>
              <w:rPr>
                <w:sz w:val="20"/>
                <w:szCs w:val="20"/>
                <w:color w:val="auto"/>
              </w:rPr>
            </w:pPr>
            <w:r>
              <w:rPr>
                <w:rFonts w:ascii="Arial" w:cs="Arial" w:eastAsia="Arial" w:hAnsi="Arial"/>
                <w:sz w:val="18"/>
                <w:szCs w:val="18"/>
                <w:b w:val="1"/>
                <w:bCs w:val="1"/>
                <w:color w:val="auto"/>
              </w:rPr>
              <w:t>(7.8)</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2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1.7</w:t>
            </w:r>
          </w:p>
        </w:tc>
        <w:tc>
          <w:tcPr>
            <w:tcW w:w="140" w:type="dxa"/>
            <w:vAlign w:val="bottom"/>
          </w:tcPr>
          <w:p>
            <w:pPr>
              <w:spacing w:after="0"/>
              <w:rPr>
                <w:sz w:val="17"/>
                <w:szCs w:val="17"/>
                <w:color w:val="auto"/>
              </w:rPr>
            </w:pPr>
          </w:p>
        </w:tc>
        <w:tc>
          <w:tcPr>
            <w:tcW w:w="900" w:type="dxa"/>
            <w:vAlign w:val="bottom"/>
            <w:gridSpan w:val="2"/>
            <w:vMerge w:val="restart"/>
          </w:tcPr>
          <w:p>
            <w:pPr>
              <w:jc w:val="right"/>
              <w:ind w:right="80"/>
              <w:spacing w:after="0"/>
              <w:rPr>
                <w:sz w:val="20"/>
                <w:szCs w:val="20"/>
                <w:color w:val="auto"/>
              </w:rPr>
            </w:pPr>
            <w:r>
              <w:rPr>
                <w:rFonts w:ascii="Arial" w:cs="Arial" w:eastAsia="Arial" w:hAnsi="Arial"/>
                <w:sz w:val="18"/>
                <w:szCs w:val="18"/>
                <w:b w:val="1"/>
                <w:bCs w:val="1"/>
                <w:color w:val="auto"/>
              </w:rPr>
              <w:t>(6.1)</w:t>
            </w: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gridSpan w:val="2"/>
            <w:vMerge w:val="restart"/>
          </w:tcPr>
          <w:p>
            <w:pPr>
              <w:jc w:val="right"/>
              <w:ind w:right="40"/>
              <w:spacing w:after="0"/>
              <w:rPr>
                <w:sz w:val="20"/>
                <w:szCs w:val="20"/>
                <w:color w:val="auto"/>
              </w:rPr>
            </w:pPr>
            <w:r>
              <w:rPr>
                <w:rFonts w:ascii="Arial" w:cs="Arial" w:eastAsia="Arial" w:hAnsi="Arial"/>
                <w:sz w:val="18"/>
                <w:szCs w:val="18"/>
                <w:b w:val="1"/>
                <w:bCs w:val="1"/>
                <w:color w:val="auto"/>
              </w:rPr>
              <w:t>(2.8)</w:t>
            </w:r>
          </w:p>
        </w:tc>
        <w:tc>
          <w:tcPr>
            <w:tcW w:w="860" w:type="dxa"/>
            <w:vAlign w:val="bottom"/>
            <w:gridSpan w:val="2"/>
            <w:vMerge w:val="restart"/>
          </w:tcPr>
          <w:p>
            <w:pPr>
              <w:jc w:val="right"/>
              <w:spacing w:after="0"/>
              <w:rPr>
                <w:sz w:val="20"/>
                <w:szCs w:val="20"/>
                <w:color w:val="auto"/>
              </w:rPr>
            </w:pPr>
            <w:r>
              <w:rPr>
                <w:rFonts w:ascii="Arial" w:cs="Arial" w:eastAsia="Arial" w:hAnsi="Arial"/>
                <w:sz w:val="18"/>
                <w:szCs w:val="18"/>
                <w:b w:val="1"/>
                <w:bCs w:val="1"/>
                <w:color w:val="auto"/>
              </w:rPr>
              <w:t>0.6</w:t>
            </w:r>
          </w:p>
        </w:tc>
        <w:tc>
          <w:tcPr>
            <w:tcW w:w="80" w:type="dxa"/>
            <w:vAlign w:val="bottom"/>
          </w:tcPr>
          <w:p>
            <w:pPr>
              <w:spacing w:after="0"/>
              <w:rPr>
                <w:sz w:val="17"/>
                <w:szCs w:val="17"/>
                <w:color w:val="auto"/>
              </w:rPr>
            </w:pPr>
          </w:p>
        </w:tc>
        <w:tc>
          <w:tcPr>
            <w:tcW w:w="900" w:type="dxa"/>
            <w:vAlign w:val="bottom"/>
            <w:gridSpan w:val="3"/>
            <w:vMerge w:val="restart"/>
          </w:tcPr>
          <w:p>
            <w:pPr>
              <w:jc w:val="right"/>
              <w:ind w:right="20"/>
              <w:spacing w:after="0"/>
              <w:rPr>
                <w:sz w:val="20"/>
                <w:szCs w:val="20"/>
                <w:color w:val="auto"/>
              </w:rPr>
            </w:pPr>
            <w:r>
              <w:rPr>
                <w:rFonts w:ascii="Arial" w:cs="Arial" w:eastAsia="Arial" w:hAnsi="Arial"/>
                <w:sz w:val="18"/>
                <w:szCs w:val="18"/>
                <w:b w:val="1"/>
                <w:bCs w:val="1"/>
                <w:color w:val="auto"/>
              </w:rPr>
              <w:t>(2.2)</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60" w:type="dxa"/>
            <w:vAlign w:val="bottom"/>
          </w:tcPr>
          <w:p>
            <w:pPr>
              <w:ind w:left="120"/>
              <w:spacing w:after="0"/>
              <w:rPr>
                <w:sz w:val="20"/>
                <w:szCs w:val="20"/>
                <w:color w:val="auto"/>
              </w:rPr>
            </w:pPr>
            <w:r>
              <w:rPr>
                <w:rFonts w:ascii="Arial" w:cs="Arial" w:eastAsia="Arial" w:hAnsi="Arial"/>
                <w:sz w:val="18"/>
                <w:szCs w:val="18"/>
                <w:color w:val="auto"/>
              </w:rPr>
              <w:t>liabilities</w:t>
            </w:r>
          </w:p>
        </w:tc>
        <w:tc>
          <w:tcPr>
            <w:tcW w:w="940" w:type="dxa"/>
            <w:vAlign w:val="bottom"/>
            <w:gridSpan w:val="3"/>
            <w:vMerge w:val="continue"/>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20" w:type="dxa"/>
            <w:vAlign w:val="bottom"/>
            <w:vMerge w:val="continue"/>
          </w:tcPr>
          <w:p>
            <w:pPr>
              <w:spacing w:after="0"/>
              <w:rPr>
                <w:sz w:val="20"/>
                <w:szCs w:val="20"/>
                <w:color w:val="auto"/>
              </w:rPr>
            </w:pPr>
          </w:p>
        </w:tc>
        <w:tc>
          <w:tcPr>
            <w:tcW w:w="140" w:type="dxa"/>
            <w:vAlign w:val="bottom"/>
          </w:tcPr>
          <w:p>
            <w:pPr>
              <w:spacing w:after="0"/>
              <w:rPr>
                <w:sz w:val="20"/>
                <w:szCs w:val="20"/>
                <w:color w:val="auto"/>
              </w:rPr>
            </w:pPr>
          </w:p>
        </w:tc>
        <w:tc>
          <w:tcPr>
            <w:tcW w:w="900" w:type="dxa"/>
            <w:vAlign w:val="bottom"/>
            <w:gridSpan w:val="2"/>
            <w:vMerge w:val="continue"/>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20" w:type="dxa"/>
            <w:vAlign w:val="bottom"/>
            <w:gridSpan w:val="2"/>
            <w:vMerge w:val="continue"/>
          </w:tcPr>
          <w:p>
            <w:pPr>
              <w:spacing w:after="0"/>
              <w:rPr>
                <w:sz w:val="20"/>
                <w:szCs w:val="20"/>
                <w:color w:val="auto"/>
              </w:rPr>
            </w:pPr>
          </w:p>
        </w:tc>
        <w:tc>
          <w:tcPr>
            <w:tcW w:w="860" w:type="dxa"/>
            <w:vAlign w:val="bottom"/>
            <w:gridSpan w:val="2"/>
            <w:vMerge w:val="continue"/>
          </w:tcPr>
          <w:p>
            <w:pPr>
              <w:spacing w:after="0"/>
              <w:rPr>
                <w:sz w:val="20"/>
                <w:szCs w:val="20"/>
                <w:color w:val="auto"/>
              </w:rPr>
            </w:pPr>
          </w:p>
        </w:tc>
        <w:tc>
          <w:tcPr>
            <w:tcW w:w="80" w:type="dxa"/>
            <w:vAlign w:val="bottom"/>
          </w:tcPr>
          <w:p>
            <w:pPr>
              <w:spacing w:after="0"/>
              <w:rPr>
                <w:sz w:val="20"/>
                <w:szCs w:val="20"/>
                <w:color w:val="auto"/>
              </w:rPr>
            </w:pPr>
          </w:p>
        </w:tc>
        <w:tc>
          <w:tcPr>
            <w:tcW w:w="900" w:type="dxa"/>
            <w:vAlign w:val="bottom"/>
            <w:gridSpan w:val="3"/>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2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unrealized losses on derivative instruments</w:t>
            </w:r>
          </w:p>
        </w:tc>
        <w:tc>
          <w:tcPr>
            <w:tcW w:w="80" w:type="dxa"/>
            <w:vAlign w:val="bottom"/>
            <w:tcBorders>
              <w:top w:val="single" w:sz="8" w:color="CCEEFF"/>
            </w:tcBorders>
            <w:shd w:val="clear" w:color="auto" w:fill="CCEEFF"/>
          </w:tcPr>
          <w:p>
            <w:pPr>
              <w:spacing w:after="0"/>
              <w:rPr>
                <w:sz w:val="18"/>
                <w:szCs w:val="18"/>
                <w:color w:val="auto"/>
              </w:rPr>
            </w:pP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(14.5)</w:t>
            </w:r>
          </w:p>
        </w:tc>
        <w:tc>
          <w:tcPr>
            <w:tcW w:w="6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3.1</w:t>
            </w:r>
          </w:p>
        </w:tc>
        <w:tc>
          <w:tcPr>
            <w:tcW w:w="140" w:type="dxa"/>
            <w:vAlign w:val="bottom"/>
            <w:tcBorders>
              <w:top w:val="single" w:sz="8" w:color="CCEEFF"/>
            </w:tcBorders>
            <w:shd w:val="clear" w:color="auto" w:fill="CCEEFF"/>
          </w:tcPr>
          <w:p>
            <w:pPr>
              <w:spacing w:after="0"/>
              <w:rPr>
                <w:sz w:val="18"/>
                <w:szCs w:val="18"/>
                <w:color w:val="auto"/>
              </w:rPr>
            </w:pP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(11.4)</w:t>
            </w:r>
          </w:p>
        </w:tc>
        <w:tc>
          <w:tcPr>
            <w:tcW w:w="80" w:type="dxa"/>
            <w:vAlign w:val="bottom"/>
            <w:tcBorders>
              <w:top w:val="single" w:sz="8" w:color="CCEEFF"/>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(35.0)</w:t>
            </w:r>
          </w:p>
        </w:tc>
        <w:tc>
          <w:tcPr>
            <w:tcW w:w="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7.3</w:t>
            </w:r>
          </w:p>
        </w:tc>
        <w:tc>
          <w:tcPr>
            <w:tcW w:w="80" w:type="dxa"/>
            <w:vAlign w:val="bottom"/>
            <w:tcBorders>
              <w:top w:val="single" w:sz="8" w:color="CCEEFF"/>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(27.7)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26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800" w:type="dxa"/>
            <w:vAlign w:val="bottom"/>
            <w:tcBorders>
              <w:bottom w:val="single" w:sz="8" w:color="auto"/>
            </w:tcBorders>
          </w:tcPr>
          <w:p>
            <w:pPr>
              <w:spacing w:after="0"/>
              <w:rPr>
                <w:sz w:val="18"/>
                <w:szCs w:val="18"/>
                <w:color w:val="auto"/>
              </w:rPr>
            </w:pPr>
          </w:p>
        </w:tc>
        <w:tc>
          <w:tcPr>
            <w:tcW w:w="6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tcPr>
          <w:p>
            <w:pPr>
              <w:spacing w:after="0"/>
              <w:rPr>
                <w:sz w:val="18"/>
                <w:szCs w:val="18"/>
                <w:color w:val="auto"/>
              </w:rPr>
            </w:pPr>
          </w:p>
        </w:tc>
        <w:tc>
          <w:tcPr>
            <w:tcW w:w="140" w:type="dxa"/>
            <w:vAlign w:val="bottom"/>
            <w:tcBorders>
              <w:bottom w:val="single" w:sz="8" w:color="CCEEFF"/>
            </w:tcBorders>
          </w:tcPr>
          <w:p>
            <w:pPr>
              <w:spacing w:after="0"/>
              <w:rPr>
                <w:sz w:val="18"/>
                <w:szCs w:val="18"/>
                <w:color w:val="auto"/>
              </w:rPr>
            </w:pPr>
          </w:p>
        </w:tc>
        <w:tc>
          <w:tcPr>
            <w:tcW w:w="820" w:type="dxa"/>
            <w:vAlign w:val="bottom"/>
            <w:tcBorders>
              <w:bottom w:val="single" w:sz="8" w:color="auto"/>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spacing w:after="0"/>
              <w:rPr>
                <w:sz w:val="18"/>
                <w:szCs w:val="18"/>
                <w:color w:val="auto"/>
              </w:rPr>
            </w:pPr>
          </w:p>
        </w:tc>
        <w:tc>
          <w:tcPr>
            <w:tcW w:w="40" w:type="dxa"/>
            <w:vAlign w:val="bottom"/>
            <w:tcBorders>
              <w:bottom w:val="single" w:sz="8" w:color="CCEEFF"/>
            </w:tcBorders>
          </w:tcPr>
          <w:p>
            <w:pPr>
              <w:spacing w:after="0"/>
              <w:rPr>
                <w:sz w:val="18"/>
                <w:szCs w:val="18"/>
                <w:color w:val="auto"/>
              </w:rPr>
            </w:pPr>
          </w:p>
        </w:tc>
        <w:tc>
          <w:tcPr>
            <w:tcW w:w="120" w:type="dxa"/>
            <w:vAlign w:val="bottom"/>
            <w:tcBorders>
              <w:bottom w:val="single" w:sz="8" w:color="CCEEFF"/>
            </w:tcBorders>
          </w:tcPr>
          <w:p>
            <w:pPr>
              <w:spacing w:after="0"/>
              <w:rPr>
                <w:sz w:val="18"/>
                <w:szCs w:val="18"/>
                <w:color w:val="auto"/>
              </w:rPr>
            </w:pPr>
          </w:p>
        </w:tc>
        <w:tc>
          <w:tcPr>
            <w:tcW w:w="740" w:type="dxa"/>
            <w:vAlign w:val="bottom"/>
            <w:tcBorders>
              <w:bottom w:val="single" w:sz="8" w:color="auto"/>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60" w:type="dxa"/>
            <w:vAlign w:val="bottom"/>
            <w:tcBorders>
              <w:bottom w:val="single" w:sz="8" w:color="CCEEFF"/>
            </w:tcBorders>
          </w:tcPr>
          <w:p>
            <w:pPr>
              <w:spacing w:after="0"/>
              <w:rPr>
                <w:sz w:val="18"/>
                <w:szCs w:val="18"/>
                <w:color w:val="auto"/>
              </w:rPr>
            </w:pPr>
          </w:p>
        </w:tc>
        <w:tc>
          <w:tcPr>
            <w:tcW w:w="820" w:type="dxa"/>
            <w:vAlign w:val="bottom"/>
            <w:tcBorders>
              <w:bottom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260" w:type="dxa"/>
            <w:vAlign w:val="bottom"/>
            <w:shd w:val="clear" w:color="auto" w:fill="CCEEFF"/>
          </w:tcPr>
          <w:p>
            <w:pPr>
              <w:spacing w:after="0"/>
              <w:rPr>
                <w:sz w:val="20"/>
                <w:szCs w:val="20"/>
                <w:color w:val="auto"/>
              </w:rPr>
            </w:pPr>
            <w:r>
              <w:rPr>
                <w:rFonts w:ascii="Arial" w:cs="Arial" w:eastAsia="Arial" w:hAnsi="Arial"/>
                <w:sz w:val="18"/>
                <w:szCs w:val="18"/>
                <w:color w:val="auto"/>
              </w:rPr>
              <w:t>Foreign currency translation adjustment</w:t>
            </w:r>
          </w:p>
        </w:tc>
        <w:tc>
          <w:tcPr>
            <w:tcW w:w="80" w:type="dxa"/>
            <w:vAlign w:val="bottom"/>
            <w:shd w:val="clear" w:color="auto" w:fill="CCEEFF"/>
          </w:tcPr>
          <w:p>
            <w:pPr>
              <w:spacing w:after="0"/>
              <w:rPr>
                <w:sz w:val="19"/>
                <w:szCs w:val="19"/>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(270.6)</w:t>
            </w:r>
          </w:p>
        </w:tc>
        <w:tc>
          <w:tcPr>
            <w:tcW w:w="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(3.5)</w:t>
            </w:r>
          </w:p>
        </w:tc>
        <w:tc>
          <w:tcPr>
            <w:tcW w:w="140" w:type="dxa"/>
            <w:vAlign w:val="bottom"/>
            <w:shd w:val="clear" w:color="auto" w:fill="CCEEFF"/>
          </w:tcPr>
          <w:p>
            <w:pPr>
              <w:spacing w:after="0"/>
              <w:rPr>
                <w:sz w:val="19"/>
                <w:szCs w:val="19"/>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(274.1)</w:t>
            </w:r>
          </w:p>
        </w:tc>
        <w:tc>
          <w:tcPr>
            <w:tcW w:w="8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(115.7)</w:t>
            </w: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(5.0)</w:t>
            </w:r>
          </w:p>
        </w:tc>
        <w:tc>
          <w:tcPr>
            <w:tcW w:w="8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(120.7)</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9"/>
        </w:trPr>
        <w:tc>
          <w:tcPr>
            <w:tcW w:w="20" w:type="dxa"/>
            <w:vAlign w:val="bottom"/>
            <w:vMerge w:val="restart"/>
          </w:tcPr>
          <w:p>
            <w:pPr>
              <w:spacing w:after="0"/>
              <w:rPr>
                <w:sz w:val="18"/>
                <w:szCs w:val="18"/>
                <w:color w:val="auto"/>
              </w:rPr>
            </w:pPr>
          </w:p>
        </w:tc>
        <w:tc>
          <w:tcPr>
            <w:tcW w:w="42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vMerge w:val="continue"/>
          </w:tcPr>
          <w:p>
            <w:pPr>
              <w:spacing w:after="0"/>
              <w:rPr>
                <w:sz w:val="17"/>
                <w:szCs w:val="17"/>
                <w:color w:val="auto"/>
              </w:rPr>
            </w:pPr>
          </w:p>
        </w:tc>
        <w:tc>
          <w:tcPr>
            <w:tcW w:w="42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2"/>
              </w:rPr>
              <w:t>Unrecognized postretirement benefit obligation during the</w:t>
            </w:r>
          </w:p>
        </w:tc>
        <w:tc>
          <w:tcPr>
            <w:tcW w:w="880" w:type="dxa"/>
            <w:vAlign w:val="bottom"/>
            <w:gridSpan w:val="2"/>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2.1</w:t>
            </w:r>
          </w:p>
        </w:tc>
        <w:tc>
          <w:tcPr>
            <w:tcW w:w="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60" w:type="dxa"/>
            <w:vAlign w:val="bottom"/>
            <w:gridSpan w:val="2"/>
            <w:vMerge w:val="restart"/>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(0.5)</w:t>
            </w:r>
          </w:p>
        </w:tc>
        <w:tc>
          <w:tcPr>
            <w:tcW w:w="82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1.6</w:t>
            </w:r>
          </w:p>
        </w:tc>
        <w:tc>
          <w:tcPr>
            <w:tcW w:w="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8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2.1</w:t>
            </w:r>
          </w:p>
        </w:tc>
        <w:tc>
          <w:tcPr>
            <w:tcW w:w="40" w:type="dxa"/>
            <w:vAlign w:val="bottom"/>
            <w:shd w:val="clear" w:color="auto" w:fill="CCEEFF"/>
          </w:tcPr>
          <w:p>
            <w:pPr>
              <w:spacing w:after="0"/>
              <w:rPr>
                <w:sz w:val="17"/>
                <w:szCs w:val="17"/>
                <w:color w:val="auto"/>
              </w:rPr>
            </w:pPr>
          </w:p>
        </w:tc>
        <w:tc>
          <w:tcPr>
            <w:tcW w:w="940" w:type="dxa"/>
            <w:vAlign w:val="bottom"/>
            <w:gridSpan w:val="3"/>
            <w:vMerge w:val="restart"/>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(0.5)</w:t>
            </w:r>
          </w:p>
        </w:tc>
        <w:tc>
          <w:tcPr>
            <w:tcW w:w="880" w:type="dxa"/>
            <w:vAlign w:val="bottom"/>
            <w:gridSpan w:val="2"/>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1.6</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60" w:type="dxa"/>
            <w:vAlign w:val="bottom"/>
            <w:shd w:val="clear" w:color="auto" w:fill="CCEEFF"/>
          </w:tcPr>
          <w:p>
            <w:pPr>
              <w:ind w:left="120"/>
              <w:spacing w:after="0"/>
              <w:rPr>
                <w:sz w:val="20"/>
                <w:szCs w:val="20"/>
                <w:color w:val="auto"/>
              </w:rPr>
            </w:pPr>
            <w:r>
              <w:rPr>
                <w:rFonts w:ascii="Arial" w:cs="Arial" w:eastAsia="Arial" w:hAnsi="Arial"/>
                <w:sz w:val="18"/>
                <w:szCs w:val="18"/>
                <w:color w:val="auto"/>
              </w:rPr>
              <w:t>period</w:t>
            </w:r>
          </w:p>
        </w:tc>
        <w:tc>
          <w:tcPr>
            <w:tcW w:w="880" w:type="dxa"/>
            <w:vAlign w:val="bottom"/>
            <w:gridSpan w:val="2"/>
            <w:vMerge w:val="continue"/>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760" w:type="dxa"/>
            <w:vAlign w:val="bottom"/>
            <w:gridSpan w:val="2"/>
            <w:vMerge w:val="continue"/>
            <w:shd w:val="clear" w:color="auto" w:fill="CCEEFF"/>
          </w:tcPr>
          <w:p>
            <w:pPr>
              <w:spacing w:after="0"/>
              <w:rPr>
                <w:sz w:val="20"/>
                <w:szCs w:val="20"/>
                <w:color w:val="auto"/>
              </w:rPr>
            </w:pPr>
          </w:p>
        </w:tc>
        <w:tc>
          <w:tcPr>
            <w:tcW w:w="820" w:type="dxa"/>
            <w:vAlign w:val="bottom"/>
            <w:vMerge w:val="continue"/>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780" w:type="dxa"/>
            <w:vAlign w:val="bottom"/>
            <w:vMerge w:val="continue"/>
            <w:shd w:val="clear" w:color="auto" w:fill="CCEEFF"/>
          </w:tcPr>
          <w:p>
            <w:pPr>
              <w:spacing w:after="0"/>
              <w:rPr>
                <w:sz w:val="20"/>
                <w:szCs w:val="20"/>
                <w:color w:val="auto"/>
              </w:rPr>
            </w:pPr>
          </w:p>
        </w:tc>
        <w:tc>
          <w:tcPr>
            <w:tcW w:w="40" w:type="dxa"/>
            <w:vAlign w:val="bottom"/>
            <w:shd w:val="clear" w:color="auto" w:fill="CCEEFF"/>
          </w:tcPr>
          <w:p>
            <w:pPr>
              <w:spacing w:after="0"/>
              <w:rPr>
                <w:sz w:val="20"/>
                <w:szCs w:val="20"/>
                <w:color w:val="auto"/>
              </w:rPr>
            </w:pPr>
          </w:p>
        </w:tc>
        <w:tc>
          <w:tcPr>
            <w:tcW w:w="940" w:type="dxa"/>
            <w:vAlign w:val="bottom"/>
            <w:gridSpan w:val="3"/>
            <w:vMerge w:val="continue"/>
            <w:shd w:val="clear" w:color="auto" w:fill="CCEEFF"/>
          </w:tcPr>
          <w:p>
            <w:pPr>
              <w:spacing w:after="0"/>
              <w:rPr>
                <w:sz w:val="20"/>
                <w:szCs w:val="20"/>
                <w:color w:val="auto"/>
              </w:rPr>
            </w:pPr>
          </w:p>
        </w:tc>
        <w:tc>
          <w:tcPr>
            <w:tcW w:w="880" w:type="dxa"/>
            <w:vAlign w:val="bottom"/>
            <w:gridSpan w:val="2"/>
            <w:vMerge w:val="continue"/>
            <w:shd w:val="clear" w:color="auto" w:fill="CCEEFF"/>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260" w:type="dxa"/>
            <w:vAlign w:val="bottom"/>
          </w:tcPr>
          <w:p>
            <w:pPr>
              <w:spacing w:after="0" w:line="201" w:lineRule="exact"/>
              <w:rPr>
                <w:sz w:val="20"/>
                <w:szCs w:val="20"/>
                <w:color w:val="auto"/>
              </w:rPr>
            </w:pPr>
            <w:r>
              <w:rPr>
                <w:rFonts w:ascii="Arial" w:cs="Arial" w:eastAsia="Arial" w:hAnsi="Arial"/>
                <w:sz w:val="18"/>
                <w:szCs w:val="18"/>
                <w:color w:val="auto"/>
                <w:w w:val="95"/>
              </w:rPr>
              <w:t>Amortization of amounts included in net periodic benefit</w:t>
            </w:r>
          </w:p>
        </w:tc>
        <w:tc>
          <w:tcPr>
            <w:tcW w:w="880" w:type="dxa"/>
            <w:vAlign w:val="bottom"/>
            <w:gridSpan w:val="2"/>
            <w:vMerge w:val="restart"/>
          </w:tcPr>
          <w:p>
            <w:pPr>
              <w:jc w:val="right"/>
              <w:spacing w:after="0"/>
              <w:rPr>
                <w:sz w:val="20"/>
                <w:szCs w:val="20"/>
                <w:color w:val="auto"/>
              </w:rPr>
            </w:pPr>
            <w:r>
              <w:rPr>
                <w:rFonts w:ascii="Arial" w:cs="Arial" w:eastAsia="Arial" w:hAnsi="Arial"/>
                <w:sz w:val="18"/>
                <w:szCs w:val="18"/>
                <w:b w:val="1"/>
                <w:bCs w:val="1"/>
                <w:color w:val="auto"/>
              </w:rPr>
              <w:t>9.4</w:t>
            </w: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gridSpan w:val="2"/>
            <w:vMerge w:val="restart"/>
          </w:tcPr>
          <w:p>
            <w:pPr>
              <w:jc w:val="right"/>
              <w:ind w:right="140"/>
              <w:spacing w:after="0"/>
              <w:rPr>
                <w:sz w:val="20"/>
                <w:szCs w:val="20"/>
                <w:color w:val="auto"/>
              </w:rPr>
            </w:pPr>
            <w:r>
              <w:rPr>
                <w:rFonts w:ascii="Arial" w:cs="Arial" w:eastAsia="Arial" w:hAnsi="Arial"/>
                <w:sz w:val="18"/>
                <w:szCs w:val="18"/>
                <w:b w:val="1"/>
                <w:bCs w:val="1"/>
                <w:color w:val="auto"/>
              </w:rPr>
              <w:t>(2.7)</w:t>
            </w:r>
          </w:p>
        </w:tc>
        <w:tc>
          <w:tcPr>
            <w:tcW w:w="82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6.7</w:t>
            </w: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18.4</w:t>
            </w:r>
          </w:p>
        </w:tc>
        <w:tc>
          <w:tcPr>
            <w:tcW w:w="40" w:type="dxa"/>
            <w:vAlign w:val="bottom"/>
          </w:tcPr>
          <w:p>
            <w:pPr>
              <w:spacing w:after="0"/>
              <w:rPr>
                <w:sz w:val="17"/>
                <w:szCs w:val="17"/>
                <w:color w:val="auto"/>
              </w:rPr>
            </w:pPr>
          </w:p>
        </w:tc>
        <w:tc>
          <w:tcPr>
            <w:tcW w:w="940" w:type="dxa"/>
            <w:vAlign w:val="bottom"/>
            <w:gridSpan w:val="3"/>
            <w:vMerge w:val="restart"/>
          </w:tcPr>
          <w:p>
            <w:pPr>
              <w:jc w:val="right"/>
              <w:ind w:right="80"/>
              <w:spacing w:after="0"/>
              <w:rPr>
                <w:sz w:val="20"/>
                <w:szCs w:val="20"/>
                <w:color w:val="auto"/>
              </w:rPr>
            </w:pPr>
            <w:r>
              <w:rPr>
                <w:rFonts w:ascii="Arial" w:cs="Arial" w:eastAsia="Arial" w:hAnsi="Arial"/>
                <w:sz w:val="18"/>
                <w:szCs w:val="18"/>
                <w:b w:val="1"/>
                <w:bCs w:val="1"/>
                <w:color w:val="auto"/>
              </w:rPr>
              <w:t>(5.0)</w:t>
            </w:r>
          </w:p>
        </w:tc>
        <w:tc>
          <w:tcPr>
            <w:tcW w:w="880" w:type="dxa"/>
            <w:vAlign w:val="bottom"/>
            <w:gridSpan w:val="2"/>
            <w:vMerge w:val="restart"/>
          </w:tcPr>
          <w:p>
            <w:pPr>
              <w:jc w:val="right"/>
              <w:spacing w:after="0"/>
              <w:rPr>
                <w:sz w:val="20"/>
                <w:szCs w:val="20"/>
                <w:color w:val="auto"/>
              </w:rPr>
            </w:pPr>
            <w:r>
              <w:rPr>
                <w:rFonts w:ascii="Arial" w:cs="Arial" w:eastAsia="Arial" w:hAnsi="Arial"/>
                <w:sz w:val="18"/>
                <w:szCs w:val="18"/>
                <w:b w:val="1"/>
                <w:bCs w:val="1"/>
                <w:color w:val="auto"/>
              </w:rPr>
              <w:t>13.4</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60" w:type="dxa"/>
            <w:vAlign w:val="bottom"/>
          </w:tcPr>
          <w:p>
            <w:pPr>
              <w:ind w:left="120"/>
              <w:spacing w:after="0"/>
              <w:rPr>
                <w:sz w:val="20"/>
                <w:szCs w:val="20"/>
                <w:color w:val="auto"/>
              </w:rPr>
            </w:pPr>
            <w:r>
              <w:rPr>
                <w:rFonts w:ascii="Arial" w:cs="Arial" w:eastAsia="Arial" w:hAnsi="Arial"/>
                <w:sz w:val="18"/>
                <w:szCs w:val="18"/>
                <w:color w:val="auto"/>
              </w:rPr>
              <w:t>cost (3)</w:t>
            </w:r>
          </w:p>
        </w:tc>
        <w:tc>
          <w:tcPr>
            <w:tcW w:w="880" w:type="dxa"/>
            <w:vAlign w:val="bottom"/>
            <w:gridSpan w:val="2"/>
            <w:vMerge w:val="continue"/>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60" w:type="dxa"/>
            <w:vAlign w:val="bottom"/>
            <w:gridSpan w:val="2"/>
            <w:vMerge w:val="continue"/>
          </w:tcPr>
          <w:p>
            <w:pPr>
              <w:spacing w:after="0"/>
              <w:rPr>
                <w:sz w:val="20"/>
                <w:szCs w:val="20"/>
                <w:color w:val="auto"/>
              </w:rPr>
            </w:pPr>
          </w:p>
        </w:tc>
        <w:tc>
          <w:tcPr>
            <w:tcW w:w="820" w:type="dxa"/>
            <w:vAlign w:val="bottom"/>
            <w:vMerge w:val="continue"/>
          </w:tcPr>
          <w:p>
            <w:pPr>
              <w:spacing w:after="0"/>
              <w:rPr>
                <w:sz w:val="20"/>
                <w:szCs w:val="20"/>
                <w:color w:val="auto"/>
              </w:rPr>
            </w:pPr>
          </w:p>
        </w:tc>
        <w:tc>
          <w:tcPr>
            <w:tcW w:w="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80" w:type="dxa"/>
            <w:vAlign w:val="bottom"/>
            <w:vMerge w:val="continue"/>
          </w:tcPr>
          <w:p>
            <w:pPr>
              <w:spacing w:after="0"/>
              <w:rPr>
                <w:sz w:val="20"/>
                <w:szCs w:val="20"/>
                <w:color w:val="auto"/>
              </w:rPr>
            </w:pPr>
          </w:p>
        </w:tc>
        <w:tc>
          <w:tcPr>
            <w:tcW w:w="40" w:type="dxa"/>
            <w:vAlign w:val="bottom"/>
          </w:tcPr>
          <w:p>
            <w:pPr>
              <w:spacing w:after="0"/>
              <w:rPr>
                <w:sz w:val="20"/>
                <w:szCs w:val="20"/>
                <w:color w:val="auto"/>
              </w:rPr>
            </w:pPr>
          </w:p>
        </w:tc>
        <w:tc>
          <w:tcPr>
            <w:tcW w:w="940" w:type="dxa"/>
            <w:vAlign w:val="bottom"/>
            <w:gridSpan w:val="3"/>
            <w:vMerge w:val="continue"/>
          </w:tcPr>
          <w:p>
            <w:pPr>
              <w:spacing w:after="0"/>
              <w:rPr>
                <w:sz w:val="20"/>
                <w:szCs w:val="20"/>
                <w:color w:val="auto"/>
              </w:rPr>
            </w:pPr>
          </w:p>
        </w:tc>
        <w:tc>
          <w:tcPr>
            <w:tcW w:w="880" w:type="dxa"/>
            <w:vAlign w:val="bottom"/>
            <w:gridSpan w:val="2"/>
            <w:vMerge w:val="continue"/>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2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unrecognized postretirement benefit obligation</w:t>
            </w:r>
          </w:p>
        </w:tc>
        <w:tc>
          <w:tcPr>
            <w:tcW w:w="80" w:type="dxa"/>
            <w:vAlign w:val="bottom"/>
            <w:tcBorders>
              <w:top w:val="single" w:sz="8" w:color="CCEEFF"/>
            </w:tcBorders>
            <w:shd w:val="clear" w:color="auto" w:fill="CCEEFF"/>
          </w:tcPr>
          <w:p>
            <w:pPr>
              <w:spacing w:after="0"/>
              <w:rPr>
                <w:sz w:val="18"/>
                <w:szCs w:val="18"/>
                <w:color w:val="auto"/>
              </w:rPr>
            </w:pP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11.5</w:t>
            </w:r>
          </w:p>
        </w:tc>
        <w:tc>
          <w:tcPr>
            <w:tcW w:w="6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(3.2)</w:t>
            </w:r>
          </w:p>
        </w:tc>
        <w:tc>
          <w:tcPr>
            <w:tcW w:w="140" w:type="dxa"/>
            <w:vAlign w:val="bottom"/>
            <w:tcBorders>
              <w:top w:val="single" w:sz="8" w:color="CCEEFF"/>
            </w:tcBorders>
            <w:shd w:val="clear" w:color="auto" w:fill="CCEEFF"/>
          </w:tcPr>
          <w:p>
            <w:pPr>
              <w:spacing w:after="0"/>
              <w:rPr>
                <w:sz w:val="18"/>
                <w:szCs w:val="18"/>
                <w:color w:val="auto"/>
              </w:rPr>
            </w:pP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8.3</w:t>
            </w:r>
          </w:p>
        </w:tc>
        <w:tc>
          <w:tcPr>
            <w:tcW w:w="80" w:type="dxa"/>
            <w:vAlign w:val="bottom"/>
            <w:tcBorders>
              <w:top w:val="single" w:sz="8" w:color="CCEEFF"/>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20.5</w:t>
            </w:r>
          </w:p>
        </w:tc>
        <w:tc>
          <w:tcPr>
            <w:tcW w:w="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(5.5)</w:t>
            </w:r>
          </w:p>
        </w:tc>
        <w:tc>
          <w:tcPr>
            <w:tcW w:w="80" w:type="dxa"/>
            <w:vAlign w:val="bottom"/>
            <w:tcBorders>
              <w:top w:val="single" w:sz="8" w:color="CCEEFF"/>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15.0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vMerge w:val="restart"/>
          </w:tcPr>
          <w:p>
            <w:pPr>
              <w:spacing w:after="0"/>
              <w:rPr>
                <w:sz w:val="18"/>
                <w:szCs w:val="18"/>
                <w:color w:val="auto"/>
              </w:rPr>
            </w:pPr>
          </w:p>
        </w:tc>
        <w:tc>
          <w:tcPr>
            <w:tcW w:w="42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260" w:type="dxa"/>
            <w:vAlign w:val="bottom"/>
            <w:shd w:val="clear" w:color="auto" w:fill="CCEEFF"/>
          </w:tcPr>
          <w:p>
            <w:pPr>
              <w:spacing w:after="0"/>
              <w:rPr>
                <w:sz w:val="20"/>
                <w:szCs w:val="20"/>
                <w:color w:val="auto"/>
              </w:rPr>
            </w:pPr>
            <w:r>
              <w:rPr>
                <w:rFonts w:ascii="Arial" w:cs="Arial" w:eastAsia="Arial" w:hAnsi="Arial"/>
                <w:sz w:val="18"/>
                <w:szCs w:val="18"/>
                <w:color w:val="auto"/>
              </w:rPr>
              <w:t>Other comprehensive loss</w:t>
            </w:r>
          </w:p>
        </w:tc>
        <w:tc>
          <w:tcPr>
            <w:tcW w:w="94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b w:val="1"/>
                <w:bCs w:val="1"/>
                <w:color w:val="auto"/>
                <w:w w:val="98"/>
              </w:rPr>
              <w:t>$ (4,797.5)</w:t>
            </w:r>
          </w:p>
        </w:tc>
        <w:tc>
          <w:tcPr>
            <w:tcW w:w="2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952.6</w:t>
            </w: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w w:val="91"/>
              </w:rPr>
              <w:t>$ (3,844.9)</w:t>
            </w:r>
          </w:p>
        </w:tc>
        <w:tc>
          <w:tcPr>
            <w:tcW w:w="1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w:t>
            </w:r>
          </w:p>
        </w:tc>
        <w:tc>
          <w:tcPr>
            <w:tcW w:w="8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(9,317.1)</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$ 1,942.1</w:t>
            </w: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w w:val="98"/>
              </w:rPr>
              <w:t>$ (7,375.0)</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26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5"/>
        </w:trPr>
        <w:tc>
          <w:tcPr>
            <w:tcW w:w="20" w:type="dxa"/>
            <w:vAlign w:val="bottom"/>
          </w:tcPr>
          <w:p>
            <w:pPr>
              <w:spacing w:after="0"/>
              <w:rPr>
                <w:sz w:val="24"/>
                <w:szCs w:val="24"/>
                <w:color w:val="auto"/>
              </w:rPr>
            </w:pPr>
          </w:p>
        </w:tc>
        <w:tc>
          <w:tcPr>
            <w:tcW w:w="4260" w:type="dxa"/>
            <w:vAlign w:val="bottom"/>
          </w:tcPr>
          <w:p>
            <w:pPr>
              <w:spacing w:after="0"/>
              <w:rPr>
                <w:sz w:val="24"/>
                <w:szCs w:val="24"/>
                <w:color w:val="auto"/>
              </w:rPr>
            </w:pPr>
          </w:p>
        </w:tc>
        <w:tc>
          <w:tcPr>
            <w:tcW w:w="880" w:type="dxa"/>
            <w:vAlign w:val="bottom"/>
            <w:gridSpan w:val="2"/>
          </w:tcPr>
          <w:p>
            <w:pPr>
              <w:jc w:val="right"/>
              <w:ind w:right="16"/>
              <w:spacing w:after="0"/>
              <w:rPr>
                <w:sz w:val="20"/>
                <w:szCs w:val="20"/>
                <w:color w:val="auto"/>
              </w:rPr>
            </w:pPr>
            <w:r>
              <w:rPr>
                <w:rFonts w:ascii="Arial" w:cs="Arial" w:eastAsia="Arial" w:hAnsi="Arial"/>
                <w:sz w:val="18"/>
                <w:szCs w:val="18"/>
                <w:color w:val="auto"/>
              </w:rPr>
              <w:t>56</w:t>
            </w: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60"/>
        </w:trPr>
        <w:tc>
          <w:tcPr>
            <w:tcW w:w="20" w:type="dxa"/>
            <w:vAlign w:val="bottom"/>
          </w:tcPr>
          <w:p>
            <w:pPr>
              <w:spacing w:after="0"/>
              <w:rPr>
                <w:sz w:val="24"/>
                <w:szCs w:val="24"/>
                <w:color w:val="auto"/>
              </w:rPr>
            </w:pPr>
          </w:p>
        </w:tc>
        <w:tc>
          <w:tcPr>
            <w:tcW w:w="42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920"/>
          </w:cols>
          <w:pgMar w:left="980" w:top="665" w:right="999" w:bottom="1440" w:gutter="0" w:footer="0" w:header="0"/>
        </w:sectPr>
      </w:pPr>
    </w:p>
    <w:bookmarkStart w:id="56" w:name="page57"/>
    <w:bookmarkEnd w:id="56"/>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5"/>
          <w:szCs w:val="15"/>
          <w:b w:val="1"/>
          <w:bCs w:val="1"/>
          <w:color w:val="auto"/>
        </w:rPr>
        <w:t>Notes to Condensed Consolidated Financial Statements – (continued)</w:t>
      </w:r>
    </w:p>
    <w:p>
      <w:pPr>
        <w:spacing w:after="0" w:line="4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ectPr>
          <w:pgSz w:w="11900" w:h="16838" w:orient="portrait"/>
          <w:cols w:equalWidth="0" w:num="1">
            <w:col w:w="9920"/>
          </w:cols>
          <w:pgMar w:left="980" w:top="665" w:right="99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ind w:left="140" w:right="40" w:hanging="129"/>
        <w:spacing w:after="0" w:line="258" w:lineRule="auto"/>
        <w:rPr>
          <w:sz w:val="20"/>
          <w:szCs w:val="20"/>
          <w:color w:val="auto"/>
        </w:rPr>
      </w:pPr>
      <w:r>
        <w:rPr>
          <w:rFonts w:ascii="Arial" w:cs="Arial" w:eastAsia="Arial" w:hAnsi="Arial"/>
          <w:sz w:val="18"/>
          <w:szCs w:val="18"/>
          <w:color w:val="auto"/>
        </w:rPr>
        <w:t>Net unrealized gains (losses) on available-for-sale securities during the period</w:t>
      </w:r>
    </w:p>
    <w:p>
      <w:pPr>
        <w:spacing w:after="0" w:line="1" w:lineRule="exact"/>
        <w:rPr>
          <w:sz w:val="20"/>
          <w:szCs w:val="20"/>
          <w:color w:val="auto"/>
        </w:rPr>
      </w:pPr>
    </w:p>
    <w:p>
      <w:pPr>
        <w:ind w:left="140" w:hanging="129"/>
        <w:spacing w:after="0" w:line="250" w:lineRule="auto"/>
        <w:rPr>
          <w:sz w:val="20"/>
          <w:szCs w:val="20"/>
          <w:color w:val="auto"/>
        </w:rPr>
      </w:pPr>
      <w:r>
        <w:rPr>
          <w:rFonts w:ascii="Arial" w:cs="Arial" w:eastAsia="Arial" w:hAnsi="Arial"/>
          <w:sz w:val="18"/>
          <w:szCs w:val="18"/>
          <w:color w:val="auto"/>
        </w:rPr>
        <w:t>Reclassification adjustment for (gains) losses included in net income (1)</w:t>
      </w:r>
    </w:p>
    <w:p>
      <w:pPr>
        <w:spacing w:after="0" w:line="1" w:lineRule="exact"/>
        <w:rPr>
          <w:sz w:val="20"/>
          <w:szCs w:val="20"/>
          <w:color w:val="auto"/>
        </w:rPr>
      </w:pPr>
    </w:p>
    <w:p>
      <w:pPr>
        <w:spacing w:after="0"/>
        <w:rPr>
          <w:sz w:val="20"/>
          <w:szCs w:val="20"/>
          <w:color w:val="auto"/>
        </w:rPr>
      </w:pPr>
      <w:r>
        <w:rPr>
          <w:rFonts w:ascii="Arial" w:cs="Arial" w:eastAsia="Arial" w:hAnsi="Arial"/>
          <w:sz w:val="16"/>
          <w:szCs w:val="16"/>
          <w:color w:val="auto"/>
        </w:rPr>
        <w:t>Adjustments for assumed changes in amortization patterns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Adjustments for assumed changes in policyholder liabilities</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Net unrealized gains (losses) on available-for-sale securities</w:t>
      </w:r>
    </w:p>
    <w:p>
      <w:pPr>
        <w:spacing w:after="0" w:line="20" w:lineRule="exact"/>
        <w:rPr>
          <w:sz w:val="20"/>
          <w:szCs w:val="20"/>
          <w:color w:val="auto"/>
        </w:rPr>
      </w:pPr>
      <w:r>
        <w:rPr>
          <w:sz w:val="20"/>
          <w:szCs w:val="20"/>
          <w:color w:val="auto"/>
        </w:rPr>
        <w:br w:type="column"/>
      </w:r>
    </w:p>
    <w:p>
      <w:pPr>
        <w:spacing w:after="0" w:line="18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640" w:type="dxa"/>
            <w:vAlign w:val="bottom"/>
            <w:gridSpan w:val="8"/>
          </w:tcPr>
          <w:p>
            <w:pPr>
              <w:jc w:val="center"/>
              <w:ind w:right="180"/>
              <w:spacing w:after="0"/>
              <w:rPr>
                <w:sz w:val="20"/>
                <w:szCs w:val="20"/>
                <w:color w:val="auto"/>
              </w:rPr>
            </w:pPr>
            <w:r>
              <w:rPr>
                <w:rFonts w:ascii="Arial" w:cs="Arial" w:eastAsia="Arial" w:hAnsi="Arial"/>
                <w:sz w:val="14"/>
                <w:szCs w:val="14"/>
                <w:b w:val="1"/>
                <w:bCs w:val="1"/>
                <w:color w:val="auto"/>
                <w:w w:val="91"/>
              </w:rPr>
              <w:t>For the three months ended</w:t>
            </w:r>
          </w:p>
        </w:tc>
        <w:tc>
          <w:tcPr>
            <w:tcW w:w="2700" w:type="dxa"/>
            <w:vAlign w:val="bottom"/>
            <w:gridSpan w:val="8"/>
          </w:tcPr>
          <w:p>
            <w:pPr>
              <w:jc w:val="center"/>
              <w:ind w:right="20"/>
              <w:spacing w:after="0"/>
              <w:rPr>
                <w:sz w:val="20"/>
                <w:szCs w:val="20"/>
                <w:color w:val="auto"/>
              </w:rPr>
            </w:pPr>
            <w:r>
              <w:rPr>
                <w:rFonts w:ascii="Arial" w:cs="Arial" w:eastAsia="Arial" w:hAnsi="Arial"/>
                <w:sz w:val="14"/>
                <w:szCs w:val="14"/>
                <w:b w:val="1"/>
                <w:bCs w:val="1"/>
                <w:color w:val="auto"/>
                <w:w w:val="91"/>
              </w:rPr>
              <w:t>For the six months ended</w:t>
            </w:r>
          </w:p>
        </w:tc>
      </w:tr>
      <w:tr>
        <w:trPr>
          <w:trHeight w:val="171"/>
        </w:trPr>
        <w:tc>
          <w:tcPr>
            <w:tcW w:w="20" w:type="dxa"/>
            <w:vAlign w:val="bottom"/>
          </w:tcPr>
          <w:p>
            <w:pPr>
              <w:spacing w:after="0"/>
              <w:rPr>
                <w:sz w:val="14"/>
                <w:szCs w:val="14"/>
                <w:color w:val="auto"/>
              </w:rPr>
            </w:pPr>
          </w:p>
        </w:tc>
        <w:tc>
          <w:tcPr>
            <w:tcW w:w="72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92"/>
              </w:rPr>
              <w:t>June 30, 2021</w:t>
            </w:r>
          </w:p>
        </w:tc>
        <w:tc>
          <w:tcPr>
            <w:tcW w:w="4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92"/>
              </w:rPr>
              <w:t>June 30, 2021</w:t>
            </w:r>
          </w:p>
        </w:tc>
        <w:tc>
          <w:tcPr>
            <w:tcW w:w="4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720" w:type="dxa"/>
            <w:vAlign w:val="bottom"/>
            <w:tcBorders>
              <w:bottom w:val="single" w:sz="8" w:color="auto"/>
            </w:tcBorders>
          </w:tcPr>
          <w:p>
            <w:pPr>
              <w:jc w:val="right"/>
              <w:ind w:right="62"/>
              <w:spacing w:after="0" w:line="142" w:lineRule="exact"/>
              <w:rPr>
                <w:sz w:val="20"/>
                <w:szCs w:val="20"/>
                <w:color w:val="auto"/>
              </w:rPr>
            </w:pPr>
            <w:r>
              <w:rPr>
                <w:rFonts w:ascii="Arial" w:cs="Arial" w:eastAsia="Arial" w:hAnsi="Arial"/>
                <w:sz w:val="14"/>
                <w:szCs w:val="14"/>
                <w:b w:val="1"/>
                <w:bCs w:val="1"/>
                <w:color w:val="auto"/>
              </w:rPr>
              <w:t>Pre-Tax</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tcBorders>
              <w:bottom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99"/>
              </w:rPr>
              <w:t>Tax</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4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After-Tax</w:t>
            </w:r>
          </w:p>
        </w:tc>
        <w:tc>
          <w:tcPr>
            <w:tcW w:w="180" w:type="dxa"/>
            <w:vAlign w:val="bottom"/>
          </w:tcPr>
          <w:p>
            <w:pPr>
              <w:spacing w:after="0"/>
              <w:rPr>
                <w:sz w:val="12"/>
                <w:szCs w:val="12"/>
                <w:color w:val="auto"/>
              </w:rPr>
            </w:pPr>
          </w:p>
        </w:tc>
        <w:tc>
          <w:tcPr>
            <w:tcW w:w="820" w:type="dxa"/>
            <w:vAlign w:val="bottom"/>
            <w:tcBorders>
              <w:bottom w:val="single" w:sz="8" w:color="auto"/>
            </w:tcBorders>
          </w:tcPr>
          <w:p>
            <w:pPr>
              <w:jc w:val="right"/>
              <w:ind w:right="95"/>
              <w:spacing w:after="0" w:line="142" w:lineRule="exact"/>
              <w:rPr>
                <w:sz w:val="20"/>
                <w:szCs w:val="20"/>
                <w:color w:val="auto"/>
              </w:rPr>
            </w:pPr>
            <w:r>
              <w:rPr>
                <w:rFonts w:ascii="Arial" w:cs="Arial" w:eastAsia="Arial" w:hAnsi="Arial"/>
                <w:sz w:val="14"/>
                <w:szCs w:val="14"/>
                <w:b w:val="1"/>
                <w:bCs w:val="1"/>
                <w:color w:val="auto"/>
              </w:rPr>
              <w:t>Pre-Tax</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Borders>
              <w:bottom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90"/>
              </w:rPr>
              <w:t>Tax</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40" w:type="dxa"/>
            <w:vAlign w:val="bottom"/>
            <w:tcBorders>
              <w:bottom w:val="single" w:sz="8" w:color="auto"/>
            </w:tcBorders>
          </w:tcPr>
          <w:p>
            <w:pPr>
              <w:jc w:val="right"/>
              <w:ind w:right="39"/>
              <w:spacing w:after="0" w:line="142" w:lineRule="exact"/>
              <w:rPr>
                <w:sz w:val="20"/>
                <w:szCs w:val="20"/>
                <w:color w:val="auto"/>
              </w:rPr>
            </w:pPr>
            <w:r>
              <w:rPr>
                <w:rFonts w:ascii="Arial" w:cs="Arial" w:eastAsia="Arial" w:hAnsi="Arial"/>
                <w:sz w:val="14"/>
                <w:szCs w:val="14"/>
                <w:b w:val="1"/>
                <w:bCs w:val="1"/>
                <w:color w:val="auto"/>
              </w:rPr>
              <w:t>After-Tax</w:t>
            </w:r>
          </w:p>
        </w:tc>
        <w:tc>
          <w:tcPr>
            <w:tcW w:w="20" w:type="dxa"/>
            <w:vAlign w:val="bottom"/>
          </w:tcPr>
          <w:p>
            <w:pPr>
              <w:spacing w:after="0"/>
              <w:rPr>
                <w:sz w:val="12"/>
                <w:szCs w:val="12"/>
                <w:color w:val="auto"/>
              </w:rPr>
            </w:pPr>
          </w:p>
        </w:tc>
      </w:tr>
      <w:tr>
        <w:trPr>
          <w:trHeight w:val="176"/>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740" w:type="dxa"/>
            <w:vAlign w:val="bottom"/>
            <w:gridSpan w:val="3"/>
          </w:tcPr>
          <w:p>
            <w:pPr>
              <w:jc w:val="right"/>
              <w:ind w:right="375"/>
              <w:spacing w:after="0"/>
              <w:rPr>
                <w:sz w:val="20"/>
                <w:szCs w:val="20"/>
                <w:color w:val="auto"/>
              </w:rPr>
            </w:pPr>
            <w:r>
              <w:rPr>
                <w:rFonts w:ascii="Arial" w:cs="Arial" w:eastAsia="Arial" w:hAnsi="Arial"/>
                <w:sz w:val="14"/>
                <w:szCs w:val="14"/>
                <w:i w:val="1"/>
                <w:iCs w:val="1"/>
                <w:color w:val="auto"/>
              </w:rPr>
              <w:t>(in millions)</w:t>
            </w: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 w:type="dxa"/>
            <w:vAlign w:val="bottom"/>
          </w:tcPr>
          <w:p>
            <w:pPr>
              <w:spacing w:after="0"/>
              <w:rPr>
                <w:sz w:val="15"/>
                <w:szCs w:val="15"/>
                <w:color w:val="auto"/>
              </w:rPr>
            </w:pPr>
          </w:p>
        </w:tc>
      </w:tr>
      <w:tr>
        <w:trPr>
          <w:trHeight w:val="385"/>
        </w:trPr>
        <w:tc>
          <w:tcPr>
            <w:tcW w:w="740" w:type="dxa"/>
            <w:vAlign w:val="bottom"/>
            <w:gridSpan w:val="2"/>
          </w:tcPr>
          <w:p>
            <w:pPr>
              <w:jc w:val="right"/>
              <w:spacing w:after="0"/>
              <w:rPr>
                <w:sz w:val="20"/>
                <w:szCs w:val="20"/>
                <w:color w:val="auto"/>
              </w:rPr>
            </w:pPr>
            <w:r>
              <w:rPr>
                <w:rFonts w:ascii="Arial" w:cs="Arial" w:eastAsia="Arial" w:hAnsi="Arial"/>
                <w:sz w:val="18"/>
                <w:szCs w:val="18"/>
                <w:color w:val="auto"/>
                <w:w w:val="87"/>
              </w:rPr>
              <w:t>$ 1,361.5</w:t>
            </w:r>
          </w:p>
        </w:tc>
        <w:tc>
          <w:tcPr>
            <w:tcW w:w="40" w:type="dxa"/>
            <w:vAlign w:val="bottom"/>
          </w:tcPr>
          <w:p>
            <w:pPr>
              <w:spacing w:after="0"/>
              <w:rPr>
                <w:sz w:val="24"/>
                <w:szCs w:val="24"/>
                <w:color w:val="auto"/>
              </w:rPr>
            </w:pPr>
          </w:p>
        </w:tc>
        <w:tc>
          <w:tcPr>
            <w:tcW w:w="920" w:type="dxa"/>
            <w:vAlign w:val="bottom"/>
            <w:gridSpan w:val="3"/>
          </w:tcPr>
          <w:p>
            <w:pPr>
              <w:jc w:val="right"/>
              <w:ind w:right="120"/>
              <w:spacing w:after="0"/>
              <w:rPr>
                <w:sz w:val="20"/>
                <w:szCs w:val="20"/>
                <w:color w:val="auto"/>
              </w:rPr>
            </w:pPr>
            <w:r>
              <w:rPr>
                <w:rFonts w:ascii="Arial" w:cs="Arial" w:eastAsia="Arial" w:hAnsi="Arial"/>
                <w:sz w:val="18"/>
                <w:szCs w:val="18"/>
                <w:color w:val="auto"/>
              </w:rPr>
              <w:t>$ (273.0)</w:t>
            </w:r>
          </w:p>
        </w:tc>
        <w:tc>
          <w:tcPr>
            <w:tcW w:w="780" w:type="dxa"/>
            <w:vAlign w:val="bottom"/>
            <w:gridSpan w:val="2"/>
          </w:tcPr>
          <w:p>
            <w:pPr>
              <w:jc w:val="right"/>
              <w:spacing w:after="0"/>
              <w:rPr>
                <w:sz w:val="20"/>
                <w:szCs w:val="20"/>
                <w:color w:val="auto"/>
              </w:rPr>
            </w:pPr>
            <w:r>
              <w:rPr>
                <w:rFonts w:ascii="Arial" w:cs="Arial" w:eastAsia="Arial" w:hAnsi="Arial"/>
                <w:sz w:val="18"/>
                <w:szCs w:val="18"/>
                <w:color w:val="auto"/>
                <w:w w:val="95"/>
              </w:rPr>
              <w:t>$ 1,088.5</w:t>
            </w:r>
          </w:p>
        </w:tc>
        <w:tc>
          <w:tcPr>
            <w:tcW w:w="180" w:type="dxa"/>
            <w:vAlign w:val="bottom"/>
          </w:tcPr>
          <w:p>
            <w:pPr>
              <w:spacing w:after="0"/>
              <w:rPr>
                <w:sz w:val="24"/>
                <w:szCs w:val="24"/>
                <w:color w:val="auto"/>
              </w:rPr>
            </w:pPr>
          </w:p>
        </w:tc>
        <w:tc>
          <w:tcPr>
            <w:tcW w:w="860" w:type="dxa"/>
            <w:vAlign w:val="bottom"/>
            <w:gridSpan w:val="2"/>
          </w:tcPr>
          <w:p>
            <w:pPr>
              <w:jc w:val="right"/>
              <w:ind w:right="40"/>
              <w:spacing w:after="0"/>
              <w:rPr>
                <w:sz w:val="20"/>
                <w:szCs w:val="20"/>
                <w:color w:val="auto"/>
              </w:rPr>
            </w:pPr>
            <w:r>
              <w:rPr>
                <w:rFonts w:ascii="Arial" w:cs="Arial" w:eastAsia="Arial" w:hAnsi="Arial"/>
                <w:sz w:val="18"/>
                <w:szCs w:val="18"/>
                <w:color w:val="auto"/>
                <w:w w:val="91"/>
              </w:rPr>
              <w:t>$ (1,915.2)</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  427.5</w:t>
            </w:r>
          </w:p>
        </w:tc>
        <w:tc>
          <w:tcPr>
            <w:tcW w:w="120" w:type="dxa"/>
            <w:vAlign w:val="bottom"/>
          </w:tcPr>
          <w:p>
            <w:pPr>
              <w:spacing w:after="0"/>
              <w:rPr>
                <w:sz w:val="24"/>
                <w:szCs w:val="24"/>
                <w:color w:val="auto"/>
              </w:rPr>
            </w:pPr>
          </w:p>
        </w:tc>
        <w:tc>
          <w:tcPr>
            <w:tcW w:w="900" w:type="dxa"/>
            <w:vAlign w:val="bottom"/>
            <w:gridSpan w:val="3"/>
          </w:tcPr>
          <w:p>
            <w:pPr>
              <w:jc w:val="right"/>
              <w:ind w:right="20"/>
              <w:spacing w:after="0"/>
              <w:rPr>
                <w:sz w:val="20"/>
                <w:szCs w:val="20"/>
                <w:color w:val="auto"/>
              </w:rPr>
            </w:pPr>
            <w:r>
              <w:rPr>
                <w:rFonts w:ascii="Arial" w:cs="Arial" w:eastAsia="Arial" w:hAnsi="Arial"/>
                <w:sz w:val="18"/>
                <w:szCs w:val="18"/>
                <w:color w:val="auto"/>
                <w:w w:val="98"/>
              </w:rPr>
              <w:t>$ (1,487.7)</w:t>
            </w:r>
          </w:p>
        </w:tc>
      </w:tr>
      <w:tr>
        <w:trPr>
          <w:trHeight w:val="431"/>
        </w:trPr>
        <w:tc>
          <w:tcPr>
            <w:tcW w:w="740" w:type="dxa"/>
            <w:vAlign w:val="bottom"/>
            <w:gridSpan w:val="2"/>
          </w:tcPr>
          <w:p>
            <w:pPr>
              <w:jc w:val="right"/>
              <w:spacing w:after="0"/>
              <w:rPr>
                <w:sz w:val="20"/>
                <w:szCs w:val="20"/>
                <w:color w:val="auto"/>
              </w:rPr>
            </w:pPr>
            <w:r>
              <w:rPr>
                <w:rFonts w:ascii="Arial" w:cs="Arial" w:eastAsia="Arial" w:hAnsi="Arial"/>
                <w:sz w:val="18"/>
                <w:szCs w:val="18"/>
                <w:color w:val="auto"/>
              </w:rPr>
              <w:t>26.2</w:t>
            </w:r>
          </w:p>
        </w:tc>
        <w:tc>
          <w:tcPr>
            <w:tcW w:w="40" w:type="dxa"/>
            <w:vAlign w:val="bottom"/>
          </w:tcPr>
          <w:p>
            <w:pPr>
              <w:spacing w:after="0"/>
              <w:rPr>
                <w:sz w:val="24"/>
                <w:szCs w:val="24"/>
                <w:color w:val="auto"/>
              </w:rPr>
            </w:pPr>
          </w:p>
        </w:tc>
        <w:tc>
          <w:tcPr>
            <w:tcW w:w="920" w:type="dxa"/>
            <w:vAlign w:val="bottom"/>
            <w:gridSpan w:val="3"/>
          </w:tcPr>
          <w:p>
            <w:pPr>
              <w:jc w:val="right"/>
              <w:ind w:right="120"/>
              <w:spacing w:after="0"/>
              <w:rPr>
                <w:sz w:val="20"/>
                <w:szCs w:val="20"/>
                <w:color w:val="auto"/>
              </w:rPr>
            </w:pPr>
            <w:r>
              <w:rPr>
                <w:rFonts w:ascii="Arial" w:cs="Arial" w:eastAsia="Arial" w:hAnsi="Arial"/>
                <w:sz w:val="18"/>
                <w:szCs w:val="18"/>
                <w:color w:val="auto"/>
              </w:rPr>
              <w:t>(5.7)</w:t>
            </w: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20.5</w:t>
            </w:r>
          </w:p>
        </w:tc>
        <w:tc>
          <w:tcPr>
            <w:tcW w:w="180" w:type="dxa"/>
            <w:vAlign w:val="bottom"/>
          </w:tcPr>
          <w:p>
            <w:pPr>
              <w:spacing w:after="0"/>
              <w:rPr>
                <w:sz w:val="24"/>
                <w:szCs w:val="24"/>
                <w:color w:val="auto"/>
              </w:rPr>
            </w:pPr>
          </w:p>
        </w:tc>
        <w:tc>
          <w:tcPr>
            <w:tcW w:w="860" w:type="dxa"/>
            <w:vAlign w:val="bottom"/>
            <w:gridSpan w:val="2"/>
          </w:tcPr>
          <w:p>
            <w:pPr>
              <w:jc w:val="right"/>
              <w:ind w:right="40"/>
              <w:spacing w:after="0"/>
              <w:rPr>
                <w:sz w:val="20"/>
                <w:szCs w:val="20"/>
                <w:color w:val="auto"/>
              </w:rPr>
            </w:pPr>
            <w:r>
              <w:rPr>
                <w:rFonts w:ascii="Arial" w:cs="Arial" w:eastAsia="Arial" w:hAnsi="Arial"/>
                <w:sz w:val="18"/>
                <w:szCs w:val="18"/>
                <w:color w:val="auto"/>
              </w:rPr>
              <w:t>(1.2)</w:t>
            </w:r>
          </w:p>
        </w:tc>
        <w:tc>
          <w:tcPr>
            <w:tcW w:w="120" w:type="dxa"/>
            <w:vAlign w:val="bottom"/>
          </w:tcPr>
          <w:p>
            <w:pPr>
              <w:spacing w:after="0"/>
              <w:rPr>
                <w:sz w:val="24"/>
                <w:szCs w:val="24"/>
                <w:color w:val="auto"/>
              </w:rPr>
            </w:pPr>
          </w:p>
        </w:tc>
        <w:tc>
          <w:tcPr>
            <w:tcW w:w="82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900" w:type="dxa"/>
            <w:vAlign w:val="bottom"/>
            <w:gridSpan w:val="3"/>
          </w:tcPr>
          <w:p>
            <w:pPr>
              <w:jc w:val="right"/>
              <w:ind w:right="20"/>
              <w:spacing w:after="0"/>
              <w:rPr>
                <w:sz w:val="20"/>
                <w:szCs w:val="20"/>
                <w:color w:val="auto"/>
              </w:rPr>
            </w:pPr>
            <w:r>
              <w:rPr>
                <w:rFonts w:ascii="Arial" w:cs="Arial" w:eastAsia="Arial" w:hAnsi="Arial"/>
                <w:sz w:val="18"/>
                <w:szCs w:val="18"/>
                <w:color w:val="auto"/>
              </w:rPr>
              <w:t>(1.2)</w:t>
            </w:r>
          </w:p>
        </w:tc>
      </w:tr>
      <w:tr>
        <w:trPr>
          <w:trHeight w:val="229"/>
        </w:trPr>
        <w:tc>
          <w:tcPr>
            <w:tcW w:w="780" w:type="dxa"/>
            <w:vAlign w:val="bottom"/>
            <w:gridSpan w:val="3"/>
          </w:tcPr>
          <w:p>
            <w:pPr>
              <w:jc w:val="right"/>
              <w:ind w:right="40"/>
              <w:spacing w:after="0"/>
              <w:rPr>
                <w:sz w:val="20"/>
                <w:szCs w:val="20"/>
                <w:color w:val="auto"/>
              </w:rPr>
            </w:pPr>
            <w:r>
              <w:rPr>
                <w:rFonts w:ascii="Arial" w:cs="Arial" w:eastAsia="Arial" w:hAnsi="Arial"/>
                <w:sz w:val="18"/>
                <w:szCs w:val="18"/>
                <w:color w:val="auto"/>
              </w:rPr>
              <w:t>(55.5)</w:t>
            </w: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11.7</w:t>
            </w:r>
          </w:p>
        </w:tc>
        <w:tc>
          <w:tcPr>
            <w:tcW w:w="120" w:type="dxa"/>
            <w:vAlign w:val="bottom"/>
          </w:tcPr>
          <w:p>
            <w:pPr>
              <w:spacing w:after="0"/>
              <w:rPr>
                <w:sz w:val="19"/>
                <w:szCs w:val="19"/>
                <w:color w:val="auto"/>
              </w:rPr>
            </w:pPr>
          </w:p>
        </w:tc>
        <w:tc>
          <w:tcPr>
            <w:tcW w:w="960" w:type="dxa"/>
            <w:vAlign w:val="bottom"/>
            <w:gridSpan w:val="3"/>
          </w:tcPr>
          <w:p>
            <w:pPr>
              <w:jc w:val="right"/>
              <w:ind w:right="160"/>
              <w:spacing w:after="0"/>
              <w:rPr>
                <w:sz w:val="20"/>
                <w:szCs w:val="20"/>
                <w:color w:val="auto"/>
              </w:rPr>
            </w:pPr>
            <w:r>
              <w:rPr>
                <w:rFonts w:ascii="Arial" w:cs="Arial" w:eastAsia="Arial" w:hAnsi="Arial"/>
                <w:sz w:val="18"/>
                <w:szCs w:val="18"/>
                <w:color w:val="auto"/>
              </w:rPr>
              <w:t>(43.8)</w:t>
            </w:r>
          </w:p>
        </w:tc>
        <w:tc>
          <w:tcPr>
            <w:tcW w:w="820" w:type="dxa"/>
            <w:vAlign w:val="bottom"/>
          </w:tcPr>
          <w:p>
            <w:pPr>
              <w:jc w:val="right"/>
              <w:spacing w:after="0"/>
              <w:rPr>
                <w:sz w:val="20"/>
                <w:szCs w:val="20"/>
                <w:color w:val="auto"/>
              </w:rPr>
            </w:pPr>
            <w:r>
              <w:rPr>
                <w:rFonts w:ascii="Arial" w:cs="Arial" w:eastAsia="Arial" w:hAnsi="Arial"/>
                <w:sz w:val="18"/>
                <w:szCs w:val="18"/>
                <w:color w:val="auto"/>
              </w:rPr>
              <w:t>89.1</w:t>
            </w:r>
          </w:p>
        </w:tc>
        <w:tc>
          <w:tcPr>
            <w:tcW w:w="40" w:type="dxa"/>
            <w:vAlign w:val="bottom"/>
          </w:tcPr>
          <w:p>
            <w:pPr>
              <w:spacing w:after="0"/>
              <w:rPr>
                <w:sz w:val="19"/>
                <w:szCs w:val="19"/>
                <w:color w:val="auto"/>
              </w:rPr>
            </w:pPr>
          </w:p>
        </w:tc>
        <w:tc>
          <w:tcPr>
            <w:tcW w:w="940" w:type="dxa"/>
            <w:vAlign w:val="bottom"/>
            <w:gridSpan w:val="3"/>
          </w:tcPr>
          <w:p>
            <w:pPr>
              <w:jc w:val="right"/>
              <w:ind w:right="120"/>
              <w:spacing w:after="0"/>
              <w:rPr>
                <w:sz w:val="20"/>
                <w:szCs w:val="20"/>
                <w:color w:val="auto"/>
              </w:rPr>
            </w:pPr>
            <w:r>
              <w:rPr>
                <w:rFonts w:ascii="Arial" w:cs="Arial" w:eastAsia="Arial" w:hAnsi="Arial"/>
                <w:sz w:val="18"/>
                <w:szCs w:val="18"/>
                <w:color w:val="auto"/>
              </w:rPr>
              <w:t>(18.7)</w:t>
            </w: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70.4</w:t>
            </w:r>
          </w:p>
        </w:tc>
        <w:tc>
          <w:tcPr>
            <w:tcW w:w="20" w:type="dxa"/>
            <w:vAlign w:val="bottom"/>
          </w:tcPr>
          <w:p>
            <w:pPr>
              <w:spacing w:after="0"/>
              <w:rPr>
                <w:sz w:val="19"/>
                <w:szCs w:val="19"/>
                <w:color w:val="auto"/>
              </w:rPr>
            </w:pPr>
          </w:p>
        </w:tc>
      </w:tr>
      <w:tr>
        <w:trPr>
          <w:trHeight w:val="230"/>
        </w:trPr>
        <w:tc>
          <w:tcPr>
            <w:tcW w:w="780" w:type="dxa"/>
            <w:vAlign w:val="bottom"/>
            <w:gridSpan w:val="3"/>
          </w:tcPr>
          <w:p>
            <w:pPr>
              <w:jc w:val="right"/>
              <w:ind w:right="40"/>
              <w:spacing w:after="0"/>
              <w:rPr>
                <w:sz w:val="20"/>
                <w:szCs w:val="20"/>
                <w:color w:val="auto"/>
              </w:rPr>
            </w:pPr>
            <w:r>
              <w:rPr>
                <w:rFonts w:ascii="Arial" w:cs="Arial" w:eastAsia="Arial" w:hAnsi="Arial"/>
                <w:sz w:val="18"/>
                <w:szCs w:val="18"/>
                <w:color w:val="auto"/>
              </w:rPr>
              <w:t>(318.8)</w:t>
            </w: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44.5</w:t>
            </w:r>
          </w:p>
        </w:tc>
        <w:tc>
          <w:tcPr>
            <w:tcW w:w="120" w:type="dxa"/>
            <w:vAlign w:val="bottom"/>
          </w:tcPr>
          <w:p>
            <w:pPr>
              <w:spacing w:after="0"/>
              <w:rPr>
                <w:sz w:val="20"/>
                <w:szCs w:val="20"/>
                <w:color w:val="auto"/>
              </w:rPr>
            </w:pPr>
          </w:p>
        </w:tc>
        <w:tc>
          <w:tcPr>
            <w:tcW w:w="960" w:type="dxa"/>
            <w:vAlign w:val="bottom"/>
            <w:gridSpan w:val="3"/>
          </w:tcPr>
          <w:p>
            <w:pPr>
              <w:jc w:val="right"/>
              <w:ind w:right="160"/>
              <w:spacing w:after="0"/>
              <w:rPr>
                <w:sz w:val="20"/>
                <w:szCs w:val="20"/>
                <w:color w:val="auto"/>
              </w:rPr>
            </w:pPr>
            <w:r>
              <w:rPr>
                <w:rFonts w:ascii="Arial" w:cs="Arial" w:eastAsia="Arial" w:hAnsi="Arial"/>
                <w:sz w:val="18"/>
                <w:szCs w:val="18"/>
                <w:color w:val="auto"/>
              </w:rPr>
              <w:t>(274.3)</w:t>
            </w:r>
          </w:p>
        </w:tc>
        <w:tc>
          <w:tcPr>
            <w:tcW w:w="820" w:type="dxa"/>
            <w:vAlign w:val="bottom"/>
          </w:tcPr>
          <w:p>
            <w:pPr>
              <w:jc w:val="right"/>
              <w:spacing w:after="0"/>
              <w:rPr>
                <w:sz w:val="20"/>
                <w:szCs w:val="20"/>
                <w:color w:val="auto"/>
              </w:rPr>
            </w:pPr>
            <w:r>
              <w:rPr>
                <w:rFonts w:ascii="Arial" w:cs="Arial" w:eastAsia="Arial" w:hAnsi="Arial"/>
                <w:sz w:val="18"/>
                <w:szCs w:val="18"/>
                <w:color w:val="auto"/>
              </w:rPr>
              <w:t>1,096.5</w:t>
            </w:r>
          </w:p>
        </w:tc>
        <w:tc>
          <w:tcPr>
            <w:tcW w:w="40" w:type="dxa"/>
            <w:vAlign w:val="bottom"/>
          </w:tcPr>
          <w:p>
            <w:pPr>
              <w:spacing w:after="0"/>
              <w:rPr>
                <w:sz w:val="20"/>
                <w:szCs w:val="20"/>
                <w:color w:val="auto"/>
              </w:rPr>
            </w:pPr>
          </w:p>
        </w:tc>
        <w:tc>
          <w:tcPr>
            <w:tcW w:w="940" w:type="dxa"/>
            <w:vAlign w:val="bottom"/>
            <w:gridSpan w:val="3"/>
          </w:tcPr>
          <w:p>
            <w:pPr>
              <w:jc w:val="right"/>
              <w:ind w:right="120"/>
              <w:spacing w:after="0"/>
              <w:rPr>
                <w:sz w:val="20"/>
                <w:szCs w:val="20"/>
                <w:color w:val="auto"/>
              </w:rPr>
            </w:pPr>
            <w:r>
              <w:rPr>
                <w:rFonts w:ascii="Arial" w:cs="Arial" w:eastAsia="Arial" w:hAnsi="Arial"/>
                <w:sz w:val="18"/>
                <w:szCs w:val="18"/>
                <w:color w:val="auto"/>
              </w:rPr>
              <w:t>(260.5)</w:t>
            </w: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836.0</w:t>
            </w:r>
          </w:p>
        </w:tc>
        <w:tc>
          <w:tcPr>
            <w:tcW w:w="20" w:type="dxa"/>
            <w:vAlign w:val="bottom"/>
          </w:tcPr>
          <w:p>
            <w:pPr>
              <w:spacing w:after="0"/>
              <w:rPr>
                <w:sz w:val="20"/>
                <w:szCs w:val="20"/>
                <w:color w:val="auto"/>
              </w:rPr>
            </w:pPr>
          </w:p>
        </w:tc>
      </w:tr>
      <w:tr>
        <w:trPr>
          <w:trHeight w:val="209"/>
        </w:trPr>
        <w:tc>
          <w:tcPr>
            <w:tcW w:w="20" w:type="dxa"/>
            <w:vAlign w:val="bottom"/>
          </w:tcPr>
          <w:p>
            <w:pPr>
              <w:spacing w:after="0"/>
              <w:rPr>
                <w:sz w:val="18"/>
                <w:szCs w:val="18"/>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1,013.4</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(222.5)</w:t>
            </w: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790.9</w:t>
            </w:r>
          </w:p>
        </w:tc>
        <w:tc>
          <w:tcPr>
            <w:tcW w:w="180" w:type="dxa"/>
            <w:vAlign w:val="bottom"/>
          </w:tcPr>
          <w:p>
            <w:pPr>
              <w:spacing w:after="0"/>
              <w:rPr>
                <w:sz w:val="18"/>
                <w:szCs w:val="18"/>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(730.8)</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148.3</w:t>
            </w: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(582.5)</w:t>
            </w:r>
          </w:p>
        </w:tc>
        <w:tc>
          <w:tcPr>
            <w:tcW w:w="20" w:type="dxa"/>
            <w:vAlign w:val="bottom"/>
            <w:tcBorders>
              <w:bottom w:val="single" w:sz="8" w:color="auto"/>
            </w:tcBorders>
          </w:tcPr>
          <w:p>
            <w:pPr>
              <w:spacing w:after="0"/>
              <w:rPr>
                <w:sz w:val="18"/>
                <w:szCs w:val="18"/>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-2901950</wp:posOffset>
            </wp:positionH>
            <wp:positionV relativeFrom="paragraph">
              <wp:posOffset>-993775</wp:posOffset>
            </wp:positionV>
            <wp:extent cx="6292215" cy="27432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6292215" cy="274320"/>
                    </a:xfrm>
                    <a:prstGeom prst="rect">
                      <a:avLst/>
                    </a:prstGeom>
                    <a:noFill/>
                  </pic:spPr>
                </pic:pic>
              </a:graphicData>
            </a:graphic>
          </wp:anchor>
        </w:drawing>
        <w:drawing>
          <wp:anchor simplePos="0" relativeHeight="251657728" behindDoc="1" locked="0" layoutInCell="0" allowOverlap="1">
            <wp:simplePos x="0" y="0"/>
            <wp:positionH relativeFrom="column">
              <wp:posOffset>-2901950</wp:posOffset>
            </wp:positionH>
            <wp:positionV relativeFrom="paragraph">
              <wp:posOffset>-445135</wp:posOffset>
            </wp:positionV>
            <wp:extent cx="6292215" cy="14541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6292215" cy="145415"/>
                    </a:xfrm>
                    <a:prstGeom prst="rect">
                      <a:avLst/>
                    </a:prstGeom>
                    <a:noFill/>
                  </pic:spPr>
                </pic:pic>
              </a:graphicData>
            </a:graphic>
          </wp:anchor>
        </w:drawing>
        <w:drawing>
          <wp:anchor simplePos="0" relativeHeight="251657728" behindDoc="1" locked="0" layoutInCell="0" allowOverlap="1">
            <wp:simplePos x="0" y="0"/>
            <wp:positionH relativeFrom="column">
              <wp:posOffset>-2901950</wp:posOffset>
            </wp:positionH>
            <wp:positionV relativeFrom="paragraph">
              <wp:posOffset>-153670</wp:posOffset>
            </wp:positionV>
            <wp:extent cx="6292215" cy="14541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6292215" cy="14541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4380" w:space="200"/>
            <w:col w:w="5340"/>
          </w:cols>
          <w:pgMar w:left="980" w:top="665" w:right="999" w:bottom="1440" w:gutter="0" w:footer="0" w:header="0"/>
          <w:type w:val="continuous"/>
        </w:sectPr>
      </w:pPr>
    </w:p>
    <w:p>
      <w:pPr>
        <w:spacing w:after="0" w:line="1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 w:type="dxa"/>
            <w:vAlign w:val="bottom"/>
          </w:tcPr>
          <w:p>
            <w:pPr>
              <w:spacing w:after="0"/>
              <w:rPr>
                <w:sz w:val="17"/>
                <w:szCs w:val="17"/>
                <w:color w:val="auto"/>
              </w:rPr>
            </w:pPr>
          </w:p>
        </w:tc>
        <w:tc>
          <w:tcPr>
            <w:tcW w:w="442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96"/>
              </w:rPr>
              <w:t>Net unrealized gains on derivative instruments during the</w:t>
            </w: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42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period</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21.8</w:t>
            </w:r>
          </w:p>
        </w:tc>
        <w:tc>
          <w:tcPr>
            <w:tcW w:w="160" w:type="dxa"/>
            <w:vAlign w:val="bottom"/>
            <w:shd w:val="clear" w:color="auto" w:fill="CCEEFF"/>
          </w:tcPr>
          <w:p>
            <w:pPr>
              <w:spacing w:after="0"/>
              <w:rPr>
                <w:sz w:val="20"/>
                <w:szCs w:val="20"/>
                <w:color w:val="auto"/>
              </w:rPr>
            </w:pPr>
          </w:p>
        </w:tc>
        <w:tc>
          <w:tcPr>
            <w:tcW w:w="7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(4.6)</w:t>
            </w:r>
          </w:p>
        </w:tc>
        <w:tc>
          <w:tcPr>
            <w:tcW w:w="8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17.2</w:t>
            </w:r>
          </w:p>
        </w:tc>
        <w:tc>
          <w:tcPr>
            <w:tcW w:w="180" w:type="dxa"/>
            <w:vAlign w:val="bottom"/>
            <w:shd w:val="clear" w:color="auto" w:fill="CCEEFF"/>
          </w:tcPr>
          <w:p>
            <w:pPr>
              <w:spacing w:after="0"/>
              <w:rPr>
                <w:sz w:val="20"/>
                <w:szCs w:val="20"/>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22.5</w:t>
            </w:r>
          </w:p>
        </w:tc>
        <w:tc>
          <w:tcPr>
            <w:tcW w:w="80" w:type="dxa"/>
            <w:vAlign w:val="bottom"/>
            <w:shd w:val="clear" w:color="auto" w:fill="CCEEFF"/>
          </w:tcPr>
          <w:p>
            <w:pPr>
              <w:spacing w:after="0"/>
              <w:rPr>
                <w:sz w:val="20"/>
                <w:szCs w:val="20"/>
                <w:color w:val="auto"/>
              </w:rPr>
            </w:pPr>
          </w:p>
        </w:tc>
        <w:tc>
          <w:tcPr>
            <w:tcW w:w="94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(4.7)</w:t>
            </w:r>
          </w:p>
        </w:tc>
        <w:tc>
          <w:tcPr>
            <w:tcW w:w="200" w:type="dxa"/>
            <w:vAlign w:val="bottom"/>
            <w:shd w:val="clear" w:color="auto" w:fill="CCEEFF"/>
          </w:tcPr>
          <w:p>
            <w:pPr>
              <w:spacing w:after="0"/>
              <w:rPr>
                <w:sz w:val="20"/>
                <w:szCs w:val="20"/>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17.8</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420" w:type="dxa"/>
            <w:vAlign w:val="bottom"/>
            <w:gridSpan w:val="2"/>
          </w:tcPr>
          <w:p>
            <w:pPr>
              <w:spacing w:after="0" w:line="201" w:lineRule="exact"/>
              <w:rPr>
                <w:sz w:val="20"/>
                <w:szCs w:val="20"/>
                <w:color w:val="auto"/>
              </w:rPr>
            </w:pPr>
            <w:r>
              <w:rPr>
                <w:rFonts w:ascii="Arial" w:cs="Arial" w:eastAsia="Arial" w:hAnsi="Arial"/>
                <w:sz w:val="18"/>
                <w:szCs w:val="18"/>
                <w:color w:val="auto"/>
              </w:rPr>
              <w:t>Reclassification adjustment for gains included in net</w:t>
            </w:r>
          </w:p>
        </w:tc>
        <w:tc>
          <w:tcPr>
            <w:tcW w:w="1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420" w:type="dxa"/>
            <w:vAlign w:val="bottom"/>
            <w:gridSpan w:val="2"/>
          </w:tcPr>
          <w:p>
            <w:pPr>
              <w:ind w:left="120"/>
              <w:spacing w:after="0"/>
              <w:rPr>
                <w:sz w:val="20"/>
                <w:szCs w:val="20"/>
                <w:color w:val="auto"/>
              </w:rPr>
            </w:pPr>
            <w:r>
              <w:rPr>
                <w:rFonts w:ascii="Arial" w:cs="Arial" w:eastAsia="Arial" w:hAnsi="Arial"/>
                <w:sz w:val="18"/>
                <w:szCs w:val="18"/>
                <w:color w:val="auto"/>
              </w:rPr>
              <w:t>income (2)</w:t>
            </w:r>
          </w:p>
        </w:tc>
        <w:tc>
          <w:tcPr>
            <w:tcW w:w="1040" w:type="dxa"/>
            <w:vAlign w:val="bottom"/>
            <w:gridSpan w:val="3"/>
          </w:tcPr>
          <w:p>
            <w:pPr>
              <w:jc w:val="right"/>
              <w:ind w:right="160"/>
              <w:spacing w:after="0"/>
              <w:rPr>
                <w:sz w:val="20"/>
                <w:szCs w:val="20"/>
                <w:color w:val="auto"/>
              </w:rPr>
            </w:pPr>
            <w:r>
              <w:rPr>
                <w:rFonts w:ascii="Arial" w:cs="Arial" w:eastAsia="Arial" w:hAnsi="Arial"/>
                <w:sz w:val="18"/>
                <w:szCs w:val="18"/>
                <w:color w:val="auto"/>
              </w:rPr>
              <w:t>(4.7)</w:t>
            </w:r>
          </w:p>
        </w:tc>
        <w:tc>
          <w:tcPr>
            <w:tcW w:w="680" w:type="dxa"/>
            <w:vAlign w:val="bottom"/>
          </w:tcPr>
          <w:p>
            <w:pPr>
              <w:jc w:val="right"/>
              <w:spacing w:after="0"/>
              <w:rPr>
                <w:sz w:val="20"/>
                <w:szCs w:val="20"/>
                <w:color w:val="auto"/>
              </w:rPr>
            </w:pPr>
            <w:r>
              <w:rPr>
                <w:rFonts w:ascii="Arial" w:cs="Arial" w:eastAsia="Arial" w:hAnsi="Arial"/>
                <w:sz w:val="18"/>
                <w:szCs w:val="18"/>
                <w:color w:val="auto"/>
              </w:rPr>
              <w:t>1.0</w:t>
            </w: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8"/>
                <w:szCs w:val="18"/>
                <w:color w:val="auto"/>
              </w:rPr>
              <w:t>(3.7)</w:t>
            </w:r>
          </w:p>
        </w:tc>
        <w:tc>
          <w:tcPr>
            <w:tcW w:w="900" w:type="dxa"/>
            <w:vAlign w:val="bottom"/>
            <w:gridSpan w:val="2"/>
          </w:tcPr>
          <w:p>
            <w:pPr>
              <w:jc w:val="right"/>
              <w:ind w:right="80"/>
              <w:spacing w:after="0"/>
              <w:rPr>
                <w:sz w:val="20"/>
                <w:szCs w:val="20"/>
                <w:color w:val="auto"/>
              </w:rPr>
            </w:pPr>
            <w:r>
              <w:rPr>
                <w:rFonts w:ascii="Arial" w:cs="Arial" w:eastAsia="Arial" w:hAnsi="Arial"/>
                <w:sz w:val="18"/>
                <w:szCs w:val="18"/>
                <w:color w:val="auto"/>
              </w:rPr>
              <w:t>(9.1)</w:t>
            </w: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1.9</w:t>
            </w:r>
          </w:p>
        </w:tc>
        <w:tc>
          <w:tcPr>
            <w:tcW w:w="1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60" w:type="dxa"/>
            <w:vAlign w:val="bottom"/>
            <w:gridSpan w:val="2"/>
          </w:tcPr>
          <w:p>
            <w:pPr>
              <w:jc w:val="right"/>
              <w:ind w:right="20"/>
              <w:spacing w:after="0"/>
              <w:rPr>
                <w:sz w:val="20"/>
                <w:szCs w:val="20"/>
                <w:color w:val="auto"/>
              </w:rPr>
            </w:pPr>
            <w:r>
              <w:rPr>
                <w:rFonts w:ascii="Arial" w:cs="Arial" w:eastAsia="Arial" w:hAnsi="Arial"/>
                <w:sz w:val="18"/>
                <w:szCs w:val="18"/>
                <w:color w:val="auto"/>
              </w:rPr>
              <w:t>(7.2)</w:t>
            </w: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442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93"/>
              </w:rPr>
              <w:t>Adjustments for assumed changes in policyholder liabilities</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0.4</w:t>
            </w:r>
          </w:p>
        </w:tc>
        <w:tc>
          <w:tcPr>
            <w:tcW w:w="160" w:type="dxa"/>
            <w:vAlign w:val="bottom"/>
            <w:shd w:val="clear" w:color="auto" w:fill="CCEEFF"/>
          </w:tcPr>
          <w:p>
            <w:pPr>
              <w:spacing w:after="0"/>
              <w:rPr>
                <w:sz w:val="19"/>
                <w:szCs w:val="19"/>
                <w:color w:val="auto"/>
              </w:rPr>
            </w:pPr>
          </w:p>
        </w:tc>
        <w:tc>
          <w:tcPr>
            <w:tcW w:w="7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0.4</w:t>
            </w:r>
          </w:p>
        </w:tc>
        <w:tc>
          <w:tcPr>
            <w:tcW w:w="18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w:t>
            </w:r>
          </w:p>
        </w:tc>
        <w:tc>
          <w:tcPr>
            <w:tcW w:w="80" w:type="dxa"/>
            <w:vAlign w:val="bottom"/>
            <w:shd w:val="clear" w:color="auto" w:fill="CCEEFF"/>
          </w:tcPr>
          <w:p>
            <w:pPr>
              <w:spacing w:after="0"/>
              <w:rPr>
                <w:sz w:val="19"/>
                <w:szCs w:val="19"/>
                <w:color w:val="auto"/>
              </w:rPr>
            </w:pPr>
          </w:p>
        </w:tc>
        <w:tc>
          <w:tcPr>
            <w:tcW w:w="94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(0.3)</w:t>
            </w:r>
          </w:p>
        </w:tc>
        <w:tc>
          <w:tcPr>
            <w:tcW w:w="200" w:type="dxa"/>
            <w:vAlign w:val="bottom"/>
            <w:shd w:val="clear" w:color="auto" w:fill="CCEEFF"/>
          </w:tcPr>
          <w:p>
            <w:pPr>
              <w:spacing w:after="0"/>
              <w:rPr>
                <w:sz w:val="19"/>
                <w:szCs w:val="19"/>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420" w:type="dxa"/>
            <w:vAlign w:val="bottom"/>
            <w:tcBorders>
              <w:bottom w:val="single" w:sz="8" w:color="CCEEFF"/>
            </w:tcBorders>
            <w:gridSpan w:val="2"/>
          </w:tcPr>
          <w:p>
            <w:pPr>
              <w:spacing w:after="0"/>
              <w:rPr>
                <w:sz w:val="20"/>
                <w:szCs w:val="20"/>
                <w:color w:val="auto"/>
              </w:rPr>
            </w:pPr>
            <w:r>
              <w:rPr>
                <w:rFonts w:ascii="Arial" w:cs="Arial" w:eastAsia="Arial" w:hAnsi="Arial"/>
                <w:sz w:val="18"/>
                <w:szCs w:val="18"/>
                <w:color w:val="auto"/>
              </w:rPr>
              <w:t>Net unrealized gains on derivative instruments</w:t>
            </w:r>
          </w:p>
        </w:tc>
        <w:tc>
          <w:tcPr>
            <w:tcW w:w="140" w:type="dxa"/>
            <w:vAlign w:val="bottom"/>
            <w:tcBorders>
              <w:bottom w:val="single" w:sz="8" w:color="CCEEFF"/>
            </w:tcBorders>
          </w:tcPr>
          <w:p>
            <w:pPr>
              <w:spacing w:after="0"/>
              <w:rPr>
                <w:sz w:val="18"/>
                <w:szCs w:val="18"/>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17.5</w:t>
            </w:r>
          </w:p>
        </w:tc>
        <w:tc>
          <w:tcPr>
            <w:tcW w:w="160" w:type="dxa"/>
            <w:vAlign w:val="bottom"/>
            <w:tcBorders>
              <w:bottom w:val="single" w:sz="8" w:color="CCEEFF"/>
            </w:tcBorders>
          </w:tcPr>
          <w:p>
            <w:pPr>
              <w:spacing w:after="0"/>
              <w:rPr>
                <w:sz w:val="18"/>
                <w:szCs w:val="18"/>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(3.6)</w:t>
            </w:r>
          </w:p>
        </w:tc>
        <w:tc>
          <w:tcPr>
            <w:tcW w:w="8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200" w:type="dxa"/>
            <w:vAlign w:val="bottom"/>
            <w:tcBorders>
              <w:top w:val="single" w:sz="8" w:color="auto"/>
              <w:bottom w:val="single" w:sz="8" w:color="auto"/>
            </w:tcBorders>
          </w:tcPr>
          <w:p>
            <w:pPr>
              <w:spacing w:after="0"/>
              <w:rPr>
                <w:sz w:val="18"/>
                <w:szCs w:val="18"/>
                <w:color w:val="auto"/>
              </w:rPr>
            </w:pP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13.9</w:t>
            </w:r>
          </w:p>
        </w:tc>
        <w:tc>
          <w:tcPr>
            <w:tcW w:w="180" w:type="dxa"/>
            <w:vAlign w:val="bottom"/>
            <w:tcBorders>
              <w:bottom w:val="single" w:sz="8" w:color="CCEEFF"/>
            </w:tcBorders>
          </w:tcPr>
          <w:p>
            <w:pPr>
              <w:spacing w:after="0"/>
              <w:rPr>
                <w:sz w:val="18"/>
                <w:szCs w:val="18"/>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14.8</w:t>
            </w:r>
          </w:p>
        </w:tc>
        <w:tc>
          <w:tcPr>
            <w:tcW w:w="8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(3.1)</w:t>
            </w:r>
          </w:p>
        </w:tc>
        <w:tc>
          <w:tcPr>
            <w:tcW w:w="160" w:type="dxa"/>
            <w:vAlign w:val="bottom"/>
            <w:tcBorders>
              <w:bottom w:val="single" w:sz="8" w:color="CCEEFF"/>
            </w:tcBorders>
          </w:tcPr>
          <w:p>
            <w:pPr>
              <w:spacing w:after="0"/>
              <w:rPr>
                <w:sz w:val="18"/>
                <w:szCs w:val="18"/>
                <w:color w:val="auto"/>
              </w:rPr>
            </w:pPr>
          </w:p>
        </w:tc>
        <w:tc>
          <w:tcPr>
            <w:tcW w:w="200" w:type="dxa"/>
            <w:vAlign w:val="bottom"/>
            <w:tcBorders>
              <w:top w:val="single" w:sz="8" w:color="auto"/>
              <w:bottom w:val="single" w:sz="8" w:color="auto"/>
            </w:tcBorders>
          </w:tcPr>
          <w:p>
            <w:pPr>
              <w:spacing w:after="0"/>
              <w:rPr>
                <w:sz w:val="18"/>
                <w:szCs w:val="18"/>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2460" w:type="dxa"/>
            <w:vAlign w:val="bottom"/>
            <w:shd w:val="clear" w:color="auto" w:fill="CCEEFF"/>
          </w:tcPr>
          <w:p>
            <w:pPr>
              <w:spacing w:after="0"/>
              <w:rPr>
                <w:sz w:val="18"/>
                <w:szCs w:val="18"/>
                <w:color w:val="auto"/>
              </w:rPr>
            </w:pPr>
          </w:p>
        </w:tc>
        <w:tc>
          <w:tcPr>
            <w:tcW w:w="19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540" w:type="dxa"/>
            <w:vAlign w:val="bottom"/>
            <w:tcBorders>
              <w:bottom w:val="single" w:sz="8" w:color="auto"/>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640" w:type="dxa"/>
            <w:vAlign w:val="bottom"/>
            <w:tcBorders>
              <w:bottom w:val="single" w:sz="8" w:color="auto"/>
            </w:tcBorders>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420" w:type="dxa"/>
            <w:vAlign w:val="bottom"/>
            <w:tcBorders>
              <w:bottom w:val="single" w:sz="8" w:color="CCEEFF"/>
            </w:tcBorders>
            <w:gridSpan w:val="2"/>
          </w:tcPr>
          <w:p>
            <w:pPr>
              <w:spacing w:after="0"/>
              <w:rPr>
                <w:sz w:val="20"/>
                <w:szCs w:val="20"/>
                <w:color w:val="auto"/>
              </w:rPr>
            </w:pPr>
            <w:r>
              <w:rPr>
                <w:rFonts w:ascii="Arial" w:cs="Arial" w:eastAsia="Arial" w:hAnsi="Arial"/>
                <w:sz w:val="18"/>
                <w:szCs w:val="18"/>
                <w:color w:val="auto"/>
              </w:rPr>
              <w:t>Foreign currency translation adjustment</w:t>
            </w:r>
          </w:p>
        </w:tc>
        <w:tc>
          <w:tcPr>
            <w:tcW w:w="140" w:type="dxa"/>
            <w:vAlign w:val="bottom"/>
            <w:tcBorders>
              <w:bottom w:val="single" w:sz="8" w:color="CCEEFF"/>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35.9</w:t>
            </w:r>
          </w:p>
        </w:tc>
        <w:tc>
          <w:tcPr>
            <w:tcW w:w="160" w:type="dxa"/>
            <w:vAlign w:val="bottom"/>
            <w:tcBorders>
              <w:bottom w:val="single" w:sz="8" w:color="CCEEFF"/>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(0.5)</w:t>
            </w:r>
          </w:p>
        </w:tc>
        <w:tc>
          <w:tcPr>
            <w:tcW w:w="8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35.4</w:t>
            </w:r>
          </w:p>
        </w:tc>
        <w:tc>
          <w:tcPr>
            <w:tcW w:w="180" w:type="dxa"/>
            <w:vAlign w:val="bottom"/>
            <w:tcBorders>
              <w:bottom w:val="single" w:sz="8" w:color="CCEEFF"/>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(20.2)</w:t>
            </w:r>
          </w:p>
        </w:tc>
        <w:tc>
          <w:tcPr>
            <w:tcW w:w="8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(0.6)</w:t>
            </w:r>
          </w:p>
        </w:tc>
        <w:tc>
          <w:tcPr>
            <w:tcW w:w="16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vMerge w:val="restart"/>
          </w:tcPr>
          <w:p>
            <w:pPr>
              <w:spacing w:after="0"/>
              <w:rPr>
                <w:sz w:val="18"/>
                <w:szCs w:val="18"/>
                <w:color w:val="auto"/>
              </w:rPr>
            </w:pPr>
          </w:p>
        </w:tc>
        <w:tc>
          <w:tcPr>
            <w:tcW w:w="2460" w:type="dxa"/>
            <w:vAlign w:val="bottom"/>
            <w:shd w:val="clear" w:color="auto" w:fill="CCEEFF"/>
          </w:tcPr>
          <w:p>
            <w:pPr>
              <w:spacing w:after="0"/>
              <w:rPr>
                <w:sz w:val="18"/>
                <w:szCs w:val="18"/>
                <w:color w:val="auto"/>
              </w:rPr>
            </w:pPr>
          </w:p>
        </w:tc>
        <w:tc>
          <w:tcPr>
            <w:tcW w:w="19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vMerge w:val="continue"/>
          </w:tcPr>
          <w:p>
            <w:pPr>
              <w:spacing w:after="0"/>
              <w:rPr>
                <w:sz w:val="17"/>
                <w:szCs w:val="17"/>
                <w:color w:val="auto"/>
              </w:rPr>
            </w:pPr>
          </w:p>
        </w:tc>
        <w:tc>
          <w:tcPr>
            <w:tcW w:w="4420" w:type="dxa"/>
            <w:vAlign w:val="bottom"/>
            <w:gridSpan w:val="2"/>
          </w:tcPr>
          <w:p>
            <w:pPr>
              <w:spacing w:after="0" w:line="201" w:lineRule="exact"/>
              <w:rPr>
                <w:sz w:val="20"/>
                <w:szCs w:val="20"/>
                <w:color w:val="auto"/>
              </w:rPr>
            </w:pPr>
            <w:r>
              <w:rPr>
                <w:rFonts w:ascii="Arial" w:cs="Arial" w:eastAsia="Arial" w:hAnsi="Arial"/>
                <w:sz w:val="18"/>
                <w:szCs w:val="18"/>
                <w:color w:val="auto"/>
                <w:w w:val="96"/>
              </w:rPr>
              <w:t>Unrecognized postretirement benefit obligation during the</w:t>
            </w:r>
          </w:p>
        </w:tc>
        <w:tc>
          <w:tcPr>
            <w:tcW w:w="1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420" w:type="dxa"/>
            <w:vAlign w:val="bottom"/>
            <w:gridSpan w:val="2"/>
          </w:tcPr>
          <w:p>
            <w:pPr>
              <w:ind w:left="120"/>
              <w:spacing w:after="0"/>
              <w:rPr>
                <w:sz w:val="20"/>
                <w:szCs w:val="20"/>
                <w:color w:val="auto"/>
              </w:rPr>
            </w:pPr>
            <w:r>
              <w:rPr>
                <w:rFonts w:ascii="Arial" w:cs="Arial" w:eastAsia="Arial" w:hAnsi="Arial"/>
                <w:sz w:val="18"/>
                <w:szCs w:val="18"/>
                <w:color w:val="auto"/>
              </w:rPr>
              <w:t>period</w:t>
            </w:r>
          </w:p>
        </w:tc>
        <w:tc>
          <w:tcPr>
            <w:tcW w:w="140" w:type="dxa"/>
            <w:vAlign w:val="bottom"/>
          </w:tcPr>
          <w:p>
            <w:pPr>
              <w:spacing w:after="0"/>
              <w:rPr>
                <w:sz w:val="20"/>
                <w:szCs w:val="20"/>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76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80"/>
              <w:spacing w:after="0"/>
              <w:rPr>
                <w:sz w:val="20"/>
                <w:szCs w:val="20"/>
                <w:color w:val="auto"/>
              </w:rPr>
            </w:pPr>
            <w:r>
              <w:rPr>
                <w:rFonts w:ascii="Arial" w:cs="Arial" w:eastAsia="Arial" w:hAnsi="Arial"/>
                <w:sz w:val="18"/>
                <w:szCs w:val="18"/>
                <w:color w:val="auto"/>
              </w:rPr>
              <w:t>(9.1)</w:t>
            </w: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1.9</w:t>
            </w:r>
          </w:p>
        </w:tc>
        <w:tc>
          <w:tcPr>
            <w:tcW w:w="1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60" w:type="dxa"/>
            <w:vAlign w:val="bottom"/>
            <w:gridSpan w:val="2"/>
          </w:tcPr>
          <w:p>
            <w:pPr>
              <w:jc w:val="right"/>
              <w:ind w:right="20"/>
              <w:spacing w:after="0"/>
              <w:rPr>
                <w:sz w:val="20"/>
                <w:szCs w:val="20"/>
                <w:color w:val="auto"/>
              </w:rPr>
            </w:pPr>
            <w:r>
              <w:rPr>
                <w:rFonts w:ascii="Arial" w:cs="Arial" w:eastAsia="Arial" w:hAnsi="Arial"/>
                <w:sz w:val="18"/>
                <w:szCs w:val="18"/>
                <w:color w:val="auto"/>
              </w:rPr>
              <w:t>(7.2)</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42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w w:val="99"/>
              </w:rPr>
              <w:t>Amortization of amounts included in net periodic benefit</w:t>
            </w: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42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cost (3)</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13.0</w:t>
            </w:r>
          </w:p>
        </w:tc>
        <w:tc>
          <w:tcPr>
            <w:tcW w:w="160" w:type="dxa"/>
            <w:vAlign w:val="bottom"/>
            <w:shd w:val="clear" w:color="auto" w:fill="CCEEFF"/>
          </w:tcPr>
          <w:p>
            <w:pPr>
              <w:spacing w:after="0"/>
              <w:rPr>
                <w:sz w:val="20"/>
                <w:szCs w:val="20"/>
                <w:color w:val="auto"/>
              </w:rPr>
            </w:pPr>
          </w:p>
        </w:tc>
        <w:tc>
          <w:tcPr>
            <w:tcW w:w="7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(3.4)</w:t>
            </w:r>
          </w:p>
        </w:tc>
        <w:tc>
          <w:tcPr>
            <w:tcW w:w="8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9.6</w:t>
            </w:r>
          </w:p>
        </w:tc>
        <w:tc>
          <w:tcPr>
            <w:tcW w:w="180" w:type="dxa"/>
            <w:vAlign w:val="bottom"/>
            <w:shd w:val="clear" w:color="auto" w:fill="CCEEFF"/>
          </w:tcPr>
          <w:p>
            <w:pPr>
              <w:spacing w:after="0"/>
              <w:rPr>
                <w:sz w:val="20"/>
                <w:szCs w:val="20"/>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26.0</w:t>
            </w:r>
          </w:p>
        </w:tc>
        <w:tc>
          <w:tcPr>
            <w:tcW w:w="80" w:type="dxa"/>
            <w:vAlign w:val="bottom"/>
            <w:shd w:val="clear" w:color="auto" w:fill="CCEEFF"/>
          </w:tcPr>
          <w:p>
            <w:pPr>
              <w:spacing w:after="0"/>
              <w:rPr>
                <w:sz w:val="20"/>
                <w:szCs w:val="20"/>
                <w:color w:val="auto"/>
              </w:rPr>
            </w:pPr>
          </w:p>
        </w:tc>
        <w:tc>
          <w:tcPr>
            <w:tcW w:w="94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(6.9)</w:t>
            </w:r>
          </w:p>
        </w:tc>
        <w:tc>
          <w:tcPr>
            <w:tcW w:w="200" w:type="dxa"/>
            <w:vAlign w:val="bottom"/>
            <w:shd w:val="clear" w:color="auto" w:fill="CCEEFF"/>
          </w:tcPr>
          <w:p>
            <w:pPr>
              <w:spacing w:after="0"/>
              <w:rPr>
                <w:sz w:val="20"/>
                <w:szCs w:val="20"/>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19.1</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420" w:type="dxa"/>
            <w:vAlign w:val="bottom"/>
            <w:tcBorders>
              <w:bottom w:val="single" w:sz="8" w:color="CCEEFF"/>
            </w:tcBorders>
            <w:gridSpan w:val="2"/>
          </w:tcPr>
          <w:p>
            <w:pPr>
              <w:spacing w:after="0"/>
              <w:rPr>
                <w:sz w:val="20"/>
                <w:szCs w:val="20"/>
                <w:color w:val="auto"/>
              </w:rPr>
            </w:pPr>
            <w:r>
              <w:rPr>
                <w:rFonts w:ascii="Arial" w:cs="Arial" w:eastAsia="Arial" w:hAnsi="Arial"/>
                <w:sz w:val="18"/>
                <w:szCs w:val="18"/>
                <w:color w:val="auto"/>
              </w:rPr>
              <w:t>Net unrecognized postretirement benefit obligation</w:t>
            </w:r>
          </w:p>
        </w:tc>
        <w:tc>
          <w:tcPr>
            <w:tcW w:w="140" w:type="dxa"/>
            <w:vAlign w:val="bottom"/>
            <w:tcBorders>
              <w:bottom w:val="single" w:sz="8" w:color="CCEEFF"/>
            </w:tcBorders>
          </w:tcPr>
          <w:p>
            <w:pPr>
              <w:spacing w:after="0"/>
              <w:rPr>
                <w:sz w:val="18"/>
                <w:szCs w:val="18"/>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13.0</w:t>
            </w:r>
          </w:p>
        </w:tc>
        <w:tc>
          <w:tcPr>
            <w:tcW w:w="160" w:type="dxa"/>
            <w:vAlign w:val="bottom"/>
            <w:tcBorders>
              <w:bottom w:val="single" w:sz="8" w:color="CCEEFF"/>
            </w:tcBorders>
          </w:tcPr>
          <w:p>
            <w:pPr>
              <w:spacing w:after="0"/>
              <w:rPr>
                <w:sz w:val="18"/>
                <w:szCs w:val="18"/>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(3.4)</w:t>
            </w:r>
          </w:p>
        </w:tc>
        <w:tc>
          <w:tcPr>
            <w:tcW w:w="8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200" w:type="dxa"/>
            <w:vAlign w:val="bottom"/>
            <w:tcBorders>
              <w:top w:val="single" w:sz="8" w:color="auto"/>
              <w:bottom w:val="single" w:sz="8" w:color="auto"/>
            </w:tcBorders>
          </w:tcPr>
          <w:p>
            <w:pPr>
              <w:spacing w:after="0"/>
              <w:rPr>
                <w:sz w:val="18"/>
                <w:szCs w:val="18"/>
                <w:color w:val="auto"/>
              </w:rPr>
            </w:pP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9.6</w:t>
            </w:r>
          </w:p>
        </w:tc>
        <w:tc>
          <w:tcPr>
            <w:tcW w:w="180" w:type="dxa"/>
            <w:vAlign w:val="bottom"/>
            <w:tcBorders>
              <w:bottom w:val="single" w:sz="8" w:color="CCEEFF"/>
            </w:tcBorders>
          </w:tcPr>
          <w:p>
            <w:pPr>
              <w:spacing w:after="0"/>
              <w:rPr>
                <w:sz w:val="18"/>
                <w:szCs w:val="18"/>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16.9</w:t>
            </w:r>
          </w:p>
        </w:tc>
        <w:tc>
          <w:tcPr>
            <w:tcW w:w="8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(5.0)</w:t>
            </w:r>
          </w:p>
        </w:tc>
        <w:tc>
          <w:tcPr>
            <w:tcW w:w="160" w:type="dxa"/>
            <w:vAlign w:val="bottom"/>
            <w:tcBorders>
              <w:bottom w:val="single" w:sz="8" w:color="CCEEFF"/>
            </w:tcBorders>
          </w:tcPr>
          <w:p>
            <w:pPr>
              <w:spacing w:after="0"/>
              <w:rPr>
                <w:sz w:val="18"/>
                <w:szCs w:val="18"/>
                <w:color w:val="auto"/>
              </w:rPr>
            </w:pPr>
          </w:p>
        </w:tc>
        <w:tc>
          <w:tcPr>
            <w:tcW w:w="200" w:type="dxa"/>
            <w:vAlign w:val="bottom"/>
            <w:tcBorders>
              <w:top w:val="single" w:sz="8" w:color="auto"/>
              <w:bottom w:val="single" w:sz="8" w:color="auto"/>
            </w:tcBorders>
          </w:tcPr>
          <w:p>
            <w:pPr>
              <w:spacing w:after="0"/>
              <w:rPr>
                <w:sz w:val="18"/>
                <w:szCs w:val="18"/>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2460" w:type="dxa"/>
            <w:vAlign w:val="bottom"/>
            <w:shd w:val="clear" w:color="auto" w:fill="CCEEFF"/>
          </w:tcPr>
          <w:p>
            <w:pPr>
              <w:spacing w:after="0"/>
              <w:rPr>
                <w:sz w:val="18"/>
                <w:szCs w:val="18"/>
                <w:color w:val="auto"/>
              </w:rPr>
            </w:pPr>
          </w:p>
        </w:tc>
        <w:tc>
          <w:tcPr>
            <w:tcW w:w="19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420" w:type="dxa"/>
            <w:vAlign w:val="bottom"/>
            <w:gridSpan w:val="2"/>
          </w:tcPr>
          <w:p>
            <w:pPr>
              <w:spacing w:after="0"/>
              <w:rPr>
                <w:sz w:val="20"/>
                <w:szCs w:val="20"/>
                <w:color w:val="auto"/>
              </w:rPr>
            </w:pPr>
            <w:r>
              <w:rPr>
                <w:rFonts w:ascii="Arial" w:cs="Arial" w:eastAsia="Arial" w:hAnsi="Arial"/>
                <w:sz w:val="18"/>
                <w:szCs w:val="18"/>
                <w:color w:val="auto"/>
              </w:rPr>
              <w:t>Other comprehensive income (loss)</w:t>
            </w: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$ 1,079.8</w:t>
            </w:r>
          </w:p>
        </w:tc>
        <w:tc>
          <w:tcPr>
            <w:tcW w:w="160" w:type="dxa"/>
            <w:vAlign w:val="bottom"/>
          </w:tcPr>
          <w:p>
            <w:pPr>
              <w:spacing w:after="0"/>
              <w:rPr>
                <w:sz w:val="18"/>
                <w:szCs w:val="18"/>
                <w:color w:val="auto"/>
              </w:rPr>
            </w:pPr>
          </w:p>
        </w:tc>
        <w:tc>
          <w:tcPr>
            <w:tcW w:w="760" w:type="dxa"/>
            <w:vAlign w:val="bottom"/>
            <w:gridSpan w:val="2"/>
          </w:tcPr>
          <w:p>
            <w:pPr>
              <w:jc w:val="right"/>
              <w:ind w:right="80"/>
              <w:spacing w:after="0"/>
              <w:rPr>
                <w:sz w:val="20"/>
                <w:szCs w:val="20"/>
                <w:color w:val="auto"/>
              </w:rPr>
            </w:pPr>
            <w:r>
              <w:rPr>
                <w:rFonts w:ascii="Arial" w:cs="Arial" w:eastAsia="Arial" w:hAnsi="Arial"/>
                <w:sz w:val="18"/>
                <w:szCs w:val="18"/>
                <w:color w:val="auto"/>
                <w:w w:val="91"/>
              </w:rPr>
              <w:t>$ (230.0)</w:t>
            </w:r>
          </w:p>
        </w:tc>
        <w:tc>
          <w:tcPr>
            <w:tcW w:w="2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540" w:type="dxa"/>
            <w:vAlign w:val="bottom"/>
          </w:tcPr>
          <w:p>
            <w:pPr>
              <w:jc w:val="right"/>
              <w:spacing w:after="0"/>
              <w:rPr>
                <w:sz w:val="20"/>
                <w:szCs w:val="20"/>
                <w:color w:val="auto"/>
              </w:rPr>
            </w:pPr>
            <w:r>
              <w:rPr>
                <w:rFonts w:ascii="Arial" w:cs="Arial" w:eastAsia="Arial" w:hAnsi="Arial"/>
                <w:sz w:val="18"/>
                <w:szCs w:val="18"/>
                <w:color w:val="auto"/>
              </w:rPr>
              <w:t>849.8</w:t>
            </w:r>
          </w:p>
        </w:tc>
        <w:tc>
          <w:tcPr>
            <w:tcW w:w="180" w:type="dxa"/>
            <w:vAlign w:val="bottom"/>
          </w:tcPr>
          <w:p>
            <w:pPr>
              <w:spacing w:after="0"/>
              <w:rPr>
                <w:sz w:val="18"/>
                <w:szCs w:val="18"/>
                <w:color w:val="auto"/>
              </w:rPr>
            </w:pPr>
          </w:p>
        </w:tc>
        <w:tc>
          <w:tcPr>
            <w:tcW w:w="900" w:type="dxa"/>
            <w:vAlign w:val="bottom"/>
            <w:gridSpan w:val="2"/>
          </w:tcPr>
          <w:p>
            <w:pPr>
              <w:jc w:val="right"/>
              <w:ind w:right="80"/>
              <w:spacing w:after="0"/>
              <w:rPr>
                <w:sz w:val="20"/>
                <w:szCs w:val="20"/>
                <w:color w:val="auto"/>
              </w:rPr>
            </w:pPr>
            <w:r>
              <w:rPr>
                <w:rFonts w:ascii="Arial" w:cs="Arial" w:eastAsia="Arial" w:hAnsi="Arial"/>
                <w:sz w:val="18"/>
                <w:szCs w:val="18"/>
                <w:color w:val="auto"/>
              </w:rPr>
              <w:t>$  (719.3)</w:t>
            </w: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  139.6</w:t>
            </w:r>
          </w:p>
        </w:tc>
        <w:tc>
          <w:tcPr>
            <w:tcW w:w="160" w:type="dxa"/>
            <w:vAlign w:val="bottom"/>
          </w:tcPr>
          <w:p>
            <w:pPr>
              <w:spacing w:after="0"/>
              <w:rPr>
                <w:sz w:val="18"/>
                <w:szCs w:val="18"/>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(579.7)</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2460" w:type="dxa"/>
            <w:vAlign w:val="bottom"/>
            <w:tcBorders>
              <w:bottom w:val="single" w:sz="8" w:color="auto"/>
            </w:tcBorders>
          </w:tcPr>
          <w:p>
            <w:pPr>
              <w:spacing w:after="0"/>
              <w:rPr>
                <w:sz w:val="7"/>
                <w:szCs w:val="7"/>
                <w:color w:val="auto"/>
              </w:rPr>
            </w:pPr>
          </w:p>
        </w:tc>
        <w:tc>
          <w:tcPr>
            <w:tcW w:w="1960" w:type="dxa"/>
            <w:vAlign w:val="bottom"/>
          </w:tcPr>
          <w:p>
            <w:pPr>
              <w:spacing w:after="0"/>
              <w:rPr>
                <w:sz w:val="7"/>
                <w:szCs w:val="7"/>
                <w:color w:val="auto"/>
              </w:rPr>
            </w:pPr>
          </w:p>
        </w:tc>
        <w:tc>
          <w:tcPr>
            <w:tcW w:w="140" w:type="dxa"/>
            <w:vAlign w:val="bottom"/>
          </w:tcPr>
          <w:p>
            <w:pPr>
              <w:spacing w:after="0"/>
              <w:rPr>
                <w:sz w:val="7"/>
                <w:szCs w:val="7"/>
                <w:color w:val="auto"/>
              </w:rPr>
            </w:pPr>
          </w:p>
        </w:tc>
        <w:tc>
          <w:tcPr>
            <w:tcW w:w="740" w:type="dxa"/>
            <w:vAlign w:val="bottom"/>
          </w:tcPr>
          <w:p>
            <w:pPr>
              <w:spacing w:after="0"/>
              <w:rPr>
                <w:sz w:val="7"/>
                <w:szCs w:val="7"/>
                <w:color w:val="auto"/>
              </w:rPr>
            </w:pPr>
          </w:p>
        </w:tc>
        <w:tc>
          <w:tcPr>
            <w:tcW w:w="160" w:type="dxa"/>
            <w:vAlign w:val="bottom"/>
          </w:tcPr>
          <w:p>
            <w:pPr>
              <w:spacing w:after="0"/>
              <w:rPr>
                <w:sz w:val="7"/>
                <w:szCs w:val="7"/>
                <w:color w:val="auto"/>
              </w:rPr>
            </w:pPr>
          </w:p>
        </w:tc>
        <w:tc>
          <w:tcPr>
            <w:tcW w:w="6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2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80" w:type="dxa"/>
            <w:vAlign w:val="bottom"/>
          </w:tcPr>
          <w:p>
            <w:pPr>
              <w:spacing w:after="0"/>
              <w:rPr>
                <w:sz w:val="7"/>
                <w:szCs w:val="7"/>
                <w:color w:val="auto"/>
              </w:rPr>
            </w:pPr>
          </w:p>
        </w:tc>
        <w:tc>
          <w:tcPr>
            <w:tcW w:w="82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700" w:type="dxa"/>
            <w:vAlign w:val="bottom"/>
          </w:tcPr>
          <w:p>
            <w:pPr>
              <w:spacing w:after="0"/>
              <w:rPr>
                <w:sz w:val="7"/>
                <w:szCs w:val="7"/>
                <w:color w:val="auto"/>
              </w:rPr>
            </w:pPr>
          </w:p>
        </w:tc>
        <w:tc>
          <w:tcPr>
            <w:tcW w:w="160" w:type="dxa"/>
            <w:vAlign w:val="bottom"/>
          </w:tcPr>
          <w:p>
            <w:pPr>
              <w:spacing w:after="0"/>
              <w:rPr>
                <w:sz w:val="7"/>
                <w:szCs w:val="7"/>
                <w:color w:val="auto"/>
              </w:rPr>
            </w:pPr>
          </w:p>
        </w:tc>
        <w:tc>
          <w:tcPr>
            <w:tcW w:w="200" w:type="dxa"/>
            <w:vAlign w:val="bottom"/>
          </w:tcPr>
          <w:p>
            <w:pPr>
              <w:spacing w:after="0"/>
              <w:rPr>
                <w:sz w:val="7"/>
                <w:szCs w:val="7"/>
                <w:color w:val="auto"/>
              </w:rPr>
            </w:pPr>
          </w:p>
        </w:tc>
        <w:tc>
          <w:tcPr>
            <w:tcW w:w="64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80" w:lineRule="exact"/>
        <w:rPr>
          <w:sz w:val="20"/>
          <w:szCs w:val="20"/>
          <w:color w:val="auto"/>
        </w:rPr>
      </w:pPr>
    </w:p>
    <w:p>
      <w:pPr>
        <w:ind w:left="340" w:right="220" w:hanging="332"/>
        <w:spacing w:after="0" w:line="258" w:lineRule="auto"/>
        <w:tabs>
          <w:tab w:leader="none" w:pos="340" w:val="left"/>
        </w:tabs>
        <w:numPr>
          <w:ilvl w:val="0"/>
          <w:numId w:val="25"/>
        </w:numPr>
        <w:rPr>
          <w:rFonts w:ascii="Arial" w:cs="Arial" w:eastAsia="Arial" w:hAnsi="Arial"/>
          <w:sz w:val="18"/>
          <w:szCs w:val="18"/>
          <w:color w:val="auto"/>
        </w:rPr>
      </w:pPr>
      <w:r>
        <w:rPr>
          <w:rFonts w:ascii="Arial" w:cs="Arial" w:eastAsia="Arial" w:hAnsi="Arial"/>
          <w:sz w:val="18"/>
          <w:szCs w:val="18"/>
          <w:color w:val="auto"/>
        </w:rPr>
        <w:t>Pre-tax reclassification adjustments relating to available-for-sale securities are reported in net realized capital gains (losses) on the consolidated statements of operations.</w:t>
      </w:r>
    </w:p>
    <w:p>
      <w:pPr>
        <w:spacing w:after="0" w:line="1" w:lineRule="exact"/>
        <w:rPr>
          <w:rFonts w:ascii="Arial" w:cs="Arial" w:eastAsia="Arial" w:hAnsi="Arial"/>
          <w:sz w:val="18"/>
          <w:szCs w:val="18"/>
          <w:color w:val="auto"/>
        </w:rPr>
      </w:pPr>
    </w:p>
    <w:p>
      <w:pPr>
        <w:ind w:left="340" w:right="520" w:hanging="332"/>
        <w:spacing w:after="0" w:line="250" w:lineRule="auto"/>
        <w:tabs>
          <w:tab w:leader="none" w:pos="340" w:val="left"/>
        </w:tabs>
        <w:numPr>
          <w:ilvl w:val="0"/>
          <w:numId w:val="25"/>
        </w:numPr>
        <w:rPr>
          <w:rFonts w:ascii="Arial" w:cs="Arial" w:eastAsia="Arial" w:hAnsi="Arial"/>
          <w:sz w:val="18"/>
          <w:szCs w:val="18"/>
          <w:color w:val="auto"/>
        </w:rPr>
      </w:pPr>
      <w:r>
        <w:rPr>
          <w:rFonts w:ascii="Arial" w:cs="Arial" w:eastAsia="Arial" w:hAnsi="Arial"/>
          <w:sz w:val="18"/>
          <w:szCs w:val="18"/>
          <w:color w:val="auto"/>
        </w:rPr>
        <w:t>See Note 4, Derivative Financial Instruments, under the caption “Effect of Fair Value and Cash Flow Hedges on Consolidated Statements of Operations” for further details.</w:t>
      </w:r>
    </w:p>
    <w:p>
      <w:pPr>
        <w:ind w:left="340" w:right="360" w:hanging="332"/>
        <w:spacing w:after="0" w:line="255" w:lineRule="auto"/>
        <w:tabs>
          <w:tab w:leader="none" w:pos="340" w:val="left"/>
        </w:tabs>
        <w:numPr>
          <w:ilvl w:val="0"/>
          <w:numId w:val="25"/>
        </w:numPr>
        <w:rPr>
          <w:rFonts w:ascii="Arial" w:cs="Arial" w:eastAsia="Arial" w:hAnsi="Arial"/>
          <w:sz w:val="18"/>
          <w:szCs w:val="18"/>
          <w:color w:val="auto"/>
        </w:rPr>
      </w:pPr>
      <w:r>
        <w:rPr>
          <w:rFonts w:ascii="Arial" w:cs="Arial" w:eastAsia="Arial" w:hAnsi="Arial"/>
          <w:sz w:val="18"/>
          <w:szCs w:val="18"/>
          <w:color w:val="auto"/>
        </w:rPr>
        <w:t>Amount is comprised of amortization of prior service cost (benefit) and recognized net actuarial (gain) loss, which is reported in operating expenses on the consolidated statements of operations. See Note 9, Employee and Agent Benefits, under the caption “Components of Net Periodic Benefit Cost” for further details.</w:t>
      </w:r>
    </w:p>
    <w:p>
      <w:pPr>
        <w:spacing w:after="0" w:line="200" w:lineRule="exact"/>
        <w:rPr>
          <w:sz w:val="20"/>
          <w:szCs w:val="20"/>
          <w:color w:val="auto"/>
        </w:rPr>
      </w:pPr>
    </w:p>
    <w:p>
      <w:pPr>
        <w:spacing w:after="0" w:line="20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540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type w:val="continuous"/>
        </w:sectPr>
      </w:pPr>
    </w:p>
    <w:bookmarkStart w:id="57" w:name="page58"/>
    <w:bookmarkEnd w:id="57"/>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Accumulated Other Comprehensive Income (Loss)</w:t>
      </w:r>
    </w:p>
    <w:p>
      <w:pPr>
        <w:spacing w:after="0" w:line="1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8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94"/>
              </w:rPr>
              <w:t>Net unrealized</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8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1"/>
              </w:rPr>
              <w:t>Net unrealized</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3"/>
              </w:rPr>
              <w:t>Foreign</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1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2"/>
              </w:rPr>
              <w:t>Unrecognized</w:t>
            </w:r>
          </w:p>
        </w:tc>
        <w:tc>
          <w:tcPr>
            <w:tcW w:w="60" w:type="dxa"/>
            <w:vAlign w:val="bottom"/>
          </w:tcPr>
          <w:p>
            <w:pPr>
              <w:spacing w:after="0"/>
              <w:rPr>
                <w:sz w:val="14"/>
                <w:szCs w:val="14"/>
                <w:color w:val="auto"/>
              </w:rPr>
            </w:pPr>
          </w:p>
        </w:tc>
        <w:tc>
          <w:tcPr>
            <w:tcW w:w="102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93"/>
              </w:rPr>
              <w:t>Accumulated</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46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116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85"/>
              </w:rPr>
              <w:t>gains (losses) on</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8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7"/>
              </w:rPr>
              <w:t>gains</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4"/>
              </w:rPr>
              <w:t>currency</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1"/>
              </w:rPr>
              <w:t>postretirement</w:t>
            </w:r>
          </w:p>
        </w:tc>
        <w:tc>
          <w:tcPr>
            <w:tcW w:w="60" w:type="dxa"/>
            <w:vAlign w:val="bottom"/>
          </w:tcPr>
          <w:p>
            <w:pPr>
              <w:spacing w:after="0"/>
              <w:rPr>
                <w:sz w:val="12"/>
                <w:szCs w:val="12"/>
                <w:color w:val="auto"/>
              </w:rPr>
            </w:pPr>
          </w:p>
        </w:tc>
        <w:tc>
          <w:tcPr>
            <w:tcW w:w="10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1"/>
              </w:rPr>
              <w:t>other</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46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116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w w:val="99"/>
              </w:rPr>
              <w:t>available-for-sale</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8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2"/>
              </w:rPr>
              <w:t>on derivative</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4"/>
              </w:rPr>
              <w:t>translation</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1"/>
              </w:rPr>
              <w:t>benefit</w:t>
            </w:r>
          </w:p>
        </w:tc>
        <w:tc>
          <w:tcPr>
            <w:tcW w:w="60" w:type="dxa"/>
            <w:vAlign w:val="bottom"/>
          </w:tcPr>
          <w:p>
            <w:pPr>
              <w:spacing w:after="0"/>
              <w:rPr>
                <w:sz w:val="12"/>
                <w:szCs w:val="12"/>
                <w:color w:val="auto"/>
              </w:rPr>
            </w:pPr>
          </w:p>
        </w:tc>
        <w:tc>
          <w:tcPr>
            <w:tcW w:w="10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9"/>
              </w:rPr>
              <w:t>comprehensive</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8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90"/>
              </w:rPr>
              <w:t>securities (1)</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8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89"/>
              </w:rPr>
              <w:t>instruments</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0"/>
              </w:rPr>
              <w:t>adjustment</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1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2"/>
              </w:rPr>
              <w:t>obligation</w:t>
            </w:r>
          </w:p>
        </w:tc>
        <w:tc>
          <w:tcPr>
            <w:tcW w:w="60" w:type="dxa"/>
            <w:vAlign w:val="bottom"/>
          </w:tcPr>
          <w:p>
            <w:pPr>
              <w:spacing w:after="0"/>
              <w:rPr>
                <w:sz w:val="14"/>
                <w:szCs w:val="14"/>
                <w:color w:val="auto"/>
              </w:rPr>
            </w:pPr>
          </w:p>
        </w:tc>
        <w:tc>
          <w:tcPr>
            <w:tcW w:w="10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8"/>
              </w:rPr>
              <w:t>income (loss)</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2460" w:type="dxa"/>
            <w:vAlign w:val="bottom"/>
          </w:tcPr>
          <w:p>
            <w:pPr>
              <w:spacing w:after="0"/>
              <w:rPr>
                <w:sz w:val="11"/>
                <w:szCs w:val="11"/>
                <w:color w:val="auto"/>
              </w:rPr>
            </w:pPr>
          </w:p>
        </w:tc>
        <w:tc>
          <w:tcPr>
            <w:tcW w:w="138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920" w:type="dxa"/>
            <w:vAlign w:val="bottom"/>
            <w:tcBorders>
              <w:top w:val="single" w:sz="8" w:color="auto"/>
            </w:tcBorders>
          </w:tcPr>
          <w:p>
            <w:pPr>
              <w:jc w:val="center"/>
              <w:ind w:right="28"/>
              <w:spacing w:after="0" w:line="129" w:lineRule="exact"/>
              <w:rPr>
                <w:sz w:val="20"/>
                <w:szCs w:val="20"/>
                <w:color w:val="auto"/>
              </w:rPr>
            </w:pPr>
            <w:r>
              <w:rPr>
                <w:rFonts w:ascii="Arial" w:cs="Arial" w:eastAsia="Arial" w:hAnsi="Arial"/>
                <w:sz w:val="14"/>
                <w:szCs w:val="14"/>
                <w:i w:val="1"/>
                <w:iCs w:val="1"/>
                <w:color w:val="auto"/>
                <w:w w:val="98"/>
              </w:rPr>
              <w:t>(in millions)</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0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8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Balances as of April 1, 2021</w:t>
            </w:r>
          </w:p>
        </w:tc>
        <w:tc>
          <w:tcPr>
            <w:tcW w:w="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w w:val="76"/>
              </w:rPr>
              <w:t>$</w:t>
            </w:r>
          </w:p>
        </w:tc>
        <w:tc>
          <w:tcPr>
            <w:tcW w:w="9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2,764.9</w:t>
            </w:r>
          </w:p>
        </w:tc>
        <w:tc>
          <w:tcPr>
            <w:tcW w:w="100" w:type="dxa"/>
            <w:vAlign w:val="bottom"/>
            <w:shd w:val="clear" w:color="auto" w:fill="CCEEFF"/>
          </w:tcPr>
          <w:p>
            <w:pPr>
              <w:spacing w:after="0"/>
              <w:rPr>
                <w:sz w:val="12"/>
                <w:szCs w:val="12"/>
                <w:color w:val="auto"/>
              </w:rPr>
            </w:pPr>
          </w:p>
        </w:tc>
        <w:tc>
          <w:tcPr>
            <w:tcW w:w="1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16.0</w:t>
            </w:r>
          </w:p>
        </w:tc>
        <w:tc>
          <w:tcPr>
            <w:tcW w:w="100" w:type="dxa"/>
            <w:vAlign w:val="bottom"/>
            <w:shd w:val="clear" w:color="auto" w:fill="CCEEFF"/>
          </w:tcPr>
          <w:p>
            <w:pPr>
              <w:spacing w:after="0"/>
              <w:rPr>
                <w:sz w:val="12"/>
                <w:szCs w:val="12"/>
                <w:color w:val="auto"/>
              </w:rPr>
            </w:pPr>
          </w:p>
        </w:tc>
        <w:tc>
          <w:tcPr>
            <w:tcW w:w="220" w:type="dxa"/>
            <w:vAlign w:val="bottom"/>
            <w:gridSpan w:val="2"/>
            <w:shd w:val="clear" w:color="auto" w:fill="CCEEFF"/>
          </w:tcPr>
          <w:p>
            <w:pPr>
              <w:jc w:val="right"/>
              <w:ind w:right="9"/>
              <w:spacing w:after="0" w:line="149" w:lineRule="exact"/>
              <w:rPr>
                <w:sz w:val="20"/>
                <w:szCs w:val="20"/>
                <w:color w:val="auto"/>
              </w:rPr>
            </w:pPr>
            <w:r>
              <w:rPr>
                <w:rFonts w:ascii="Arial" w:cs="Arial" w:eastAsia="Arial" w:hAnsi="Arial"/>
                <w:sz w:val="14"/>
                <w:szCs w:val="14"/>
                <w:color w:val="auto"/>
              </w:rPr>
              <w:t>$</w:t>
            </w:r>
          </w:p>
        </w:tc>
        <w:tc>
          <w:tcPr>
            <w:tcW w:w="10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(1,368.9)</w:t>
            </w:r>
          </w:p>
        </w:tc>
        <w:tc>
          <w:tcPr>
            <w:tcW w:w="1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18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(458.2)</w:t>
            </w: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10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953.8</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3840" w:type="dxa"/>
            <w:vAlign w:val="bottom"/>
            <w:gridSpan w:val="2"/>
          </w:tcPr>
          <w:p>
            <w:pPr>
              <w:spacing w:after="0" w:line="130" w:lineRule="exact"/>
              <w:rPr>
                <w:sz w:val="20"/>
                <w:szCs w:val="20"/>
                <w:color w:val="auto"/>
              </w:rPr>
            </w:pPr>
            <w:r>
              <w:rPr>
                <w:rFonts w:ascii="Arial" w:cs="Arial" w:eastAsia="Arial" w:hAnsi="Arial"/>
                <w:sz w:val="14"/>
                <w:szCs w:val="14"/>
                <w:color w:val="auto"/>
              </w:rPr>
              <w:t>Other comprehensive income during the period, net of</w:t>
            </w:r>
          </w:p>
        </w:tc>
        <w:tc>
          <w:tcPr>
            <w:tcW w:w="8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3840" w:type="dxa"/>
            <w:vAlign w:val="bottom"/>
            <w:gridSpan w:val="2"/>
          </w:tcPr>
          <w:p>
            <w:pPr>
              <w:ind w:left="120"/>
              <w:spacing w:after="0"/>
              <w:rPr>
                <w:sz w:val="20"/>
                <w:szCs w:val="20"/>
                <w:color w:val="auto"/>
              </w:rPr>
            </w:pPr>
            <w:r>
              <w:rPr>
                <w:rFonts w:ascii="Arial" w:cs="Arial" w:eastAsia="Arial" w:hAnsi="Arial"/>
                <w:sz w:val="14"/>
                <w:szCs w:val="14"/>
                <w:color w:val="auto"/>
              </w:rPr>
              <w:t>adjustments</w:t>
            </w:r>
          </w:p>
        </w:tc>
        <w:tc>
          <w:tcPr>
            <w:tcW w:w="8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770.4</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17.6</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35.6</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18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4"/>
                <w:szCs w:val="14"/>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823.6</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8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Amounts reclassified from AOCI</w:t>
            </w:r>
          </w:p>
        </w:tc>
        <w:tc>
          <w:tcPr>
            <w:tcW w:w="80" w:type="dxa"/>
            <w:vAlign w:val="bottom"/>
            <w:shd w:val="clear" w:color="auto" w:fill="CCEEFF"/>
          </w:tcPr>
          <w:p>
            <w:pPr>
              <w:spacing w:after="0"/>
              <w:rPr>
                <w:sz w:val="12"/>
                <w:szCs w:val="12"/>
                <w:color w:val="auto"/>
              </w:rPr>
            </w:pPr>
          </w:p>
        </w:tc>
        <w:tc>
          <w:tcPr>
            <w:tcW w:w="9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20.5</w:t>
            </w: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(3.7)</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9.6</w:t>
            </w:r>
          </w:p>
        </w:tc>
        <w:tc>
          <w:tcPr>
            <w:tcW w:w="2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26.4</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840" w:type="dxa"/>
            <w:vAlign w:val="bottom"/>
            <w:tcBorders>
              <w:bottom w:val="single" w:sz="8" w:color="CCEEFF"/>
            </w:tcBorders>
            <w:gridSpan w:val="2"/>
          </w:tcPr>
          <w:p>
            <w:pPr>
              <w:spacing w:after="0" w:line="142" w:lineRule="exact"/>
              <w:rPr>
                <w:sz w:val="20"/>
                <w:szCs w:val="20"/>
                <w:color w:val="auto"/>
              </w:rPr>
            </w:pPr>
            <w:r>
              <w:rPr>
                <w:rFonts w:ascii="Arial" w:cs="Arial" w:eastAsia="Arial" w:hAnsi="Arial"/>
                <w:sz w:val="14"/>
                <w:szCs w:val="14"/>
                <w:color w:val="auto"/>
              </w:rPr>
              <w:t>Other comprehensive income</w:t>
            </w:r>
          </w:p>
        </w:tc>
        <w:tc>
          <w:tcPr>
            <w:tcW w:w="80" w:type="dxa"/>
            <w:vAlign w:val="bottom"/>
            <w:tcBorders>
              <w:top w:val="single" w:sz="8" w:color="auto"/>
              <w:bottom w:val="single" w:sz="8" w:color="auto"/>
            </w:tcBorders>
          </w:tcPr>
          <w:p>
            <w:pPr>
              <w:spacing w:after="0"/>
              <w:rPr>
                <w:sz w:val="12"/>
                <w:szCs w:val="12"/>
                <w:color w:val="auto"/>
              </w:rPr>
            </w:pPr>
          </w:p>
        </w:tc>
        <w:tc>
          <w:tcPr>
            <w:tcW w:w="9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790.9</w:t>
            </w:r>
          </w:p>
        </w:tc>
        <w:tc>
          <w:tcPr>
            <w:tcW w:w="100" w:type="dxa"/>
            <w:vAlign w:val="bottom"/>
            <w:tcBorders>
              <w:bottom w:val="single" w:sz="8" w:color="CCEEFF"/>
            </w:tcBorders>
          </w:tcPr>
          <w:p>
            <w:pPr>
              <w:spacing w:after="0"/>
              <w:rPr>
                <w:sz w:val="12"/>
                <w:szCs w:val="12"/>
                <w:color w:val="auto"/>
              </w:rPr>
            </w:pPr>
          </w:p>
        </w:tc>
        <w:tc>
          <w:tcPr>
            <w:tcW w:w="100" w:type="dxa"/>
            <w:vAlign w:val="bottom"/>
            <w:tcBorders>
              <w:bottom w:val="single" w:sz="8" w:color="CCEEFF"/>
            </w:tcBorders>
          </w:tcPr>
          <w:p>
            <w:pPr>
              <w:spacing w:after="0"/>
              <w:rPr>
                <w:sz w:val="12"/>
                <w:szCs w:val="12"/>
                <w:color w:val="auto"/>
              </w:rPr>
            </w:pPr>
          </w:p>
        </w:tc>
        <w:tc>
          <w:tcPr>
            <w:tcW w:w="60" w:type="dxa"/>
            <w:vAlign w:val="bottom"/>
            <w:tcBorders>
              <w:top w:val="single" w:sz="8" w:color="auto"/>
              <w:bottom w:val="single" w:sz="8" w:color="auto"/>
            </w:tcBorders>
          </w:tcPr>
          <w:p>
            <w:pPr>
              <w:spacing w:after="0"/>
              <w:rPr>
                <w:sz w:val="12"/>
                <w:szCs w:val="12"/>
                <w:color w:val="auto"/>
              </w:rPr>
            </w:pPr>
          </w:p>
        </w:tc>
        <w:tc>
          <w:tcPr>
            <w:tcW w:w="9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13.9</w:t>
            </w:r>
          </w:p>
        </w:tc>
        <w:tc>
          <w:tcPr>
            <w:tcW w:w="100" w:type="dxa"/>
            <w:vAlign w:val="bottom"/>
            <w:tcBorders>
              <w:bottom w:val="single" w:sz="8" w:color="CCEEFF"/>
            </w:tcBorders>
          </w:tcPr>
          <w:p>
            <w:pPr>
              <w:spacing w:after="0"/>
              <w:rPr>
                <w:sz w:val="12"/>
                <w:szCs w:val="12"/>
                <w:color w:val="auto"/>
              </w:rPr>
            </w:pPr>
          </w:p>
        </w:tc>
        <w:tc>
          <w:tcPr>
            <w:tcW w:w="100" w:type="dxa"/>
            <w:vAlign w:val="bottom"/>
            <w:tcBorders>
              <w:bottom w:val="single" w:sz="8" w:color="CCEEFF"/>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9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35.6</w:t>
            </w:r>
          </w:p>
        </w:tc>
        <w:tc>
          <w:tcPr>
            <w:tcW w:w="100" w:type="dxa"/>
            <w:vAlign w:val="bottom"/>
            <w:tcBorders>
              <w:bottom w:val="single" w:sz="8" w:color="CCEEFF"/>
            </w:tcBorders>
          </w:tcPr>
          <w:p>
            <w:pPr>
              <w:spacing w:after="0"/>
              <w:rPr>
                <w:sz w:val="12"/>
                <w:szCs w:val="12"/>
                <w:color w:val="auto"/>
              </w:rPr>
            </w:pPr>
          </w:p>
        </w:tc>
        <w:tc>
          <w:tcPr>
            <w:tcW w:w="100" w:type="dxa"/>
            <w:vAlign w:val="bottom"/>
            <w:tcBorders>
              <w:bottom w:val="single" w:sz="8" w:color="CCEEFF"/>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9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9.6</w:t>
            </w:r>
          </w:p>
        </w:tc>
        <w:tc>
          <w:tcPr>
            <w:tcW w:w="200" w:type="dxa"/>
            <w:vAlign w:val="bottom"/>
            <w:tcBorders>
              <w:bottom w:val="single" w:sz="8" w:color="CCEEFF"/>
            </w:tcBorders>
          </w:tcPr>
          <w:p>
            <w:pPr>
              <w:spacing w:after="0"/>
              <w:rPr>
                <w:sz w:val="12"/>
                <w:szCs w:val="12"/>
                <w:color w:val="auto"/>
              </w:rPr>
            </w:pPr>
          </w:p>
        </w:tc>
        <w:tc>
          <w:tcPr>
            <w:tcW w:w="60" w:type="dxa"/>
            <w:vAlign w:val="bottom"/>
            <w:tcBorders>
              <w:top w:val="single" w:sz="8" w:color="auto"/>
              <w:bottom w:val="single" w:sz="8" w:color="auto"/>
            </w:tcBorders>
          </w:tcPr>
          <w:p>
            <w:pPr>
              <w:spacing w:after="0"/>
              <w:rPr>
                <w:sz w:val="12"/>
                <w:szCs w:val="12"/>
                <w:color w:val="auto"/>
              </w:rPr>
            </w:pPr>
          </w:p>
        </w:tc>
        <w:tc>
          <w:tcPr>
            <w:tcW w:w="10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850.0</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840" w:type="dxa"/>
            <w:vAlign w:val="bottom"/>
            <w:tcBorders>
              <w:bottom w:val="single" w:sz="8" w:color="CCEEFF"/>
            </w:tcBorders>
            <w:gridSpan w:val="2"/>
            <w:shd w:val="clear" w:color="auto" w:fill="CCEEFF"/>
          </w:tcPr>
          <w:p>
            <w:pPr>
              <w:spacing w:after="0" w:line="142" w:lineRule="exact"/>
              <w:rPr>
                <w:sz w:val="20"/>
                <w:szCs w:val="20"/>
                <w:color w:val="auto"/>
              </w:rPr>
            </w:pPr>
            <w:r>
              <w:rPr>
                <w:rFonts w:ascii="Arial" w:cs="Arial" w:eastAsia="Arial" w:hAnsi="Arial"/>
                <w:sz w:val="14"/>
                <w:szCs w:val="14"/>
                <w:b w:val="1"/>
                <w:bCs w:val="1"/>
                <w:color w:val="auto"/>
              </w:rPr>
              <w:t>Balances as of June 30, 2021</w:t>
            </w:r>
          </w:p>
        </w:tc>
        <w:tc>
          <w:tcPr>
            <w:tcW w:w="80" w:type="dxa"/>
            <w:vAlign w:val="bottom"/>
            <w:tcBorders>
              <w:bottom w:val="single" w:sz="8" w:color="auto"/>
            </w:tcBorders>
            <w:shd w:val="clear" w:color="auto" w:fill="CCEEFF"/>
          </w:tcPr>
          <w:p>
            <w:pPr>
              <w:spacing w:after="0" w:line="142" w:lineRule="exact"/>
              <w:rPr>
                <w:sz w:val="20"/>
                <w:szCs w:val="20"/>
                <w:color w:val="auto"/>
              </w:rPr>
            </w:pPr>
            <w:r>
              <w:rPr>
                <w:rFonts w:ascii="Arial" w:cs="Arial" w:eastAsia="Arial" w:hAnsi="Arial"/>
                <w:sz w:val="14"/>
                <w:szCs w:val="14"/>
                <w:color w:val="auto"/>
                <w:w w:val="76"/>
              </w:rPr>
              <w:t>$</w:t>
            </w:r>
          </w:p>
        </w:tc>
        <w:tc>
          <w:tcPr>
            <w:tcW w:w="98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3,555.8</w:t>
            </w:r>
          </w:p>
        </w:tc>
        <w:tc>
          <w:tcPr>
            <w:tcW w:w="100" w:type="dxa"/>
            <w:vAlign w:val="bottom"/>
            <w:tcBorders>
              <w:bottom w:val="single" w:sz="8" w:color="CCEEFF"/>
            </w:tcBorders>
            <w:shd w:val="clear" w:color="auto" w:fill="CCEEFF"/>
          </w:tcPr>
          <w:p>
            <w:pPr>
              <w:spacing w:after="0"/>
              <w:rPr>
                <w:sz w:val="12"/>
                <w:szCs w:val="12"/>
                <w:color w:val="auto"/>
              </w:rPr>
            </w:pPr>
          </w:p>
        </w:tc>
        <w:tc>
          <w:tcPr>
            <w:tcW w:w="100" w:type="dxa"/>
            <w:vAlign w:val="bottom"/>
            <w:tcBorders>
              <w:bottom w:val="single" w:sz="8" w:color="CCEEFF"/>
            </w:tcBorders>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98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29.9</w:t>
            </w:r>
          </w:p>
        </w:tc>
        <w:tc>
          <w:tcPr>
            <w:tcW w:w="100" w:type="dxa"/>
            <w:vAlign w:val="bottom"/>
            <w:tcBorders>
              <w:bottom w:val="single" w:sz="8" w:color="CCEEFF"/>
            </w:tcBorders>
            <w:shd w:val="clear" w:color="auto" w:fill="CCEEFF"/>
          </w:tcPr>
          <w:p>
            <w:pPr>
              <w:spacing w:after="0"/>
              <w:rPr>
                <w:sz w:val="12"/>
                <w:szCs w:val="12"/>
                <w:color w:val="auto"/>
              </w:rPr>
            </w:pPr>
          </w:p>
        </w:tc>
        <w:tc>
          <w:tcPr>
            <w:tcW w:w="100" w:type="dxa"/>
            <w:vAlign w:val="bottom"/>
            <w:tcBorders>
              <w:bottom w:val="single" w:sz="8" w:color="CCEEFF"/>
            </w:tcBorders>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0"/>
                <w:szCs w:val="10"/>
                <w:color w:val="auto"/>
                <w:w w:val="71"/>
              </w:rPr>
              <w:t>$</w:t>
            </w:r>
          </w:p>
        </w:tc>
        <w:tc>
          <w:tcPr>
            <w:tcW w:w="92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(1,333.3)</w:t>
            </w:r>
          </w:p>
        </w:tc>
        <w:tc>
          <w:tcPr>
            <w:tcW w:w="100" w:type="dxa"/>
            <w:vAlign w:val="bottom"/>
            <w:tcBorders>
              <w:bottom w:val="single" w:sz="8" w:color="CCEEFF"/>
            </w:tcBorders>
            <w:shd w:val="clear" w:color="auto" w:fill="CCEEFF"/>
          </w:tcPr>
          <w:p>
            <w:pPr>
              <w:spacing w:after="0"/>
              <w:rPr>
                <w:sz w:val="12"/>
                <w:szCs w:val="12"/>
                <w:color w:val="auto"/>
              </w:rPr>
            </w:pPr>
          </w:p>
        </w:tc>
        <w:tc>
          <w:tcPr>
            <w:tcW w:w="100" w:type="dxa"/>
            <w:vAlign w:val="bottom"/>
            <w:tcBorders>
              <w:bottom w:val="single" w:sz="8" w:color="CCEEFF"/>
            </w:tcBorders>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98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(448.6)</w:t>
            </w:r>
          </w:p>
        </w:tc>
        <w:tc>
          <w:tcPr>
            <w:tcW w:w="200" w:type="dxa"/>
            <w:vAlign w:val="bottom"/>
            <w:tcBorders>
              <w:bottom w:val="single" w:sz="8" w:color="CCEEFF"/>
            </w:tcBorders>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100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1,803.8</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vMerge w:val="restart"/>
          </w:tcPr>
          <w:p>
            <w:pPr>
              <w:spacing w:after="0"/>
              <w:rPr>
                <w:sz w:val="11"/>
                <w:szCs w:val="11"/>
                <w:color w:val="auto"/>
              </w:rPr>
            </w:pPr>
          </w:p>
        </w:tc>
        <w:tc>
          <w:tcPr>
            <w:tcW w:w="2460" w:type="dxa"/>
            <w:vAlign w:val="bottom"/>
          </w:tcPr>
          <w:p>
            <w:pPr>
              <w:spacing w:after="0"/>
              <w:rPr>
                <w:sz w:val="11"/>
                <w:szCs w:val="11"/>
                <w:color w:val="auto"/>
              </w:rPr>
            </w:pPr>
          </w:p>
        </w:tc>
        <w:tc>
          <w:tcPr>
            <w:tcW w:w="13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20" w:type="dxa"/>
            <w:vAlign w:val="bottom"/>
            <w:vMerge w:val="restart"/>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38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Balances as of April 1, 2022</w:t>
            </w:r>
          </w:p>
        </w:tc>
        <w:tc>
          <w:tcPr>
            <w:tcW w:w="8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w w:val="76"/>
              </w:rPr>
              <w:t>$</w:t>
            </w:r>
          </w:p>
        </w:tc>
        <w:tc>
          <w:tcPr>
            <w:tcW w:w="10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(206.5)</w:t>
            </w:r>
          </w:p>
        </w:tc>
        <w:tc>
          <w:tcPr>
            <w:tcW w:w="1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9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35.5</w:t>
            </w:r>
          </w:p>
        </w:tc>
        <w:tc>
          <w:tcPr>
            <w:tcW w:w="100" w:type="dxa"/>
            <w:vAlign w:val="bottom"/>
            <w:shd w:val="clear" w:color="auto" w:fill="CCEEFF"/>
          </w:tcPr>
          <w:p>
            <w:pPr>
              <w:spacing w:after="0"/>
              <w:rPr>
                <w:sz w:val="12"/>
                <w:szCs w:val="12"/>
                <w:color w:val="auto"/>
              </w:rPr>
            </w:pPr>
          </w:p>
        </w:tc>
        <w:tc>
          <w:tcPr>
            <w:tcW w:w="220" w:type="dxa"/>
            <w:vAlign w:val="bottom"/>
            <w:gridSpan w:val="2"/>
            <w:shd w:val="clear" w:color="auto" w:fill="CCEEFF"/>
          </w:tcPr>
          <w:p>
            <w:pPr>
              <w:jc w:val="right"/>
              <w:ind w:right="9"/>
              <w:spacing w:after="0" w:line="149" w:lineRule="exact"/>
              <w:rPr>
                <w:sz w:val="20"/>
                <w:szCs w:val="20"/>
                <w:color w:val="auto"/>
              </w:rPr>
            </w:pPr>
            <w:r>
              <w:rPr>
                <w:rFonts w:ascii="Arial" w:cs="Arial" w:eastAsia="Arial" w:hAnsi="Arial"/>
                <w:sz w:val="14"/>
                <w:szCs w:val="14"/>
                <w:b w:val="1"/>
                <w:bCs w:val="1"/>
                <w:color w:val="auto"/>
              </w:rPr>
              <w:t>$</w:t>
            </w:r>
          </w:p>
        </w:tc>
        <w:tc>
          <w:tcPr>
            <w:tcW w:w="10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(1,411.6)</w:t>
            </w:r>
          </w:p>
        </w:tc>
        <w:tc>
          <w:tcPr>
            <w:tcW w:w="1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18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b w:val="1"/>
                <w:bCs w:val="1"/>
                <w:color w:val="auto"/>
              </w:rPr>
              <w:t>(338.0)</w:t>
            </w: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b w:val="1"/>
                <w:bCs w:val="1"/>
                <w:color w:val="auto"/>
                <w:w w:val="71"/>
              </w:rPr>
              <w:t>$</w:t>
            </w:r>
          </w:p>
        </w:tc>
        <w:tc>
          <w:tcPr>
            <w:tcW w:w="10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(1,920.6)</w:t>
            </w:r>
          </w:p>
        </w:tc>
        <w:tc>
          <w:tcPr>
            <w:tcW w:w="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840" w:type="dxa"/>
            <w:vAlign w:val="bottom"/>
            <w:gridSpan w:val="2"/>
          </w:tcPr>
          <w:p>
            <w:pPr>
              <w:spacing w:after="0" w:line="149" w:lineRule="exact"/>
              <w:rPr>
                <w:sz w:val="20"/>
                <w:szCs w:val="20"/>
                <w:color w:val="auto"/>
              </w:rPr>
            </w:pPr>
            <w:r>
              <w:rPr>
                <w:rFonts w:ascii="Arial" w:cs="Arial" w:eastAsia="Arial" w:hAnsi="Arial"/>
                <w:sz w:val="14"/>
                <w:szCs w:val="14"/>
                <w:color w:val="auto"/>
                <w:w w:val="97"/>
              </w:rPr>
              <w:t>Other comprehensive loss during the period, net of adjustments</w:t>
            </w:r>
          </w:p>
        </w:tc>
        <w:tc>
          <w:tcPr>
            <w:tcW w:w="80" w:type="dxa"/>
            <w:vAlign w:val="bottom"/>
          </w:tcPr>
          <w:p>
            <w:pPr>
              <w:spacing w:after="0"/>
              <w:rPr>
                <w:sz w:val="12"/>
                <w:szCs w:val="12"/>
                <w:color w:val="auto"/>
              </w:rPr>
            </w:pPr>
          </w:p>
        </w:tc>
        <w:tc>
          <w:tcPr>
            <w:tcW w:w="108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(3,605.1)</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8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(3.0)</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(270.6)</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1.6</w:t>
            </w:r>
          </w:p>
        </w:tc>
        <w:tc>
          <w:tcPr>
            <w:tcW w:w="2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(3,877.1)</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8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Amounts reclassified from AOCI</w:t>
            </w:r>
          </w:p>
        </w:tc>
        <w:tc>
          <w:tcPr>
            <w:tcW w:w="80" w:type="dxa"/>
            <w:vAlign w:val="bottom"/>
            <w:shd w:val="clear" w:color="auto" w:fill="CCEEFF"/>
          </w:tcPr>
          <w:p>
            <w:pPr>
              <w:spacing w:after="0"/>
              <w:rPr>
                <w:sz w:val="12"/>
                <w:szCs w:val="12"/>
                <w:color w:val="auto"/>
              </w:rPr>
            </w:pPr>
          </w:p>
        </w:tc>
        <w:tc>
          <w:tcPr>
            <w:tcW w:w="9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37.5</w:t>
            </w: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(8.4)</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b w:val="1"/>
                <w:bCs w:val="1"/>
                <w:color w:val="auto"/>
              </w:rPr>
              <w:t>—</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6.7</w:t>
            </w:r>
          </w:p>
        </w:tc>
        <w:tc>
          <w:tcPr>
            <w:tcW w:w="2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35.8</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840" w:type="dxa"/>
            <w:vAlign w:val="bottom"/>
            <w:gridSpan w:val="2"/>
          </w:tcPr>
          <w:p>
            <w:pPr>
              <w:spacing w:after="0" w:line="142" w:lineRule="exact"/>
              <w:rPr>
                <w:sz w:val="20"/>
                <w:szCs w:val="20"/>
                <w:color w:val="auto"/>
              </w:rPr>
            </w:pPr>
            <w:r>
              <w:rPr>
                <w:rFonts w:ascii="Arial" w:cs="Arial" w:eastAsia="Arial" w:hAnsi="Arial"/>
                <w:sz w:val="14"/>
                <w:szCs w:val="14"/>
                <w:color w:val="auto"/>
              </w:rPr>
              <w:t>Other comprehensive loss</w:t>
            </w:r>
          </w:p>
        </w:tc>
        <w:tc>
          <w:tcPr>
            <w:tcW w:w="80" w:type="dxa"/>
            <w:vAlign w:val="bottom"/>
            <w:tcBorders>
              <w:top w:val="single" w:sz="8" w:color="auto"/>
            </w:tcBorders>
          </w:tcPr>
          <w:p>
            <w:pPr>
              <w:spacing w:after="0"/>
              <w:rPr>
                <w:sz w:val="12"/>
                <w:szCs w:val="12"/>
                <w:color w:val="auto"/>
              </w:rPr>
            </w:pPr>
          </w:p>
        </w:tc>
        <w:tc>
          <w:tcPr>
            <w:tcW w:w="98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(3,567.6)</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98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(11.4)</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92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(270.6)</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98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8.3</w:t>
            </w:r>
          </w:p>
        </w:tc>
        <w:tc>
          <w:tcPr>
            <w:tcW w:w="20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0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(3,841.3)</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8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Adjustment for reinsurance (2)</w:t>
            </w:r>
          </w:p>
        </w:tc>
        <w:tc>
          <w:tcPr>
            <w:tcW w:w="80" w:type="dxa"/>
            <w:vAlign w:val="bottom"/>
            <w:shd w:val="clear" w:color="auto" w:fill="CCEEFF"/>
          </w:tcPr>
          <w:p>
            <w:pPr>
              <w:spacing w:after="0"/>
              <w:rPr>
                <w:sz w:val="12"/>
                <w:szCs w:val="12"/>
                <w:color w:val="auto"/>
              </w:rPr>
            </w:pPr>
          </w:p>
        </w:tc>
        <w:tc>
          <w:tcPr>
            <w:tcW w:w="9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124.4</w:t>
            </w: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7.4</w:t>
            </w: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b w:val="1"/>
                <w:bCs w:val="1"/>
                <w:color w:val="auto"/>
              </w:rPr>
              <w:t>—</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180" w:type="dxa"/>
            <w:vAlign w:val="bottom"/>
            <w:gridSpan w:val="2"/>
            <w:shd w:val="clear" w:color="auto" w:fill="CCEEFF"/>
          </w:tcPr>
          <w:p>
            <w:pPr>
              <w:jc w:val="right"/>
              <w:ind w:right="26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10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131.8</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3860" w:type="dxa"/>
            <w:vAlign w:val="bottom"/>
            <w:gridSpan w:val="3"/>
          </w:tcPr>
          <w:p>
            <w:pPr>
              <w:spacing w:after="0" w:line="142" w:lineRule="exact"/>
              <w:rPr>
                <w:sz w:val="20"/>
                <w:szCs w:val="20"/>
                <w:color w:val="auto"/>
              </w:rPr>
            </w:pPr>
            <w:r>
              <w:rPr>
                <w:rFonts w:ascii="Arial" w:cs="Arial" w:eastAsia="Arial" w:hAnsi="Arial"/>
                <w:sz w:val="14"/>
                <w:szCs w:val="14"/>
                <w:b w:val="1"/>
                <w:bCs w:val="1"/>
                <w:color w:val="auto"/>
              </w:rPr>
              <w:t>Balances as of June 30, 2022</w:t>
            </w:r>
          </w:p>
        </w:tc>
        <w:tc>
          <w:tcPr>
            <w:tcW w:w="80" w:type="dxa"/>
            <w:vAlign w:val="bottom"/>
            <w:tcBorders>
              <w:top w:val="single" w:sz="8" w:color="auto"/>
              <w:bottom w:val="single" w:sz="8" w:color="auto"/>
            </w:tcBorders>
          </w:tcPr>
          <w:p>
            <w:pPr>
              <w:spacing w:after="0" w:line="142" w:lineRule="exact"/>
              <w:rPr>
                <w:sz w:val="20"/>
                <w:szCs w:val="20"/>
                <w:color w:val="auto"/>
              </w:rPr>
            </w:pPr>
            <w:r>
              <w:rPr>
                <w:rFonts w:ascii="Arial" w:cs="Arial" w:eastAsia="Arial" w:hAnsi="Arial"/>
                <w:sz w:val="14"/>
                <w:szCs w:val="14"/>
                <w:b w:val="1"/>
                <w:bCs w:val="1"/>
                <w:color w:val="auto"/>
                <w:w w:val="76"/>
              </w:rPr>
              <w:t>$</w:t>
            </w:r>
          </w:p>
        </w:tc>
        <w:tc>
          <w:tcPr>
            <w:tcW w:w="9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(3,649.7)</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9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31.5</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Borders>
              <w:top w:val="single" w:sz="8" w:color="auto"/>
              <w:bottom w:val="single" w:sz="8" w:color="auto"/>
            </w:tcBorders>
          </w:tcPr>
          <w:p>
            <w:pPr>
              <w:jc w:val="right"/>
              <w:ind w:right="9"/>
              <w:spacing w:after="0"/>
              <w:rPr>
                <w:sz w:val="20"/>
                <w:szCs w:val="20"/>
                <w:color w:val="auto"/>
              </w:rPr>
            </w:pPr>
            <w:r>
              <w:rPr>
                <w:rFonts w:ascii="Arial" w:cs="Arial" w:eastAsia="Arial" w:hAnsi="Arial"/>
                <w:sz w:val="10"/>
                <w:szCs w:val="10"/>
                <w:b w:val="1"/>
                <w:bCs w:val="1"/>
                <w:color w:val="auto"/>
                <w:w w:val="71"/>
              </w:rPr>
              <w:t>$</w:t>
            </w:r>
          </w:p>
        </w:tc>
        <w:tc>
          <w:tcPr>
            <w:tcW w:w="9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(1,682.2)</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9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(329.7)</w:t>
            </w:r>
          </w:p>
        </w:tc>
        <w:tc>
          <w:tcPr>
            <w:tcW w:w="20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10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(5,630.1)</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22"/>
        </w:trPr>
        <w:tc>
          <w:tcPr>
            <w:tcW w:w="20" w:type="dxa"/>
            <w:vAlign w:val="bottom"/>
          </w:tcPr>
          <w:p>
            <w:pPr>
              <w:spacing w:after="0"/>
              <w:rPr>
                <w:sz w:val="24"/>
                <w:szCs w:val="24"/>
                <w:color w:val="auto"/>
              </w:rPr>
            </w:pPr>
          </w:p>
        </w:tc>
        <w:tc>
          <w:tcPr>
            <w:tcW w:w="246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8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94"/>
              </w:rPr>
              <w:t>Net unrealized</w:t>
            </w: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8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1"/>
              </w:rPr>
              <w:t>Net unrealized</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3"/>
              </w:rPr>
              <w:t>Foreign</w:t>
            </w: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2"/>
              </w:rPr>
              <w:t>Unrecognized</w:t>
            </w:r>
          </w:p>
        </w:tc>
        <w:tc>
          <w:tcPr>
            <w:tcW w:w="60" w:type="dxa"/>
            <w:vAlign w:val="bottom"/>
          </w:tcPr>
          <w:p>
            <w:pPr>
              <w:spacing w:after="0"/>
              <w:rPr>
                <w:sz w:val="24"/>
                <w:szCs w:val="24"/>
                <w:color w:val="auto"/>
              </w:rPr>
            </w:pPr>
          </w:p>
        </w:tc>
        <w:tc>
          <w:tcPr>
            <w:tcW w:w="102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93"/>
              </w:rPr>
              <w:t>Accumulated</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46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116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85"/>
              </w:rPr>
              <w:t>gains (losses) on</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8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7"/>
              </w:rPr>
              <w:t>gains</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4"/>
              </w:rPr>
              <w:t>currency</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1"/>
              </w:rPr>
              <w:t>postretirement</w:t>
            </w:r>
          </w:p>
        </w:tc>
        <w:tc>
          <w:tcPr>
            <w:tcW w:w="60" w:type="dxa"/>
            <w:vAlign w:val="bottom"/>
          </w:tcPr>
          <w:p>
            <w:pPr>
              <w:spacing w:after="0"/>
              <w:rPr>
                <w:sz w:val="12"/>
                <w:szCs w:val="12"/>
                <w:color w:val="auto"/>
              </w:rPr>
            </w:pPr>
          </w:p>
        </w:tc>
        <w:tc>
          <w:tcPr>
            <w:tcW w:w="10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1"/>
              </w:rPr>
              <w:t>other</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46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116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w w:val="99"/>
              </w:rPr>
              <w:t>available-for-sale</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8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2"/>
              </w:rPr>
              <w:t>on derivative</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4"/>
              </w:rPr>
              <w:t>translation</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1"/>
              </w:rPr>
              <w:t>benefit</w:t>
            </w:r>
          </w:p>
        </w:tc>
        <w:tc>
          <w:tcPr>
            <w:tcW w:w="60" w:type="dxa"/>
            <w:vAlign w:val="bottom"/>
          </w:tcPr>
          <w:p>
            <w:pPr>
              <w:spacing w:after="0"/>
              <w:rPr>
                <w:sz w:val="12"/>
                <w:szCs w:val="12"/>
                <w:color w:val="auto"/>
              </w:rPr>
            </w:pPr>
          </w:p>
        </w:tc>
        <w:tc>
          <w:tcPr>
            <w:tcW w:w="10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9"/>
              </w:rPr>
              <w:t>comprehensive</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8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90"/>
              </w:rPr>
              <w:t>securities (1)</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8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89"/>
              </w:rPr>
              <w:t>instruments</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0"/>
              </w:rPr>
              <w:t>adjustment</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1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2"/>
              </w:rPr>
              <w:t>obligation</w:t>
            </w:r>
          </w:p>
        </w:tc>
        <w:tc>
          <w:tcPr>
            <w:tcW w:w="60" w:type="dxa"/>
            <w:vAlign w:val="bottom"/>
          </w:tcPr>
          <w:p>
            <w:pPr>
              <w:spacing w:after="0"/>
              <w:rPr>
                <w:sz w:val="14"/>
                <w:szCs w:val="14"/>
                <w:color w:val="auto"/>
              </w:rPr>
            </w:pPr>
          </w:p>
        </w:tc>
        <w:tc>
          <w:tcPr>
            <w:tcW w:w="10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8"/>
              </w:rPr>
              <w:t>income (loss)</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2460" w:type="dxa"/>
            <w:vAlign w:val="bottom"/>
          </w:tcPr>
          <w:p>
            <w:pPr>
              <w:spacing w:after="0"/>
              <w:rPr>
                <w:sz w:val="11"/>
                <w:szCs w:val="11"/>
                <w:color w:val="auto"/>
              </w:rPr>
            </w:pPr>
          </w:p>
        </w:tc>
        <w:tc>
          <w:tcPr>
            <w:tcW w:w="138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920" w:type="dxa"/>
            <w:vAlign w:val="bottom"/>
            <w:tcBorders>
              <w:top w:val="single" w:sz="8" w:color="auto"/>
            </w:tcBorders>
          </w:tcPr>
          <w:p>
            <w:pPr>
              <w:jc w:val="center"/>
              <w:ind w:right="28"/>
              <w:spacing w:after="0" w:line="129" w:lineRule="exact"/>
              <w:rPr>
                <w:sz w:val="20"/>
                <w:szCs w:val="20"/>
                <w:color w:val="auto"/>
              </w:rPr>
            </w:pPr>
            <w:r>
              <w:rPr>
                <w:rFonts w:ascii="Arial" w:cs="Arial" w:eastAsia="Arial" w:hAnsi="Arial"/>
                <w:sz w:val="14"/>
                <w:szCs w:val="14"/>
                <w:i w:val="1"/>
                <w:iCs w:val="1"/>
                <w:color w:val="auto"/>
                <w:w w:val="98"/>
              </w:rPr>
              <w:t>(in millions)</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0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8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Balances as of January 1, 2021</w:t>
            </w:r>
          </w:p>
        </w:tc>
        <w:tc>
          <w:tcPr>
            <w:tcW w:w="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w w:val="76"/>
              </w:rPr>
              <w:t>$</w:t>
            </w:r>
          </w:p>
        </w:tc>
        <w:tc>
          <w:tcPr>
            <w:tcW w:w="9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4,138.3</w:t>
            </w:r>
          </w:p>
        </w:tc>
        <w:tc>
          <w:tcPr>
            <w:tcW w:w="100" w:type="dxa"/>
            <w:vAlign w:val="bottom"/>
            <w:shd w:val="clear" w:color="auto" w:fill="CCEEFF"/>
          </w:tcPr>
          <w:p>
            <w:pPr>
              <w:spacing w:after="0"/>
              <w:rPr>
                <w:sz w:val="12"/>
                <w:szCs w:val="12"/>
                <w:color w:val="auto"/>
              </w:rPr>
            </w:pPr>
          </w:p>
        </w:tc>
        <w:tc>
          <w:tcPr>
            <w:tcW w:w="1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18.2</w:t>
            </w:r>
          </w:p>
        </w:tc>
        <w:tc>
          <w:tcPr>
            <w:tcW w:w="100" w:type="dxa"/>
            <w:vAlign w:val="bottom"/>
            <w:shd w:val="clear" w:color="auto" w:fill="CCEEFF"/>
          </w:tcPr>
          <w:p>
            <w:pPr>
              <w:spacing w:after="0"/>
              <w:rPr>
                <w:sz w:val="12"/>
                <w:szCs w:val="12"/>
                <w:color w:val="auto"/>
              </w:rPr>
            </w:pPr>
          </w:p>
        </w:tc>
        <w:tc>
          <w:tcPr>
            <w:tcW w:w="220" w:type="dxa"/>
            <w:vAlign w:val="bottom"/>
            <w:gridSpan w:val="2"/>
            <w:shd w:val="clear" w:color="auto" w:fill="CCEEFF"/>
          </w:tcPr>
          <w:p>
            <w:pPr>
              <w:jc w:val="right"/>
              <w:ind w:right="9"/>
              <w:spacing w:after="0" w:line="149" w:lineRule="exact"/>
              <w:rPr>
                <w:sz w:val="20"/>
                <w:szCs w:val="20"/>
                <w:color w:val="auto"/>
              </w:rPr>
            </w:pPr>
            <w:r>
              <w:rPr>
                <w:rFonts w:ascii="Arial" w:cs="Arial" w:eastAsia="Arial" w:hAnsi="Arial"/>
                <w:sz w:val="14"/>
                <w:szCs w:val="14"/>
                <w:color w:val="auto"/>
              </w:rPr>
              <w:t>$</w:t>
            </w:r>
          </w:p>
        </w:tc>
        <w:tc>
          <w:tcPr>
            <w:tcW w:w="10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(1,312.9)</w:t>
            </w:r>
          </w:p>
        </w:tc>
        <w:tc>
          <w:tcPr>
            <w:tcW w:w="1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18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(460.5)</w:t>
            </w: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10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2,383.1</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840" w:type="dxa"/>
            <w:vAlign w:val="bottom"/>
            <w:gridSpan w:val="2"/>
          </w:tcPr>
          <w:p>
            <w:pPr>
              <w:spacing w:after="0" w:line="149" w:lineRule="exact"/>
              <w:rPr>
                <w:sz w:val="20"/>
                <w:szCs w:val="20"/>
                <w:color w:val="auto"/>
              </w:rPr>
            </w:pPr>
            <w:r>
              <w:rPr>
                <w:rFonts w:ascii="Arial" w:cs="Arial" w:eastAsia="Arial" w:hAnsi="Arial"/>
                <w:sz w:val="14"/>
                <w:szCs w:val="14"/>
                <w:color w:val="auto"/>
                <w:w w:val="97"/>
              </w:rPr>
              <w:t>Other comprehensive loss during the period, net of adjustments</w:t>
            </w:r>
          </w:p>
        </w:tc>
        <w:tc>
          <w:tcPr>
            <w:tcW w:w="80" w:type="dxa"/>
            <w:vAlign w:val="bottom"/>
          </w:tcPr>
          <w:p>
            <w:pPr>
              <w:spacing w:after="0"/>
              <w:rPr>
                <w:sz w:val="12"/>
                <w:szCs w:val="12"/>
                <w:color w:val="auto"/>
              </w:rPr>
            </w:pPr>
          </w:p>
        </w:tc>
        <w:tc>
          <w:tcPr>
            <w:tcW w:w="10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(581.3)</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80" w:type="dxa"/>
            <w:vAlign w:val="bottom"/>
          </w:tcPr>
          <w:p>
            <w:pPr>
              <w:jc w:val="right"/>
              <w:spacing w:after="0" w:line="149" w:lineRule="exact"/>
              <w:rPr>
                <w:sz w:val="20"/>
                <w:szCs w:val="20"/>
                <w:color w:val="auto"/>
              </w:rPr>
            </w:pPr>
            <w:r>
              <w:rPr>
                <w:rFonts w:ascii="Arial" w:cs="Arial" w:eastAsia="Arial" w:hAnsi="Arial"/>
                <w:sz w:val="14"/>
                <w:szCs w:val="14"/>
                <w:color w:val="auto"/>
              </w:rPr>
              <w:t>18.9</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(20.4)</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8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(7.2)</w:t>
            </w:r>
          </w:p>
        </w:tc>
        <w:tc>
          <w:tcPr>
            <w:tcW w:w="60" w:type="dxa"/>
            <w:vAlign w:val="bottom"/>
          </w:tcPr>
          <w:p>
            <w:pPr>
              <w:spacing w:after="0"/>
              <w:rPr>
                <w:sz w:val="12"/>
                <w:szCs w:val="12"/>
                <w:color w:val="auto"/>
              </w:rPr>
            </w:pPr>
          </w:p>
        </w:tc>
        <w:tc>
          <w:tcPr>
            <w:tcW w:w="1000" w:type="dxa"/>
            <w:vAlign w:val="bottom"/>
          </w:tcPr>
          <w:p>
            <w:pPr>
              <w:jc w:val="right"/>
              <w:spacing w:after="0" w:line="149" w:lineRule="exact"/>
              <w:rPr>
                <w:sz w:val="20"/>
                <w:szCs w:val="20"/>
                <w:color w:val="auto"/>
              </w:rPr>
            </w:pPr>
            <w:r>
              <w:rPr>
                <w:rFonts w:ascii="Arial" w:cs="Arial" w:eastAsia="Arial" w:hAnsi="Arial"/>
                <w:sz w:val="14"/>
                <w:szCs w:val="14"/>
                <w:color w:val="auto"/>
              </w:rPr>
              <w:t>(590.0)</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8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Amounts reclassified from AOCI</w:t>
            </w:r>
          </w:p>
        </w:tc>
        <w:tc>
          <w:tcPr>
            <w:tcW w:w="8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(1.2)</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(7.2)</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19.1</w:t>
            </w:r>
          </w:p>
        </w:tc>
        <w:tc>
          <w:tcPr>
            <w:tcW w:w="2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10.7</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840" w:type="dxa"/>
            <w:vAlign w:val="bottom"/>
            <w:tcBorders>
              <w:bottom w:val="single" w:sz="8" w:color="CCEEFF"/>
            </w:tcBorders>
            <w:gridSpan w:val="2"/>
          </w:tcPr>
          <w:p>
            <w:pPr>
              <w:spacing w:after="0" w:line="142" w:lineRule="exact"/>
              <w:rPr>
                <w:sz w:val="20"/>
                <w:szCs w:val="20"/>
                <w:color w:val="auto"/>
              </w:rPr>
            </w:pPr>
            <w:r>
              <w:rPr>
                <w:rFonts w:ascii="Arial" w:cs="Arial" w:eastAsia="Arial" w:hAnsi="Arial"/>
                <w:sz w:val="14"/>
                <w:szCs w:val="14"/>
                <w:color w:val="auto"/>
              </w:rPr>
              <w:t>Other comprehensive loss</w:t>
            </w:r>
          </w:p>
        </w:tc>
        <w:tc>
          <w:tcPr>
            <w:tcW w:w="80" w:type="dxa"/>
            <w:vAlign w:val="bottom"/>
            <w:tcBorders>
              <w:top w:val="single" w:sz="8" w:color="auto"/>
              <w:bottom w:val="single" w:sz="8" w:color="auto"/>
            </w:tcBorders>
          </w:tcPr>
          <w:p>
            <w:pPr>
              <w:spacing w:after="0"/>
              <w:rPr>
                <w:sz w:val="12"/>
                <w:szCs w:val="12"/>
                <w:color w:val="auto"/>
              </w:rPr>
            </w:pPr>
          </w:p>
        </w:tc>
        <w:tc>
          <w:tcPr>
            <w:tcW w:w="9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(582.5)</w:t>
            </w:r>
          </w:p>
        </w:tc>
        <w:tc>
          <w:tcPr>
            <w:tcW w:w="100" w:type="dxa"/>
            <w:vAlign w:val="bottom"/>
            <w:tcBorders>
              <w:bottom w:val="single" w:sz="8" w:color="CCEEFF"/>
            </w:tcBorders>
          </w:tcPr>
          <w:p>
            <w:pPr>
              <w:spacing w:after="0"/>
              <w:rPr>
                <w:sz w:val="12"/>
                <w:szCs w:val="12"/>
                <w:color w:val="auto"/>
              </w:rPr>
            </w:pPr>
          </w:p>
        </w:tc>
        <w:tc>
          <w:tcPr>
            <w:tcW w:w="100" w:type="dxa"/>
            <w:vAlign w:val="bottom"/>
            <w:tcBorders>
              <w:bottom w:val="single" w:sz="8" w:color="CCEEFF"/>
            </w:tcBorders>
          </w:tcPr>
          <w:p>
            <w:pPr>
              <w:spacing w:after="0"/>
              <w:rPr>
                <w:sz w:val="12"/>
                <w:szCs w:val="12"/>
                <w:color w:val="auto"/>
              </w:rPr>
            </w:pPr>
          </w:p>
        </w:tc>
        <w:tc>
          <w:tcPr>
            <w:tcW w:w="60" w:type="dxa"/>
            <w:vAlign w:val="bottom"/>
            <w:tcBorders>
              <w:top w:val="single" w:sz="8" w:color="auto"/>
              <w:bottom w:val="single" w:sz="8" w:color="auto"/>
            </w:tcBorders>
          </w:tcPr>
          <w:p>
            <w:pPr>
              <w:spacing w:after="0"/>
              <w:rPr>
                <w:sz w:val="12"/>
                <w:szCs w:val="12"/>
                <w:color w:val="auto"/>
              </w:rPr>
            </w:pPr>
          </w:p>
        </w:tc>
        <w:tc>
          <w:tcPr>
            <w:tcW w:w="9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11.7</w:t>
            </w:r>
          </w:p>
        </w:tc>
        <w:tc>
          <w:tcPr>
            <w:tcW w:w="100" w:type="dxa"/>
            <w:vAlign w:val="bottom"/>
            <w:tcBorders>
              <w:bottom w:val="single" w:sz="8" w:color="CCEEFF"/>
            </w:tcBorders>
          </w:tcPr>
          <w:p>
            <w:pPr>
              <w:spacing w:after="0"/>
              <w:rPr>
                <w:sz w:val="12"/>
                <w:szCs w:val="12"/>
                <w:color w:val="auto"/>
              </w:rPr>
            </w:pPr>
          </w:p>
        </w:tc>
        <w:tc>
          <w:tcPr>
            <w:tcW w:w="100" w:type="dxa"/>
            <w:vAlign w:val="bottom"/>
            <w:tcBorders>
              <w:bottom w:val="single" w:sz="8" w:color="CCEEFF"/>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9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(20.4)</w:t>
            </w:r>
          </w:p>
        </w:tc>
        <w:tc>
          <w:tcPr>
            <w:tcW w:w="100" w:type="dxa"/>
            <w:vAlign w:val="bottom"/>
            <w:tcBorders>
              <w:bottom w:val="single" w:sz="8" w:color="CCEEFF"/>
            </w:tcBorders>
          </w:tcPr>
          <w:p>
            <w:pPr>
              <w:spacing w:after="0"/>
              <w:rPr>
                <w:sz w:val="12"/>
                <w:szCs w:val="12"/>
                <w:color w:val="auto"/>
              </w:rPr>
            </w:pPr>
          </w:p>
        </w:tc>
        <w:tc>
          <w:tcPr>
            <w:tcW w:w="100" w:type="dxa"/>
            <w:vAlign w:val="bottom"/>
            <w:tcBorders>
              <w:bottom w:val="single" w:sz="8" w:color="CCEEFF"/>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9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11.9</w:t>
            </w:r>
          </w:p>
        </w:tc>
        <w:tc>
          <w:tcPr>
            <w:tcW w:w="200" w:type="dxa"/>
            <w:vAlign w:val="bottom"/>
            <w:tcBorders>
              <w:bottom w:val="single" w:sz="8" w:color="CCEEFF"/>
            </w:tcBorders>
          </w:tcPr>
          <w:p>
            <w:pPr>
              <w:spacing w:after="0"/>
              <w:rPr>
                <w:sz w:val="12"/>
                <w:szCs w:val="12"/>
                <w:color w:val="auto"/>
              </w:rPr>
            </w:pPr>
          </w:p>
        </w:tc>
        <w:tc>
          <w:tcPr>
            <w:tcW w:w="60" w:type="dxa"/>
            <w:vAlign w:val="bottom"/>
            <w:tcBorders>
              <w:top w:val="single" w:sz="8" w:color="auto"/>
              <w:bottom w:val="single" w:sz="8" w:color="auto"/>
            </w:tcBorders>
          </w:tcPr>
          <w:p>
            <w:pPr>
              <w:spacing w:after="0"/>
              <w:rPr>
                <w:sz w:val="12"/>
                <w:szCs w:val="12"/>
                <w:color w:val="auto"/>
              </w:rPr>
            </w:pPr>
          </w:p>
        </w:tc>
        <w:tc>
          <w:tcPr>
            <w:tcW w:w="10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(579.3)</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840" w:type="dxa"/>
            <w:vAlign w:val="bottom"/>
            <w:tcBorders>
              <w:bottom w:val="single" w:sz="8" w:color="CCEEFF"/>
            </w:tcBorders>
            <w:gridSpan w:val="2"/>
            <w:shd w:val="clear" w:color="auto" w:fill="CCEEFF"/>
          </w:tcPr>
          <w:p>
            <w:pPr>
              <w:spacing w:after="0" w:line="142" w:lineRule="exact"/>
              <w:rPr>
                <w:sz w:val="20"/>
                <w:szCs w:val="20"/>
                <w:color w:val="auto"/>
              </w:rPr>
            </w:pPr>
            <w:r>
              <w:rPr>
                <w:rFonts w:ascii="Arial" w:cs="Arial" w:eastAsia="Arial" w:hAnsi="Arial"/>
                <w:sz w:val="14"/>
                <w:szCs w:val="14"/>
                <w:b w:val="1"/>
                <w:bCs w:val="1"/>
                <w:color w:val="auto"/>
              </w:rPr>
              <w:t>Balances as of June 30, 2021</w:t>
            </w:r>
          </w:p>
        </w:tc>
        <w:tc>
          <w:tcPr>
            <w:tcW w:w="80" w:type="dxa"/>
            <w:vAlign w:val="bottom"/>
            <w:tcBorders>
              <w:bottom w:val="single" w:sz="8" w:color="auto"/>
            </w:tcBorders>
            <w:shd w:val="clear" w:color="auto" w:fill="CCEEFF"/>
          </w:tcPr>
          <w:p>
            <w:pPr>
              <w:spacing w:after="0" w:line="142" w:lineRule="exact"/>
              <w:rPr>
                <w:sz w:val="20"/>
                <w:szCs w:val="20"/>
                <w:color w:val="auto"/>
              </w:rPr>
            </w:pPr>
            <w:r>
              <w:rPr>
                <w:rFonts w:ascii="Arial" w:cs="Arial" w:eastAsia="Arial" w:hAnsi="Arial"/>
                <w:sz w:val="14"/>
                <w:szCs w:val="14"/>
                <w:color w:val="auto"/>
                <w:w w:val="76"/>
              </w:rPr>
              <w:t>$</w:t>
            </w:r>
          </w:p>
        </w:tc>
        <w:tc>
          <w:tcPr>
            <w:tcW w:w="98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3,555.8</w:t>
            </w:r>
          </w:p>
        </w:tc>
        <w:tc>
          <w:tcPr>
            <w:tcW w:w="100" w:type="dxa"/>
            <w:vAlign w:val="bottom"/>
            <w:tcBorders>
              <w:bottom w:val="single" w:sz="8" w:color="CCEEFF"/>
            </w:tcBorders>
            <w:shd w:val="clear" w:color="auto" w:fill="CCEEFF"/>
          </w:tcPr>
          <w:p>
            <w:pPr>
              <w:spacing w:after="0"/>
              <w:rPr>
                <w:sz w:val="12"/>
                <w:szCs w:val="12"/>
                <w:color w:val="auto"/>
              </w:rPr>
            </w:pPr>
          </w:p>
        </w:tc>
        <w:tc>
          <w:tcPr>
            <w:tcW w:w="100" w:type="dxa"/>
            <w:vAlign w:val="bottom"/>
            <w:tcBorders>
              <w:bottom w:val="single" w:sz="8" w:color="CCEEFF"/>
            </w:tcBorders>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98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29.9</w:t>
            </w:r>
          </w:p>
        </w:tc>
        <w:tc>
          <w:tcPr>
            <w:tcW w:w="100" w:type="dxa"/>
            <w:vAlign w:val="bottom"/>
            <w:tcBorders>
              <w:bottom w:val="single" w:sz="8" w:color="CCEEFF"/>
            </w:tcBorders>
            <w:shd w:val="clear" w:color="auto" w:fill="CCEEFF"/>
          </w:tcPr>
          <w:p>
            <w:pPr>
              <w:spacing w:after="0"/>
              <w:rPr>
                <w:sz w:val="12"/>
                <w:szCs w:val="12"/>
                <w:color w:val="auto"/>
              </w:rPr>
            </w:pPr>
          </w:p>
        </w:tc>
        <w:tc>
          <w:tcPr>
            <w:tcW w:w="100" w:type="dxa"/>
            <w:vAlign w:val="bottom"/>
            <w:tcBorders>
              <w:bottom w:val="single" w:sz="8" w:color="CCEEFF"/>
            </w:tcBorders>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0"/>
                <w:szCs w:val="10"/>
                <w:color w:val="auto"/>
                <w:w w:val="71"/>
              </w:rPr>
              <w:t>$</w:t>
            </w:r>
          </w:p>
        </w:tc>
        <w:tc>
          <w:tcPr>
            <w:tcW w:w="92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(1,333.3)</w:t>
            </w:r>
          </w:p>
        </w:tc>
        <w:tc>
          <w:tcPr>
            <w:tcW w:w="100" w:type="dxa"/>
            <w:vAlign w:val="bottom"/>
            <w:tcBorders>
              <w:bottom w:val="single" w:sz="8" w:color="CCEEFF"/>
            </w:tcBorders>
            <w:shd w:val="clear" w:color="auto" w:fill="CCEEFF"/>
          </w:tcPr>
          <w:p>
            <w:pPr>
              <w:spacing w:after="0"/>
              <w:rPr>
                <w:sz w:val="12"/>
                <w:szCs w:val="12"/>
                <w:color w:val="auto"/>
              </w:rPr>
            </w:pPr>
          </w:p>
        </w:tc>
        <w:tc>
          <w:tcPr>
            <w:tcW w:w="100" w:type="dxa"/>
            <w:vAlign w:val="bottom"/>
            <w:tcBorders>
              <w:bottom w:val="single" w:sz="8" w:color="CCEEFF"/>
            </w:tcBorders>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98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(448.6)</w:t>
            </w:r>
          </w:p>
        </w:tc>
        <w:tc>
          <w:tcPr>
            <w:tcW w:w="200" w:type="dxa"/>
            <w:vAlign w:val="bottom"/>
            <w:tcBorders>
              <w:bottom w:val="single" w:sz="8" w:color="CCEEFF"/>
            </w:tcBorders>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100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1,803.8</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1020" w:type="dxa"/>
            <w:vAlign w:val="bottom"/>
            <w:gridSpan w:val="2"/>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118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vMerge w:val="restart"/>
          </w:tcPr>
          <w:p>
            <w:pPr>
              <w:spacing w:after="0"/>
              <w:rPr>
                <w:sz w:val="11"/>
                <w:szCs w:val="11"/>
                <w:color w:val="auto"/>
              </w:rPr>
            </w:pPr>
          </w:p>
        </w:tc>
        <w:tc>
          <w:tcPr>
            <w:tcW w:w="2460" w:type="dxa"/>
            <w:vAlign w:val="bottom"/>
          </w:tcPr>
          <w:p>
            <w:pPr>
              <w:spacing w:after="0"/>
              <w:rPr>
                <w:sz w:val="11"/>
                <w:szCs w:val="11"/>
                <w:color w:val="auto"/>
              </w:rPr>
            </w:pPr>
          </w:p>
        </w:tc>
        <w:tc>
          <w:tcPr>
            <w:tcW w:w="138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92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0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38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Balances as of January 1, 2022</w:t>
            </w:r>
          </w:p>
        </w:tc>
        <w:tc>
          <w:tcPr>
            <w:tcW w:w="8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w w:val="76"/>
              </w:rPr>
              <w:t>$</w:t>
            </w:r>
          </w:p>
        </w:tc>
        <w:tc>
          <w:tcPr>
            <w:tcW w:w="9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3,467.4</w:t>
            </w:r>
          </w:p>
        </w:tc>
        <w:tc>
          <w:tcPr>
            <w:tcW w:w="100" w:type="dxa"/>
            <w:vAlign w:val="bottom"/>
            <w:shd w:val="clear" w:color="auto" w:fill="CCEEFF"/>
          </w:tcPr>
          <w:p>
            <w:pPr>
              <w:spacing w:after="0"/>
              <w:rPr>
                <w:sz w:val="12"/>
                <w:szCs w:val="12"/>
                <w:color w:val="auto"/>
              </w:rPr>
            </w:pPr>
          </w:p>
        </w:tc>
        <w:tc>
          <w:tcPr>
            <w:tcW w:w="1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9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51.8</w:t>
            </w:r>
          </w:p>
        </w:tc>
        <w:tc>
          <w:tcPr>
            <w:tcW w:w="100" w:type="dxa"/>
            <w:vAlign w:val="bottom"/>
            <w:shd w:val="clear" w:color="auto" w:fill="CCEEFF"/>
          </w:tcPr>
          <w:p>
            <w:pPr>
              <w:spacing w:after="0"/>
              <w:rPr>
                <w:sz w:val="12"/>
                <w:szCs w:val="12"/>
                <w:color w:val="auto"/>
              </w:rPr>
            </w:pPr>
          </w:p>
        </w:tc>
        <w:tc>
          <w:tcPr>
            <w:tcW w:w="220" w:type="dxa"/>
            <w:vAlign w:val="bottom"/>
            <w:gridSpan w:val="2"/>
            <w:shd w:val="clear" w:color="auto" w:fill="CCEEFF"/>
          </w:tcPr>
          <w:p>
            <w:pPr>
              <w:jc w:val="right"/>
              <w:ind w:right="9"/>
              <w:spacing w:after="0" w:line="149" w:lineRule="exact"/>
              <w:rPr>
                <w:sz w:val="20"/>
                <w:szCs w:val="20"/>
                <w:color w:val="auto"/>
              </w:rPr>
            </w:pPr>
            <w:r>
              <w:rPr>
                <w:rFonts w:ascii="Arial" w:cs="Arial" w:eastAsia="Arial" w:hAnsi="Arial"/>
                <w:sz w:val="14"/>
                <w:szCs w:val="14"/>
                <w:b w:val="1"/>
                <w:bCs w:val="1"/>
                <w:color w:val="auto"/>
              </w:rPr>
              <w:t>$</w:t>
            </w:r>
          </w:p>
        </w:tc>
        <w:tc>
          <w:tcPr>
            <w:tcW w:w="10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(1,563.6)</w:t>
            </w:r>
          </w:p>
        </w:tc>
        <w:tc>
          <w:tcPr>
            <w:tcW w:w="1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18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b w:val="1"/>
                <w:bCs w:val="1"/>
                <w:color w:val="auto"/>
              </w:rPr>
              <w:t>(344.7)</w:t>
            </w: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b w:val="1"/>
                <w:bCs w:val="1"/>
                <w:color w:val="auto"/>
                <w:w w:val="71"/>
              </w:rPr>
              <w:t>$</w:t>
            </w:r>
          </w:p>
        </w:tc>
        <w:tc>
          <w:tcPr>
            <w:tcW w:w="10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1,610.9</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840" w:type="dxa"/>
            <w:vAlign w:val="bottom"/>
            <w:gridSpan w:val="2"/>
          </w:tcPr>
          <w:p>
            <w:pPr>
              <w:spacing w:after="0" w:line="149" w:lineRule="exact"/>
              <w:rPr>
                <w:sz w:val="20"/>
                <w:szCs w:val="20"/>
                <w:color w:val="auto"/>
              </w:rPr>
            </w:pPr>
            <w:r>
              <w:rPr>
                <w:rFonts w:ascii="Arial" w:cs="Arial" w:eastAsia="Arial" w:hAnsi="Arial"/>
                <w:sz w:val="14"/>
                <w:szCs w:val="14"/>
                <w:color w:val="auto"/>
                <w:w w:val="97"/>
              </w:rPr>
              <w:t>Other comprehensive loss during the period, net of adjustments</w:t>
            </w:r>
          </w:p>
        </w:tc>
        <w:tc>
          <w:tcPr>
            <w:tcW w:w="80" w:type="dxa"/>
            <w:vAlign w:val="bottom"/>
          </w:tcPr>
          <w:p>
            <w:pPr>
              <w:spacing w:after="0"/>
              <w:rPr>
                <w:sz w:val="12"/>
                <w:szCs w:val="12"/>
                <w:color w:val="auto"/>
              </w:rPr>
            </w:pPr>
          </w:p>
        </w:tc>
        <w:tc>
          <w:tcPr>
            <w:tcW w:w="108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(7,243.6)</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8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(13.9)</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(118.6)</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1.6</w:t>
            </w:r>
          </w:p>
        </w:tc>
        <w:tc>
          <w:tcPr>
            <w:tcW w:w="2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(7,374.5)</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8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Amounts reclassified from AOCI</w:t>
            </w:r>
          </w:p>
        </w:tc>
        <w:tc>
          <w:tcPr>
            <w:tcW w:w="80" w:type="dxa"/>
            <w:vAlign w:val="bottom"/>
            <w:shd w:val="clear" w:color="auto" w:fill="CCEEFF"/>
          </w:tcPr>
          <w:p>
            <w:pPr>
              <w:spacing w:after="0"/>
              <w:rPr>
                <w:sz w:val="12"/>
                <w:szCs w:val="12"/>
                <w:color w:val="auto"/>
              </w:rPr>
            </w:pPr>
          </w:p>
        </w:tc>
        <w:tc>
          <w:tcPr>
            <w:tcW w:w="9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2.1</w:t>
            </w: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(13.8)</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b w:val="1"/>
                <w:bCs w:val="1"/>
                <w:color w:val="auto"/>
              </w:rPr>
              <w:t>—</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13.4</w:t>
            </w:r>
          </w:p>
        </w:tc>
        <w:tc>
          <w:tcPr>
            <w:tcW w:w="2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1.7</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840" w:type="dxa"/>
            <w:vAlign w:val="bottom"/>
            <w:gridSpan w:val="2"/>
          </w:tcPr>
          <w:p>
            <w:pPr>
              <w:spacing w:after="0" w:line="142" w:lineRule="exact"/>
              <w:rPr>
                <w:sz w:val="20"/>
                <w:szCs w:val="20"/>
                <w:color w:val="auto"/>
              </w:rPr>
            </w:pPr>
            <w:r>
              <w:rPr>
                <w:rFonts w:ascii="Arial" w:cs="Arial" w:eastAsia="Arial" w:hAnsi="Arial"/>
                <w:sz w:val="14"/>
                <w:szCs w:val="14"/>
                <w:color w:val="auto"/>
              </w:rPr>
              <w:t>Other comprehensive loss</w:t>
            </w:r>
          </w:p>
        </w:tc>
        <w:tc>
          <w:tcPr>
            <w:tcW w:w="80" w:type="dxa"/>
            <w:vAlign w:val="bottom"/>
            <w:tcBorders>
              <w:top w:val="single" w:sz="8" w:color="auto"/>
            </w:tcBorders>
          </w:tcPr>
          <w:p>
            <w:pPr>
              <w:spacing w:after="0"/>
              <w:rPr>
                <w:sz w:val="12"/>
                <w:szCs w:val="12"/>
                <w:color w:val="auto"/>
              </w:rPr>
            </w:pPr>
          </w:p>
        </w:tc>
        <w:tc>
          <w:tcPr>
            <w:tcW w:w="98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(7,241.5)</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98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(27.7)</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92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(118.6)</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98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15.0</w:t>
            </w:r>
          </w:p>
        </w:tc>
        <w:tc>
          <w:tcPr>
            <w:tcW w:w="20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0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(7,372.8)</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8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Adjustment for reinsurance (2)</w:t>
            </w:r>
          </w:p>
        </w:tc>
        <w:tc>
          <w:tcPr>
            <w:tcW w:w="80" w:type="dxa"/>
            <w:vAlign w:val="bottom"/>
            <w:shd w:val="clear" w:color="auto" w:fill="CCEEFF"/>
          </w:tcPr>
          <w:p>
            <w:pPr>
              <w:spacing w:after="0"/>
              <w:rPr>
                <w:sz w:val="12"/>
                <w:szCs w:val="12"/>
                <w:color w:val="auto"/>
              </w:rPr>
            </w:pPr>
          </w:p>
        </w:tc>
        <w:tc>
          <w:tcPr>
            <w:tcW w:w="9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124.4</w:t>
            </w: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7.4</w:t>
            </w: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b w:val="1"/>
                <w:bCs w:val="1"/>
                <w:color w:val="auto"/>
              </w:rPr>
              <w:t>—</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180" w:type="dxa"/>
            <w:vAlign w:val="bottom"/>
            <w:gridSpan w:val="2"/>
            <w:shd w:val="clear" w:color="auto" w:fill="CCEEFF"/>
          </w:tcPr>
          <w:p>
            <w:pPr>
              <w:jc w:val="right"/>
              <w:ind w:right="26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10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131.8</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3860" w:type="dxa"/>
            <w:vAlign w:val="bottom"/>
            <w:gridSpan w:val="3"/>
          </w:tcPr>
          <w:p>
            <w:pPr>
              <w:spacing w:after="0" w:line="142" w:lineRule="exact"/>
              <w:rPr>
                <w:sz w:val="20"/>
                <w:szCs w:val="20"/>
                <w:color w:val="auto"/>
              </w:rPr>
            </w:pPr>
            <w:r>
              <w:rPr>
                <w:rFonts w:ascii="Arial" w:cs="Arial" w:eastAsia="Arial" w:hAnsi="Arial"/>
                <w:sz w:val="14"/>
                <w:szCs w:val="14"/>
                <w:b w:val="1"/>
                <w:bCs w:val="1"/>
                <w:color w:val="auto"/>
              </w:rPr>
              <w:t>Balances as of June 30, 2022</w:t>
            </w:r>
          </w:p>
        </w:tc>
        <w:tc>
          <w:tcPr>
            <w:tcW w:w="80" w:type="dxa"/>
            <w:vAlign w:val="bottom"/>
            <w:tcBorders>
              <w:top w:val="single" w:sz="8" w:color="auto"/>
              <w:bottom w:val="single" w:sz="8" w:color="auto"/>
            </w:tcBorders>
          </w:tcPr>
          <w:p>
            <w:pPr>
              <w:spacing w:after="0" w:line="142" w:lineRule="exact"/>
              <w:rPr>
                <w:sz w:val="20"/>
                <w:szCs w:val="20"/>
                <w:color w:val="auto"/>
              </w:rPr>
            </w:pPr>
            <w:r>
              <w:rPr>
                <w:rFonts w:ascii="Arial" w:cs="Arial" w:eastAsia="Arial" w:hAnsi="Arial"/>
                <w:sz w:val="14"/>
                <w:szCs w:val="14"/>
                <w:b w:val="1"/>
                <w:bCs w:val="1"/>
                <w:color w:val="auto"/>
                <w:w w:val="76"/>
              </w:rPr>
              <w:t>$</w:t>
            </w:r>
          </w:p>
        </w:tc>
        <w:tc>
          <w:tcPr>
            <w:tcW w:w="9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(3,649.7)</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9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31.5</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Borders>
              <w:top w:val="single" w:sz="8" w:color="auto"/>
              <w:bottom w:val="single" w:sz="8" w:color="auto"/>
            </w:tcBorders>
          </w:tcPr>
          <w:p>
            <w:pPr>
              <w:jc w:val="right"/>
              <w:ind w:right="9"/>
              <w:spacing w:after="0"/>
              <w:rPr>
                <w:sz w:val="20"/>
                <w:szCs w:val="20"/>
                <w:color w:val="auto"/>
              </w:rPr>
            </w:pPr>
            <w:r>
              <w:rPr>
                <w:rFonts w:ascii="Arial" w:cs="Arial" w:eastAsia="Arial" w:hAnsi="Arial"/>
                <w:sz w:val="10"/>
                <w:szCs w:val="10"/>
                <w:b w:val="1"/>
                <w:bCs w:val="1"/>
                <w:color w:val="auto"/>
                <w:w w:val="71"/>
              </w:rPr>
              <w:t>$</w:t>
            </w:r>
          </w:p>
        </w:tc>
        <w:tc>
          <w:tcPr>
            <w:tcW w:w="9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(1,682.2)</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9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(329.7)</w:t>
            </w:r>
          </w:p>
        </w:tc>
        <w:tc>
          <w:tcPr>
            <w:tcW w:w="20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10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(5,630.1)</w:t>
            </w:r>
          </w:p>
        </w:tc>
        <w:tc>
          <w:tcPr>
            <w:tcW w:w="2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2460" w:type="dxa"/>
            <w:vAlign w:val="bottom"/>
            <w:tcBorders>
              <w:bottom w:val="single" w:sz="8" w:color="auto"/>
            </w:tcBorders>
          </w:tcPr>
          <w:p>
            <w:pPr>
              <w:spacing w:after="0"/>
              <w:rPr>
                <w:sz w:val="7"/>
                <w:szCs w:val="7"/>
                <w:color w:val="auto"/>
              </w:rPr>
            </w:pPr>
          </w:p>
        </w:tc>
        <w:tc>
          <w:tcPr>
            <w:tcW w:w="1380" w:type="dxa"/>
            <w:vAlign w:val="bottom"/>
          </w:tcPr>
          <w:p>
            <w:pPr>
              <w:spacing w:after="0"/>
              <w:rPr>
                <w:sz w:val="7"/>
                <w:szCs w:val="7"/>
                <w:color w:val="auto"/>
              </w:rPr>
            </w:pPr>
          </w:p>
        </w:tc>
        <w:tc>
          <w:tcPr>
            <w:tcW w:w="80" w:type="dxa"/>
            <w:vAlign w:val="bottom"/>
          </w:tcPr>
          <w:p>
            <w:pPr>
              <w:spacing w:after="0"/>
              <w:rPr>
                <w:sz w:val="7"/>
                <w:szCs w:val="7"/>
                <w:color w:val="auto"/>
              </w:rPr>
            </w:pPr>
          </w:p>
        </w:tc>
        <w:tc>
          <w:tcPr>
            <w:tcW w:w="9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Pr>
          <w:p>
            <w:pPr>
              <w:spacing w:after="0"/>
              <w:rPr>
                <w:sz w:val="7"/>
                <w:szCs w:val="7"/>
                <w:color w:val="auto"/>
              </w:rPr>
            </w:pPr>
          </w:p>
        </w:tc>
        <w:tc>
          <w:tcPr>
            <w:tcW w:w="9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9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80" w:type="dxa"/>
            <w:vAlign w:val="bottom"/>
          </w:tcPr>
          <w:p>
            <w:pPr>
              <w:spacing w:after="0"/>
              <w:rPr>
                <w:sz w:val="7"/>
                <w:szCs w:val="7"/>
                <w:color w:val="auto"/>
              </w:rPr>
            </w:pPr>
          </w:p>
        </w:tc>
        <w:tc>
          <w:tcPr>
            <w:tcW w:w="980" w:type="dxa"/>
            <w:vAlign w:val="bottom"/>
          </w:tcPr>
          <w:p>
            <w:pPr>
              <w:spacing w:after="0"/>
              <w:rPr>
                <w:sz w:val="7"/>
                <w:szCs w:val="7"/>
                <w:color w:val="auto"/>
              </w:rPr>
            </w:pPr>
          </w:p>
        </w:tc>
        <w:tc>
          <w:tcPr>
            <w:tcW w:w="20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80" w:lineRule="exact"/>
        <w:rPr>
          <w:sz w:val="20"/>
          <w:szCs w:val="20"/>
          <w:color w:val="auto"/>
        </w:rPr>
      </w:pPr>
    </w:p>
    <w:p>
      <w:pPr>
        <w:ind w:left="340" w:right="80" w:hanging="332"/>
        <w:spacing w:after="0" w:line="258" w:lineRule="auto"/>
        <w:tabs>
          <w:tab w:leader="none" w:pos="3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Net unrealized losses on available-for-sale securities for which an allowance for credit loss has been recorded were $2.1 million and $29.3 million as of June 30, 2022 and 2021, respectively.</w:t>
      </w:r>
    </w:p>
    <w:p>
      <w:pPr>
        <w:spacing w:after="0" w:line="1" w:lineRule="exact"/>
        <w:rPr>
          <w:rFonts w:ascii="Arial" w:cs="Arial" w:eastAsia="Arial" w:hAnsi="Arial"/>
          <w:sz w:val="18"/>
          <w:szCs w:val="18"/>
          <w:color w:val="auto"/>
        </w:rPr>
      </w:pPr>
    </w:p>
    <w:p>
      <w:pPr>
        <w:ind w:left="340" w:hanging="332"/>
        <w:spacing w:after="0"/>
        <w:tabs>
          <w:tab w:leader="none" w:pos="3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Reflects the January 1, 2022, balance associated with our ULSG business that was ceded to Talcott Life &amp; Annuity Re.</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Noncontrolling Interest</w:t>
      </w:r>
    </w:p>
    <w:p>
      <w:pPr>
        <w:spacing w:after="0" w:line="229" w:lineRule="exact"/>
        <w:rPr>
          <w:sz w:val="20"/>
          <w:szCs w:val="20"/>
          <w:color w:val="auto"/>
        </w:rPr>
      </w:pPr>
    </w:p>
    <w:p>
      <w:pPr>
        <w:ind w:firstLine="648"/>
        <w:spacing w:after="0" w:line="263" w:lineRule="auto"/>
        <w:rPr>
          <w:sz w:val="20"/>
          <w:szCs w:val="20"/>
          <w:color w:val="auto"/>
        </w:rPr>
      </w:pPr>
      <w:r>
        <w:rPr>
          <w:rFonts w:ascii="Arial" w:cs="Arial" w:eastAsia="Arial" w:hAnsi="Arial"/>
          <w:sz w:val="18"/>
          <w:szCs w:val="18"/>
          <w:color w:val="auto"/>
        </w:rPr>
        <w:t>Interests held by unaffiliated parties in consolidated entities are reflected in noncontrolling interest, which represents the noncontrolling partners’ share of the underlying net assets of our consolidated subsidiaries. Noncontrolling interest that is not redeemable is reported in the equity section of the consolidated statements of financial position.</w:t>
      </w:r>
    </w:p>
    <w:p>
      <w:pPr>
        <w:spacing w:after="0" w:line="184" w:lineRule="exact"/>
        <w:rPr>
          <w:sz w:val="20"/>
          <w:szCs w:val="20"/>
          <w:color w:val="auto"/>
        </w:rPr>
      </w:pPr>
    </w:p>
    <w:p>
      <w:pPr>
        <w:ind w:right="60" w:firstLine="648"/>
        <w:spacing w:after="0" w:line="275" w:lineRule="auto"/>
        <w:rPr>
          <w:sz w:val="20"/>
          <w:szCs w:val="20"/>
          <w:color w:val="auto"/>
        </w:rPr>
      </w:pPr>
      <w:r>
        <w:rPr>
          <w:rFonts w:ascii="Arial" w:cs="Arial" w:eastAsia="Arial" w:hAnsi="Arial"/>
          <w:sz w:val="17"/>
          <w:szCs w:val="17"/>
          <w:color w:val="auto"/>
        </w:rPr>
        <w:t>The noncontrolling interest holders in certain of our consolidated entities maintain an equity interest that is redeemable at the option of the holder, which may be exercised on varying dates. Since redemption of the noncontrolling interest is outside of our control, this interest is excluded from stockholders’ equity and reported separately as redeemable noncontrolling interest on the consolidated statements of financial position. Our redeemable noncontrolling interest primarily relates to consolidated sponsored investment funds for which interests are redeemed at fair value from the net assets of the funds.</w:t>
      </w:r>
    </w:p>
    <w:p>
      <w:pPr>
        <w:spacing w:after="0" w:line="3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540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58" w:name="page59"/>
    <w:bookmarkEnd w:id="58"/>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right="40" w:firstLine="648"/>
        <w:spacing w:after="0" w:line="289" w:lineRule="auto"/>
        <w:rPr>
          <w:sz w:val="20"/>
          <w:szCs w:val="20"/>
          <w:color w:val="auto"/>
        </w:rPr>
      </w:pPr>
      <w:r>
        <w:rPr>
          <w:rFonts w:ascii="Arial" w:cs="Arial" w:eastAsia="Arial" w:hAnsi="Arial"/>
          <w:sz w:val="16"/>
          <w:szCs w:val="16"/>
          <w:color w:val="auto"/>
        </w:rPr>
        <w:t>For our redeemable noncontrolling interest related to other consolidated subsidiaries, redemptions are required to be purchased at fair value or a value based on a formula that management intended to reasonably approximate fair value based on a fixed multiple of earnings over a measurement period. The carrying value of the redeemable noncontrolling interest is compared to the redemption value at each reporting period. Any adjustments to the carrying amount of the redeemable noncontrolling interest for changes in redemption value prior to exercise of the redemption option are determined after the attribution of net income or loss of the subsidiary and are recognized in the redemption value as they occur. Adjustments to the carrying value of redeemable noncontrolling interest result in adjustments to additional paid-in capital and/or retained earnings. Adjustments are recorded in retained earnings to the extent the redemption value of the redeemable noncontrolling interest exceeds its fair value and will impact the numerator in our earnings per share calculations. All other adjustments to the redeemable noncontrolling interest are recorded in additional paid-in capital.</w:t>
      </w:r>
    </w:p>
    <w:p>
      <w:pPr>
        <w:spacing w:after="0" w:line="16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Following is a reconciliation of the changes in the redeemable noncontrolling interest (in millions):</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480" w:type="dxa"/>
            <w:vAlign w:val="bottom"/>
          </w:tcPr>
          <w:p>
            <w:pPr>
              <w:spacing w:after="0"/>
              <w:rPr>
                <w:sz w:val="14"/>
                <w:szCs w:val="14"/>
                <w:color w:val="auto"/>
              </w:rPr>
            </w:pPr>
          </w:p>
        </w:tc>
        <w:tc>
          <w:tcPr>
            <w:tcW w:w="3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920" w:type="dxa"/>
            <w:vAlign w:val="bottom"/>
            <w:gridSpan w:val="6"/>
          </w:tcPr>
          <w:p>
            <w:pPr>
              <w:jc w:val="right"/>
              <w:ind w:right="160"/>
              <w:spacing w:after="0"/>
              <w:rPr>
                <w:sz w:val="20"/>
                <w:szCs w:val="20"/>
                <w:color w:val="auto"/>
              </w:rPr>
            </w:pPr>
            <w:r>
              <w:rPr>
                <w:rFonts w:ascii="Arial" w:cs="Arial" w:eastAsia="Arial" w:hAnsi="Arial"/>
                <w:sz w:val="14"/>
                <w:szCs w:val="14"/>
                <w:b w:val="1"/>
                <w:bCs w:val="1"/>
                <w:color w:val="auto"/>
                <w:w w:val="93"/>
              </w:rPr>
              <w:t>For the three months ended</w:t>
            </w: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940" w:type="dxa"/>
            <w:vAlign w:val="bottom"/>
            <w:gridSpan w:val="5"/>
          </w:tcPr>
          <w:p>
            <w:pPr>
              <w:jc w:val="right"/>
              <w:ind w:right="212"/>
              <w:spacing w:after="0"/>
              <w:rPr>
                <w:sz w:val="20"/>
                <w:szCs w:val="20"/>
                <w:color w:val="auto"/>
              </w:rPr>
            </w:pPr>
            <w:r>
              <w:rPr>
                <w:rFonts w:ascii="Arial" w:cs="Arial" w:eastAsia="Arial" w:hAnsi="Arial"/>
                <w:sz w:val="14"/>
                <w:szCs w:val="14"/>
                <w:b w:val="1"/>
                <w:bCs w:val="1"/>
                <w:color w:val="auto"/>
                <w:w w:val="95"/>
              </w:rPr>
              <w:t>For the six months ended</w:t>
            </w:r>
          </w:p>
        </w:tc>
        <w:tc>
          <w:tcPr>
            <w:tcW w:w="0" w:type="dxa"/>
            <w:vAlign w:val="bottom"/>
          </w:tcPr>
          <w:p>
            <w:pPr>
              <w:spacing w:after="0"/>
              <w:rPr>
                <w:sz w:val="1"/>
                <w:szCs w:val="1"/>
                <w:color w:val="auto"/>
              </w:rPr>
            </w:pPr>
          </w:p>
        </w:tc>
      </w:tr>
      <w:tr>
        <w:trPr>
          <w:trHeight w:val="171"/>
        </w:trPr>
        <w:tc>
          <w:tcPr>
            <w:tcW w:w="2480" w:type="dxa"/>
            <w:vAlign w:val="bottom"/>
          </w:tcPr>
          <w:p>
            <w:pPr>
              <w:spacing w:after="0"/>
              <w:rPr>
                <w:sz w:val="14"/>
                <w:szCs w:val="14"/>
                <w:color w:val="auto"/>
              </w:rPr>
            </w:pPr>
          </w:p>
        </w:tc>
        <w:tc>
          <w:tcPr>
            <w:tcW w:w="3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4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June 30,</w:t>
            </w:r>
          </w:p>
        </w:tc>
        <w:tc>
          <w:tcPr>
            <w:tcW w:w="60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gridSpan w:val="4"/>
          </w:tcPr>
          <w:p>
            <w:pPr>
              <w:jc w:val="right"/>
              <w:ind w:right="27"/>
              <w:spacing w:after="0"/>
              <w:rPr>
                <w:sz w:val="20"/>
                <w:szCs w:val="20"/>
                <w:color w:val="auto"/>
              </w:rPr>
            </w:pPr>
            <w:r>
              <w:rPr>
                <w:rFonts w:ascii="Arial" w:cs="Arial" w:eastAsia="Arial" w:hAnsi="Arial"/>
                <w:sz w:val="14"/>
                <w:szCs w:val="14"/>
                <w:b w:val="1"/>
                <w:bCs w:val="1"/>
                <w:color w:val="auto"/>
              </w:rPr>
              <w:t>June 30,</w:t>
            </w:r>
          </w:p>
        </w:tc>
        <w:tc>
          <w:tcPr>
            <w:tcW w:w="74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480" w:type="dxa"/>
            <w:vAlign w:val="bottom"/>
          </w:tcPr>
          <w:p>
            <w:pPr>
              <w:spacing w:after="0"/>
              <w:rPr>
                <w:sz w:val="12"/>
                <w:szCs w:val="12"/>
                <w:color w:val="auto"/>
              </w:rPr>
            </w:pPr>
          </w:p>
        </w:tc>
        <w:tc>
          <w:tcPr>
            <w:tcW w:w="3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ind w:right="174"/>
              <w:spacing w:after="0" w:line="142" w:lineRule="exact"/>
              <w:rPr>
                <w:sz w:val="20"/>
                <w:szCs w:val="20"/>
                <w:color w:val="auto"/>
              </w:rPr>
            </w:pPr>
            <w:r>
              <w:rPr>
                <w:rFonts w:ascii="Arial" w:cs="Arial" w:eastAsia="Arial" w:hAnsi="Arial"/>
                <w:sz w:val="14"/>
                <w:szCs w:val="14"/>
                <w:b w:val="1"/>
                <w:bCs w:val="1"/>
                <w:color w:val="auto"/>
              </w:rPr>
              <w:t>2022</w:t>
            </w:r>
          </w:p>
        </w:tc>
        <w:tc>
          <w:tcPr>
            <w:tcW w:w="200" w:type="dxa"/>
            <w:vAlign w:val="bottom"/>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jc w:val="right"/>
              <w:ind w:right="174"/>
              <w:spacing w:after="0" w:line="142" w:lineRule="exact"/>
              <w:rPr>
                <w:sz w:val="20"/>
                <w:szCs w:val="20"/>
                <w:color w:val="auto"/>
              </w:rPr>
            </w:pPr>
            <w:r>
              <w:rPr>
                <w:rFonts w:ascii="Arial" w:cs="Arial" w:eastAsia="Arial" w:hAnsi="Arial"/>
                <w:sz w:val="14"/>
                <w:szCs w:val="14"/>
                <w:b w:val="1"/>
                <w:bCs w:val="1"/>
                <w:color w:val="auto"/>
              </w:rPr>
              <w:t>2021</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ind w:right="255"/>
              <w:spacing w:after="0" w:line="142" w:lineRule="exact"/>
              <w:rPr>
                <w:sz w:val="20"/>
                <w:szCs w:val="20"/>
                <w:color w:val="auto"/>
              </w:rPr>
            </w:pPr>
            <w:r>
              <w:rPr>
                <w:rFonts w:ascii="Arial" w:cs="Arial" w:eastAsia="Arial" w:hAnsi="Arial"/>
                <w:sz w:val="14"/>
                <w:szCs w:val="14"/>
                <w:b w:val="1"/>
                <w:bCs w:val="1"/>
                <w:color w:val="auto"/>
              </w:rPr>
              <w:t>2022</w:t>
            </w:r>
          </w:p>
        </w:tc>
        <w:tc>
          <w:tcPr>
            <w:tcW w:w="2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740" w:type="dxa"/>
            <w:vAlign w:val="bottom"/>
            <w:tcBorders>
              <w:bottom w:val="single" w:sz="8" w:color="auto"/>
            </w:tcBorders>
          </w:tcPr>
          <w:p>
            <w:pPr>
              <w:jc w:val="right"/>
              <w:ind w:right="252"/>
              <w:spacing w:after="0" w:line="142" w:lineRule="exact"/>
              <w:rPr>
                <w:sz w:val="20"/>
                <w:szCs w:val="20"/>
                <w:color w:val="auto"/>
              </w:rPr>
            </w:pPr>
            <w:r>
              <w:rPr>
                <w:rFonts w:ascii="Arial" w:cs="Arial" w:eastAsia="Arial" w:hAnsi="Arial"/>
                <w:sz w:val="14"/>
                <w:szCs w:val="14"/>
                <w:b w:val="1"/>
                <w:bCs w:val="1"/>
                <w:color w:val="auto"/>
              </w:rPr>
              <w:t>2021</w:t>
            </w:r>
          </w:p>
        </w:tc>
        <w:tc>
          <w:tcPr>
            <w:tcW w:w="0" w:type="dxa"/>
            <w:vAlign w:val="bottom"/>
          </w:tcPr>
          <w:p>
            <w:pPr>
              <w:spacing w:after="0"/>
              <w:rPr>
                <w:sz w:val="1"/>
                <w:szCs w:val="1"/>
                <w:color w:val="auto"/>
              </w:rPr>
            </w:pPr>
          </w:p>
        </w:tc>
      </w:tr>
      <w:tr>
        <w:trPr>
          <w:trHeight w:val="128"/>
        </w:trPr>
        <w:tc>
          <w:tcPr>
            <w:tcW w:w="2480" w:type="dxa"/>
            <w:vAlign w:val="bottom"/>
          </w:tcPr>
          <w:p>
            <w:pPr>
              <w:spacing w:after="0"/>
              <w:rPr>
                <w:sz w:val="11"/>
                <w:szCs w:val="11"/>
                <w:color w:val="auto"/>
              </w:rPr>
            </w:pPr>
          </w:p>
        </w:tc>
        <w:tc>
          <w:tcPr>
            <w:tcW w:w="32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80" w:type="dxa"/>
            <w:vAlign w:val="bottom"/>
            <w:gridSpan w:val="3"/>
          </w:tcPr>
          <w:p>
            <w:pPr>
              <w:ind w:left="500"/>
              <w:spacing w:after="0" w:line="129" w:lineRule="exact"/>
              <w:rPr>
                <w:sz w:val="20"/>
                <w:szCs w:val="20"/>
                <w:color w:val="auto"/>
              </w:rPr>
            </w:pPr>
            <w:r>
              <w:rPr>
                <w:rFonts w:ascii="Arial" w:cs="Arial" w:eastAsia="Arial" w:hAnsi="Arial"/>
                <w:sz w:val="14"/>
                <w:szCs w:val="14"/>
                <w:i w:val="1"/>
                <w:iCs w:val="1"/>
                <w:color w:val="auto"/>
              </w:rPr>
              <w:t>(in</w:t>
            </w:r>
          </w:p>
        </w:tc>
        <w:tc>
          <w:tcPr>
            <w:tcW w:w="960" w:type="dxa"/>
            <w:vAlign w:val="bottom"/>
            <w:gridSpan w:val="2"/>
          </w:tcPr>
          <w:p>
            <w:pPr>
              <w:spacing w:after="0" w:line="129" w:lineRule="exact"/>
              <w:rPr>
                <w:sz w:val="20"/>
                <w:szCs w:val="20"/>
                <w:color w:val="auto"/>
              </w:rPr>
            </w:pPr>
            <w:r>
              <w:rPr>
                <w:rFonts w:ascii="Arial" w:cs="Arial" w:eastAsia="Arial" w:hAnsi="Arial"/>
                <w:sz w:val="14"/>
                <w:szCs w:val="14"/>
                <w:i w:val="1"/>
                <w:iCs w:val="1"/>
                <w:color w:val="auto"/>
              </w:rPr>
              <w:t>millions)</w:t>
            </w:r>
          </w:p>
        </w:tc>
        <w:tc>
          <w:tcPr>
            <w:tcW w:w="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57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Balance at beginning of period</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306.8</w:t>
            </w: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263.5</w:t>
            </w:r>
          </w:p>
        </w:tc>
        <w:tc>
          <w:tcPr>
            <w:tcW w:w="100" w:type="dxa"/>
            <w:vAlign w:val="bottom"/>
            <w:shd w:val="clear" w:color="auto" w:fill="CCEEFF"/>
          </w:tcPr>
          <w:p>
            <w:pPr>
              <w:spacing w:after="0"/>
              <w:rPr>
                <w:sz w:val="18"/>
                <w:szCs w:val="18"/>
                <w:color w:val="auto"/>
              </w:rPr>
            </w:pPr>
          </w:p>
        </w:tc>
        <w:tc>
          <w:tcPr>
            <w:tcW w:w="280" w:type="dxa"/>
            <w:vAlign w:val="bottom"/>
            <w:gridSpan w:val="2"/>
            <w:shd w:val="clear" w:color="auto" w:fill="CCEEFF"/>
          </w:tcPr>
          <w:p>
            <w:pPr>
              <w:ind w:left="80"/>
              <w:spacing w:after="0"/>
              <w:rPr>
                <w:sz w:val="20"/>
                <w:szCs w:val="20"/>
                <w:color w:val="auto"/>
              </w:rPr>
            </w:pPr>
            <w:r>
              <w:rPr>
                <w:rFonts w:ascii="Arial" w:cs="Arial" w:eastAsia="Arial" w:hAnsi="Arial"/>
                <w:sz w:val="18"/>
                <w:szCs w:val="18"/>
                <w:b w:val="1"/>
                <w:bCs w:val="1"/>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332.5</w:t>
            </w:r>
          </w:p>
        </w:tc>
        <w:tc>
          <w:tcPr>
            <w:tcW w:w="200" w:type="dxa"/>
            <w:vAlign w:val="bottom"/>
            <w:shd w:val="clear" w:color="auto" w:fill="CCEEFF"/>
          </w:tcPr>
          <w:p>
            <w:pPr>
              <w:spacing w:after="0"/>
              <w:rPr>
                <w:sz w:val="18"/>
                <w:szCs w:val="18"/>
                <w:color w:val="auto"/>
              </w:rPr>
            </w:pPr>
          </w:p>
        </w:tc>
        <w:tc>
          <w:tcPr>
            <w:tcW w:w="240" w:type="dxa"/>
            <w:vAlign w:val="bottom"/>
            <w:gridSpan w:val="2"/>
            <w:shd w:val="clear" w:color="auto" w:fill="CCEEFF"/>
          </w:tcPr>
          <w:p>
            <w:pPr>
              <w:jc w:val="right"/>
              <w:ind w:right="67"/>
              <w:spacing w:after="0"/>
              <w:rPr>
                <w:sz w:val="20"/>
                <w:szCs w:val="20"/>
                <w:color w:val="auto"/>
              </w:rPr>
            </w:pPr>
            <w:r>
              <w:rPr>
                <w:rFonts w:ascii="Arial" w:cs="Arial" w:eastAsia="Arial" w:hAnsi="Arial"/>
                <w:sz w:val="18"/>
                <w:szCs w:val="18"/>
                <w:color w:val="auto"/>
                <w:w w:val="79"/>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255.6</w:t>
            </w:r>
          </w:p>
        </w:tc>
        <w:tc>
          <w:tcPr>
            <w:tcW w:w="0" w:type="dxa"/>
            <w:vAlign w:val="bottom"/>
          </w:tcPr>
          <w:p>
            <w:pPr>
              <w:spacing w:after="0"/>
              <w:rPr>
                <w:sz w:val="1"/>
                <w:szCs w:val="1"/>
                <w:color w:val="auto"/>
              </w:rPr>
            </w:pPr>
          </w:p>
        </w:tc>
      </w:tr>
      <w:tr>
        <w:trPr>
          <w:trHeight w:val="216"/>
        </w:trPr>
        <w:tc>
          <w:tcPr>
            <w:tcW w:w="5700" w:type="dxa"/>
            <w:vAlign w:val="bottom"/>
            <w:gridSpan w:val="2"/>
          </w:tcPr>
          <w:p>
            <w:pPr>
              <w:spacing w:after="0"/>
              <w:rPr>
                <w:sz w:val="20"/>
                <w:szCs w:val="20"/>
                <w:color w:val="auto"/>
              </w:rPr>
            </w:pPr>
            <w:r>
              <w:rPr>
                <w:rFonts w:ascii="Arial" w:cs="Arial" w:eastAsia="Arial" w:hAnsi="Arial"/>
                <w:sz w:val="18"/>
                <w:szCs w:val="18"/>
                <w:color w:val="auto"/>
              </w:rPr>
              <w:t>Net income (loss) attributable to redeemable noncontrolling interest</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4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(23.1)</w:t>
            </w:r>
          </w:p>
        </w:tc>
        <w:tc>
          <w:tcPr>
            <w:tcW w:w="2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8.6</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6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(33.4)</w:t>
            </w: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6.8</w:t>
            </w:r>
          </w:p>
        </w:tc>
        <w:tc>
          <w:tcPr>
            <w:tcW w:w="0" w:type="dxa"/>
            <w:vAlign w:val="bottom"/>
          </w:tcPr>
          <w:p>
            <w:pPr>
              <w:spacing w:after="0"/>
              <w:rPr>
                <w:sz w:val="1"/>
                <w:szCs w:val="1"/>
                <w:color w:val="auto"/>
              </w:rPr>
            </w:pPr>
          </w:p>
        </w:tc>
      </w:tr>
      <w:tr>
        <w:trPr>
          <w:trHeight w:val="216"/>
        </w:trPr>
        <w:tc>
          <w:tcPr>
            <w:tcW w:w="57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Contributions from redeemable noncontrolling interest</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7.0</w:t>
            </w: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70.2</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31.0</w:t>
            </w: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88.0</w:t>
            </w:r>
          </w:p>
        </w:tc>
        <w:tc>
          <w:tcPr>
            <w:tcW w:w="0" w:type="dxa"/>
            <w:vAlign w:val="bottom"/>
          </w:tcPr>
          <w:p>
            <w:pPr>
              <w:spacing w:after="0"/>
              <w:rPr>
                <w:sz w:val="1"/>
                <w:szCs w:val="1"/>
                <w:color w:val="auto"/>
              </w:rPr>
            </w:pPr>
          </w:p>
        </w:tc>
      </w:tr>
      <w:tr>
        <w:trPr>
          <w:trHeight w:val="216"/>
        </w:trPr>
        <w:tc>
          <w:tcPr>
            <w:tcW w:w="5700" w:type="dxa"/>
            <w:vAlign w:val="bottom"/>
            <w:gridSpan w:val="2"/>
          </w:tcPr>
          <w:p>
            <w:pPr>
              <w:spacing w:after="0"/>
              <w:rPr>
                <w:sz w:val="20"/>
                <w:szCs w:val="20"/>
                <w:color w:val="auto"/>
              </w:rPr>
            </w:pPr>
            <w:r>
              <w:rPr>
                <w:rFonts w:ascii="Arial" w:cs="Arial" w:eastAsia="Arial" w:hAnsi="Arial"/>
                <w:sz w:val="18"/>
                <w:szCs w:val="18"/>
                <w:color w:val="auto"/>
              </w:rPr>
              <w:t>Distributions to redeemable noncontrolling interest</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4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(21.8)</w:t>
            </w:r>
          </w:p>
        </w:tc>
        <w:tc>
          <w:tcPr>
            <w:tcW w:w="200" w:type="dxa"/>
            <w:vAlign w:val="bottom"/>
          </w:tcPr>
          <w:p>
            <w:pPr>
              <w:spacing w:after="0"/>
              <w:rPr>
                <w:sz w:val="18"/>
                <w:szCs w:val="18"/>
                <w:color w:val="auto"/>
              </w:rPr>
            </w:pPr>
          </w:p>
        </w:tc>
        <w:tc>
          <w:tcPr>
            <w:tcW w:w="700" w:type="dxa"/>
            <w:vAlign w:val="bottom"/>
            <w:gridSpan w:val="2"/>
          </w:tcPr>
          <w:p>
            <w:pPr>
              <w:jc w:val="right"/>
              <w:ind w:right="80"/>
              <w:spacing w:after="0"/>
              <w:rPr>
                <w:sz w:val="20"/>
                <w:szCs w:val="20"/>
                <w:color w:val="auto"/>
              </w:rPr>
            </w:pPr>
            <w:r>
              <w:rPr>
                <w:rFonts w:ascii="Arial" w:cs="Arial" w:eastAsia="Arial" w:hAnsi="Arial"/>
                <w:sz w:val="18"/>
                <w:szCs w:val="18"/>
                <w:color w:val="auto"/>
              </w:rPr>
              <w:t>(6.8)</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6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(61.4)</w:t>
            </w: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(23.1)</w:t>
            </w:r>
          </w:p>
        </w:tc>
        <w:tc>
          <w:tcPr>
            <w:tcW w:w="0" w:type="dxa"/>
            <w:vAlign w:val="bottom"/>
          </w:tcPr>
          <w:p>
            <w:pPr>
              <w:spacing w:after="0"/>
              <w:rPr>
                <w:sz w:val="1"/>
                <w:szCs w:val="1"/>
                <w:color w:val="auto"/>
              </w:rPr>
            </w:pPr>
          </w:p>
        </w:tc>
      </w:tr>
      <w:tr>
        <w:trPr>
          <w:trHeight w:val="216"/>
        </w:trPr>
        <w:tc>
          <w:tcPr>
            <w:tcW w:w="570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96"/>
              </w:rPr>
              <w:t>Purchase of subsidiary shares from redeemable noncontrolling interest (1)</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b w:val="1"/>
                <w:bCs w:val="1"/>
                <w:color w:val="auto"/>
              </w:rPr>
              <w:t>—</w:t>
            </w:r>
          </w:p>
        </w:tc>
        <w:tc>
          <w:tcPr>
            <w:tcW w:w="2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(5.4)</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w:t>
            </w: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w:t>
            </w:r>
          </w:p>
        </w:tc>
        <w:tc>
          <w:tcPr>
            <w:tcW w:w="0" w:type="dxa"/>
            <w:vAlign w:val="bottom"/>
          </w:tcPr>
          <w:p>
            <w:pPr>
              <w:spacing w:after="0"/>
              <w:rPr>
                <w:sz w:val="1"/>
                <w:szCs w:val="1"/>
                <w:color w:val="auto"/>
              </w:rPr>
            </w:pPr>
          </w:p>
        </w:tc>
      </w:tr>
      <w:tr>
        <w:trPr>
          <w:trHeight w:val="216"/>
        </w:trPr>
        <w:tc>
          <w:tcPr>
            <w:tcW w:w="5700" w:type="dxa"/>
            <w:vAlign w:val="bottom"/>
            <w:gridSpan w:val="2"/>
          </w:tcPr>
          <w:p>
            <w:pPr>
              <w:spacing w:after="0"/>
              <w:rPr>
                <w:sz w:val="20"/>
                <w:szCs w:val="20"/>
                <w:color w:val="auto"/>
              </w:rPr>
            </w:pPr>
            <w:r>
              <w:rPr>
                <w:rFonts w:ascii="Arial" w:cs="Arial" w:eastAsia="Arial" w:hAnsi="Arial"/>
                <w:sz w:val="18"/>
                <w:szCs w:val="18"/>
                <w:color w:val="auto"/>
              </w:rPr>
              <w:t>Change in redemption value of redeemable noncontrolling interest</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b w:val="1"/>
                <w:bCs w:val="1"/>
                <w:color w:val="auto"/>
              </w:rPr>
              <w:t>0.3</w:t>
            </w: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0.4</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0.4</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8.6</w:t>
            </w:r>
          </w:p>
        </w:tc>
        <w:tc>
          <w:tcPr>
            <w:tcW w:w="0" w:type="dxa"/>
            <w:vAlign w:val="bottom"/>
          </w:tcPr>
          <w:p>
            <w:pPr>
              <w:spacing w:after="0"/>
              <w:rPr>
                <w:sz w:val="1"/>
                <w:szCs w:val="1"/>
                <w:color w:val="auto"/>
              </w:rPr>
            </w:pPr>
          </w:p>
        </w:tc>
      </w:tr>
      <w:tr>
        <w:trPr>
          <w:trHeight w:val="202"/>
        </w:trPr>
        <w:tc>
          <w:tcPr>
            <w:tcW w:w="570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w w:val="92"/>
              </w:rPr>
              <w:t>Other comprehensive income (loss) attributable to redeemable noncontrolling</w:t>
            </w: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40" w:type="dxa"/>
            <w:vAlign w:val="bottom"/>
            <w:gridSpan w:val="2"/>
            <w:vMerge w:val="restart"/>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(0.7)</w:t>
            </w:r>
          </w:p>
        </w:tc>
        <w:tc>
          <w:tcPr>
            <w:tcW w:w="2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60" w:type="dxa"/>
            <w:vAlign w:val="bottom"/>
            <w:gridSpan w:val="2"/>
            <w:vMerge w:val="restart"/>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(0.6)</w:t>
            </w:r>
          </w:p>
        </w:tc>
        <w:tc>
          <w:tcPr>
            <w:tcW w:w="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570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interest</w:t>
            </w:r>
          </w:p>
        </w:tc>
        <w:tc>
          <w:tcPr>
            <w:tcW w:w="8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840" w:type="dxa"/>
            <w:vAlign w:val="bottom"/>
            <w:gridSpan w:val="2"/>
            <w:vMerge w:val="continue"/>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10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960" w:type="dxa"/>
            <w:vAlign w:val="bottom"/>
            <w:gridSpan w:val="2"/>
            <w:vMerge w:val="continue"/>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0" w:type="dxa"/>
            <w:vAlign w:val="bottom"/>
          </w:tcPr>
          <w:p>
            <w:pPr>
              <w:spacing w:after="0"/>
              <w:rPr>
                <w:sz w:val="1"/>
                <w:szCs w:val="1"/>
                <w:color w:val="auto"/>
              </w:rPr>
            </w:pPr>
          </w:p>
        </w:tc>
      </w:tr>
      <w:tr>
        <w:trPr>
          <w:trHeight w:val="210"/>
        </w:trPr>
        <w:tc>
          <w:tcPr>
            <w:tcW w:w="5700" w:type="dxa"/>
            <w:vAlign w:val="bottom"/>
            <w:gridSpan w:val="2"/>
          </w:tcPr>
          <w:p>
            <w:pPr>
              <w:spacing w:after="0"/>
              <w:rPr>
                <w:sz w:val="20"/>
                <w:szCs w:val="20"/>
                <w:color w:val="auto"/>
              </w:rPr>
            </w:pPr>
            <w:r>
              <w:rPr>
                <w:rFonts w:ascii="Arial" w:cs="Arial" w:eastAsia="Arial" w:hAnsi="Arial"/>
                <w:sz w:val="18"/>
                <w:szCs w:val="18"/>
                <w:color w:val="auto"/>
              </w:rPr>
              <w:t>Balance at end of period</w:t>
            </w:r>
          </w:p>
        </w:tc>
        <w:tc>
          <w:tcPr>
            <w:tcW w:w="80" w:type="dxa"/>
            <w:vAlign w:val="bottom"/>
          </w:tcPr>
          <w:p>
            <w:pPr>
              <w:spacing w:after="0"/>
              <w:rPr>
                <w:sz w:val="18"/>
                <w:szCs w:val="18"/>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268.5</w:t>
            </w:r>
          </w:p>
        </w:tc>
        <w:tc>
          <w:tcPr>
            <w:tcW w:w="200" w:type="dxa"/>
            <w:vAlign w:val="bottom"/>
          </w:tcPr>
          <w:p>
            <w:pPr>
              <w:spacing w:after="0"/>
              <w:rPr>
                <w:sz w:val="18"/>
                <w:szCs w:val="18"/>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330.</w:t>
            </w:r>
            <w:r>
              <w:rPr>
                <w:rFonts w:ascii="Arial" w:cs="Arial" w:eastAsia="Arial" w:hAnsi="Arial"/>
                <w:sz w:val="18"/>
                <w:szCs w:val="18"/>
                <w:u w:val="single" w:color="auto"/>
                <w:color w:val="auto"/>
              </w:rPr>
              <w:t>6</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b w:val="1"/>
                <w:bCs w:val="1"/>
                <w:color w:val="auto"/>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268.5</w:t>
            </w:r>
          </w:p>
        </w:tc>
        <w:tc>
          <w:tcPr>
            <w:tcW w:w="20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220" w:type="dxa"/>
            <w:vAlign w:val="bottom"/>
            <w:tcBorders>
              <w:top w:val="single" w:sz="8" w:color="auto"/>
              <w:bottom w:val="single" w:sz="8" w:color="auto"/>
            </w:tcBorders>
          </w:tcPr>
          <w:p>
            <w:pPr>
              <w:jc w:val="right"/>
              <w:ind w:right="67"/>
              <w:spacing w:after="0"/>
              <w:rPr>
                <w:sz w:val="20"/>
                <w:szCs w:val="20"/>
                <w:color w:val="auto"/>
              </w:rPr>
            </w:pPr>
            <w:r>
              <w:rPr>
                <w:rFonts w:ascii="Arial" w:cs="Arial" w:eastAsia="Arial" w:hAnsi="Arial"/>
                <w:sz w:val="15"/>
                <w:szCs w:val="15"/>
                <w:color w:val="auto"/>
                <w:w w:val="71"/>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330.6</w:t>
            </w:r>
          </w:p>
        </w:tc>
        <w:tc>
          <w:tcPr>
            <w:tcW w:w="0" w:type="dxa"/>
            <w:vAlign w:val="bottom"/>
          </w:tcPr>
          <w:p>
            <w:pPr>
              <w:spacing w:after="0"/>
              <w:rPr>
                <w:sz w:val="1"/>
                <w:szCs w:val="1"/>
                <w:color w:val="auto"/>
              </w:rPr>
            </w:pPr>
          </w:p>
        </w:tc>
      </w:tr>
      <w:tr>
        <w:trPr>
          <w:trHeight w:val="20"/>
        </w:trPr>
        <w:tc>
          <w:tcPr>
            <w:tcW w:w="2480" w:type="dxa"/>
            <w:vAlign w:val="bottom"/>
          </w:tcPr>
          <w:p>
            <w:pPr>
              <w:spacing w:after="0" w:line="20" w:lineRule="exact"/>
              <w:rPr>
                <w:sz w:val="1"/>
                <w:szCs w:val="1"/>
                <w:color w:val="auto"/>
              </w:rPr>
            </w:pPr>
          </w:p>
        </w:tc>
        <w:tc>
          <w:tcPr>
            <w:tcW w:w="3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2480" w:type="dxa"/>
            <w:vAlign w:val="bottom"/>
            <w:tcBorders>
              <w:bottom w:val="single" w:sz="8" w:color="auto"/>
            </w:tcBorders>
          </w:tcPr>
          <w:p>
            <w:pPr>
              <w:spacing w:after="0"/>
              <w:rPr>
                <w:sz w:val="7"/>
                <w:szCs w:val="7"/>
                <w:color w:val="auto"/>
              </w:rPr>
            </w:pPr>
          </w:p>
        </w:tc>
        <w:tc>
          <w:tcPr>
            <w:tcW w:w="3220" w:type="dxa"/>
            <w:vAlign w:val="bottom"/>
          </w:tcPr>
          <w:p>
            <w:pPr>
              <w:spacing w:after="0"/>
              <w:rPr>
                <w:sz w:val="7"/>
                <w:szCs w:val="7"/>
                <w:color w:val="auto"/>
              </w:rPr>
            </w:pPr>
          </w:p>
        </w:tc>
        <w:tc>
          <w:tcPr>
            <w:tcW w:w="80" w:type="dxa"/>
            <w:vAlign w:val="bottom"/>
          </w:tcPr>
          <w:p>
            <w:pPr>
              <w:spacing w:after="0"/>
              <w:rPr>
                <w:sz w:val="7"/>
                <w:szCs w:val="7"/>
                <w:color w:val="auto"/>
              </w:rPr>
            </w:pPr>
          </w:p>
        </w:tc>
        <w:tc>
          <w:tcPr>
            <w:tcW w:w="180" w:type="dxa"/>
            <w:vAlign w:val="bottom"/>
          </w:tcPr>
          <w:p>
            <w:pPr>
              <w:spacing w:after="0"/>
              <w:rPr>
                <w:sz w:val="7"/>
                <w:szCs w:val="7"/>
                <w:color w:val="auto"/>
              </w:rPr>
            </w:pPr>
          </w:p>
        </w:tc>
        <w:tc>
          <w:tcPr>
            <w:tcW w:w="640" w:type="dxa"/>
            <w:vAlign w:val="bottom"/>
          </w:tcPr>
          <w:p>
            <w:pPr>
              <w:spacing w:after="0"/>
              <w:rPr>
                <w:sz w:val="7"/>
                <w:szCs w:val="7"/>
                <w:color w:val="auto"/>
              </w:rPr>
            </w:pPr>
          </w:p>
        </w:tc>
        <w:tc>
          <w:tcPr>
            <w:tcW w:w="200" w:type="dxa"/>
            <w:vAlign w:val="bottom"/>
          </w:tcPr>
          <w:p>
            <w:pPr>
              <w:spacing w:after="0"/>
              <w:rPr>
                <w:sz w:val="7"/>
                <w:szCs w:val="7"/>
                <w:color w:val="auto"/>
              </w:rPr>
            </w:pPr>
          </w:p>
        </w:tc>
        <w:tc>
          <w:tcPr>
            <w:tcW w:w="200" w:type="dxa"/>
            <w:vAlign w:val="bottom"/>
          </w:tcPr>
          <w:p>
            <w:pPr>
              <w:spacing w:after="0"/>
              <w:rPr>
                <w:sz w:val="7"/>
                <w:szCs w:val="7"/>
                <w:color w:val="auto"/>
              </w:rPr>
            </w:pPr>
          </w:p>
        </w:tc>
        <w:tc>
          <w:tcPr>
            <w:tcW w:w="600" w:type="dxa"/>
            <w:vAlign w:val="bottom"/>
          </w:tcPr>
          <w:p>
            <w:pPr>
              <w:spacing w:after="0"/>
              <w:rPr>
                <w:sz w:val="7"/>
                <w:szCs w:val="7"/>
                <w:color w:val="auto"/>
              </w:rPr>
            </w:pPr>
          </w:p>
        </w:tc>
        <w:tc>
          <w:tcPr>
            <w:tcW w:w="100" w:type="dxa"/>
            <w:vAlign w:val="bottom"/>
          </w:tcPr>
          <w:p>
            <w:pPr>
              <w:spacing w:after="0"/>
              <w:rPr>
                <w:sz w:val="7"/>
                <w:szCs w:val="7"/>
                <w:color w:val="auto"/>
              </w:rPr>
            </w:pPr>
          </w:p>
        </w:tc>
        <w:tc>
          <w:tcPr>
            <w:tcW w:w="80" w:type="dxa"/>
            <w:vAlign w:val="bottom"/>
          </w:tcPr>
          <w:p>
            <w:pPr>
              <w:spacing w:after="0"/>
              <w:rPr>
                <w:sz w:val="7"/>
                <w:szCs w:val="7"/>
                <w:color w:val="auto"/>
              </w:rPr>
            </w:pPr>
          </w:p>
        </w:tc>
        <w:tc>
          <w:tcPr>
            <w:tcW w:w="200" w:type="dxa"/>
            <w:vAlign w:val="bottom"/>
          </w:tcPr>
          <w:p>
            <w:pPr>
              <w:spacing w:after="0"/>
              <w:rPr>
                <w:sz w:val="7"/>
                <w:szCs w:val="7"/>
                <w:color w:val="auto"/>
              </w:rPr>
            </w:pPr>
          </w:p>
        </w:tc>
        <w:tc>
          <w:tcPr>
            <w:tcW w:w="760" w:type="dxa"/>
            <w:vAlign w:val="bottom"/>
          </w:tcPr>
          <w:p>
            <w:pPr>
              <w:spacing w:after="0"/>
              <w:rPr>
                <w:sz w:val="7"/>
                <w:szCs w:val="7"/>
                <w:color w:val="auto"/>
              </w:rPr>
            </w:pPr>
          </w:p>
        </w:tc>
        <w:tc>
          <w:tcPr>
            <w:tcW w:w="200" w:type="dxa"/>
            <w:vAlign w:val="bottom"/>
          </w:tcPr>
          <w:p>
            <w:pPr>
              <w:spacing w:after="0"/>
              <w:rPr>
                <w:sz w:val="7"/>
                <w:szCs w:val="7"/>
                <w:color w:val="auto"/>
              </w:rPr>
            </w:pPr>
          </w:p>
        </w:tc>
        <w:tc>
          <w:tcPr>
            <w:tcW w:w="20" w:type="dxa"/>
            <w:vAlign w:val="bottom"/>
          </w:tcPr>
          <w:p>
            <w:pPr>
              <w:spacing w:after="0"/>
              <w:rPr>
                <w:sz w:val="7"/>
                <w:szCs w:val="7"/>
                <w:color w:val="auto"/>
              </w:rPr>
            </w:pPr>
          </w:p>
        </w:tc>
        <w:tc>
          <w:tcPr>
            <w:tcW w:w="220" w:type="dxa"/>
            <w:vAlign w:val="bottom"/>
          </w:tcPr>
          <w:p>
            <w:pPr>
              <w:spacing w:after="0"/>
              <w:rPr>
                <w:sz w:val="7"/>
                <w:szCs w:val="7"/>
                <w:color w:val="auto"/>
              </w:rPr>
            </w:pPr>
          </w:p>
        </w:tc>
        <w:tc>
          <w:tcPr>
            <w:tcW w:w="74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80" w:lineRule="exact"/>
        <w:rPr>
          <w:sz w:val="20"/>
          <w:szCs w:val="20"/>
          <w:color w:val="auto"/>
        </w:rPr>
      </w:pPr>
    </w:p>
    <w:p>
      <w:pPr>
        <w:ind w:left="340" w:right="800" w:hanging="332"/>
        <w:spacing w:after="0" w:line="277" w:lineRule="auto"/>
        <w:tabs>
          <w:tab w:leader="none" w:pos="3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In second quarter 2021, we acquired the remaining interest in Principal Innovations, Inc. and its wholly owned subsidiary, RobustWealth, Inc.</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Fair Value Measurements</w:t>
      </w:r>
    </w:p>
    <w:p>
      <w:pPr>
        <w:spacing w:after="0" w:line="229" w:lineRule="exact"/>
        <w:rPr>
          <w:sz w:val="20"/>
          <w:szCs w:val="20"/>
          <w:color w:val="auto"/>
        </w:rPr>
      </w:pPr>
    </w:p>
    <w:p>
      <w:pPr>
        <w:ind w:right="220" w:firstLine="648"/>
        <w:spacing w:after="0" w:line="286" w:lineRule="auto"/>
        <w:rPr>
          <w:sz w:val="20"/>
          <w:szCs w:val="20"/>
          <w:color w:val="auto"/>
        </w:rPr>
      </w:pPr>
      <w:r>
        <w:rPr>
          <w:rFonts w:ascii="Arial" w:cs="Arial" w:eastAsia="Arial" w:hAnsi="Arial"/>
          <w:sz w:val="17"/>
          <w:szCs w:val="17"/>
          <w:color w:val="auto"/>
        </w:rPr>
        <w:t>We use fair value measurements to record fair value of certain assets and liabilities and to estimate fair value of financial instruments not recorded at fair value but required to be disclosed at fair value. Certain financial instruments, particularly policyholder liabilities other than investment contracts, are excluded from these fair value disclosure requirements.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Valuation Hierarchy</w:t>
      </w:r>
    </w:p>
    <w:p>
      <w:pPr>
        <w:spacing w:after="0" w:line="229" w:lineRule="exact"/>
        <w:rPr>
          <w:sz w:val="20"/>
          <w:szCs w:val="20"/>
          <w:color w:val="auto"/>
        </w:rPr>
      </w:pPr>
    </w:p>
    <w:p>
      <w:pPr>
        <w:ind w:right="160" w:firstLine="648"/>
        <w:spacing w:after="0" w:line="257" w:lineRule="auto"/>
        <w:rPr>
          <w:sz w:val="20"/>
          <w:szCs w:val="20"/>
          <w:color w:val="auto"/>
        </w:rPr>
      </w:pPr>
      <w:r>
        <w:rPr>
          <w:rFonts w:ascii="Arial" w:cs="Arial" w:eastAsia="Arial" w:hAnsi="Arial"/>
          <w:sz w:val="18"/>
          <w:szCs w:val="18"/>
          <w:color w:val="auto"/>
        </w:rPr>
        <w:t>Fair value is defined as the price that would be received to sell an asset or paid to transfer a liability in an orderly transaction between market participants at the measurement date (an exit price). The fair value hierarchy prioritizes the inputs to valuation techniques used to measure fair value into three levels. The level in the fair value hierarchy within which the fair value measurement in its entirety falls is determined based on the lowest level input that is significant to the fair value measurement in its entirety considering factors specific to the asset or liability.</w:t>
      </w:r>
    </w:p>
    <w:p>
      <w:pPr>
        <w:spacing w:after="0" w:line="184" w:lineRule="exact"/>
        <w:rPr>
          <w:sz w:val="20"/>
          <w:szCs w:val="20"/>
          <w:color w:val="auto"/>
        </w:rPr>
      </w:pPr>
    </w:p>
    <w:p>
      <w:pPr>
        <w:ind w:left="340" w:hanging="332"/>
        <w:spacing w:after="0"/>
        <w:tabs>
          <w:tab w:leader="none" w:pos="340" w:val="left"/>
        </w:tabs>
        <w:numPr>
          <w:ilvl w:val="0"/>
          <w:numId w:val="28"/>
        </w:numPr>
        <w:rPr>
          <w:rFonts w:ascii="Arial" w:cs="Arial" w:eastAsia="Arial" w:hAnsi="Arial"/>
          <w:sz w:val="18"/>
          <w:szCs w:val="18"/>
          <w:color w:val="auto"/>
        </w:rPr>
      </w:pPr>
      <w:r>
        <w:rPr>
          <w:rFonts w:ascii="Arial" w:cs="Arial" w:eastAsia="Arial" w:hAnsi="Arial"/>
          <w:sz w:val="18"/>
          <w:szCs w:val="18"/>
          <w:b w:val="1"/>
          <w:bCs w:val="1"/>
          <w:color w:val="auto"/>
        </w:rPr>
        <w:t xml:space="preserve">Level 1 </w:t>
      </w:r>
      <w:r>
        <w:rPr>
          <w:rFonts w:ascii="Arial" w:cs="Arial" w:eastAsia="Arial" w:hAnsi="Arial"/>
          <w:sz w:val="18"/>
          <w:szCs w:val="18"/>
          <w:color w:val="auto"/>
        </w:rPr>
        <w:t>– Fair values are based on unadjusted quoted prices in active markets for identical assets or liabilities.</w:t>
      </w:r>
    </w:p>
    <w:p>
      <w:pPr>
        <w:spacing w:after="0" w:line="27" w:lineRule="exact"/>
        <w:rPr>
          <w:rFonts w:ascii="Arial" w:cs="Arial" w:eastAsia="Arial" w:hAnsi="Arial"/>
          <w:sz w:val="18"/>
          <w:szCs w:val="18"/>
          <w:color w:val="auto"/>
        </w:rPr>
      </w:pPr>
    </w:p>
    <w:p>
      <w:pPr>
        <w:ind w:left="340" w:right="160" w:hanging="332"/>
        <w:spacing w:after="0" w:line="250" w:lineRule="auto"/>
        <w:tabs>
          <w:tab w:leader="none" w:pos="340" w:val="left"/>
        </w:tabs>
        <w:numPr>
          <w:ilvl w:val="0"/>
          <w:numId w:val="28"/>
        </w:numPr>
        <w:rPr>
          <w:rFonts w:ascii="Arial" w:cs="Arial" w:eastAsia="Arial" w:hAnsi="Arial"/>
          <w:sz w:val="18"/>
          <w:szCs w:val="18"/>
          <w:color w:val="auto"/>
        </w:rPr>
      </w:pPr>
      <w:r>
        <w:rPr>
          <w:rFonts w:ascii="Arial" w:cs="Arial" w:eastAsia="Arial" w:hAnsi="Arial"/>
          <w:sz w:val="18"/>
          <w:szCs w:val="18"/>
          <w:b w:val="1"/>
          <w:bCs w:val="1"/>
          <w:color w:val="auto"/>
        </w:rPr>
        <w:t xml:space="preserve">Level 2 </w:t>
      </w:r>
      <w:r>
        <w:rPr>
          <w:rFonts w:ascii="Arial" w:cs="Arial" w:eastAsia="Arial" w:hAnsi="Arial"/>
          <w:sz w:val="18"/>
          <w:szCs w:val="18"/>
          <w:color w:val="auto"/>
        </w:rPr>
        <w:t>– Fair values are based on inputs other than quoted prices within Level 1 that are observable for the asset or liability, either</w:t>
      </w:r>
      <w:r>
        <w:rPr>
          <w:rFonts w:ascii="Arial" w:cs="Arial" w:eastAsia="Arial" w:hAnsi="Arial"/>
          <w:sz w:val="18"/>
          <w:szCs w:val="18"/>
          <w:b w:val="1"/>
          <w:bCs w:val="1"/>
          <w:color w:val="auto"/>
        </w:rPr>
        <w:t xml:space="preserve"> </w:t>
      </w:r>
      <w:r>
        <w:rPr>
          <w:rFonts w:ascii="Arial" w:cs="Arial" w:eastAsia="Arial" w:hAnsi="Arial"/>
          <w:sz w:val="18"/>
          <w:szCs w:val="18"/>
          <w:color w:val="auto"/>
        </w:rPr>
        <w:t>directly or indirectly.</w:t>
      </w:r>
    </w:p>
    <w:p>
      <w:pPr>
        <w:ind w:left="340" w:hanging="332"/>
        <w:spacing w:after="0"/>
        <w:tabs>
          <w:tab w:leader="none" w:pos="340" w:val="left"/>
        </w:tabs>
        <w:numPr>
          <w:ilvl w:val="0"/>
          <w:numId w:val="28"/>
        </w:numPr>
        <w:rPr>
          <w:rFonts w:ascii="Arial" w:cs="Arial" w:eastAsia="Arial" w:hAnsi="Arial"/>
          <w:sz w:val="18"/>
          <w:szCs w:val="18"/>
          <w:color w:val="auto"/>
        </w:rPr>
      </w:pPr>
      <w:r>
        <w:rPr>
          <w:rFonts w:ascii="Arial" w:cs="Arial" w:eastAsia="Arial" w:hAnsi="Arial"/>
          <w:sz w:val="18"/>
          <w:szCs w:val="18"/>
          <w:b w:val="1"/>
          <w:bCs w:val="1"/>
          <w:color w:val="auto"/>
        </w:rPr>
        <w:t xml:space="preserve">Level 3 </w:t>
      </w:r>
      <w:r>
        <w:rPr>
          <w:rFonts w:ascii="Arial" w:cs="Arial" w:eastAsia="Arial" w:hAnsi="Arial"/>
          <w:sz w:val="18"/>
          <w:szCs w:val="18"/>
          <w:color w:val="auto"/>
        </w:rPr>
        <w:t>– Fair values are based on at least one significant unobservable input for the asset or liability.</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603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59" w:name="page60"/>
    <w:bookmarkEnd w:id="59"/>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Determination of Fair Value</w:t>
      </w:r>
    </w:p>
    <w:p>
      <w:pPr>
        <w:spacing w:after="0" w:line="229" w:lineRule="exact"/>
        <w:rPr>
          <w:sz w:val="20"/>
          <w:szCs w:val="20"/>
          <w:color w:val="auto"/>
        </w:rPr>
      </w:pPr>
    </w:p>
    <w:p>
      <w:pPr>
        <w:ind w:firstLine="648"/>
        <w:spacing w:after="0" w:line="259" w:lineRule="auto"/>
        <w:rPr>
          <w:sz w:val="20"/>
          <w:szCs w:val="20"/>
          <w:color w:val="auto"/>
        </w:rPr>
      </w:pPr>
      <w:r>
        <w:rPr>
          <w:rFonts w:ascii="Arial" w:cs="Arial" w:eastAsia="Arial" w:hAnsi="Arial"/>
          <w:sz w:val="18"/>
          <w:szCs w:val="18"/>
          <w:color w:val="auto"/>
        </w:rPr>
        <w:t>The following discussion describes the valuation methodologies and inputs used for assets and liabilities measured at fair value on a recurring basis. The techniques utilized in estimating the fair value of financial instruments are reliant on the assumptions used. Care should be exercised in deriving conclusions about our business, its value or financial position based on the fair value information of financial instruments presented below.</w:t>
      </w:r>
    </w:p>
    <w:p>
      <w:pPr>
        <w:spacing w:after="0" w:line="187" w:lineRule="exact"/>
        <w:rPr>
          <w:sz w:val="20"/>
          <w:szCs w:val="20"/>
          <w:color w:val="auto"/>
        </w:rPr>
      </w:pPr>
    </w:p>
    <w:p>
      <w:pPr>
        <w:ind w:right="60" w:firstLine="648"/>
        <w:spacing w:after="0" w:line="254" w:lineRule="auto"/>
        <w:rPr>
          <w:sz w:val="20"/>
          <w:szCs w:val="20"/>
          <w:color w:val="auto"/>
        </w:rPr>
      </w:pPr>
      <w:r>
        <w:rPr>
          <w:rFonts w:ascii="Arial" w:cs="Arial" w:eastAsia="Arial" w:hAnsi="Arial"/>
          <w:sz w:val="18"/>
          <w:szCs w:val="18"/>
          <w:color w:val="auto"/>
        </w:rPr>
        <w:t>Fair value estimates are made based on available market information and judgments about the financial instrument at a specific point in time. Such estimates do not consider the tax impact of the realization of unrealized gains or losses. In addition, the disclosed fair value may not be realized in the immediate settlement of the financial instrument. We validate prices through an investment analyst review process, which includes validation through direct interaction with external sources, review of recent trade activity or use of internal models. In circumstances where broker quotes are used to value an instrument, we generally receive one non-binding quote. Broker quotes are validated through an investment analyst review process, which includes validation through direct interaction with external sources and use of internal models or other relevant information. We did not make any significant changes to our valuation processes during 2022.</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Fixed Maturities</w:t>
      </w:r>
    </w:p>
    <w:p>
      <w:pPr>
        <w:spacing w:after="0" w:line="225" w:lineRule="exact"/>
        <w:rPr>
          <w:sz w:val="20"/>
          <w:szCs w:val="20"/>
          <w:color w:val="auto"/>
        </w:rPr>
      </w:pPr>
    </w:p>
    <w:p>
      <w:pPr>
        <w:ind w:right="160" w:firstLine="648"/>
        <w:spacing w:after="0" w:line="286" w:lineRule="auto"/>
        <w:rPr>
          <w:sz w:val="20"/>
          <w:szCs w:val="20"/>
          <w:color w:val="auto"/>
        </w:rPr>
      </w:pPr>
      <w:r>
        <w:rPr>
          <w:rFonts w:ascii="Arial" w:cs="Arial" w:eastAsia="Arial" w:hAnsi="Arial"/>
          <w:sz w:val="17"/>
          <w:szCs w:val="17"/>
          <w:color w:val="auto"/>
        </w:rPr>
        <w:t>Fixed maturities include bonds, ABS, redeemable preferred stock and certain non-redeemable preferred securities. When available, the fair value of fixed maturities is based on quoted prices of identical assets in active markets. These are reflected in Level 1 and primarily include U.S. Treasury bonds and actively traded redeemable corporate preferred securities.</w:t>
      </w:r>
    </w:p>
    <w:p>
      <w:pPr>
        <w:spacing w:after="0" w:line="165" w:lineRule="exact"/>
        <w:rPr>
          <w:sz w:val="20"/>
          <w:szCs w:val="20"/>
          <w:color w:val="auto"/>
        </w:rPr>
      </w:pPr>
    </w:p>
    <w:p>
      <w:pPr>
        <w:ind w:right="40" w:firstLine="648"/>
        <w:spacing w:after="0" w:line="269" w:lineRule="auto"/>
        <w:rPr>
          <w:sz w:val="20"/>
          <w:szCs w:val="20"/>
          <w:color w:val="auto"/>
        </w:rPr>
      </w:pPr>
      <w:r>
        <w:rPr>
          <w:rFonts w:ascii="Arial" w:cs="Arial" w:eastAsia="Arial" w:hAnsi="Arial"/>
          <w:sz w:val="17"/>
          <w:szCs w:val="17"/>
          <w:color w:val="auto"/>
        </w:rPr>
        <w:t>When quoted prices of identical assets in active markets are not available, our first priority is to obtain prices from third party pricing vendors. We have regular interaction with these vendors to ensure we understand their pricing methodologies and to confirm they are utilizing observable market information. Their methodologies vary by asset class and include inputs such as estimated cash flows, benchmark yields, reported trades, broker quotes, credit quality, industry events and economic events. Fixed maturities with validated prices from pricing services, which includes the majority of our public fixed maturities in all asset classes, are generally reflected in Level 2. Also included in Level 2 are corporate bonds when quoted market prices are not available, for which an internal model using substantially all observable inputs or a matrix pricing valuation approach is used. In the matrix approach, securities are grouped into pricing categories that vary by sector, rating and average life. Each pricing category is assigned a risk spread based on studies of observable public market data from the investment professionals assigned to specific security classes. The expected cash flows of the security are then discounted back at the current Treasury curve plus the appropriate risk spread. Although the matrix valuation approach provides a fair valuation of each pricing category, the valuation of an individual security within each pricing category may also be impacted by company specific factors.</w:t>
      </w:r>
    </w:p>
    <w:p>
      <w:pPr>
        <w:spacing w:after="0" w:line="179" w:lineRule="exact"/>
        <w:rPr>
          <w:sz w:val="20"/>
          <w:szCs w:val="20"/>
          <w:color w:val="auto"/>
        </w:rPr>
      </w:pPr>
    </w:p>
    <w:p>
      <w:pPr>
        <w:ind w:right="180" w:firstLine="648"/>
        <w:spacing w:after="0" w:line="257" w:lineRule="auto"/>
        <w:rPr>
          <w:sz w:val="20"/>
          <w:szCs w:val="20"/>
          <w:color w:val="auto"/>
        </w:rPr>
      </w:pPr>
      <w:r>
        <w:rPr>
          <w:rFonts w:ascii="Arial" w:cs="Arial" w:eastAsia="Arial" w:hAnsi="Arial"/>
          <w:sz w:val="18"/>
          <w:szCs w:val="18"/>
          <w:color w:val="auto"/>
        </w:rPr>
        <w:t>If we are unable to price a fixed maturity security using prices from third party pricing vendors or other sources specific to the asset class, we may obtain a broker quote or utilize an internal pricing model specific to the asset utilizing relevant market information, to the extent available and where at least one significant unobservable input is utilized. These are reflected in Level 3 in the fair value hierarchy and can include fixed maturities across all asset classes. As of June 30, 2022, approximately 2% of our total fixed maturities were Level 3 securities valued using internal pricing models.</w:t>
      </w:r>
    </w:p>
    <w:p>
      <w:pPr>
        <w:spacing w:after="0" w:line="188" w:lineRule="exact"/>
        <w:rPr>
          <w:sz w:val="20"/>
          <w:szCs w:val="20"/>
          <w:color w:val="auto"/>
        </w:rPr>
      </w:pPr>
    </w:p>
    <w:p>
      <w:pPr>
        <w:ind w:right="80" w:firstLine="667"/>
        <w:spacing w:after="0" w:line="277" w:lineRule="auto"/>
        <w:rPr>
          <w:sz w:val="20"/>
          <w:szCs w:val="20"/>
          <w:color w:val="auto"/>
        </w:rPr>
      </w:pPr>
      <w:r>
        <w:rPr>
          <w:rFonts w:ascii="Arial" w:cs="Arial" w:eastAsia="Arial" w:hAnsi="Arial"/>
          <w:sz w:val="18"/>
          <w:szCs w:val="18"/>
          <w:color w:val="auto"/>
        </w:rPr>
        <w:t>The primary inputs, by asset class, for valuations of the majority of our Level 2 investments from third party pricing vendors or our internal pricing valuation approach are described below.</w:t>
      </w:r>
    </w:p>
    <w:p>
      <w:pPr>
        <w:spacing w:after="0" w:line="170" w:lineRule="exact"/>
        <w:rPr>
          <w:sz w:val="20"/>
          <w:szCs w:val="20"/>
          <w:color w:val="auto"/>
        </w:rPr>
      </w:pPr>
    </w:p>
    <w:p>
      <w:pPr>
        <w:ind w:right="340" w:firstLine="648"/>
        <w:spacing w:after="0" w:line="308" w:lineRule="auto"/>
        <w:rPr>
          <w:sz w:val="20"/>
          <w:szCs w:val="20"/>
          <w:color w:val="auto"/>
        </w:rPr>
      </w:pPr>
      <w:r>
        <w:rPr>
          <w:rFonts w:ascii="Arial" w:cs="Arial" w:eastAsia="Arial" w:hAnsi="Arial"/>
          <w:sz w:val="17"/>
          <w:szCs w:val="17"/>
          <w:b w:val="1"/>
          <w:bCs w:val="1"/>
          <w:i w:val="1"/>
          <w:iCs w:val="1"/>
          <w:color w:val="auto"/>
        </w:rPr>
        <w:t>U.S. Government and Agencies/Non-U.S. Governments</w:t>
      </w:r>
      <w:r>
        <w:rPr>
          <w:rFonts w:ascii="Arial" w:cs="Arial" w:eastAsia="Arial" w:hAnsi="Arial"/>
          <w:sz w:val="17"/>
          <w:szCs w:val="17"/>
          <w:color w:val="auto"/>
        </w:rPr>
        <w:t>. Inputs include recently executed market transactions, interest rate</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yield curves, maturity dates, market price quotations and credit spreads relating to similar instruments.</w:t>
      </w:r>
    </w:p>
    <w:p>
      <w:pPr>
        <w:spacing w:after="0" w:line="146" w:lineRule="exact"/>
        <w:rPr>
          <w:sz w:val="20"/>
          <w:szCs w:val="20"/>
          <w:color w:val="auto"/>
        </w:rPr>
      </w:pPr>
    </w:p>
    <w:p>
      <w:pPr>
        <w:ind w:right="280" w:firstLine="648"/>
        <w:spacing w:after="0" w:line="277" w:lineRule="auto"/>
        <w:rPr>
          <w:sz w:val="20"/>
          <w:szCs w:val="20"/>
          <w:color w:val="auto"/>
        </w:rPr>
      </w:pPr>
      <w:r>
        <w:rPr>
          <w:rFonts w:ascii="Arial" w:cs="Arial" w:eastAsia="Arial" w:hAnsi="Arial"/>
          <w:sz w:val="18"/>
          <w:szCs w:val="18"/>
          <w:b w:val="1"/>
          <w:bCs w:val="1"/>
          <w:i w:val="1"/>
          <w:iCs w:val="1"/>
          <w:color w:val="auto"/>
        </w:rPr>
        <w:t>States and Political Subdivisions</w:t>
      </w:r>
      <w:r>
        <w:rPr>
          <w:rFonts w:ascii="Arial" w:cs="Arial" w:eastAsia="Arial" w:hAnsi="Arial"/>
          <w:sz w:val="18"/>
          <w:szCs w:val="18"/>
          <w:color w:val="auto"/>
        </w:rPr>
        <w:t>. Inputs include Municipal Securities Rulemaking Board reported trades, U.S. Treasury and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other benchmark curves, material event notices, new issue data and obligor credit ratings.</w:t>
      </w:r>
    </w:p>
    <w:p>
      <w:pPr>
        <w:spacing w:after="0" w:line="3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603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60" w:name="page61"/>
    <w:bookmarkEnd w:id="60"/>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right="80" w:firstLine="648"/>
        <w:spacing w:after="0" w:line="259" w:lineRule="auto"/>
        <w:rPr>
          <w:sz w:val="20"/>
          <w:szCs w:val="20"/>
          <w:color w:val="auto"/>
        </w:rPr>
      </w:pPr>
      <w:r>
        <w:rPr>
          <w:rFonts w:ascii="Arial" w:cs="Arial" w:eastAsia="Arial" w:hAnsi="Arial"/>
          <w:sz w:val="18"/>
          <w:szCs w:val="18"/>
          <w:b w:val="1"/>
          <w:bCs w:val="1"/>
          <w:i w:val="1"/>
          <w:iCs w:val="1"/>
          <w:color w:val="auto"/>
        </w:rPr>
        <w:t>Corporate</w:t>
      </w:r>
      <w:r>
        <w:rPr>
          <w:rFonts w:ascii="Arial" w:cs="Arial" w:eastAsia="Arial" w:hAnsi="Arial"/>
          <w:sz w:val="18"/>
          <w:szCs w:val="18"/>
          <w:color w:val="auto"/>
        </w:rPr>
        <w:t>. Inputs include recently executed transactions, market price quotations, benchmark yields, issuer spreads and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observations of equity and credit default swap curves related to the issuer. For private placement corporate securities valued through the matrix valuation approach inputs include the current Treasury curve and risk spreads based on sector, rating and average life of the issuance.</w:t>
      </w:r>
    </w:p>
    <w:p>
      <w:pPr>
        <w:spacing w:after="0" w:line="187" w:lineRule="exact"/>
        <w:rPr>
          <w:sz w:val="20"/>
          <w:szCs w:val="20"/>
          <w:color w:val="auto"/>
        </w:rPr>
      </w:pPr>
    </w:p>
    <w:p>
      <w:pPr>
        <w:ind w:right="20" w:firstLine="648"/>
        <w:spacing w:after="0" w:line="259" w:lineRule="auto"/>
        <w:rPr>
          <w:sz w:val="20"/>
          <w:szCs w:val="20"/>
          <w:color w:val="auto"/>
        </w:rPr>
      </w:pPr>
      <w:r>
        <w:rPr>
          <w:rFonts w:ascii="Arial" w:cs="Arial" w:eastAsia="Arial" w:hAnsi="Arial"/>
          <w:sz w:val="18"/>
          <w:szCs w:val="18"/>
          <w:b w:val="1"/>
          <w:bCs w:val="1"/>
          <w:i w:val="1"/>
          <w:iCs w:val="1"/>
          <w:color w:val="auto"/>
        </w:rPr>
        <w:t>RMBS, CMBS, Collateralized Debt Obligations and Other Debt Obligations</w:t>
      </w:r>
      <w:r>
        <w:rPr>
          <w:rFonts w:ascii="Arial" w:cs="Arial" w:eastAsia="Arial" w:hAnsi="Arial"/>
          <w:sz w:val="18"/>
          <w:szCs w:val="18"/>
          <w:color w:val="auto"/>
        </w:rPr>
        <w:t>. Inputs include cash flows, priority of the tranche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in the capital structure, expected time to maturity for the specific tranche, reinvestment period remaining and performance of the underlying collateral including prepayments, defaults, deferrals, loss severity of defaulted collateral and, for RMBS, prepayment speed assumptions. Other inputs include market indices and recently executed market transactions.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Equity Securities</w:t>
      </w:r>
    </w:p>
    <w:p>
      <w:pPr>
        <w:spacing w:after="0" w:line="225" w:lineRule="exact"/>
        <w:rPr>
          <w:sz w:val="20"/>
          <w:szCs w:val="20"/>
          <w:color w:val="auto"/>
        </w:rPr>
      </w:pPr>
    </w:p>
    <w:p>
      <w:pPr>
        <w:ind w:right="160" w:firstLine="648"/>
        <w:spacing w:after="0" w:line="254" w:lineRule="auto"/>
        <w:rPr>
          <w:sz w:val="20"/>
          <w:szCs w:val="20"/>
          <w:color w:val="auto"/>
        </w:rPr>
      </w:pPr>
      <w:r>
        <w:rPr>
          <w:rFonts w:ascii="Arial" w:cs="Arial" w:eastAsia="Arial" w:hAnsi="Arial"/>
          <w:sz w:val="18"/>
          <w:szCs w:val="18"/>
          <w:color w:val="auto"/>
        </w:rPr>
        <w:t>Equity securities include mutual funds, common stock, non-redeemable preferred stock and required regulatory investments. Fair values of equity securities are determined using quoted prices in active markets for identical assets when available, which are reflected in Level 1. When quoted prices are not available, we may utilize internal valuation methodologies appropriate for the specific asset that use observable inputs such as underlying share prices or the NAV, which are reflected in Level 2. Fair values might also be determined using broker quotes or through the use of internal models or analysis that incorporate significant assumptions deemed appropriate given the circumstances and consistent with what other market participants would use when pricing such securities, which are reflected in Level 3.</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Derivatives</w:t>
      </w:r>
    </w:p>
    <w:p>
      <w:pPr>
        <w:spacing w:after="0" w:line="225" w:lineRule="exact"/>
        <w:rPr>
          <w:sz w:val="20"/>
          <w:szCs w:val="20"/>
          <w:color w:val="auto"/>
        </w:rPr>
      </w:pPr>
    </w:p>
    <w:p>
      <w:pPr>
        <w:ind w:firstLine="648"/>
        <w:spacing w:after="0" w:line="252" w:lineRule="auto"/>
        <w:rPr>
          <w:sz w:val="20"/>
          <w:szCs w:val="20"/>
          <w:color w:val="auto"/>
        </w:rPr>
      </w:pPr>
      <w:r>
        <w:rPr>
          <w:rFonts w:ascii="Arial" w:cs="Arial" w:eastAsia="Arial" w:hAnsi="Arial"/>
          <w:sz w:val="18"/>
          <w:szCs w:val="18"/>
          <w:color w:val="auto"/>
        </w:rPr>
        <w:t>The fair values of exchange-traded derivatives are determined through quoted market prices, which are reflected in Level 1. Exchange-traded derivatives include futures that are settled daily, which reduces their fair value in the consolidated statements of financial position. The fair values of OTC cleared derivatives are determined through market prices published by the clearinghouses, which are reflected in Level 2. The clearinghouses utilize the secured overnight financing rate (“SOFR”) curve in their valuation. Variation margin associated with OTC cleared derivatives is settled daily, which reduces their fair value in the consolidated statements of financial position. The fair values of bilateral OTC derivative instruments are determined using either pricing valuation models that utilize market observable inputs or broker quotes. The majority of our bilateral OTC derivatives are valued with models that use market observable inputs, which are reflected in Level 2. Significant inputs include contractual terms, interest rates, currency exchange rates, credit spread curves, equity prices and volatilities. These valuation models consider projected discounted cash flows, relevant swap curves and appropriate implied volatilities. Certain bilateral OTC derivatives utilize unobservable market data, primarily independent broker quotes that are nonbinding quotes based on models that do not reflect the result of market transactions, which are reflected in Level 3.</w:t>
      </w:r>
    </w:p>
    <w:p>
      <w:pPr>
        <w:spacing w:after="0" w:line="146" w:lineRule="exact"/>
        <w:rPr>
          <w:sz w:val="20"/>
          <w:szCs w:val="20"/>
          <w:color w:val="auto"/>
        </w:rPr>
      </w:pPr>
    </w:p>
    <w:p>
      <w:pPr>
        <w:ind w:right="40" w:firstLine="648"/>
        <w:spacing w:after="0" w:line="273" w:lineRule="auto"/>
        <w:rPr>
          <w:sz w:val="20"/>
          <w:szCs w:val="20"/>
          <w:color w:val="auto"/>
        </w:rPr>
      </w:pPr>
      <w:r>
        <w:rPr>
          <w:rFonts w:ascii="Arial" w:cs="Arial" w:eastAsia="Arial" w:hAnsi="Arial"/>
          <w:sz w:val="17"/>
          <w:szCs w:val="17"/>
          <w:color w:val="auto"/>
        </w:rPr>
        <w:t>Our non-cleared derivative contracts are generally documented under ISDA Master Agreements, which provide for legally enforceable set-off and close-out netting of exposures to specific counterparties. Collateral arrangements are bilateral and based on current ratings of each entity. We utilize the SOFR curve to value our positions. Counterparty credit risk is routinely monitored to ensure our adjustment for nonperformance risk is appropriate. Our centrally cleared derivative contracts are conducted with regulated centralized clearinghouses, which provide for daily exchange of cash collateral or variation margin equal to the difference in the daily market values of those contracts that eliminates the nonperformance risk on these trades.</w:t>
      </w:r>
    </w:p>
    <w:p>
      <w:pPr>
        <w:spacing w:after="0" w:line="178" w:lineRule="exact"/>
        <w:rPr>
          <w:sz w:val="20"/>
          <w:szCs w:val="20"/>
          <w:color w:val="auto"/>
        </w:rPr>
      </w:pPr>
    </w:p>
    <w:p>
      <w:pPr>
        <w:ind w:right="100" w:firstLine="648"/>
        <w:spacing w:after="0" w:line="275" w:lineRule="auto"/>
        <w:rPr>
          <w:sz w:val="20"/>
          <w:szCs w:val="20"/>
          <w:color w:val="auto"/>
        </w:rPr>
      </w:pPr>
      <w:r>
        <w:rPr>
          <w:rFonts w:ascii="Arial" w:cs="Arial" w:eastAsia="Arial" w:hAnsi="Arial"/>
          <w:sz w:val="17"/>
          <w:szCs w:val="17"/>
          <w:b w:val="1"/>
          <w:bCs w:val="1"/>
          <w:i w:val="1"/>
          <w:iCs w:val="1"/>
          <w:color w:val="auto"/>
        </w:rPr>
        <w:t xml:space="preserve">Interest Rate Contracts. </w:t>
      </w:r>
      <w:r>
        <w:rPr>
          <w:rFonts w:ascii="Arial" w:cs="Arial" w:eastAsia="Arial" w:hAnsi="Arial"/>
          <w:sz w:val="17"/>
          <w:szCs w:val="17"/>
          <w:color w:val="auto"/>
        </w:rPr>
        <w:t>For non-cleared contracts, which include interest rate swaps and have included swaptions, we use</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discounted cash flow valuation techniques to determine the fair value using observable swap curves as the inputs. These are reflected in Level 2. We have forward contracts for which we obtain prices from third party pricing vendors. These are reflected in Level 2. For centrally cleared contracts we use published prices from clearinghouses. These are reflected in Level 2. In addition, we had interest rate options that were valued using broker quotes. These were reflected in Level 3.</w:t>
      </w:r>
    </w:p>
    <w:p>
      <w:pPr>
        <w:spacing w:after="0" w:line="39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603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880"/>
          </w:cols>
          <w:pgMar w:left="980" w:top="665" w:right="1039" w:bottom="1440" w:gutter="0" w:footer="0" w:header="0"/>
        </w:sectPr>
      </w:pPr>
    </w:p>
    <w:bookmarkStart w:id="61" w:name="page62"/>
    <w:bookmarkEnd w:id="61"/>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right="40" w:firstLine="648"/>
        <w:spacing w:after="0" w:line="257" w:lineRule="auto"/>
        <w:rPr>
          <w:sz w:val="20"/>
          <w:szCs w:val="20"/>
          <w:color w:val="auto"/>
        </w:rPr>
      </w:pPr>
      <w:r>
        <w:rPr>
          <w:rFonts w:ascii="Arial" w:cs="Arial" w:eastAsia="Arial" w:hAnsi="Arial"/>
          <w:sz w:val="18"/>
          <w:szCs w:val="18"/>
          <w:b w:val="1"/>
          <w:bCs w:val="1"/>
          <w:i w:val="1"/>
          <w:iCs w:val="1"/>
          <w:color w:val="auto"/>
        </w:rPr>
        <w:t xml:space="preserve">Foreign Exchange Contracts. </w:t>
      </w:r>
      <w:r>
        <w:rPr>
          <w:rFonts w:ascii="Arial" w:cs="Arial" w:eastAsia="Arial" w:hAnsi="Arial"/>
          <w:sz w:val="18"/>
          <w:szCs w:val="18"/>
          <w:color w:val="auto"/>
        </w:rPr>
        <w:t>We use discounted cash flow valuation techniques that utilize observable swap curves and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exchange rates as the inputs to determine the fair value of foreign currency swaps. These are reflected in Level 2. Currency forwards are and currency options were valued using observable market inputs, including forward currency exchange rates. These are reflected in Level 2. In addition, we had a limited number of non-standard currency swaps that were valued using broker quotes. These were reflected within Level 3.</w:t>
      </w:r>
    </w:p>
    <w:p>
      <w:pPr>
        <w:spacing w:after="0" w:line="188" w:lineRule="exact"/>
        <w:rPr>
          <w:sz w:val="20"/>
          <w:szCs w:val="20"/>
          <w:color w:val="auto"/>
        </w:rPr>
      </w:pPr>
    </w:p>
    <w:p>
      <w:pPr>
        <w:ind w:right="40" w:firstLine="648"/>
        <w:spacing w:after="0" w:line="277" w:lineRule="auto"/>
        <w:rPr>
          <w:sz w:val="20"/>
          <w:szCs w:val="20"/>
          <w:color w:val="auto"/>
        </w:rPr>
      </w:pPr>
      <w:r>
        <w:rPr>
          <w:rFonts w:ascii="Arial" w:cs="Arial" w:eastAsia="Arial" w:hAnsi="Arial"/>
          <w:sz w:val="18"/>
          <w:szCs w:val="18"/>
          <w:b w:val="1"/>
          <w:bCs w:val="1"/>
          <w:i w:val="1"/>
          <w:iCs w:val="1"/>
          <w:color w:val="auto"/>
        </w:rPr>
        <w:t xml:space="preserve">Equity Contracts. </w:t>
      </w:r>
      <w:r>
        <w:rPr>
          <w:rFonts w:ascii="Arial" w:cs="Arial" w:eastAsia="Arial" w:hAnsi="Arial"/>
          <w:sz w:val="18"/>
          <w:szCs w:val="18"/>
          <w:color w:val="auto"/>
        </w:rPr>
        <w:t>We use an option pricing model using observable implied volatilities, dividend yields, index prices and swap</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curves as the inputs to determine the fair value of equity options. These are reflected in Level 2.</w:t>
      </w:r>
    </w:p>
    <w:p>
      <w:pPr>
        <w:spacing w:after="0" w:line="170" w:lineRule="exact"/>
        <w:rPr>
          <w:sz w:val="20"/>
          <w:szCs w:val="20"/>
          <w:color w:val="auto"/>
        </w:rPr>
      </w:pPr>
    </w:p>
    <w:p>
      <w:pPr>
        <w:jc w:val="both"/>
        <w:ind w:right="220" w:firstLine="648"/>
        <w:spacing w:after="0" w:line="311" w:lineRule="auto"/>
        <w:rPr>
          <w:sz w:val="20"/>
          <w:szCs w:val="20"/>
          <w:color w:val="auto"/>
        </w:rPr>
      </w:pPr>
      <w:r>
        <w:rPr>
          <w:rFonts w:ascii="Arial" w:cs="Arial" w:eastAsia="Arial" w:hAnsi="Arial"/>
          <w:sz w:val="16"/>
          <w:szCs w:val="16"/>
          <w:b w:val="1"/>
          <w:bCs w:val="1"/>
          <w:i w:val="1"/>
          <w:iCs w:val="1"/>
          <w:color w:val="auto"/>
        </w:rPr>
        <w:t xml:space="preserve">Credit Contracts. </w:t>
      </w:r>
      <w:r>
        <w:rPr>
          <w:rFonts w:ascii="Arial" w:cs="Arial" w:eastAsia="Arial" w:hAnsi="Arial"/>
          <w:sz w:val="16"/>
          <w:szCs w:val="16"/>
          <w:color w:val="auto"/>
        </w:rPr>
        <w:t>We use either the ISDA Credit Default Swap Standard discounted cash flow model that utilizes observable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default probabilities and recovery rates as inputs to determine the fair value of credit default swaps. These are reflected in Level 2. In addition, we have a limited number of credit default swaps that are valued using broker quotes. These are reflected within Level 3.</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Investments</w:t>
      </w:r>
    </w:p>
    <w:p>
      <w:pPr>
        <w:spacing w:after="0" w:line="225" w:lineRule="exact"/>
        <w:rPr>
          <w:sz w:val="20"/>
          <w:szCs w:val="20"/>
          <w:color w:val="auto"/>
        </w:rPr>
      </w:pPr>
    </w:p>
    <w:p>
      <w:pPr>
        <w:ind w:right="20" w:firstLine="648"/>
        <w:spacing w:after="0" w:line="263" w:lineRule="auto"/>
        <w:rPr>
          <w:sz w:val="20"/>
          <w:szCs w:val="20"/>
          <w:color w:val="auto"/>
        </w:rPr>
      </w:pPr>
      <w:r>
        <w:rPr>
          <w:rFonts w:ascii="Arial" w:cs="Arial" w:eastAsia="Arial" w:hAnsi="Arial"/>
          <w:sz w:val="18"/>
          <w:szCs w:val="18"/>
          <w:color w:val="auto"/>
        </w:rPr>
        <w:t>Other investments reported at fair value include invested assets of consolidated sponsored investment funds, unconsolidated sponsored investment funds, other investment funds reported at fair value, equity method real estate investments for which the fair value option was elected and certain redeemable and nonredeemable preferred stock.</w:t>
      </w:r>
    </w:p>
    <w:p>
      <w:pPr>
        <w:spacing w:after="0" w:line="184" w:lineRule="exact"/>
        <w:rPr>
          <w:sz w:val="20"/>
          <w:szCs w:val="20"/>
          <w:color w:val="auto"/>
        </w:rPr>
      </w:pPr>
    </w:p>
    <w:p>
      <w:pPr>
        <w:ind w:right="80" w:firstLine="648"/>
        <w:spacing w:after="0" w:line="277" w:lineRule="auto"/>
        <w:rPr>
          <w:sz w:val="20"/>
          <w:szCs w:val="20"/>
          <w:color w:val="auto"/>
        </w:rPr>
      </w:pPr>
      <w:r>
        <w:rPr>
          <w:rFonts w:ascii="Arial" w:cs="Arial" w:eastAsia="Arial" w:hAnsi="Arial"/>
          <w:sz w:val="18"/>
          <w:szCs w:val="18"/>
          <w:color w:val="auto"/>
        </w:rPr>
        <w:t>Invested assets of consolidated sponsored investment funds include equity securities, fixed maturities and derivative assets, for which fair values are determined as previously described, and are reflected in Level 1 and Level 2.</w:t>
      </w:r>
    </w:p>
    <w:p>
      <w:pPr>
        <w:spacing w:after="0" w:line="170" w:lineRule="exact"/>
        <w:rPr>
          <w:sz w:val="20"/>
          <w:szCs w:val="20"/>
          <w:color w:val="auto"/>
        </w:rPr>
      </w:pPr>
    </w:p>
    <w:p>
      <w:pPr>
        <w:ind w:right="140" w:firstLine="648"/>
        <w:spacing w:after="0" w:line="259" w:lineRule="auto"/>
        <w:rPr>
          <w:sz w:val="20"/>
          <w:szCs w:val="20"/>
          <w:color w:val="auto"/>
        </w:rPr>
      </w:pPr>
      <w:r>
        <w:rPr>
          <w:rFonts w:ascii="Arial" w:cs="Arial" w:eastAsia="Arial" w:hAnsi="Arial"/>
          <w:sz w:val="18"/>
          <w:szCs w:val="18"/>
          <w:color w:val="auto"/>
        </w:rPr>
        <w:t>The fair value of unconsolidated sponsored investment funds and other investment funds is determined using the NAV of the fund. The NAV of the fund represents the price at which we would be able to initiate a transaction. Investments for which the NAV represents a quoted price in an active market for identical assets are reflected in Level 1. Investments that do not have a quoted price in an active market are reflected in Level 2.</w:t>
      </w:r>
    </w:p>
    <w:p>
      <w:pPr>
        <w:spacing w:after="0" w:line="187"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Equity method real estate investments for which the fair value option was elected were reflected in Level 3. The equity method real estate investments consisted of underlying real estate and debt. The real estate fair value was estimated using a discounted cash flow valuation model that utilized public real estate market data inputs such as transaction prices, market rents, vacancy levels, leasing absorption, market cap rates and discount rates. The debt fair value was estimated using a discounted cash flow analysis based on our incremental borrowing rate for similar borrowing arrangements. The last equity method real estate investment for which the fair value option was elected was sold in the third quarter of 2021.</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Equivalents</w:t>
      </w:r>
    </w:p>
    <w:p>
      <w:pPr>
        <w:spacing w:after="0" w:line="198" w:lineRule="exact"/>
        <w:rPr>
          <w:sz w:val="20"/>
          <w:szCs w:val="20"/>
          <w:color w:val="auto"/>
        </w:rPr>
      </w:pPr>
    </w:p>
    <w:p>
      <w:pPr>
        <w:ind w:right="60" w:firstLine="648"/>
        <w:spacing w:after="0" w:line="279" w:lineRule="auto"/>
        <w:rPr>
          <w:sz w:val="20"/>
          <w:szCs w:val="20"/>
          <w:color w:val="auto"/>
        </w:rPr>
      </w:pPr>
      <w:r>
        <w:rPr>
          <w:rFonts w:ascii="Arial" w:cs="Arial" w:eastAsia="Arial" w:hAnsi="Arial"/>
          <w:sz w:val="17"/>
          <w:szCs w:val="17"/>
          <w:color w:val="auto"/>
        </w:rPr>
        <w:t>Certain cash equivalents are reported at fair value on a recurring basis and include money market instruments and other short-term investments with maturities of three months or less. Fair values of these cash equivalents may be determined using public quotations, when available, which are reflected in Level 1. When public quotations are not available, because of the highly liquid nature of these assets, carrying amounts may be used to approximate fair values, which are reflected in Level 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603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860"/>
          </w:cols>
          <w:pgMar w:left="980" w:top="665" w:right="1059" w:bottom="1440" w:gutter="0" w:footer="0" w:header="0"/>
        </w:sectPr>
      </w:pPr>
    </w:p>
    <w:bookmarkStart w:id="62" w:name="page63"/>
    <w:bookmarkEnd w:id="62"/>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Separate Account Assets</w:t>
      </w:r>
    </w:p>
    <w:p>
      <w:pPr>
        <w:spacing w:after="0" w:line="212" w:lineRule="exact"/>
        <w:rPr>
          <w:sz w:val="20"/>
          <w:szCs w:val="20"/>
          <w:color w:val="auto"/>
        </w:rPr>
      </w:pPr>
    </w:p>
    <w:p>
      <w:pPr>
        <w:ind w:firstLine="648"/>
        <w:spacing w:after="0" w:line="289" w:lineRule="auto"/>
        <w:rPr>
          <w:sz w:val="20"/>
          <w:szCs w:val="20"/>
          <w:color w:val="auto"/>
        </w:rPr>
      </w:pPr>
      <w:r>
        <w:rPr>
          <w:rFonts w:ascii="Arial" w:cs="Arial" w:eastAsia="Arial" w:hAnsi="Arial"/>
          <w:sz w:val="16"/>
          <w:szCs w:val="16"/>
          <w:color w:val="auto"/>
        </w:rPr>
        <w:t>Separate account assets include equity securities, debt securities, cash equivalents and derivative instruments, for which fair values are determined as previously described, and are reflected in Level 1, Level 2 and Level 3. Separate account assets also include commercial mortgage loans, for which the fair value is estimated by discounting the expected total cash flows using market rates that are applicable to the yield, credit quality and maturity of the loans. The market clearing spreads vary based on mortgage type, weighted average life, rating and liquidity. These are reflected in Level 3. Finally, separate account assets include real estate, for which the fair value is estimated using discounted cash flow valuation models that utilize various public real estate market data inputs. In addition, each property is appraised annually by an independent appraiser. The real estate included in separate account assets is recorded net of related mortgage encumbrances for which the fair value is estimated using discounted cash flow analysis based on our incremental borrowing rate for similar borrowing arrangements. The real estate within the separate accounts is reflected in Level 3.</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Investment and Universal Life Contracts</w:t>
      </w:r>
    </w:p>
    <w:p>
      <w:pPr>
        <w:spacing w:after="0" w:line="212" w:lineRule="exact"/>
        <w:rPr>
          <w:sz w:val="20"/>
          <w:szCs w:val="20"/>
          <w:color w:val="auto"/>
        </w:rPr>
      </w:pPr>
    </w:p>
    <w:p>
      <w:pPr>
        <w:ind w:right="100" w:firstLine="648"/>
        <w:spacing w:after="0" w:line="254" w:lineRule="auto"/>
        <w:rPr>
          <w:sz w:val="20"/>
          <w:szCs w:val="20"/>
          <w:color w:val="auto"/>
        </w:rPr>
      </w:pPr>
      <w:r>
        <w:rPr>
          <w:rFonts w:ascii="Arial" w:cs="Arial" w:eastAsia="Arial" w:hAnsi="Arial"/>
          <w:sz w:val="18"/>
          <w:szCs w:val="18"/>
          <w:color w:val="auto"/>
        </w:rPr>
        <w:t>Certain universal life, annuity and other investment contracts include embedded derivatives that have been bifurcated from the host contract and are measured at fair value on a recurring basis, which are reflected in Level 3. The key assumptions for calculating the fair value of the embedded derivative liabilities are market assumptions (such as equity market returns, interest rate levels, market volatility and correlations) and policyholder behavior assumptions (such as lapse, mortality, utilization and withdrawal patterns). Risk margins are included in the policyholder behavior assumptions. The assumptions are based on a combination of historical data and actuarial judgment. The embedded derivative liabilities are valued using models that incorporate a spread reflecting our own creditworthiness.</w:t>
      </w:r>
    </w:p>
    <w:p>
      <w:pPr>
        <w:spacing w:after="0" w:line="195" w:lineRule="exact"/>
        <w:rPr>
          <w:sz w:val="20"/>
          <w:szCs w:val="20"/>
          <w:color w:val="auto"/>
        </w:rPr>
      </w:pPr>
    </w:p>
    <w:p>
      <w:pPr>
        <w:ind w:right="240" w:firstLine="648"/>
        <w:spacing w:after="0" w:line="263" w:lineRule="auto"/>
        <w:rPr>
          <w:sz w:val="20"/>
          <w:szCs w:val="20"/>
          <w:color w:val="auto"/>
        </w:rPr>
      </w:pPr>
      <w:r>
        <w:rPr>
          <w:rFonts w:ascii="Arial" w:cs="Arial" w:eastAsia="Arial" w:hAnsi="Arial"/>
          <w:sz w:val="18"/>
          <w:szCs w:val="18"/>
          <w:color w:val="auto"/>
        </w:rPr>
        <w:t>The assumption for our own nonperformance risk for investment contracts and any embedded derivatives bifurcated from certain universal life, annuity and investment contracts is based on the current market credit spreads for debt-like instruments we have issued and are available in the market.</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Funds Withheld Payable</w:t>
      </w:r>
    </w:p>
    <w:p>
      <w:pPr>
        <w:spacing w:after="0" w:line="212" w:lineRule="exact"/>
        <w:rPr>
          <w:sz w:val="20"/>
          <w:szCs w:val="20"/>
          <w:color w:val="auto"/>
        </w:rPr>
      </w:pPr>
    </w:p>
    <w:p>
      <w:pPr>
        <w:jc w:val="both"/>
        <w:ind w:right="60" w:firstLine="648"/>
        <w:spacing w:after="0" w:line="311" w:lineRule="auto"/>
        <w:rPr>
          <w:sz w:val="20"/>
          <w:szCs w:val="20"/>
          <w:color w:val="auto"/>
        </w:rPr>
      </w:pPr>
      <w:r>
        <w:rPr>
          <w:rFonts w:ascii="Arial" w:cs="Arial" w:eastAsia="Arial" w:hAnsi="Arial"/>
          <w:sz w:val="16"/>
          <w:szCs w:val="16"/>
          <w:color w:val="auto"/>
        </w:rPr>
        <w:t>The funds withheld payable includes an embedded derivative that has been bifurcated from the host contract and is measured at fair value on a recurring basis, which is reflected in Level 3. The fair value is determined based on the change in the estimated fair value of the underlying funds withheld investments. The fair value of these assets is determined as previously described.</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Liabilities</w:t>
      </w:r>
    </w:p>
    <w:p>
      <w:pPr>
        <w:spacing w:after="0" w:line="198" w:lineRule="exact"/>
        <w:rPr>
          <w:sz w:val="20"/>
          <w:szCs w:val="20"/>
          <w:color w:val="auto"/>
        </w:rPr>
      </w:pPr>
    </w:p>
    <w:p>
      <w:pPr>
        <w:ind w:right="40" w:firstLine="648"/>
        <w:spacing w:after="0" w:line="277" w:lineRule="auto"/>
        <w:rPr>
          <w:sz w:val="20"/>
          <w:szCs w:val="20"/>
          <w:color w:val="auto"/>
        </w:rPr>
      </w:pPr>
      <w:r>
        <w:rPr>
          <w:rFonts w:ascii="Arial" w:cs="Arial" w:eastAsia="Arial" w:hAnsi="Arial"/>
          <w:sz w:val="18"/>
          <w:szCs w:val="18"/>
          <w:color w:val="auto"/>
        </w:rPr>
        <w:t>Derivative liabilities of consolidated sponsored investment funds are reported at fair value within other liabilities. Fair values of these derivatives are determined as previously described and are reflected in Level 2.</w:t>
      </w:r>
    </w:p>
    <w:p>
      <w:pPr>
        <w:spacing w:after="0" w:line="38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603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900"/>
          </w:cols>
          <w:pgMar w:left="980" w:top="665" w:right="1019" w:bottom="1440" w:gutter="0" w:footer="0" w:header="0"/>
        </w:sectPr>
      </w:pPr>
    </w:p>
    <w:bookmarkStart w:id="63" w:name="page64"/>
    <w:bookmarkEnd w:id="63"/>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Assets and Liabilities Measured at Fair Value on a Recurring Basis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Assets and liabilities measured at fair value on a recurring basis were as follows: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3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gridSpan w:val="2"/>
          </w:tcPr>
          <w:p>
            <w:pPr>
              <w:jc w:val="center"/>
              <w:ind w:right="200"/>
              <w:spacing w:after="0"/>
              <w:rPr>
                <w:sz w:val="20"/>
                <w:szCs w:val="20"/>
                <w:color w:val="auto"/>
              </w:rPr>
            </w:pPr>
            <w:r>
              <w:rPr>
                <w:rFonts w:ascii="Arial" w:cs="Arial" w:eastAsia="Arial" w:hAnsi="Arial"/>
                <w:sz w:val="14"/>
                <w:szCs w:val="14"/>
                <w:b w:val="1"/>
                <w:bCs w:val="1"/>
                <w:color w:val="auto"/>
                <w:w w:val="92"/>
              </w:rPr>
              <w:t>June 30, 2022</w:t>
            </w:r>
          </w:p>
        </w:tc>
        <w:tc>
          <w:tcPr>
            <w:tcW w:w="10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34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20" w:type="dxa"/>
            <w:vAlign w:val="bottom"/>
            <w:gridSpan w:val="2"/>
          </w:tcPr>
          <w:p>
            <w:pPr>
              <w:jc w:val="center"/>
              <w:ind w:right="200"/>
              <w:spacing w:after="0" w:line="119" w:lineRule="exact"/>
              <w:rPr>
                <w:sz w:val="20"/>
                <w:szCs w:val="20"/>
                <w:color w:val="auto"/>
              </w:rPr>
            </w:pPr>
            <w:r>
              <w:rPr>
                <w:rFonts w:ascii="Arial" w:cs="Arial" w:eastAsia="Arial" w:hAnsi="Arial"/>
                <w:sz w:val="13"/>
                <w:szCs w:val="13"/>
                <w:b w:val="1"/>
                <w:bCs w:val="1"/>
                <w:color w:val="auto"/>
                <w:w w:val="90"/>
              </w:rPr>
              <w:t>Assets/</w:t>
            </w:r>
          </w:p>
        </w:tc>
        <w:tc>
          <w:tcPr>
            <w:tcW w:w="1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40" w:type="dxa"/>
            <w:vAlign w:val="bottom"/>
          </w:tcPr>
          <w:p>
            <w:pPr>
              <w:jc w:val="center"/>
              <w:ind w:right="73"/>
              <w:spacing w:after="0" w:line="119" w:lineRule="exact"/>
              <w:rPr>
                <w:sz w:val="20"/>
                <w:szCs w:val="20"/>
                <w:color w:val="auto"/>
              </w:rPr>
            </w:pPr>
            <w:r>
              <w:rPr>
                <w:rFonts w:ascii="Arial" w:cs="Arial" w:eastAsia="Arial" w:hAnsi="Arial"/>
                <w:sz w:val="13"/>
                <w:szCs w:val="13"/>
                <w:b w:val="1"/>
                <w:bCs w:val="1"/>
                <w:color w:val="auto"/>
              </w:rPr>
              <w:t>Amount</w:t>
            </w:r>
          </w:p>
        </w:tc>
        <w:tc>
          <w:tcPr>
            <w:tcW w:w="2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4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5"/>
              </w:rPr>
              <w:t>(liabilities)</w:t>
            </w: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40" w:type="dxa"/>
            <w:vAlign w:val="bottom"/>
          </w:tcPr>
          <w:p>
            <w:pPr>
              <w:jc w:val="center"/>
              <w:ind w:right="53"/>
              <w:spacing w:after="0" w:line="149" w:lineRule="exact"/>
              <w:rPr>
                <w:sz w:val="20"/>
                <w:szCs w:val="20"/>
                <w:color w:val="auto"/>
              </w:rPr>
            </w:pPr>
            <w:r>
              <w:rPr>
                <w:rFonts w:ascii="Arial" w:cs="Arial" w:eastAsia="Arial" w:hAnsi="Arial"/>
                <w:sz w:val="14"/>
                <w:szCs w:val="14"/>
                <w:b w:val="1"/>
                <w:bCs w:val="1"/>
                <w:color w:val="auto"/>
                <w:w w:val="92"/>
              </w:rPr>
              <w:t>measured at</w:t>
            </w:r>
          </w:p>
        </w:tc>
        <w:tc>
          <w:tcPr>
            <w:tcW w:w="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680" w:type="dxa"/>
            <w:vAlign w:val="bottom"/>
            <w:gridSpan w:val="8"/>
            <w:vMerge w:val="restart"/>
          </w:tcPr>
          <w:p>
            <w:pPr>
              <w:jc w:val="right"/>
              <w:ind w:right="87"/>
              <w:spacing w:after="0"/>
              <w:rPr>
                <w:sz w:val="20"/>
                <w:szCs w:val="20"/>
                <w:color w:val="auto"/>
              </w:rPr>
            </w:pPr>
            <w:r>
              <w:rPr>
                <w:rFonts w:ascii="Arial" w:cs="Arial" w:eastAsia="Arial" w:hAnsi="Arial"/>
                <w:sz w:val="14"/>
                <w:szCs w:val="14"/>
                <w:b w:val="1"/>
                <w:bCs w:val="1"/>
                <w:color w:val="auto"/>
              </w:rPr>
              <w:t>Fair value hierarchy level</w:t>
            </w:r>
          </w:p>
        </w:tc>
        <w:tc>
          <w:tcPr>
            <w:tcW w:w="9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3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2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92"/>
              </w:rPr>
              <w:t>measured at</w:t>
            </w: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40" w:type="dxa"/>
            <w:vAlign w:val="bottom"/>
          </w:tcPr>
          <w:p>
            <w:pPr>
              <w:jc w:val="center"/>
              <w:ind w:right="53"/>
              <w:spacing w:after="0"/>
              <w:rPr>
                <w:sz w:val="20"/>
                <w:szCs w:val="20"/>
                <w:color w:val="auto"/>
              </w:rPr>
            </w:pPr>
            <w:r>
              <w:rPr>
                <w:rFonts w:ascii="Arial" w:cs="Arial" w:eastAsia="Arial" w:hAnsi="Arial"/>
                <w:sz w:val="14"/>
                <w:szCs w:val="14"/>
                <w:b w:val="1"/>
                <w:bCs w:val="1"/>
                <w:color w:val="auto"/>
                <w:w w:val="85"/>
              </w:rPr>
              <w:t>net asset</w:t>
            </w:r>
          </w:p>
        </w:tc>
        <w:tc>
          <w:tcPr>
            <w:tcW w:w="2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680" w:type="dxa"/>
            <w:vAlign w:val="bottom"/>
            <w:tcBorders>
              <w:bottom w:val="single" w:sz="8" w:color="auto"/>
            </w:tcBorders>
            <w:gridSpan w:val="8"/>
            <w:vMerge w:val="continue"/>
          </w:tcPr>
          <w:p>
            <w:pPr>
              <w:spacing w:after="0"/>
              <w:rPr>
                <w:sz w:val="14"/>
                <w:szCs w:val="14"/>
                <w:color w:val="auto"/>
              </w:rPr>
            </w:pPr>
          </w:p>
        </w:tc>
        <w:tc>
          <w:tcPr>
            <w:tcW w:w="90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4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gridSpan w:val="2"/>
          </w:tcPr>
          <w:p>
            <w:pPr>
              <w:jc w:val="center"/>
              <w:ind w:right="200"/>
              <w:spacing w:after="0" w:line="142" w:lineRule="exact"/>
              <w:rPr>
                <w:sz w:val="20"/>
                <w:szCs w:val="20"/>
                <w:color w:val="auto"/>
              </w:rPr>
            </w:pPr>
            <w:r>
              <w:rPr>
                <w:rFonts w:ascii="Arial" w:cs="Arial" w:eastAsia="Arial" w:hAnsi="Arial"/>
                <w:sz w:val="14"/>
                <w:szCs w:val="14"/>
                <w:b w:val="1"/>
                <w:bCs w:val="1"/>
                <w:color w:val="auto"/>
                <w:w w:val="94"/>
              </w:rPr>
              <w:t>fair value</w:t>
            </w: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40" w:type="dxa"/>
            <w:vAlign w:val="bottom"/>
          </w:tcPr>
          <w:p>
            <w:pPr>
              <w:jc w:val="center"/>
              <w:ind w:right="53"/>
              <w:spacing w:after="0" w:line="142" w:lineRule="exact"/>
              <w:rPr>
                <w:sz w:val="20"/>
                <w:szCs w:val="20"/>
                <w:color w:val="auto"/>
              </w:rPr>
            </w:pPr>
            <w:r>
              <w:rPr>
                <w:rFonts w:ascii="Arial" w:cs="Arial" w:eastAsia="Arial" w:hAnsi="Arial"/>
                <w:sz w:val="14"/>
                <w:szCs w:val="14"/>
                <w:b w:val="1"/>
                <w:bCs w:val="1"/>
                <w:color w:val="auto"/>
                <w:w w:val="91"/>
              </w:rPr>
              <w:t>value (4)</w:t>
            </w:r>
          </w:p>
        </w:tc>
        <w:tc>
          <w:tcPr>
            <w:tcW w:w="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gridSpan w:val="2"/>
          </w:tcPr>
          <w:p>
            <w:pPr>
              <w:jc w:val="center"/>
              <w:ind w:right="240"/>
              <w:spacing w:after="0" w:line="142" w:lineRule="exact"/>
              <w:rPr>
                <w:sz w:val="20"/>
                <w:szCs w:val="20"/>
                <w:color w:val="auto"/>
              </w:rPr>
            </w:pPr>
            <w:r>
              <w:rPr>
                <w:rFonts w:ascii="Arial" w:cs="Arial" w:eastAsia="Arial" w:hAnsi="Arial"/>
                <w:sz w:val="14"/>
                <w:szCs w:val="14"/>
                <w:b w:val="1"/>
                <w:bCs w:val="1"/>
                <w:color w:val="auto"/>
                <w:w w:val="92"/>
              </w:rPr>
              <w:t>Level 1</w:t>
            </w: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00" w:type="dxa"/>
            <w:vAlign w:val="bottom"/>
            <w:gridSpan w:val="2"/>
          </w:tcPr>
          <w:p>
            <w:pPr>
              <w:jc w:val="right"/>
              <w:ind w:right="440"/>
              <w:spacing w:after="0" w:line="142" w:lineRule="exact"/>
              <w:rPr>
                <w:sz w:val="20"/>
                <w:szCs w:val="20"/>
                <w:color w:val="auto"/>
              </w:rPr>
            </w:pPr>
            <w:r>
              <w:rPr>
                <w:rFonts w:ascii="Arial" w:cs="Arial" w:eastAsia="Arial" w:hAnsi="Arial"/>
                <w:sz w:val="14"/>
                <w:szCs w:val="14"/>
                <w:b w:val="1"/>
                <w:bCs w:val="1"/>
                <w:color w:val="auto"/>
              </w:rPr>
              <w:t>Level 2</w:t>
            </w: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00" w:type="dxa"/>
            <w:vAlign w:val="bottom"/>
          </w:tcPr>
          <w:p>
            <w:pPr>
              <w:jc w:val="right"/>
              <w:ind w:right="251"/>
              <w:spacing w:after="0" w:line="142" w:lineRule="exact"/>
              <w:rPr>
                <w:sz w:val="20"/>
                <w:szCs w:val="20"/>
                <w:color w:val="auto"/>
              </w:rPr>
            </w:pPr>
            <w:r>
              <w:rPr>
                <w:rFonts w:ascii="Arial" w:cs="Arial" w:eastAsia="Arial" w:hAnsi="Arial"/>
                <w:sz w:val="14"/>
                <w:szCs w:val="14"/>
                <w:b w:val="1"/>
                <w:bCs w:val="1"/>
                <w:color w:val="auto"/>
              </w:rPr>
              <w:t>Level 3</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3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960" w:type="dxa"/>
            <w:vAlign w:val="bottom"/>
            <w:tcBorders>
              <w:top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940" w:type="dxa"/>
            <w:vAlign w:val="bottom"/>
            <w:tcBorders>
              <w:top w:val="single" w:sz="8" w:color="auto"/>
            </w:tcBorders>
          </w:tcPr>
          <w:p>
            <w:pPr>
              <w:spacing w:after="0"/>
              <w:rPr>
                <w:sz w:val="11"/>
                <w:szCs w:val="11"/>
                <w:color w:val="auto"/>
              </w:rPr>
            </w:pPr>
          </w:p>
        </w:tc>
        <w:tc>
          <w:tcPr>
            <w:tcW w:w="20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i w:val="1"/>
                <w:iCs w:val="1"/>
                <w:color w:val="auto"/>
                <w:w w:val="98"/>
              </w:rPr>
              <w:t>(in millions)</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880" w:type="dxa"/>
            <w:vAlign w:val="bottom"/>
            <w:tcBorders>
              <w:top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90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40" w:type="dxa"/>
            <w:vAlign w:val="bottom"/>
          </w:tcPr>
          <w:p>
            <w:pPr>
              <w:spacing w:after="0"/>
              <w:rPr>
                <w:sz w:val="20"/>
                <w:szCs w:val="20"/>
                <w:color w:val="auto"/>
              </w:rPr>
            </w:pPr>
            <w:r>
              <w:rPr>
                <w:rFonts w:ascii="Arial" w:cs="Arial" w:eastAsia="Arial" w:hAnsi="Arial"/>
                <w:sz w:val="18"/>
                <w:szCs w:val="18"/>
                <w:color w:val="auto"/>
              </w:rPr>
              <w:t>Fixed maturities, available-for-sale:</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40" w:type="dxa"/>
            <w:vAlign w:val="bottom"/>
            <w:shd w:val="clear" w:color="auto" w:fill="CCEEFF"/>
          </w:tcPr>
          <w:p>
            <w:pPr>
              <w:ind w:left="100"/>
              <w:spacing w:after="0"/>
              <w:rPr>
                <w:sz w:val="20"/>
                <w:szCs w:val="20"/>
                <w:color w:val="auto"/>
              </w:rPr>
            </w:pPr>
            <w:r>
              <w:rPr>
                <w:rFonts w:ascii="Arial" w:cs="Arial" w:eastAsia="Arial" w:hAnsi="Arial"/>
                <w:sz w:val="18"/>
                <w:szCs w:val="18"/>
                <w:color w:val="auto"/>
              </w:rPr>
              <w:t>U.S. government and agencies</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2,268.6</w:t>
            </w:r>
          </w:p>
        </w:tc>
        <w:tc>
          <w:tcPr>
            <w:tcW w:w="60" w:type="dxa"/>
            <w:vAlign w:val="bottom"/>
            <w:shd w:val="clear" w:color="auto" w:fill="CCEEFF"/>
          </w:tcPr>
          <w:p>
            <w:pPr>
              <w:spacing w:after="0"/>
              <w:rPr>
                <w:sz w:val="18"/>
                <w:szCs w:val="18"/>
                <w:color w:val="auto"/>
              </w:rPr>
            </w:pPr>
          </w:p>
        </w:tc>
        <w:tc>
          <w:tcPr>
            <w:tcW w:w="280" w:type="dxa"/>
            <w:vAlign w:val="bottom"/>
            <w:gridSpan w:val="2"/>
            <w:shd w:val="clear" w:color="auto" w:fill="CCEEFF"/>
          </w:tcPr>
          <w:p>
            <w:pPr>
              <w:jc w:val="center"/>
              <w:spacing w:after="0"/>
              <w:rPr>
                <w:sz w:val="20"/>
                <w:szCs w:val="20"/>
                <w:color w:val="auto"/>
              </w:rPr>
            </w:pPr>
            <w:r>
              <w:rPr>
                <w:rFonts w:ascii="Arial" w:cs="Arial" w:eastAsia="Arial" w:hAnsi="Arial"/>
                <w:sz w:val="18"/>
                <w:szCs w:val="18"/>
                <w:b w:val="1"/>
                <w:bCs w:val="1"/>
                <w:color w:val="auto"/>
                <w:w w:val="79"/>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1,870.2</w:t>
            </w:r>
          </w:p>
        </w:tc>
        <w:tc>
          <w:tcPr>
            <w:tcW w:w="100" w:type="dxa"/>
            <w:vAlign w:val="bottom"/>
            <w:shd w:val="clear" w:color="auto" w:fill="CCEEFF"/>
          </w:tcPr>
          <w:p>
            <w:pPr>
              <w:spacing w:after="0"/>
              <w:rPr>
                <w:sz w:val="18"/>
                <w:szCs w:val="18"/>
                <w:color w:val="auto"/>
              </w:rPr>
            </w:pPr>
          </w:p>
        </w:tc>
        <w:tc>
          <w:tcPr>
            <w:tcW w:w="300" w:type="dxa"/>
            <w:vAlign w:val="bottom"/>
            <w:gridSpan w:val="2"/>
            <w:shd w:val="clear" w:color="auto" w:fill="CCEEFF"/>
          </w:tcPr>
          <w:p>
            <w:pPr>
              <w:jc w:val="right"/>
              <w:ind w:right="47"/>
              <w:spacing w:after="0"/>
              <w:rPr>
                <w:sz w:val="20"/>
                <w:szCs w:val="20"/>
                <w:color w:val="auto"/>
              </w:rPr>
            </w:pPr>
            <w:r>
              <w:rPr>
                <w:rFonts w:ascii="Arial" w:cs="Arial" w:eastAsia="Arial" w:hAnsi="Arial"/>
                <w:sz w:val="18"/>
                <w:szCs w:val="18"/>
                <w:b w:val="1"/>
                <w:bCs w:val="1"/>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398.4</w:t>
            </w:r>
          </w:p>
        </w:tc>
        <w:tc>
          <w:tcPr>
            <w:tcW w:w="120" w:type="dxa"/>
            <w:vAlign w:val="bottom"/>
            <w:shd w:val="clear" w:color="auto" w:fill="CCEEFF"/>
          </w:tcPr>
          <w:p>
            <w:pPr>
              <w:spacing w:after="0"/>
              <w:rPr>
                <w:sz w:val="18"/>
                <w:szCs w:val="18"/>
                <w:color w:val="auto"/>
              </w:rPr>
            </w:pPr>
          </w:p>
        </w:tc>
        <w:tc>
          <w:tcPr>
            <w:tcW w:w="300" w:type="dxa"/>
            <w:vAlign w:val="bottom"/>
            <w:gridSpan w:val="2"/>
            <w:shd w:val="clear" w:color="auto" w:fill="CCEEFF"/>
          </w:tcPr>
          <w:p>
            <w:pPr>
              <w:jc w:val="right"/>
              <w:ind w:right="47"/>
              <w:spacing w:after="0"/>
              <w:rPr>
                <w:sz w:val="20"/>
                <w:szCs w:val="20"/>
                <w:color w:val="auto"/>
              </w:rPr>
            </w:pPr>
            <w:r>
              <w:rPr>
                <w:rFonts w:ascii="Arial" w:cs="Arial" w:eastAsia="Arial" w:hAnsi="Arial"/>
                <w:sz w:val="18"/>
                <w:szCs w:val="18"/>
                <w:b w:val="1"/>
                <w:bCs w:val="1"/>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40" w:type="dxa"/>
            <w:vAlign w:val="bottom"/>
          </w:tcPr>
          <w:p>
            <w:pPr>
              <w:ind w:left="100"/>
              <w:spacing w:after="0"/>
              <w:rPr>
                <w:sz w:val="20"/>
                <w:szCs w:val="20"/>
                <w:color w:val="auto"/>
              </w:rPr>
            </w:pPr>
            <w:r>
              <w:rPr>
                <w:rFonts w:ascii="Arial" w:cs="Arial" w:eastAsia="Arial" w:hAnsi="Arial"/>
                <w:sz w:val="18"/>
                <w:szCs w:val="18"/>
                <w:color w:val="auto"/>
              </w:rPr>
              <w:t>Non-U.S. governments</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b w:val="1"/>
                <w:bCs w:val="1"/>
                <w:color w:val="auto"/>
              </w:rPr>
              <w:t>679.8</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0.3</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b w:val="1"/>
                <w:bCs w:val="1"/>
                <w:color w:val="auto"/>
              </w:rPr>
              <w:t>679.5</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40" w:type="dxa"/>
            <w:vAlign w:val="bottom"/>
            <w:shd w:val="clear" w:color="auto" w:fill="CCEEFF"/>
          </w:tcPr>
          <w:p>
            <w:pPr>
              <w:ind w:left="100"/>
              <w:spacing w:after="0"/>
              <w:rPr>
                <w:sz w:val="20"/>
                <w:szCs w:val="20"/>
                <w:color w:val="auto"/>
              </w:rPr>
            </w:pPr>
            <w:r>
              <w:rPr>
                <w:rFonts w:ascii="Arial" w:cs="Arial" w:eastAsia="Arial" w:hAnsi="Arial"/>
                <w:sz w:val="18"/>
                <w:szCs w:val="18"/>
                <w:color w:val="auto"/>
              </w:rPr>
              <w:t>States and political subdivisions</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7,170.6</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7,083.9</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86.7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40" w:type="dxa"/>
            <w:vAlign w:val="bottom"/>
          </w:tcPr>
          <w:p>
            <w:pPr>
              <w:ind w:left="100"/>
              <w:spacing w:after="0"/>
              <w:rPr>
                <w:sz w:val="20"/>
                <w:szCs w:val="20"/>
                <w:color w:val="auto"/>
              </w:rPr>
            </w:pPr>
            <w:r>
              <w:rPr>
                <w:rFonts w:ascii="Arial" w:cs="Arial" w:eastAsia="Arial" w:hAnsi="Arial"/>
                <w:sz w:val="18"/>
                <w:szCs w:val="18"/>
                <w:color w:val="auto"/>
              </w:rPr>
              <w:t>Corporate</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b w:val="1"/>
                <w:bCs w:val="1"/>
                <w:color w:val="auto"/>
              </w:rPr>
              <w:t>39,793.2</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29.7</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b w:val="1"/>
                <w:bCs w:val="1"/>
                <w:color w:val="auto"/>
              </w:rPr>
              <w:t>38,514.8</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b w:val="1"/>
                <w:bCs w:val="1"/>
                <w:color w:val="auto"/>
              </w:rPr>
              <w:t>1,248.7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3440" w:type="dxa"/>
            <w:vAlign w:val="bottom"/>
            <w:shd w:val="clear" w:color="auto" w:fill="CCEEFF"/>
          </w:tcPr>
          <w:p>
            <w:pPr>
              <w:ind w:left="100"/>
              <w:spacing w:after="0" w:line="201" w:lineRule="exact"/>
              <w:rPr>
                <w:sz w:val="20"/>
                <w:szCs w:val="20"/>
                <w:color w:val="auto"/>
              </w:rPr>
            </w:pPr>
            <w:r>
              <w:rPr>
                <w:rFonts w:ascii="Arial" w:cs="Arial" w:eastAsia="Arial" w:hAnsi="Arial"/>
                <w:sz w:val="18"/>
                <w:szCs w:val="18"/>
                <w:color w:val="auto"/>
                <w:w w:val="96"/>
              </w:rPr>
              <w:t>Residential mortgage-backed pass-through</w:t>
            </w:r>
          </w:p>
        </w:tc>
        <w:tc>
          <w:tcPr>
            <w:tcW w:w="2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6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1,899.3</w:t>
            </w:r>
          </w:p>
        </w:tc>
        <w:tc>
          <w:tcPr>
            <w:tcW w:w="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4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8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8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1,899.3</w:t>
            </w: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0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440" w:type="dxa"/>
            <w:vAlign w:val="bottom"/>
            <w:shd w:val="clear" w:color="auto" w:fill="CCEEFF"/>
          </w:tcPr>
          <w:p>
            <w:pPr>
              <w:ind w:left="220"/>
              <w:spacing w:after="0"/>
              <w:rPr>
                <w:sz w:val="20"/>
                <w:szCs w:val="20"/>
                <w:color w:val="auto"/>
              </w:rPr>
            </w:pPr>
            <w:r>
              <w:rPr>
                <w:rFonts w:ascii="Arial" w:cs="Arial" w:eastAsia="Arial" w:hAnsi="Arial"/>
                <w:sz w:val="18"/>
                <w:szCs w:val="18"/>
                <w:color w:val="auto"/>
              </w:rPr>
              <w:t>securities</w:t>
            </w:r>
          </w:p>
        </w:tc>
        <w:tc>
          <w:tcPr>
            <w:tcW w:w="2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960" w:type="dxa"/>
            <w:vAlign w:val="bottom"/>
            <w:vMerge w:val="continue"/>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940" w:type="dxa"/>
            <w:vAlign w:val="bottom"/>
            <w:vMerge w:val="continue"/>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080" w:type="dxa"/>
            <w:vAlign w:val="bottom"/>
            <w:gridSpan w:val="2"/>
            <w:vMerge w:val="continue"/>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880" w:type="dxa"/>
            <w:vAlign w:val="bottom"/>
            <w:vMerge w:val="continue"/>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900" w:type="dxa"/>
            <w:vAlign w:val="bottom"/>
            <w:vMerge w:val="continue"/>
            <w:shd w:val="clear" w:color="auto" w:fill="CCEEFF"/>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40" w:type="dxa"/>
            <w:vAlign w:val="bottom"/>
          </w:tcPr>
          <w:p>
            <w:pPr>
              <w:ind w:left="100"/>
              <w:spacing w:after="0"/>
              <w:rPr>
                <w:sz w:val="20"/>
                <w:szCs w:val="20"/>
                <w:color w:val="auto"/>
              </w:rPr>
            </w:pPr>
            <w:r>
              <w:rPr>
                <w:rFonts w:ascii="Arial" w:cs="Arial" w:eastAsia="Arial" w:hAnsi="Arial"/>
                <w:sz w:val="18"/>
                <w:szCs w:val="18"/>
                <w:color w:val="auto"/>
              </w:rPr>
              <w:t>Commercial mortgage-backed securities</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b w:val="1"/>
                <w:bCs w:val="1"/>
                <w:color w:val="auto"/>
              </w:rPr>
              <w:t>5,291.6</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b w:val="1"/>
                <w:bCs w:val="1"/>
                <w:color w:val="auto"/>
              </w:rPr>
              <w:t>5,287.8</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b w:val="1"/>
                <w:bCs w:val="1"/>
                <w:color w:val="auto"/>
              </w:rPr>
              <w:t>3.8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40" w:type="dxa"/>
            <w:vAlign w:val="bottom"/>
            <w:shd w:val="clear" w:color="auto" w:fill="CCEEFF"/>
          </w:tcPr>
          <w:p>
            <w:pPr>
              <w:ind w:left="100"/>
              <w:spacing w:after="0"/>
              <w:rPr>
                <w:sz w:val="20"/>
                <w:szCs w:val="20"/>
                <w:color w:val="auto"/>
              </w:rPr>
            </w:pPr>
            <w:r>
              <w:rPr>
                <w:rFonts w:ascii="Arial" w:cs="Arial" w:eastAsia="Arial" w:hAnsi="Arial"/>
                <w:sz w:val="18"/>
                <w:szCs w:val="18"/>
                <w:color w:val="auto"/>
              </w:rPr>
              <w:t>Collateralized debt obligations (1)</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3,641.4</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3,640.1</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40" w:type="dxa"/>
            <w:vAlign w:val="bottom"/>
          </w:tcPr>
          <w:p>
            <w:pPr>
              <w:ind w:left="100"/>
              <w:spacing w:after="0"/>
              <w:rPr>
                <w:sz w:val="20"/>
                <w:szCs w:val="20"/>
                <w:color w:val="auto"/>
              </w:rPr>
            </w:pPr>
            <w:r>
              <w:rPr>
                <w:rFonts w:ascii="Arial" w:cs="Arial" w:eastAsia="Arial" w:hAnsi="Arial"/>
                <w:sz w:val="18"/>
                <w:szCs w:val="18"/>
                <w:color w:val="auto"/>
              </w:rPr>
              <w:t>Other debt obligations</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b w:val="1"/>
                <w:bCs w:val="1"/>
                <w:color w:val="auto"/>
              </w:rPr>
              <w:t>6,461.1</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b w:val="1"/>
                <w:bCs w:val="1"/>
                <w:color w:val="auto"/>
              </w:rPr>
              <w:t>6,440.3</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b w:val="1"/>
                <w:bCs w:val="1"/>
                <w:color w:val="auto"/>
              </w:rPr>
              <w:t>20.8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34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fixed maturities, available-for-sale</w:t>
            </w:r>
          </w:p>
        </w:tc>
        <w:tc>
          <w:tcPr>
            <w:tcW w:w="2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67,205.6</w:t>
            </w:r>
          </w:p>
        </w:tc>
        <w:tc>
          <w:tcPr>
            <w:tcW w:w="6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1,900.2</w:t>
            </w:r>
          </w:p>
        </w:tc>
        <w:tc>
          <w:tcPr>
            <w:tcW w:w="1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63,944.1</w:t>
            </w:r>
          </w:p>
        </w:tc>
        <w:tc>
          <w:tcPr>
            <w:tcW w:w="1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1,361.3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40" w:type="dxa"/>
            <w:vAlign w:val="bottom"/>
          </w:tcPr>
          <w:p>
            <w:pPr>
              <w:spacing w:after="0"/>
              <w:rPr>
                <w:sz w:val="20"/>
                <w:szCs w:val="20"/>
                <w:color w:val="auto"/>
              </w:rPr>
            </w:pPr>
            <w:r>
              <w:rPr>
                <w:rFonts w:ascii="Arial" w:cs="Arial" w:eastAsia="Arial" w:hAnsi="Arial"/>
                <w:sz w:val="18"/>
                <w:szCs w:val="18"/>
                <w:color w:val="auto"/>
              </w:rPr>
              <w:t>Fixed maturities, trading</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b w:val="1"/>
                <w:bCs w:val="1"/>
                <w:color w:val="auto"/>
              </w:rPr>
              <w:t>391.3</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0.5</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b w:val="1"/>
                <w:bCs w:val="1"/>
                <w:color w:val="auto"/>
              </w:rPr>
              <w:t>305.1</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b w:val="1"/>
                <w:bCs w:val="1"/>
                <w:color w:val="auto"/>
              </w:rPr>
              <w:t>85.7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40" w:type="dxa"/>
            <w:vAlign w:val="bottom"/>
            <w:shd w:val="clear" w:color="auto" w:fill="CCEEFF"/>
          </w:tcPr>
          <w:p>
            <w:pPr>
              <w:spacing w:after="0"/>
              <w:rPr>
                <w:sz w:val="20"/>
                <w:szCs w:val="20"/>
                <w:color w:val="auto"/>
              </w:rPr>
            </w:pPr>
            <w:r>
              <w:rPr>
                <w:rFonts w:ascii="Arial" w:cs="Arial" w:eastAsia="Arial" w:hAnsi="Arial"/>
                <w:sz w:val="18"/>
                <w:szCs w:val="18"/>
                <w:color w:val="auto"/>
              </w:rPr>
              <w:t>Equity securities</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1,699.8</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525.6</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1,174.2</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40" w:type="dxa"/>
            <w:vAlign w:val="bottom"/>
          </w:tcPr>
          <w:p>
            <w:pPr>
              <w:spacing w:after="0"/>
              <w:rPr>
                <w:sz w:val="20"/>
                <w:szCs w:val="20"/>
                <w:color w:val="auto"/>
              </w:rPr>
            </w:pPr>
            <w:r>
              <w:rPr>
                <w:rFonts w:ascii="Arial" w:cs="Arial" w:eastAsia="Arial" w:hAnsi="Arial"/>
                <w:sz w:val="18"/>
                <w:szCs w:val="18"/>
                <w:color w:val="auto"/>
              </w:rPr>
              <w:t>Derivative assets (2)</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b w:val="1"/>
                <w:bCs w:val="1"/>
                <w:color w:val="auto"/>
              </w:rPr>
              <w:t>257.4</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b w:val="1"/>
                <w:bCs w:val="1"/>
                <w:color w:val="auto"/>
              </w:rPr>
              <w:t>257.4</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40" w:type="dxa"/>
            <w:vAlign w:val="bottom"/>
            <w:shd w:val="clear" w:color="auto" w:fill="CCEEFF"/>
          </w:tcPr>
          <w:p>
            <w:pPr>
              <w:spacing w:after="0"/>
              <w:rPr>
                <w:sz w:val="20"/>
                <w:szCs w:val="20"/>
                <w:color w:val="auto"/>
              </w:rPr>
            </w:pPr>
            <w:r>
              <w:rPr>
                <w:rFonts w:ascii="Arial" w:cs="Arial" w:eastAsia="Arial" w:hAnsi="Arial"/>
                <w:sz w:val="18"/>
                <w:szCs w:val="18"/>
                <w:color w:val="auto"/>
              </w:rPr>
              <w:t>Other investments</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746.7</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93.1</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314.8</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337.4</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4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Cash equivalents</w:t>
            </w:r>
          </w:p>
        </w:tc>
        <w:tc>
          <w:tcPr>
            <w:tcW w:w="20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1,870.4</w:t>
            </w:r>
          </w:p>
        </w:tc>
        <w:tc>
          <w:tcPr>
            <w:tcW w:w="60" w:type="dxa"/>
            <w:vAlign w:val="bottom"/>
            <w:tcBorders>
              <w:bottom w:val="single" w:sz="8" w:color="CCEEFF"/>
            </w:tcBorders>
          </w:tcPr>
          <w:p>
            <w:pPr>
              <w:spacing w:after="0"/>
              <w:rPr>
                <w:sz w:val="18"/>
                <w:szCs w:val="18"/>
                <w:color w:val="auto"/>
              </w:rPr>
            </w:pPr>
          </w:p>
        </w:tc>
        <w:tc>
          <w:tcPr>
            <w:tcW w:w="14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w:t>
            </w:r>
          </w:p>
        </w:tc>
        <w:tc>
          <w:tcPr>
            <w:tcW w:w="20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24.5</w:t>
            </w:r>
          </w:p>
        </w:tc>
        <w:tc>
          <w:tcPr>
            <w:tcW w:w="10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1,845.9</w:t>
            </w:r>
          </w:p>
        </w:tc>
        <w:tc>
          <w:tcPr>
            <w:tcW w:w="12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3440" w:type="dxa"/>
            <w:vAlign w:val="bottom"/>
            <w:shd w:val="clear" w:color="auto" w:fill="CCEEFF"/>
          </w:tcPr>
          <w:p>
            <w:pPr>
              <w:ind w:left="100"/>
              <w:spacing w:after="0"/>
              <w:rPr>
                <w:sz w:val="20"/>
                <w:szCs w:val="20"/>
                <w:color w:val="auto"/>
              </w:rPr>
            </w:pPr>
            <w:r>
              <w:rPr>
                <w:rFonts w:ascii="Arial" w:cs="Arial" w:eastAsia="Arial" w:hAnsi="Arial"/>
                <w:sz w:val="18"/>
                <w:szCs w:val="18"/>
                <w:color w:val="auto"/>
                <w:w w:val="93"/>
              </w:rPr>
              <w:t>Sub-total excluding separate account assets</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72,171.2</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93.1</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2,765.6</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67,864.1</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1,448.4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4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Separate account assets</w:t>
            </w:r>
          </w:p>
        </w:tc>
        <w:tc>
          <w:tcPr>
            <w:tcW w:w="20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153,819.3</w:t>
            </w:r>
          </w:p>
        </w:tc>
        <w:tc>
          <w:tcPr>
            <w:tcW w:w="60" w:type="dxa"/>
            <w:vAlign w:val="bottom"/>
            <w:tcBorders>
              <w:bottom w:val="single" w:sz="8" w:color="CCEEFF"/>
            </w:tcBorders>
          </w:tcPr>
          <w:p>
            <w:pPr>
              <w:spacing w:after="0"/>
              <w:rPr>
                <w:sz w:val="18"/>
                <w:szCs w:val="18"/>
                <w:color w:val="auto"/>
              </w:rPr>
            </w:pPr>
          </w:p>
        </w:tc>
        <w:tc>
          <w:tcPr>
            <w:tcW w:w="14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9,806.7</w:t>
            </w:r>
          </w:p>
        </w:tc>
        <w:tc>
          <w:tcPr>
            <w:tcW w:w="20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92,550.8</w:t>
            </w:r>
          </w:p>
        </w:tc>
        <w:tc>
          <w:tcPr>
            <w:tcW w:w="10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50,403.2</w:t>
            </w:r>
          </w:p>
        </w:tc>
        <w:tc>
          <w:tcPr>
            <w:tcW w:w="12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1,058.6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4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Total assets</w:t>
            </w:r>
          </w:p>
        </w:tc>
        <w:tc>
          <w:tcPr>
            <w:tcW w:w="20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225,990.5</w:t>
            </w:r>
          </w:p>
        </w:tc>
        <w:tc>
          <w:tcPr>
            <w:tcW w:w="6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b w:val="1"/>
                <w:bCs w:val="1"/>
                <w:color w:val="auto"/>
                <w:w w:val="79"/>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9,899.8</w:t>
            </w:r>
          </w:p>
        </w:tc>
        <w:tc>
          <w:tcPr>
            <w:tcW w:w="20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95,316.4</w:t>
            </w:r>
          </w:p>
        </w:tc>
        <w:tc>
          <w:tcPr>
            <w:tcW w:w="10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jc w:val="right"/>
              <w:ind w:right="47"/>
              <w:spacing w:after="0"/>
              <w:rPr>
                <w:sz w:val="20"/>
                <w:szCs w:val="20"/>
                <w:color w:val="auto"/>
              </w:rPr>
            </w:pPr>
            <w:r>
              <w:rPr>
                <w:rFonts w:ascii="Arial" w:cs="Arial" w:eastAsia="Arial" w:hAnsi="Arial"/>
                <w:sz w:val="15"/>
                <w:szCs w:val="15"/>
                <w:b w:val="1"/>
                <w:bCs w:val="1"/>
                <w:color w:val="auto"/>
                <w:w w:val="71"/>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118,267.3</w:t>
            </w:r>
          </w:p>
        </w:tc>
        <w:tc>
          <w:tcPr>
            <w:tcW w:w="12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jc w:val="right"/>
              <w:ind w:right="47"/>
              <w:spacing w:after="0"/>
              <w:rPr>
                <w:sz w:val="20"/>
                <w:szCs w:val="20"/>
                <w:color w:val="auto"/>
              </w:rPr>
            </w:pPr>
            <w:r>
              <w:rPr>
                <w:rFonts w:ascii="Arial" w:cs="Arial" w:eastAsia="Arial" w:hAnsi="Arial"/>
                <w:sz w:val="15"/>
                <w:szCs w:val="15"/>
                <w:b w:val="1"/>
                <w:bCs w:val="1"/>
                <w:color w:val="auto"/>
                <w:w w:val="71"/>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2,507.0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4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0" w:type="dxa"/>
            <w:vAlign w:val="bottom"/>
            <w:vMerge w:val="restart"/>
          </w:tcPr>
          <w:p>
            <w:pPr>
              <w:spacing w:after="0"/>
              <w:rPr>
                <w:sz w:val="17"/>
                <w:szCs w:val="17"/>
                <w:color w:val="auto"/>
              </w:rPr>
            </w:pPr>
          </w:p>
        </w:tc>
        <w:tc>
          <w:tcPr>
            <w:tcW w:w="34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4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Liabilities</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40" w:type="dxa"/>
            <w:vAlign w:val="bottom"/>
          </w:tcPr>
          <w:p>
            <w:pPr>
              <w:spacing w:after="0"/>
              <w:rPr>
                <w:sz w:val="20"/>
                <w:szCs w:val="20"/>
                <w:color w:val="auto"/>
              </w:rPr>
            </w:pPr>
            <w:r>
              <w:rPr>
                <w:rFonts w:ascii="Arial" w:cs="Arial" w:eastAsia="Arial" w:hAnsi="Arial"/>
                <w:sz w:val="18"/>
                <w:szCs w:val="18"/>
                <w:color w:val="auto"/>
              </w:rPr>
              <w:t>Investment and universal life contracts (3)</w:t>
            </w:r>
          </w:p>
        </w:tc>
        <w:tc>
          <w:tcPr>
            <w:tcW w:w="32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02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(75.5)</w:t>
            </w:r>
          </w:p>
        </w:tc>
        <w:tc>
          <w:tcPr>
            <w:tcW w:w="280" w:type="dxa"/>
            <w:vAlign w:val="bottom"/>
            <w:gridSpan w:val="2"/>
          </w:tcPr>
          <w:p>
            <w:pPr>
              <w:jc w:val="center"/>
              <w:spacing w:after="0"/>
              <w:rPr>
                <w:sz w:val="20"/>
                <w:szCs w:val="20"/>
                <w:color w:val="auto"/>
              </w:rPr>
            </w:pPr>
            <w:r>
              <w:rPr>
                <w:rFonts w:ascii="Arial" w:cs="Arial" w:eastAsia="Arial" w:hAnsi="Arial"/>
                <w:sz w:val="18"/>
                <w:szCs w:val="18"/>
                <w:b w:val="1"/>
                <w:bCs w:val="1"/>
                <w:color w:val="auto"/>
                <w:w w:val="79"/>
              </w:rPr>
              <w:t>$</w:t>
            </w: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32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08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300" w:type="dxa"/>
            <w:vAlign w:val="bottom"/>
            <w:gridSpan w:val="2"/>
          </w:tcPr>
          <w:p>
            <w:pPr>
              <w:jc w:val="right"/>
              <w:ind w:right="47"/>
              <w:spacing w:after="0"/>
              <w:rPr>
                <w:sz w:val="20"/>
                <w:szCs w:val="20"/>
                <w:color w:val="auto"/>
              </w:rPr>
            </w:pPr>
            <w:r>
              <w:rPr>
                <w:rFonts w:ascii="Arial" w:cs="Arial" w:eastAsia="Arial" w:hAnsi="Arial"/>
                <w:sz w:val="18"/>
                <w:szCs w:val="18"/>
                <w:b w:val="1"/>
                <w:bCs w:val="1"/>
                <w:color w:val="auto"/>
              </w:rPr>
              <w:t>$</w:t>
            </w:r>
          </w:p>
        </w:tc>
        <w:tc>
          <w:tcPr>
            <w:tcW w:w="100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300" w:type="dxa"/>
            <w:vAlign w:val="bottom"/>
            <w:gridSpan w:val="2"/>
          </w:tcPr>
          <w:p>
            <w:pPr>
              <w:jc w:val="right"/>
              <w:ind w:right="47"/>
              <w:spacing w:after="0"/>
              <w:rPr>
                <w:sz w:val="20"/>
                <w:szCs w:val="20"/>
                <w:color w:val="auto"/>
              </w:rPr>
            </w:pPr>
            <w:r>
              <w:rPr>
                <w:rFonts w:ascii="Arial" w:cs="Arial" w:eastAsia="Arial" w:hAnsi="Arial"/>
                <w:sz w:val="18"/>
                <w:szCs w:val="18"/>
                <w:b w:val="1"/>
                <w:bCs w:val="1"/>
                <w:color w:val="auto"/>
              </w:rPr>
              <w:t>$</w:t>
            </w:r>
          </w:p>
        </w:tc>
        <w:tc>
          <w:tcPr>
            <w:tcW w:w="900" w:type="dxa"/>
            <w:vAlign w:val="bottom"/>
          </w:tcPr>
          <w:p>
            <w:pPr>
              <w:jc w:val="right"/>
              <w:spacing w:after="0"/>
              <w:rPr>
                <w:sz w:val="20"/>
                <w:szCs w:val="20"/>
                <w:color w:val="auto"/>
              </w:rPr>
            </w:pPr>
            <w:r>
              <w:rPr>
                <w:rFonts w:ascii="Arial" w:cs="Arial" w:eastAsia="Arial" w:hAnsi="Arial"/>
                <w:sz w:val="18"/>
                <w:szCs w:val="18"/>
                <w:b w:val="1"/>
                <w:bCs w:val="1"/>
                <w:color w:val="auto"/>
              </w:rPr>
              <w:t>(75.5)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344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4"/>
              </w:rPr>
              <w:t>Funds withheld payable embedded derivative</w:t>
            </w:r>
          </w:p>
        </w:tc>
        <w:tc>
          <w:tcPr>
            <w:tcW w:w="2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6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3,067.3</w:t>
            </w:r>
          </w:p>
        </w:tc>
        <w:tc>
          <w:tcPr>
            <w:tcW w:w="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4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8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0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0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3,067.3</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440" w:type="dxa"/>
            <w:vAlign w:val="bottom"/>
            <w:shd w:val="clear" w:color="auto" w:fill="CCEEFF"/>
          </w:tcPr>
          <w:p>
            <w:pPr>
              <w:ind w:left="120"/>
              <w:spacing w:after="0"/>
              <w:rPr>
                <w:sz w:val="20"/>
                <w:szCs w:val="20"/>
                <w:color w:val="auto"/>
              </w:rPr>
            </w:pPr>
            <w:r>
              <w:rPr>
                <w:rFonts w:ascii="Arial" w:cs="Arial" w:eastAsia="Arial" w:hAnsi="Arial"/>
                <w:sz w:val="18"/>
                <w:szCs w:val="18"/>
                <w:color w:val="auto"/>
              </w:rPr>
              <w:t>(3)</w:t>
            </w:r>
          </w:p>
        </w:tc>
        <w:tc>
          <w:tcPr>
            <w:tcW w:w="2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960" w:type="dxa"/>
            <w:vAlign w:val="bottom"/>
            <w:vMerge w:val="continue"/>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940" w:type="dxa"/>
            <w:vAlign w:val="bottom"/>
            <w:vMerge w:val="continue"/>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080" w:type="dxa"/>
            <w:vAlign w:val="bottom"/>
            <w:gridSpan w:val="2"/>
            <w:vMerge w:val="continue"/>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1000" w:type="dxa"/>
            <w:vAlign w:val="bottom"/>
            <w:gridSpan w:val="2"/>
            <w:vMerge w:val="continue"/>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900" w:type="dxa"/>
            <w:vAlign w:val="bottom"/>
            <w:vMerge w:val="continue"/>
            <w:shd w:val="clear" w:color="auto" w:fill="CCEEFF"/>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40" w:type="dxa"/>
            <w:vAlign w:val="bottom"/>
          </w:tcPr>
          <w:p>
            <w:pPr>
              <w:spacing w:after="0"/>
              <w:rPr>
                <w:sz w:val="20"/>
                <w:szCs w:val="20"/>
                <w:color w:val="auto"/>
              </w:rPr>
            </w:pPr>
            <w:r>
              <w:rPr>
                <w:rFonts w:ascii="Arial" w:cs="Arial" w:eastAsia="Arial" w:hAnsi="Arial"/>
                <w:sz w:val="18"/>
                <w:szCs w:val="18"/>
                <w:color w:val="auto"/>
              </w:rPr>
              <w:t>Derivative liabilities (2)</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(566.6)</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(566.4)</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b w:val="1"/>
                <w:bCs w:val="1"/>
                <w:color w:val="auto"/>
              </w:rPr>
              <w:t>(0.2)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40" w:type="dxa"/>
            <w:vAlign w:val="bottom"/>
            <w:shd w:val="clear" w:color="auto" w:fill="CCEEFF"/>
          </w:tcPr>
          <w:p>
            <w:pPr>
              <w:spacing w:after="0"/>
              <w:rPr>
                <w:sz w:val="20"/>
                <w:szCs w:val="20"/>
                <w:color w:val="auto"/>
              </w:rPr>
            </w:pPr>
            <w:r>
              <w:rPr>
                <w:rFonts w:ascii="Arial" w:cs="Arial" w:eastAsia="Arial" w:hAnsi="Arial"/>
                <w:sz w:val="18"/>
                <w:szCs w:val="18"/>
                <w:color w:val="auto"/>
              </w:rPr>
              <w:t>Other liabilities</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(0.8)</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(0.2)</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(0.6)</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3440" w:type="dxa"/>
            <w:vAlign w:val="bottom"/>
            <w:tcBorders>
              <w:bottom w:val="single" w:sz="8" w:color="CCEEFF"/>
            </w:tcBorders>
          </w:tcPr>
          <w:p>
            <w:pPr>
              <w:spacing w:after="0"/>
              <w:rPr>
                <w:sz w:val="20"/>
                <w:szCs w:val="20"/>
                <w:color w:val="auto"/>
              </w:rPr>
            </w:pPr>
            <w:r>
              <w:rPr>
                <w:rFonts w:ascii="Arial" w:cs="Arial" w:eastAsia="Arial" w:hAnsi="Arial"/>
                <w:sz w:val="18"/>
                <w:szCs w:val="18"/>
                <w:b w:val="1"/>
                <w:bCs w:val="1"/>
                <w:color w:val="auto"/>
              </w:rPr>
              <w:t>Total liabilities</w:t>
            </w:r>
          </w:p>
        </w:tc>
        <w:tc>
          <w:tcPr>
            <w:tcW w:w="200" w:type="dxa"/>
            <w:vAlign w:val="bottom"/>
            <w:tcBorders>
              <w:bottom w:val="single" w:sz="8" w:color="CCEEFF"/>
            </w:tcBorders>
          </w:tcPr>
          <w:p>
            <w:pPr>
              <w:spacing w:after="0"/>
              <w:rPr>
                <w:sz w:val="21"/>
                <w:szCs w:val="21"/>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2,424.4</w:t>
            </w:r>
          </w:p>
        </w:tc>
        <w:tc>
          <w:tcPr>
            <w:tcW w:w="60" w:type="dxa"/>
            <w:vAlign w:val="bottom"/>
            <w:tcBorders>
              <w:bottom w:val="single" w:sz="8" w:color="CCEEFF"/>
            </w:tcBorders>
          </w:tcPr>
          <w:p>
            <w:pPr>
              <w:spacing w:after="0"/>
              <w:rPr>
                <w:sz w:val="21"/>
                <w:szCs w:val="21"/>
                <w:color w:val="auto"/>
              </w:rPr>
            </w:pPr>
          </w:p>
        </w:tc>
        <w:tc>
          <w:tcPr>
            <w:tcW w:w="140" w:type="dxa"/>
            <w:vAlign w:val="bottom"/>
            <w:tcBorders>
              <w:bottom w:val="single" w:sz="8" w:color="CCEEFF"/>
            </w:tcBorders>
          </w:tcPr>
          <w:p>
            <w:pPr>
              <w:spacing w:after="0"/>
              <w:rPr>
                <w:sz w:val="21"/>
                <w:szCs w:val="21"/>
                <w:color w:val="auto"/>
              </w:rPr>
            </w:pPr>
          </w:p>
        </w:tc>
        <w:tc>
          <w:tcPr>
            <w:tcW w:w="14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b w:val="1"/>
                <w:bCs w:val="1"/>
                <w:color w:val="auto"/>
                <w:w w:val="79"/>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w:t>
            </w:r>
          </w:p>
        </w:tc>
        <w:tc>
          <w:tcPr>
            <w:tcW w:w="200" w:type="dxa"/>
            <w:vAlign w:val="bottom"/>
            <w:tcBorders>
              <w:bottom w:val="single" w:sz="8" w:color="CCEEFF"/>
            </w:tcBorders>
          </w:tcPr>
          <w:p>
            <w:pPr>
              <w:spacing w:after="0"/>
              <w:rPr>
                <w:sz w:val="21"/>
                <w:szCs w:val="21"/>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(0.2)</w:t>
            </w:r>
          </w:p>
        </w:tc>
        <w:tc>
          <w:tcPr>
            <w:tcW w:w="100" w:type="dxa"/>
            <w:vAlign w:val="bottom"/>
            <w:tcBorders>
              <w:bottom w:val="single" w:sz="8" w:color="CCEEFF"/>
            </w:tcBorders>
          </w:tcPr>
          <w:p>
            <w:pPr>
              <w:spacing w:after="0"/>
              <w:rPr>
                <w:sz w:val="21"/>
                <w:szCs w:val="21"/>
                <w:color w:val="auto"/>
              </w:rPr>
            </w:pPr>
          </w:p>
        </w:tc>
        <w:tc>
          <w:tcPr>
            <w:tcW w:w="100" w:type="dxa"/>
            <w:vAlign w:val="bottom"/>
            <w:tcBorders>
              <w:bottom w:val="single" w:sz="8" w:color="CCEEFF"/>
            </w:tcBorders>
          </w:tcPr>
          <w:p>
            <w:pPr>
              <w:spacing w:after="0"/>
              <w:rPr>
                <w:sz w:val="21"/>
                <w:szCs w:val="21"/>
                <w:color w:val="auto"/>
              </w:rPr>
            </w:pPr>
          </w:p>
        </w:tc>
        <w:tc>
          <w:tcPr>
            <w:tcW w:w="200" w:type="dxa"/>
            <w:vAlign w:val="bottom"/>
            <w:tcBorders>
              <w:top w:val="single" w:sz="8" w:color="auto"/>
              <w:bottom w:val="single" w:sz="8" w:color="auto"/>
            </w:tcBorders>
          </w:tcPr>
          <w:p>
            <w:pPr>
              <w:jc w:val="right"/>
              <w:ind w:right="47"/>
              <w:spacing w:after="0"/>
              <w:rPr>
                <w:sz w:val="20"/>
                <w:szCs w:val="20"/>
                <w:color w:val="auto"/>
              </w:rPr>
            </w:pPr>
            <w:r>
              <w:rPr>
                <w:rFonts w:ascii="Arial" w:cs="Arial" w:eastAsia="Arial" w:hAnsi="Arial"/>
                <w:sz w:val="15"/>
                <w:szCs w:val="15"/>
                <w:b w:val="1"/>
                <w:bCs w:val="1"/>
                <w:color w:val="auto"/>
                <w:w w:val="71"/>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(567.0)</w:t>
            </w:r>
          </w:p>
        </w:tc>
        <w:tc>
          <w:tcPr>
            <w:tcW w:w="120" w:type="dxa"/>
            <w:vAlign w:val="bottom"/>
            <w:tcBorders>
              <w:bottom w:val="single" w:sz="8" w:color="CCEEFF"/>
            </w:tcBorders>
          </w:tcPr>
          <w:p>
            <w:pPr>
              <w:spacing w:after="0"/>
              <w:rPr>
                <w:sz w:val="21"/>
                <w:szCs w:val="21"/>
                <w:color w:val="auto"/>
              </w:rPr>
            </w:pPr>
          </w:p>
        </w:tc>
        <w:tc>
          <w:tcPr>
            <w:tcW w:w="100" w:type="dxa"/>
            <w:vAlign w:val="bottom"/>
            <w:tcBorders>
              <w:bottom w:val="single" w:sz="8" w:color="CCEEFF"/>
            </w:tcBorders>
          </w:tcPr>
          <w:p>
            <w:pPr>
              <w:spacing w:after="0"/>
              <w:rPr>
                <w:sz w:val="21"/>
                <w:szCs w:val="21"/>
                <w:color w:val="auto"/>
              </w:rPr>
            </w:pPr>
          </w:p>
        </w:tc>
        <w:tc>
          <w:tcPr>
            <w:tcW w:w="200" w:type="dxa"/>
            <w:vAlign w:val="bottom"/>
            <w:tcBorders>
              <w:top w:val="single" w:sz="8" w:color="auto"/>
              <w:bottom w:val="single" w:sz="8" w:color="auto"/>
            </w:tcBorders>
          </w:tcPr>
          <w:p>
            <w:pPr>
              <w:jc w:val="right"/>
              <w:ind w:right="47"/>
              <w:spacing w:after="0"/>
              <w:rPr>
                <w:sz w:val="20"/>
                <w:szCs w:val="20"/>
                <w:color w:val="auto"/>
              </w:rPr>
            </w:pPr>
            <w:r>
              <w:rPr>
                <w:rFonts w:ascii="Arial" w:cs="Arial" w:eastAsia="Arial" w:hAnsi="Arial"/>
                <w:sz w:val="15"/>
                <w:szCs w:val="15"/>
                <w:b w:val="1"/>
                <w:bCs w:val="1"/>
                <w:color w:val="auto"/>
                <w:w w:val="71"/>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2,991.6</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7"/>
        </w:trPr>
        <w:tc>
          <w:tcPr>
            <w:tcW w:w="20" w:type="dxa"/>
            <w:vAlign w:val="bottom"/>
            <w:vMerge w:val="restart"/>
          </w:tcPr>
          <w:p>
            <w:pPr>
              <w:spacing w:after="0"/>
              <w:rPr>
                <w:sz w:val="17"/>
                <w:szCs w:val="17"/>
                <w:color w:val="auto"/>
              </w:rPr>
            </w:pPr>
          </w:p>
        </w:tc>
        <w:tc>
          <w:tcPr>
            <w:tcW w:w="34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440" w:type="dxa"/>
            <w:vAlign w:val="bottom"/>
          </w:tcPr>
          <w:p>
            <w:pPr>
              <w:spacing w:after="0"/>
              <w:rPr>
                <w:sz w:val="20"/>
                <w:szCs w:val="20"/>
                <w:color w:val="auto"/>
              </w:rPr>
            </w:pPr>
            <w:r>
              <w:rPr>
                <w:rFonts w:ascii="Arial" w:cs="Arial" w:eastAsia="Arial" w:hAnsi="Arial"/>
                <w:sz w:val="18"/>
                <w:szCs w:val="18"/>
                <w:b w:val="1"/>
                <w:bCs w:val="1"/>
                <w:color w:val="auto"/>
              </w:rPr>
              <w:t>Net assets</w:t>
            </w:r>
          </w:p>
        </w:tc>
        <w:tc>
          <w:tcPr>
            <w:tcW w:w="32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960" w:type="dxa"/>
            <w:vAlign w:val="bottom"/>
          </w:tcPr>
          <w:p>
            <w:pPr>
              <w:jc w:val="right"/>
              <w:spacing w:after="0"/>
              <w:rPr>
                <w:sz w:val="20"/>
                <w:szCs w:val="20"/>
                <w:color w:val="auto"/>
              </w:rPr>
            </w:pPr>
            <w:r>
              <w:rPr>
                <w:rFonts w:ascii="Arial" w:cs="Arial" w:eastAsia="Arial" w:hAnsi="Arial"/>
                <w:sz w:val="18"/>
                <w:szCs w:val="18"/>
                <w:b w:val="1"/>
                <w:bCs w:val="1"/>
                <w:color w:val="auto"/>
              </w:rPr>
              <w:t>228,414.9</w:t>
            </w:r>
          </w:p>
        </w:tc>
        <w:tc>
          <w:tcPr>
            <w:tcW w:w="60" w:type="dxa"/>
            <w:vAlign w:val="bottom"/>
          </w:tcPr>
          <w:p>
            <w:pPr>
              <w:spacing w:after="0"/>
              <w:rPr>
                <w:sz w:val="18"/>
                <w:szCs w:val="18"/>
                <w:color w:val="auto"/>
              </w:rPr>
            </w:pPr>
          </w:p>
        </w:tc>
        <w:tc>
          <w:tcPr>
            <w:tcW w:w="280" w:type="dxa"/>
            <w:vAlign w:val="bottom"/>
            <w:gridSpan w:val="2"/>
          </w:tcPr>
          <w:p>
            <w:pPr>
              <w:jc w:val="center"/>
              <w:spacing w:after="0"/>
              <w:rPr>
                <w:sz w:val="20"/>
                <w:szCs w:val="20"/>
                <w:color w:val="auto"/>
              </w:rPr>
            </w:pPr>
            <w:r>
              <w:rPr>
                <w:rFonts w:ascii="Arial" w:cs="Arial" w:eastAsia="Arial" w:hAnsi="Arial"/>
                <w:sz w:val="18"/>
                <w:szCs w:val="18"/>
                <w:b w:val="1"/>
                <w:bCs w:val="1"/>
                <w:color w:val="auto"/>
                <w:w w:val="79"/>
              </w:rPr>
              <w:t>$</w:t>
            </w: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9,899.8</w:t>
            </w:r>
          </w:p>
        </w:tc>
        <w:tc>
          <w:tcPr>
            <w:tcW w:w="32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95,316.2</w:t>
            </w:r>
          </w:p>
        </w:tc>
        <w:tc>
          <w:tcPr>
            <w:tcW w:w="100" w:type="dxa"/>
            <w:vAlign w:val="bottom"/>
          </w:tcPr>
          <w:p>
            <w:pPr>
              <w:spacing w:after="0"/>
              <w:rPr>
                <w:sz w:val="18"/>
                <w:szCs w:val="18"/>
                <w:color w:val="auto"/>
              </w:rPr>
            </w:pPr>
          </w:p>
        </w:tc>
        <w:tc>
          <w:tcPr>
            <w:tcW w:w="300" w:type="dxa"/>
            <w:vAlign w:val="bottom"/>
            <w:gridSpan w:val="2"/>
          </w:tcPr>
          <w:p>
            <w:pPr>
              <w:jc w:val="right"/>
              <w:ind w:right="47"/>
              <w:spacing w:after="0"/>
              <w:rPr>
                <w:sz w:val="20"/>
                <w:szCs w:val="20"/>
                <w:color w:val="auto"/>
              </w:rPr>
            </w:pPr>
            <w:r>
              <w:rPr>
                <w:rFonts w:ascii="Arial" w:cs="Arial" w:eastAsia="Arial" w:hAnsi="Arial"/>
                <w:sz w:val="18"/>
                <w:szCs w:val="18"/>
                <w:b w:val="1"/>
                <w:bCs w:val="1"/>
                <w:color w:val="auto"/>
              </w:rPr>
              <w:t>$</w:t>
            </w:r>
          </w:p>
        </w:tc>
        <w:tc>
          <w:tcPr>
            <w:tcW w:w="880" w:type="dxa"/>
            <w:vAlign w:val="bottom"/>
          </w:tcPr>
          <w:p>
            <w:pPr>
              <w:jc w:val="right"/>
              <w:spacing w:after="0"/>
              <w:rPr>
                <w:sz w:val="20"/>
                <w:szCs w:val="20"/>
                <w:color w:val="auto"/>
              </w:rPr>
            </w:pPr>
            <w:r>
              <w:rPr>
                <w:rFonts w:ascii="Arial" w:cs="Arial" w:eastAsia="Arial" w:hAnsi="Arial"/>
                <w:sz w:val="18"/>
                <w:szCs w:val="18"/>
                <w:b w:val="1"/>
                <w:bCs w:val="1"/>
                <w:color w:val="auto"/>
              </w:rPr>
              <w:t>117,700.3</w:t>
            </w:r>
          </w:p>
        </w:tc>
        <w:tc>
          <w:tcPr>
            <w:tcW w:w="120" w:type="dxa"/>
            <w:vAlign w:val="bottom"/>
          </w:tcPr>
          <w:p>
            <w:pPr>
              <w:spacing w:after="0"/>
              <w:rPr>
                <w:sz w:val="18"/>
                <w:szCs w:val="18"/>
                <w:color w:val="auto"/>
              </w:rPr>
            </w:pPr>
          </w:p>
        </w:tc>
        <w:tc>
          <w:tcPr>
            <w:tcW w:w="300" w:type="dxa"/>
            <w:vAlign w:val="bottom"/>
            <w:gridSpan w:val="2"/>
          </w:tcPr>
          <w:p>
            <w:pPr>
              <w:jc w:val="right"/>
              <w:ind w:right="47"/>
              <w:spacing w:after="0"/>
              <w:rPr>
                <w:sz w:val="20"/>
                <w:szCs w:val="20"/>
                <w:color w:val="auto"/>
              </w:rPr>
            </w:pPr>
            <w:r>
              <w:rPr>
                <w:rFonts w:ascii="Arial" w:cs="Arial" w:eastAsia="Arial" w:hAnsi="Arial"/>
                <w:sz w:val="18"/>
                <w:szCs w:val="18"/>
                <w:b w:val="1"/>
                <w:bCs w:val="1"/>
                <w:color w:val="auto"/>
              </w:rPr>
              <w:t>$</w:t>
            </w:r>
          </w:p>
        </w:tc>
        <w:tc>
          <w:tcPr>
            <w:tcW w:w="900" w:type="dxa"/>
            <w:vAlign w:val="bottom"/>
          </w:tcPr>
          <w:p>
            <w:pPr>
              <w:jc w:val="right"/>
              <w:spacing w:after="0"/>
              <w:rPr>
                <w:sz w:val="20"/>
                <w:szCs w:val="20"/>
                <w:color w:val="auto"/>
              </w:rPr>
            </w:pPr>
            <w:r>
              <w:rPr>
                <w:rFonts w:ascii="Arial" w:cs="Arial" w:eastAsia="Arial" w:hAnsi="Arial"/>
                <w:sz w:val="18"/>
                <w:szCs w:val="18"/>
                <w:b w:val="1"/>
                <w:bCs w:val="1"/>
                <w:color w:val="auto"/>
              </w:rPr>
              <w:t>5,498.6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4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5"/>
        </w:trPr>
        <w:tc>
          <w:tcPr>
            <w:tcW w:w="20" w:type="dxa"/>
            <w:vAlign w:val="bottom"/>
          </w:tcPr>
          <w:p>
            <w:pPr>
              <w:spacing w:after="0"/>
              <w:rPr>
                <w:sz w:val="24"/>
                <w:szCs w:val="24"/>
                <w:color w:val="auto"/>
              </w:rPr>
            </w:pPr>
          </w:p>
        </w:tc>
        <w:tc>
          <w:tcPr>
            <w:tcW w:w="34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80" w:type="dxa"/>
            <w:vAlign w:val="bottom"/>
            <w:gridSpan w:val="2"/>
          </w:tcPr>
          <w:p>
            <w:pPr>
              <w:jc w:val="center"/>
              <w:spacing w:after="0"/>
              <w:rPr>
                <w:sz w:val="20"/>
                <w:szCs w:val="20"/>
                <w:color w:val="auto"/>
              </w:rPr>
            </w:pPr>
            <w:r>
              <w:rPr>
                <w:rFonts w:ascii="Arial" w:cs="Arial" w:eastAsia="Arial" w:hAnsi="Arial"/>
                <w:sz w:val="18"/>
                <w:szCs w:val="18"/>
                <w:color w:val="auto"/>
                <w:w w:val="89"/>
              </w:rPr>
              <w:t>64</w:t>
            </w:r>
          </w:p>
        </w:tc>
        <w:tc>
          <w:tcPr>
            <w:tcW w:w="9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60"/>
        </w:trPr>
        <w:tc>
          <w:tcPr>
            <w:tcW w:w="20" w:type="dxa"/>
            <w:vAlign w:val="bottom"/>
          </w:tcPr>
          <w:p>
            <w:pPr>
              <w:spacing w:after="0"/>
              <w:rPr>
                <w:sz w:val="24"/>
                <w:szCs w:val="24"/>
                <w:color w:val="auto"/>
              </w:rPr>
            </w:pPr>
          </w:p>
        </w:tc>
        <w:tc>
          <w:tcPr>
            <w:tcW w:w="344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920"/>
          </w:cols>
          <w:pgMar w:left="980" w:top="665" w:right="999" w:bottom="1440" w:gutter="0" w:footer="0" w:header="0"/>
        </w:sectPr>
      </w:pPr>
    </w:p>
    <w:bookmarkStart w:id="64" w:name="page65"/>
    <w:bookmarkEnd w:id="64"/>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tcPr>
          <w:p>
            <w:pPr>
              <w:spacing w:after="0"/>
              <w:rPr>
                <w:sz w:val="14"/>
                <w:szCs w:val="14"/>
                <w:color w:val="auto"/>
              </w:rPr>
            </w:pPr>
          </w:p>
        </w:tc>
        <w:tc>
          <w:tcPr>
            <w:tcW w:w="1700" w:type="dxa"/>
            <w:vAlign w:val="bottom"/>
            <w:tcBorders>
              <w:bottom w:val="single" w:sz="8" w:color="auto"/>
            </w:tcBorders>
            <w:gridSpan w:val="6"/>
          </w:tcPr>
          <w:p>
            <w:pPr>
              <w:ind w:left="180"/>
              <w:spacing w:after="0"/>
              <w:rPr>
                <w:sz w:val="20"/>
                <w:szCs w:val="20"/>
                <w:color w:val="auto"/>
              </w:rPr>
            </w:pPr>
            <w:r>
              <w:rPr>
                <w:rFonts w:ascii="Arial" w:cs="Arial" w:eastAsia="Arial" w:hAnsi="Arial"/>
                <w:sz w:val="14"/>
                <w:szCs w:val="14"/>
                <w:b w:val="1"/>
                <w:bCs w:val="1"/>
                <w:color w:val="auto"/>
              </w:rPr>
              <w:t>December 31, 2021</w:t>
            </w:r>
          </w:p>
        </w:tc>
        <w:tc>
          <w:tcPr>
            <w:tcW w:w="88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246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160" w:type="dxa"/>
            <w:vAlign w:val="bottom"/>
            <w:gridSpan w:val="2"/>
          </w:tcPr>
          <w:p>
            <w:pPr>
              <w:jc w:val="center"/>
              <w:ind w:right="340"/>
              <w:spacing w:after="0" w:line="119" w:lineRule="exact"/>
              <w:rPr>
                <w:sz w:val="20"/>
                <w:szCs w:val="20"/>
                <w:color w:val="auto"/>
              </w:rPr>
            </w:pPr>
            <w:r>
              <w:rPr>
                <w:rFonts w:ascii="Arial" w:cs="Arial" w:eastAsia="Arial" w:hAnsi="Arial"/>
                <w:sz w:val="13"/>
                <w:szCs w:val="13"/>
                <w:b w:val="1"/>
                <w:bCs w:val="1"/>
                <w:color w:val="auto"/>
                <w:w w:val="90"/>
              </w:rPr>
              <w:t>Assets/</w:t>
            </w:r>
          </w:p>
        </w:tc>
        <w:tc>
          <w:tcPr>
            <w:tcW w:w="120" w:type="dxa"/>
            <w:vAlign w:val="bottom"/>
          </w:tcPr>
          <w:p>
            <w:pPr>
              <w:spacing w:after="0"/>
              <w:rPr>
                <w:sz w:val="10"/>
                <w:szCs w:val="10"/>
                <w:color w:val="auto"/>
              </w:rPr>
            </w:pPr>
          </w:p>
        </w:tc>
        <w:tc>
          <w:tcPr>
            <w:tcW w:w="960" w:type="dxa"/>
            <w:vAlign w:val="bottom"/>
          </w:tcPr>
          <w:p>
            <w:pPr>
              <w:jc w:val="center"/>
              <w:ind w:right="53"/>
              <w:spacing w:after="0" w:line="119" w:lineRule="exact"/>
              <w:rPr>
                <w:sz w:val="20"/>
                <w:szCs w:val="20"/>
                <w:color w:val="auto"/>
              </w:rPr>
            </w:pPr>
            <w:r>
              <w:rPr>
                <w:rFonts w:ascii="Arial" w:cs="Arial" w:eastAsia="Arial" w:hAnsi="Arial"/>
                <w:sz w:val="13"/>
                <w:szCs w:val="13"/>
                <w:b w:val="1"/>
                <w:bCs w:val="1"/>
                <w:color w:val="auto"/>
              </w:rPr>
              <w:t>Amount</w:t>
            </w:r>
          </w:p>
        </w:tc>
        <w:tc>
          <w:tcPr>
            <w:tcW w:w="2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46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6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5"/>
              </w:rPr>
              <w:t>(liabilities)</w:t>
            </w:r>
          </w:p>
        </w:tc>
        <w:tc>
          <w:tcPr>
            <w:tcW w:w="120" w:type="dxa"/>
            <w:vAlign w:val="bottom"/>
          </w:tcPr>
          <w:p>
            <w:pPr>
              <w:spacing w:after="0"/>
              <w:rPr>
                <w:sz w:val="12"/>
                <w:szCs w:val="12"/>
                <w:color w:val="auto"/>
              </w:rPr>
            </w:pPr>
          </w:p>
        </w:tc>
        <w:tc>
          <w:tcPr>
            <w:tcW w:w="960" w:type="dxa"/>
            <w:vAlign w:val="bottom"/>
          </w:tcPr>
          <w:p>
            <w:pPr>
              <w:jc w:val="center"/>
              <w:ind w:right="33"/>
              <w:spacing w:after="0" w:line="149" w:lineRule="exact"/>
              <w:rPr>
                <w:sz w:val="20"/>
                <w:szCs w:val="20"/>
                <w:color w:val="auto"/>
              </w:rPr>
            </w:pPr>
            <w:r>
              <w:rPr>
                <w:rFonts w:ascii="Arial" w:cs="Arial" w:eastAsia="Arial" w:hAnsi="Arial"/>
                <w:sz w:val="14"/>
                <w:szCs w:val="14"/>
                <w:b w:val="1"/>
                <w:bCs w:val="1"/>
                <w:color w:val="auto"/>
                <w:w w:val="92"/>
              </w:rPr>
              <w:t>measured at</w:t>
            </w: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740" w:type="dxa"/>
            <w:vAlign w:val="bottom"/>
            <w:gridSpan w:val="7"/>
            <w:vMerge w:val="restart"/>
          </w:tcPr>
          <w:p>
            <w:pPr>
              <w:jc w:val="right"/>
              <w:ind w:right="87"/>
              <w:spacing w:after="0"/>
              <w:rPr>
                <w:sz w:val="20"/>
                <w:szCs w:val="20"/>
                <w:color w:val="auto"/>
              </w:rPr>
            </w:pPr>
            <w:r>
              <w:rPr>
                <w:rFonts w:ascii="Arial" w:cs="Arial" w:eastAsia="Arial" w:hAnsi="Arial"/>
                <w:sz w:val="14"/>
                <w:szCs w:val="14"/>
                <w:b w:val="1"/>
                <w:bCs w:val="1"/>
                <w:color w:val="auto"/>
                <w:w w:val="93"/>
              </w:rPr>
              <w:t>Fair value hierarchy level</w:t>
            </w:r>
          </w:p>
        </w:tc>
        <w:tc>
          <w:tcPr>
            <w:tcW w:w="9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6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2"/>
              </w:rPr>
              <w:t>measured at</w:t>
            </w:r>
          </w:p>
        </w:tc>
        <w:tc>
          <w:tcPr>
            <w:tcW w:w="120" w:type="dxa"/>
            <w:vAlign w:val="bottom"/>
          </w:tcPr>
          <w:p>
            <w:pPr>
              <w:spacing w:after="0"/>
              <w:rPr>
                <w:sz w:val="14"/>
                <w:szCs w:val="14"/>
                <w:color w:val="auto"/>
              </w:rPr>
            </w:pPr>
          </w:p>
        </w:tc>
        <w:tc>
          <w:tcPr>
            <w:tcW w:w="960" w:type="dxa"/>
            <w:vAlign w:val="bottom"/>
          </w:tcPr>
          <w:p>
            <w:pPr>
              <w:jc w:val="center"/>
              <w:ind w:right="33"/>
              <w:spacing w:after="0"/>
              <w:rPr>
                <w:sz w:val="20"/>
                <w:szCs w:val="20"/>
                <w:color w:val="auto"/>
              </w:rPr>
            </w:pPr>
            <w:r>
              <w:rPr>
                <w:rFonts w:ascii="Arial" w:cs="Arial" w:eastAsia="Arial" w:hAnsi="Arial"/>
                <w:sz w:val="14"/>
                <w:szCs w:val="14"/>
                <w:b w:val="1"/>
                <w:bCs w:val="1"/>
                <w:color w:val="auto"/>
                <w:w w:val="85"/>
              </w:rPr>
              <w:t>net asset</w:t>
            </w:r>
          </w:p>
        </w:tc>
        <w:tc>
          <w:tcPr>
            <w:tcW w:w="2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spacing w:after="0"/>
              <w:rPr>
                <w:sz w:val="14"/>
                <w:szCs w:val="14"/>
                <w:color w:val="auto"/>
              </w:rPr>
            </w:pPr>
          </w:p>
        </w:tc>
        <w:tc>
          <w:tcPr>
            <w:tcW w:w="1740" w:type="dxa"/>
            <w:vAlign w:val="bottom"/>
            <w:tcBorders>
              <w:bottom w:val="single" w:sz="8" w:color="auto"/>
            </w:tcBorders>
            <w:gridSpan w:val="7"/>
            <w:vMerge w:val="continue"/>
          </w:tcPr>
          <w:p>
            <w:pPr>
              <w:spacing w:after="0"/>
              <w:rPr>
                <w:sz w:val="14"/>
                <w:szCs w:val="14"/>
                <w:color w:val="auto"/>
              </w:rPr>
            </w:pPr>
          </w:p>
        </w:tc>
        <w:tc>
          <w:tcPr>
            <w:tcW w:w="90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46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60" w:type="dxa"/>
            <w:vAlign w:val="bottom"/>
            <w:gridSpan w:val="2"/>
          </w:tcPr>
          <w:p>
            <w:pPr>
              <w:jc w:val="center"/>
              <w:ind w:right="340"/>
              <w:spacing w:after="0" w:line="142" w:lineRule="exact"/>
              <w:rPr>
                <w:sz w:val="20"/>
                <w:szCs w:val="20"/>
                <w:color w:val="auto"/>
              </w:rPr>
            </w:pPr>
            <w:r>
              <w:rPr>
                <w:rFonts w:ascii="Arial" w:cs="Arial" w:eastAsia="Arial" w:hAnsi="Arial"/>
                <w:sz w:val="14"/>
                <w:szCs w:val="14"/>
                <w:b w:val="1"/>
                <w:bCs w:val="1"/>
                <w:color w:val="auto"/>
                <w:w w:val="94"/>
              </w:rPr>
              <w:t>fair value</w:t>
            </w:r>
          </w:p>
        </w:tc>
        <w:tc>
          <w:tcPr>
            <w:tcW w:w="120" w:type="dxa"/>
            <w:vAlign w:val="bottom"/>
          </w:tcPr>
          <w:p>
            <w:pPr>
              <w:spacing w:after="0"/>
              <w:rPr>
                <w:sz w:val="12"/>
                <w:szCs w:val="12"/>
                <w:color w:val="auto"/>
              </w:rPr>
            </w:pPr>
          </w:p>
        </w:tc>
        <w:tc>
          <w:tcPr>
            <w:tcW w:w="960" w:type="dxa"/>
            <w:vAlign w:val="bottom"/>
          </w:tcPr>
          <w:p>
            <w:pPr>
              <w:jc w:val="center"/>
              <w:ind w:right="33"/>
              <w:spacing w:after="0" w:line="142" w:lineRule="exact"/>
              <w:rPr>
                <w:sz w:val="20"/>
                <w:szCs w:val="20"/>
                <w:color w:val="auto"/>
              </w:rPr>
            </w:pPr>
            <w:r>
              <w:rPr>
                <w:rFonts w:ascii="Arial" w:cs="Arial" w:eastAsia="Arial" w:hAnsi="Arial"/>
                <w:sz w:val="14"/>
                <w:szCs w:val="14"/>
                <w:b w:val="1"/>
                <w:bCs w:val="1"/>
                <w:color w:val="auto"/>
                <w:w w:val="91"/>
              </w:rPr>
              <w:t>value (4)</w:t>
            </w: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tcPr>
          <w:p>
            <w:pPr>
              <w:jc w:val="right"/>
              <w:ind w:right="212"/>
              <w:spacing w:after="0" w:line="142" w:lineRule="exact"/>
              <w:rPr>
                <w:sz w:val="20"/>
                <w:szCs w:val="20"/>
                <w:color w:val="auto"/>
              </w:rPr>
            </w:pPr>
            <w:r>
              <w:rPr>
                <w:rFonts w:ascii="Arial" w:cs="Arial" w:eastAsia="Arial" w:hAnsi="Arial"/>
                <w:sz w:val="14"/>
                <w:szCs w:val="14"/>
                <w:b w:val="1"/>
                <w:bCs w:val="1"/>
                <w:color w:val="auto"/>
              </w:rPr>
              <w:t>Level 1</w:t>
            </w: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00" w:type="dxa"/>
            <w:vAlign w:val="bottom"/>
            <w:gridSpan w:val="2"/>
          </w:tcPr>
          <w:p>
            <w:pPr>
              <w:jc w:val="right"/>
              <w:ind w:right="440"/>
              <w:spacing w:after="0" w:line="142" w:lineRule="exact"/>
              <w:rPr>
                <w:sz w:val="20"/>
                <w:szCs w:val="20"/>
                <w:color w:val="auto"/>
              </w:rPr>
            </w:pPr>
            <w:r>
              <w:rPr>
                <w:rFonts w:ascii="Arial" w:cs="Arial" w:eastAsia="Arial" w:hAnsi="Arial"/>
                <w:sz w:val="14"/>
                <w:szCs w:val="14"/>
                <w:b w:val="1"/>
                <w:bCs w:val="1"/>
                <w:color w:val="auto"/>
              </w:rPr>
              <w:t>Level 2</w:t>
            </w: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00" w:type="dxa"/>
            <w:vAlign w:val="bottom"/>
          </w:tcPr>
          <w:p>
            <w:pPr>
              <w:jc w:val="right"/>
              <w:ind w:right="251"/>
              <w:spacing w:after="0" w:line="142" w:lineRule="exact"/>
              <w:rPr>
                <w:sz w:val="20"/>
                <w:szCs w:val="20"/>
                <w:color w:val="auto"/>
              </w:rPr>
            </w:pPr>
            <w:r>
              <w:rPr>
                <w:rFonts w:ascii="Arial" w:cs="Arial" w:eastAsia="Arial" w:hAnsi="Arial"/>
                <w:sz w:val="14"/>
                <w:szCs w:val="14"/>
                <w:b w:val="1"/>
                <w:bCs w:val="1"/>
                <w:color w:val="auto"/>
              </w:rPr>
              <w:t>Level 3</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246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960" w:type="dxa"/>
            <w:vAlign w:val="bottom"/>
            <w:tcBorders>
              <w:top w:val="single" w:sz="8" w:color="auto"/>
            </w:tcBorders>
          </w:tcPr>
          <w:p>
            <w:pPr>
              <w:spacing w:after="0"/>
              <w:rPr>
                <w:sz w:val="11"/>
                <w:szCs w:val="11"/>
                <w:color w:val="auto"/>
              </w:rPr>
            </w:pPr>
          </w:p>
        </w:tc>
        <w:tc>
          <w:tcPr>
            <w:tcW w:w="20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960" w:type="dxa"/>
            <w:vAlign w:val="bottom"/>
            <w:tcBorders>
              <w:top w:val="single" w:sz="8" w:color="auto"/>
            </w:tcBorders>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900" w:type="dxa"/>
            <w:vAlign w:val="bottom"/>
            <w:tcBorders>
              <w:top w:val="single" w:sz="8" w:color="auto"/>
            </w:tcBorders>
          </w:tcPr>
          <w:p>
            <w:pPr>
              <w:jc w:val="right"/>
              <w:ind w:right="52"/>
              <w:spacing w:after="0" w:line="129" w:lineRule="exact"/>
              <w:rPr>
                <w:sz w:val="20"/>
                <w:szCs w:val="20"/>
                <w:color w:val="auto"/>
              </w:rPr>
            </w:pPr>
            <w:r>
              <w:rPr>
                <w:rFonts w:ascii="Arial" w:cs="Arial" w:eastAsia="Arial" w:hAnsi="Arial"/>
                <w:sz w:val="14"/>
                <w:szCs w:val="14"/>
                <w:i w:val="1"/>
                <w:iCs w:val="1"/>
                <w:color w:val="auto"/>
              </w:rPr>
              <w:t>(in millions)</w:t>
            </w:r>
          </w:p>
        </w:tc>
        <w:tc>
          <w:tcPr>
            <w:tcW w:w="40" w:type="dxa"/>
            <w:vAlign w:val="bottom"/>
            <w:tcBorders>
              <w:top w:val="single" w:sz="8" w:color="auto"/>
            </w:tcBorders>
          </w:tcPr>
          <w:p>
            <w:pPr>
              <w:spacing w:after="0"/>
              <w:rPr>
                <w:sz w:val="11"/>
                <w:szCs w:val="11"/>
                <w:color w:val="auto"/>
              </w:rPr>
            </w:pPr>
          </w:p>
        </w:tc>
        <w:tc>
          <w:tcPr>
            <w:tcW w:w="200" w:type="dxa"/>
            <w:vAlign w:val="bottom"/>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880" w:type="dxa"/>
            <w:vAlign w:val="bottom"/>
            <w:tcBorders>
              <w:top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90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gridSpan w:val="2"/>
          </w:tcPr>
          <w:p>
            <w:pPr>
              <w:spacing w:after="0"/>
              <w:rPr>
                <w:sz w:val="20"/>
                <w:szCs w:val="20"/>
                <w:color w:val="auto"/>
              </w:rPr>
            </w:pPr>
            <w:r>
              <w:rPr>
                <w:rFonts w:ascii="Arial" w:cs="Arial" w:eastAsia="Arial" w:hAnsi="Arial"/>
                <w:sz w:val="18"/>
                <w:szCs w:val="18"/>
                <w:color w:val="auto"/>
              </w:rPr>
              <w:t>Fixed maturities, available-for-sale:</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U.S. government and agencies</w:t>
            </w:r>
          </w:p>
        </w:tc>
        <w:tc>
          <w:tcPr>
            <w:tcW w:w="3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2,088.6</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6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1,716.5</w:t>
            </w:r>
          </w:p>
        </w:tc>
        <w:tc>
          <w:tcPr>
            <w:tcW w:w="440" w:type="dxa"/>
            <w:vAlign w:val="bottom"/>
            <w:gridSpan w:val="3"/>
            <w:shd w:val="clear" w:color="auto" w:fill="CCEEFF"/>
          </w:tcPr>
          <w:p>
            <w:pPr>
              <w:jc w:val="right"/>
              <w:ind w:right="47"/>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372.1</w:t>
            </w:r>
          </w:p>
        </w:tc>
        <w:tc>
          <w:tcPr>
            <w:tcW w:w="120" w:type="dxa"/>
            <w:vAlign w:val="bottom"/>
            <w:shd w:val="clear" w:color="auto" w:fill="CCEEFF"/>
          </w:tcPr>
          <w:p>
            <w:pPr>
              <w:spacing w:after="0"/>
              <w:rPr>
                <w:sz w:val="18"/>
                <w:szCs w:val="18"/>
                <w:color w:val="auto"/>
              </w:rPr>
            </w:pPr>
          </w:p>
        </w:tc>
        <w:tc>
          <w:tcPr>
            <w:tcW w:w="300" w:type="dxa"/>
            <w:vAlign w:val="bottom"/>
            <w:gridSpan w:val="2"/>
            <w:shd w:val="clear" w:color="auto" w:fill="CCEEFF"/>
          </w:tcPr>
          <w:p>
            <w:pPr>
              <w:jc w:val="right"/>
              <w:ind w:right="47"/>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gridSpan w:val="2"/>
          </w:tcPr>
          <w:p>
            <w:pPr>
              <w:ind w:left="100"/>
              <w:spacing w:after="0"/>
              <w:rPr>
                <w:sz w:val="20"/>
                <w:szCs w:val="20"/>
                <w:color w:val="auto"/>
              </w:rPr>
            </w:pPr>
            <w:r>
              <w:rPr>
                <w:rFonts w:ascii="Arial" w:cs="Arial" w:eastAsia="Arial" w:hAnsi="Arial"/>
                <w:sz w:val="18"/>
                <w:szCs w:val="18"/>
                <w:color w:val="auto"/>
              </w:rPr>
              <w:t>Non-U.S. governments</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982.0</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0.6</w:t>
            </w: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981.4</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States and political subdivisions</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9,304.4</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9,209.6</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94.8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gridSpan w:val="2"/>
          </w:tcPr>
          <w:p>
            <w:pPr>
              <w:ind w:left="100"/>
              <w:spacing w:after="0"/>
              <w:rPr>
                <w:sz w:val="20"/>
                <w:szCs w:val="20"/>
                <w:color w:val="auto"/>
              </w:rPr>
            </w:pPr>
            <w:r>
              <w:rPr>
                <w:rFonts w:ascii="Arial" w:cs="Arial" w:eastAsia="Arial" w:hAnsi="Arial"/>
                <w:sz w:val="18"/>
                <w:szCs w:val="18"/>
                <w:color w:val="auto"/>
              </w:rPr>
              <w:t>Corporate</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45,944.4</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41.5</w:t>
            </w: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45,068.6</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834.3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3420" w:type="dxa"/>
            <w:vAlign w:val="bottom"/>
            <w:gridSpan w:val="2"/>
            <w:shd w:val="clear" w:color="auto" w:fill="CCEEFF"/>
          </w:tcPr>
          <w:p>
            <w:pPr>
              <w:ind w:left="100"/>
              <w:spacing w:after="0" w:line="201" w:lineRule="exact"/>
              <w:rPr>
                <w:sz w:val="20"/>
                <w:szCs w:val="20"/>
                <w:color w:val="auto"/>
              </w:rPr>
            </w:pPr>
            <w:r>
              <w:rPr>
                <w:rFonts w:ascii="Arial" w:cs="Arial" w:eastAsia="Arial" w:hAnsi="Arial"/>
                <w:sz w:val="18"/>
                <w:szCs w:val="18"/>
                <w:color w:val="auto"/>
                <w:w w:val="95"/>
              </w:rPr>
              <w:t>Residential mortgage-backed pass-through</w:t>
            </w:r>
          </w:p>
        </w:tc>
        <w:tc>
          <w:tcPr>
            <w:tcW w:w="2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42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securities</w:t>
            </w:r>
          </w:p>
        </w:tc>
        <w:tc>
          <w:tcPr>
            <w:tcW w:w="22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3,152.9</w:t>
            </w:r>
          </w:p>
        </w:tc>
        <w:tc>
          <w:tcPr>
            <w:tcW w:w="2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3,152.9</w:t>
            </w:r>
          </w:p>
        </w:tc>
        <w:tc>
          <w:tcPr>
            <w:tcW w:w="1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gridSpan w:val="2"/>
          </w:tcPr>
          <w:p>
            <w:pPr>
              <w:ind w:left="100"/>
              <w:spacing w:after="0"/>
              <w:rPr>
                <w:sz w:val="20"/>
                <w:szCs w:val="20"/>
                <w:color w:val="auto"/>
              </w:rPr>
            </w:pPr>
            <w:r>
              <w:rPr>
                <w:rFonts w:ascii="Arial" w:cs="Arial" w:eastAsia="Arial" w:hAnsi="Arial"/>
                <w:sz w:val="18"/>
                <w:szCs w:val="18"/>
                <w:color w:val="auto"/>
              </w:rPr>
              <w:t>Commercial mortgage-backed securities</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5,562.2</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5,543.0</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19.2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Collateralized debt obligations (1)</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3,559.6</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3,473.8</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85.8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tcBorders>
              <w:bottom w:val="single" w:sz="8" w:color="CCEEFF"/>
            </w:tcBorders>
            <w:gridSpan w:val="2"/>
          </w:tcPr>
          <w:p>
            <w:pPr>
              <w:ind w:left="100"/>
              <w:spacing w:after="0"/>
              <w:rPr>
                <w:sz w:val="20"/>
                <w:szCs w:val="20"/>
                <w:color w:val="auto"/>
              </w:rPr>
            </w:pPr>
            <w:r>
              <w:rPr>
                <w:rFonts w:ascii="Arial" w:cs="Arial" w:eastAsia="Arial" w:hAnsi="Arial"/>
                <w:sz w:val="18"/>
                <w:szCs w:val="18"/>
                <w:color w:val="auto"/>
              </w:rPr>
              <w:t>Other debt obligations</w:t>
            </w:r>
          </w:p>
        </w:tc>
        <w:tc>
          <w:tcPr>
            <w:tcW w:w="22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7,560.4</w:t>
            </w:r>
          </w:p>
        </w:tc>
        <w:tc>
          <w:tcPr>
            <w:tcW w:w="20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40" w:type="dxa"/>
            <w:vAlign w:val="bottom"/>
            <w:tcBorders>
              <w:bottom w:val="single" w:sz="8" w:color="auto"/>
            </w:tcBorders>
          </w:tcPr>
          <w:p>
            <w:pPr>
              <w:spacing w:after="0"/>
              <w:rPr>
                <w:sz w:val="18"/>
                <w:szCs w:val="18"/>
                <w:color w:val="auto"/>
              </w:rPr>
            </w:pPr>
          </w:p>
        </w:tc>
        <w:tc>
          <w:tcPr>
            <w:tcW w:w="2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7,518.3</w:t>
            </w:r>
          </w:p>
        </w:tc>
        <w:tc>
          <w:tcPr>
            <w:tcW w:w="12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42.1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34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fixed maturities, available-for-sale</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78,154.5</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1,758.6</w:t>
            </w:r>
          </w:p>
        </w:tc>
        <w:tc>
          <w:tcPr>
            <w:tcW w:w="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75,319.7</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1,076.2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gridSpan w:val="2"/>
          </w:tcPr>
          <w:p>
            <w:pPr>
              <w:spacing w:after="0"/>
              <w:rPr>
                <w:sz w:val="20"/>
                <w:szCs w:val="20"/>
                <w:color w:val="auto"/>
              </w:rPr>
            </w:pPr>
            <w:r>
              <w:rPr>
                <w:rFonts w:ascii="Arial" w:cs="Arial" w:eastAsia="Arial" w:hAnsi="Arial"/>
                <w:sz w:val="18"/>
                <w:szCs w:val="18"/>
                <w:color w:val="auto"/>
              </w:rPr>
              <w:t>Fixed maturities, trading</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422.2</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0.5</w:t>
            </w: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416.8</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4.9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Equity securities</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2,347.2</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1,027.5</w:t>
            </w:r>
          </w:p>
        </w:tc>
        <w:tc>
          <w:tcPr>
            <w:tcW w:w="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1,319.7</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gridSpan w:val="2"/>
          </w:tcPr>
          <w:p>
            <w:pPr>
              <w:spacing w:after="0"/>
              <w:rPr>
                <w:sz w:val="20"/>
                <w:szCs w:val="20"/>
                <w:color w:val="auto"/>
              </w:rPr>
            </w:pPr>
            <w:r>
              <w:rPr>
                <w:rFonts w:ascii="Arial" w:cs="Arial" w:eastAsia="Arial" w:hAnsi="Arial"/>
                <w:sz w:val="18"/>
                <w:szCs w:val="18"/>
                <w:color w:val="auto"/>
              </w:rPr>
              <w:t>Derivative assets (2)</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337.1</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336.5</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0.6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 investments</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896.2</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92.7</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395.3</w:t>
            </w:r>
          </w:p>
        </w:tc>
        <w:tc>
          <w:tcPr>
            <w:tcW w:w="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406.1</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tcBorders>
              <w:bottom w:val="single" w:sz="8" w:color="CCEEFF"/>
            </w:tcBorders>
            <w:gridSpan w:val="2"/>
          </w:tcPr>
          <w:p>
            <w:pPr>
              <w:spacing w:after="0"/>
              <w:rPr>
                <w:sz w:val="20"/>
                <w:szCs w:val="20"/>
                <w:color w:val="auto"/>
              </w:rPr>
            </w:pPr>
            <w:r>
              <w:rPr>
                <w:rFonts w:ascii="Arial" w:cs="Arial" w:eastAsia="Arial" w:hAnsi="Arial"/>
                <w:sz w:val="18"/>
                <w:szCs w:val="18"/>
                <w:color w:val="auto"/>
              </w:rPr>
              <w:t>Cash equivalents</w:t>
            </w:r>
          </w:p>
        </w:tc>
        <w:tc>
          <w:tcPr>
            <w:tcW w:w="22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1,117.8</w:t>
            </w:r>
          </w:p>
        </w:tc>
        <w:tc>
          <w:tcPr>
            <w:tcW w:w="20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14.2</w:t>
            </w:r>
          </w:p>
        </w:tc>
        <w:tc>
          <w:tcPr>
            <w:tcW w:w="40" w:type="dxa"/>
            <w:vAlign w:val="bottom"/>
            <w:tcBorders>
              <w:bottom w:val="single" w:sz="8" w:color="auto"/>
            </w:tcBorders>
          </w:tcPr>
          <w:p>
            <w:pPr>
              <w:spacing w:after="0"/>
              <w:rPr>
                <w:sz w:val="18"/>
                <w:szCs w:val="18"/>
                <w:color w:val="auto"/>
              </w:rPr>
            </w:pPr>
          </w:p>
        </w:tc>
        <w:tc>
          <w:tcPr>
            <w:tcW w:w="2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1,103.6</w:t>
            </w:r>
          </w:p>
        </w:tc>
        <w:tc>
          <w:tcPr>
            <w:tcW w:w="12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42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w w:val="93"/>
              </w:rPr>
              <w:t>Sub-total excluding separate account assets</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83,275.0</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92.7</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3,196.1</w:t>
            </w:r>
          </w:p>
        </w:tc>
        <w:tc>
          <w:tcPr>
            <w:tcW w:w="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78,902.4</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1,083.8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tcBorders>
              <w:bottom w:val="single" w:sz="8" w:color="CCEEFF"/>
            </w:tcBorders>
            <w:gridSpan w:val="2"/>
          </w:tcPr>
          <w:p>
            <w:pPr>
              <w:spacing w:after="0"/>
              <w:rPr>
                <w:sz w:val="20"/>
                <w:szCs w:val="20"/>
                <w:color w:val="auto"/>
              </w:rPr>
            </w:pPr>
            <w:r>
              <w:rPr>
                <w:rFonts w:ascii="Arial" w:cs="Arial" w:eastAsia="Arial" w:hAnsi="Arial"/>
                <w:sz w:val="18"/>
                <w:szCs w:val="18"/>
                <w:color w:val="auto"/>
              </w:rPr>
              <w:t>Separate account assets</w:t>
            </w:r>
          </w:p>
        </w:tc>
        <w:tc>
          <w:tcPr>
            <w:tcW w:w="22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182,345.4</w:t>
            </w:r>
          </w:p>
        </w:tc>
        <w:tc>
          <w:tcPr>
            <w:tcW w:w="20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8,942.9</w:t>
            </w:r>
          </w:p>
        </w:tc>
        <w:tc>
          <w:tcPr>
            <w:tcW w:w="20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115,261.7</w:t>
            </w:r>
          </w:p>
        </w:tc>
        <w:tc>
          <w:tcPr>
            <w:tcW w:w="40" w:type="dxa"/>
            <w:vAlign w:val="bottom"/>
            <w:tcBorders>
              <w:bottom w:val="single" w:sz="8" w:color="auto"/>
            </w:tcBorders>
          </w:tcPr>
          <w:p>
            <w:pPr>
              <w:spacing w:after="0"/>
              <w:rPr>
                <w:sz w:val="18"/>
                <w:szCs w:val="18"/>
                <w:color w:val="auto"/>
              </w:rPr>
            </w:pPr>
          </w:p>
        </w:tc>
        <w:tc>
          <w:tcPr>
            <w:tcW w:w="2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57,195.5</w:t>
            </w:r>
          </w:p>
        </w:tc>
        <w:tc>
          <w:tcPr>
            <w:tcW w:w="12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945.3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42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Total assets</w:t>
            </w:r>
          </w:p>
        </w:tc>
        <w:tc>
          <w:tcPr>
            <w:tcW w:w="22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265,620.4</w:t>
            </w:r>
          </w:p>
        </w:tc>
        <w:tc>
          <w:tcPr>
            <w:tcW w:w="20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9,035.6</w:t>
            </w:r>
          </w:p>
        </w:tc>
        <w:tc>
          <w:tcPr>
            <w:tcW w:w="20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118,457.8</w:t>
            </w:r>
          </w:p>
        </w:tc>
        <w:tc>
          <w:tcPr>
            <w:tcW w:w="40" w:type="dxa"/>
            <w:vAlign w:val="bottom"/>
            <w:tcBorders>
              <w:bottom w:val="single" w:sz="8" w:color="auto"/>
            </w:tcBorders>
            <w:shd w:val="clear" w:color="auto" w:fill="CCEEFF"/>
          </w:tcPr>
          <w:p>
            <w:pPr>
              <w:spacing w:after="0"/>
              <w:rPr>
                <w:sz w:val="18"/>
                <w:szCs w:val="18"/>
                <w:color w:val="auto"/>
              </w:rPr>
            </w:pPr>
          </w:p>
        </w:tc>
        <w:tc>
          <w:tcPr>
            <w:tcW w:w="20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136,097.9</w:t>
            </w:r>
          </w:p>
        </w:tc>
        <w:tc>
          <w:tcPr>
            <w:tcW w:w="12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2,029.1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246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4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Liabilities</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gridSpan w:val="2"/>
          </w:tcPr>
          <w:p>
            <w:pPr>
              <w:spacing w:after="0"/>
              <w:rPr>
                <w:sz w:val="20"/>
                <w:szCs w:val="20"/>
                <w:color w:val="auto"/>
              </w:rPr>
            </w:pPr>
            <w:r>
              <w:rPr>
                <w:rFonts w:ascii="Arial" w:cs="Arial" w:eastAsia="Arial" w:hAnsi="Arial"/>
                <w:sz w:val="18"/>
                <w:szCs w:val="18"/>
                <w:color w:val="auto"/>
              </w:rPr>
              <w:t>Investment and universal life contracts (3)</w:t>
            </w:r>
          </w:p>
        </w:tc>
        <w:tc>
          <w:tcPr>
            <w:tcW w:w="3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200"/>
              <w:spacing w:after="0"/>
              <w:rPr>
                <w:sz w:val="20"/>
                <w:szCs w:val="20"/>
                <w:color w:val="auto"/>
              </w:rPr>
            </w:pPr>
            <w:r>
              <w:rPr>
                <w:rFonts w:ascii="Arial" w:cs="Arial" w:eastAsia="Arial" w:hAnsi="Arial"/>
                <w:sz w:val="18"/>
                <w:szCs w:val="18"/>
                <w:color w:val="auto"/>
              </w:rPr>
              <w:t>(356.3)</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w:t>
            </w:r>
          </w:p>
        </w:tc>
        <w:tc>
          <w:tcPr>
            <w:tcW w:w="360" w:type="dxa"/>
            <w:vAlign w:val="bottom"/>
            <w:gridSpan w:val="2"/>
          </w:tcPr>
          <w:p>
            <w:pPr>
              <w:ind w:left="200"/>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w:t>
            </w:r>
          </w:p>
        </w:tc>
        <w:tc>
          <w:tcPr>
            <w:tcW w:w="440" w:type="dxa"/>
            <w:vAlign w:val="bottom"/>
            <w:gridSpan w:val="3"/>
          </w:tcPr>
          <w:p>
            <w:pPr>
              <w:jc w:val="right"/>
              <w:ind w:right="47"/>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300" w:type="dxa"/>
            <w:vAlign w:val="bottom"/>
            <w:gridSpan w:val="2"/>
          </w:tcPr>
          <w:p>
            <w:pPr>
              <w:jc w:val="right"/>
              <w:ind w:right="47"/>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(356.3)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Derivative liabilities (2)</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(226.0)</w:t>
            </w: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(225.4)</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gridSpan w:val="2"/>
          </w:tcPr>
          <w:p>
            <w:pPr>
              <w:spacing w:after="0"/>
              <w:rPr>
                <w:sz w:val="20"/>
                <w:szCs w:val="20"/>
                <w:color w:val="auto"/>
              </w:rPr>
            </w:pPr>
            <w:r>
              <w:rPr>
                <w:rFonts w:ascii="Arial" w:cs="Arial" w:eastAsia="Arial" w:hAnsi="Arial"/>
                <w:sz w:val="18"/>
                <w:szCs w:val="18"/>
                <w:color w:val="auto"/>
              </w:rPr>
              <w:t>Other liabilities</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60" w:type="dxa"/>
            <w:vAlign w:val="bottom"/>
            <w:gridSpan w:val="2"/>
          </w:tcPr>
          <w:p>
            <w:pPr>
              <w:jc w:val="right"/>
              <w:ind w:right="200"/>
              <w:spacing w:after="0"/>
              <w:rPr>
                <w:sz w:val="20"/>
                <w:szCs w:val="20"/>
                <w:color w:val="auto"/>
              </w:rPr>
            </w:pPr>
            <w:r>
              <w:rPr>
                <w:rFonts w:ascii="Arial" w:cs="Arial" w:eastAsia="Arial" w:hAnsi="Arial"/>
                <w:sz w:val="18"/>
                <w:szCs w:val="18"/>
                <w:color w:val="auto"/>
              </w:rPr>
              <w:t>(0.7)</w:t>
            </w:r>
          </w:p>
        </w:tc>
        <w:tc>
          <w:tcPr>
            <w:tcW w:w="1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0" w:type="dxa"/>
            <w:vAlign w:val="bottom"/>
            <w:gridSpan w:val="2"/>
          </w:tcPr>
          <w:p>
            <w:pPr>
              <w:jc w:val="right"/>
              <w:ind w:right="120"/>
              <w:spacing w:after="0"/>
              <w:rPr>
                <w:sz w:val="20"/>
                <w:szCs w:val="20"/>
                <w:color w:val="auto"/>
              </w:rPr>
            </w:pPr>
            <w:r>
              <w:rPr>
                <w:rFonts w:ascii="Arial" w:cs="Arial" w:eastAsia="Arial" w:hAnsi="Arial"/>
                <w:sz w:val="18"/>
                <w:szCs w:val="18"/>
                <w:color w:val="auto"/>
              </w:rPr>
              <w:t>(0.7)</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420" w:type="dxa"/>
            <w:vAlign w:val="bottom"/>
            <w:tcBorders>
              <w:top w:val="single" w:sz="8" w:color="CCEEFF"/>
              <w:bottom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Total liabilities</w:t>
            </w:r>
          </w:p>
        </w:tc>
        <w:tc>
          <w:tcPr>
            <w:tcW w:w="22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(583.0)</w:t>
            </w:r>
          </w:p>
        </w:tc>
        <w:tc>
          <w:tcPr>
            <w:tcW w:w="20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tcBorders>
              <w:top w:val="single" w:sz="8" w:color="CCEEFF"/>
              <w:bottom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0" w:type="dxa"/>
            <w:vAlign w:val="bottom"/>
            <w:tcBorders>
              <w:top w:val="single" w:sz="8" w:color="auto"/>
              <w:bottom w:val="single" w:sz="8" w:color="auto"/>
            </w:tcBorders>
            <w:shd w:val="clear" w:color="auto" w:fill="CCEEFF"/>
          </w:tcPr>
          <w:p>
            <w:pPr>
              <w:spacing w:after="0"/>
              <w:rPr>
                <w:sz w:val="18"/>
                <w:szCs w:val="18"/>
                <w:color w:val="auto"/>
              </w:rPr>
            </w:pPr>
          </w:p>
        </w:tc>
        <w:tc>
          <w:tcPr>
            <w:tcW w:w="200" w:type="dxa"/>
            <w:vAlign w:val="bottom"/>
            <w:tcBorders>
              <w:top w:val="single" w:sz="8" w:color="CCEEFF"/>
              <w:bottom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(226.1)</w:t>
            </w: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(356.9)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246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4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Net assets</w:t>
            </w:r>
          </w:p>
        </w:tc>
        <w:tc>
          <w:tcPr>
            <w:tcW w:w="3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265,037.4</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9,035.6</w:t>
            </w:r>
          </w:p>
        </w:tc>
        <w:tc>
          <w:tcPr>
            <w:tcW w:w="36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118,457.8</w:t>
            </w:r>
          </w:p>
        </w:tc>
        <w:tc>
          <w:tcPr>
            <w:tcW w:w="440" w:type="dxa"/>
            <w:vAlign w:val="bottom"/>
            <w:gridSpan w:val="3"/>
            <w:shd w:val="clear" w:color="auto" w:fill="CCEEFF"/>
          </w:tcPr>
          <w:p>
            <w:pPr>
              <w:jc w:val="right"/>
              <w:ind w:right="47"/>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135,871.8</w:t>
            </w:r>
          </w:p>
        </w:tc>
        <w:tc>
          <w:tcPr>
            <w:tcW w:w="120" w:type="dxa"/>
            <w:vAlign w:val="bottom"/>
            <w:shd w:val="clear" w:color="auto" w:fill="CCEEFF"/>
          </w:tcPr>
          <w:p>
            <w:pPr>
              <w:spacing w:after="0"/>
              <w:rPr>
                <w:sz w:val="18"/>
                <w:szCs w:val="18"/>
                <w:color w:val="auto"/>
              </w:rPr>
            </w:pPr>
          </w:p>
        </w:tc>
        <w:tc>
          <w:tcPr>
            <w:tcW w:w="300" w:type="dxa"/>
            <w:vAlign w:val="bottom"/>
            <w:gridSpan w:val="2"/>
            <w:shd w:val="clear" w:color="auto" w:fill="CCEEFF"/>
          </w:tcPr>
          <w:p>
            <w:pPr>
              <w:jc w:val="right"/>
              <w:ind w:right="47"/>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1,672.2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60" w:type="dxa"/>
            <w:vAlign w:val="bottom"/>
            <w:tcBorders>
              <w:top w:val="single" w:sz="8" w:color="CCEEFF"/>
            </w:tcBorders>
          </w:tcPr>
          <w:p>
            <w:pPr>
              <w:spacing w:after="0" w:line="20" w:lineRule="exact"/>
              <w:rPr>
                <w:sz w:val="1"/>
                <w:szCs w:val="1"/>
                <w:color w:val="auto"/>
              </w:rPr>
            </w:pPr>
          </w:p>
        </w:tc>
        <w:tc>
          <w:tcPr>
            <w:tcW w:w="96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8"/>
        </w:trPr>
        <w:tc>
          <w:tcPr>
            <w:tcW w:w="20" w:type="dxa"/>
            <w:vAlign w:val="bottom"/>
          </w:tcPr>
          <w:p>
            <w:pPr>
              <w:spacing w:after="0"/>
              <w:rPr>
                <w:sz w:val="7"/>
                <w:szCs w:val="7"/>
                <w:color w:val="auto"/>
              </w:rPr>
            </w:pPr>
          </w:p>
        </w:tc>
        <w:tc>
          <w:tcPr>
            <w:tcW w:w="2460" w:type="dxa"/>
            <w:vAlign w:val="bottom"/>
            <w:tcBorders>
              <w:bottom w:val="single" w:sz="8" w:color="auto"/>
            </w:tcBorders>
          </w:tcPr>
          <w:p>
            <w:pPr>
              <w:spacing w:after="0"/>
              <w:rPr>
                <w:sz w:val="7"/>
                <w:szCs w:val="7"/>
                <w:color w:val="auto"/>
              </w:rPr>
            </w:pPr>
          </w:p>
        </w:tc>
        <w:tc>
          <w:tcPr>
            <w:tcW w:w="960" w:type="dxa"/>
            <w:vAlign w:val="bottom"/>
          </w:tcPr>
          <w:p>
            <w:pPr>
              <w:spacing w:after="0"/>
              <w:rPr>
                <w:sz w:val="7"/>
                <w:szCs w:val="7"/>
                <w:color w:val="auto"/>
              </w:rPr>
            </w:pPr>
          </w:p>
        </w:tc>
        <w:tc>
          <w:tcPr>
            <w:tcW w:w="220" w:type="dxa"/>
            <w:vAlign w:val="bottom"/>
          </w:tcPr>
          <w:p>
            <w:pPr>
              <w:spacing w:after="0"/>
              <w:rPr>
                <w:sz w:val="7"/>
                <w:szCs w:val="7"/>
                <w:color w:val="auto"/>
              </w:rPr>
            </w:pPr>
          </w:p>
        </w:tc>
        <w:tc>
          <w:tcPr>
            <w:tcW w:w="120" w:type="dxa"/>
            <w:vAlign w:val="bottom"/>
          </w:tcPr>
          <w:p>
            <w:pPr>
              <w:spacing w:after="0"/>
              <w:rPr>
                <w:sz w:val="7"/>
                <w:szCs w:val="7"/>
                <w:color w:val="auto"/>
              </w:rPr>
            </w:pPr>
          </w:p>
        </w:tc>
        <w:tc>
          <w:tcPr>
            <w:tcW w:w="960" w:type="dxa"/>
            <w:vAlign w:val="bottom"/>
          </w:tcPr>
          <w:p>
            <w:pPr>
              <w:spacing w:after="0"/>
              <w:rPr>
                <w:sz w:val="7"/>
                <w:szCs w:val="7"/>
                <w:color w:val="auto"/>
              </w:rPr>
            </w:pPr>
          </w:p>
        </w:tc>
        <w:tc>
          <w:tcPr>
            <w:tcW w:w="200" w:type="dxa"/>
            <w:vAlign w:val="bottom"/>
          </w:tcPr>
          <w:p>
            <w:pPr>
              <w:spacing w:after="0"/>
              <w:rPr>
                <w:sz w:val="7"/>
                <w:szCs w:val="7"/>
                <w:color w:val="auto"/>
              </w:rPr>
            </w:pPr>
          </w:p>
        </w:tc>
        <w:tc>
          <w:tcPr>
            <w:tcW w:w="120" w:type="dxa"/>
            <w:vAlign w:val="bottom"/>
          </w:tcPr>
          <w:p>
            <w:pPr>
              <w:spacing w:after="0"/>
              <w:rPr>
                <w:sz w:val="7"/>
                <w:szCs w:val="7"/>
                <w:color w:val="auto"/>
              </w:rPr>
            </w:pPr>
          </w:p>
        </w:tc>
        <w:tc>
          <w:tcPr>
            <w:tcW w:w="960" w:type="dxa"/>
            <w:vAlign w:val="bottom"/>
          </w:tcPr>
          <w:p>
            <w:pPr>
              <w:spacing w:after="0"/>
              <w:rPr>
                <w:sz w:val="7"/>
                <w:szCs w:val="7"/>
                <w:color w:val="auto"/>
              </w:rPr>
            </w:pPr>
          </w:p>
        </w:tc>
        <w:tc>
          <w:tcPr>
            <w:tcW w:w="200" w:type="dxa"/>
            <w:vAlign w:val="bottom"/>
          </w:tcPr>
          <w:p>
            <w:pPr>
              <w:spacing w:after="0"/>
              <w:rPr>
                <w:sz w:val="7"/>
                <w:szCs w:val="7"/>
                <w:color w:val="auto"/>
              </w:rPr>
            </w:pPr>
          </w:p>
        </w:tc>
        <w:tc>
          <w:tcPr>
            <w:tcW w:w="160" w:type="dxa"/>
            <w:vAlign w:val="bottom"/>
          </w:tcPr>
          <w:p>
            <w:pPr>
              <w:spacing w:after="0"/>
              <w:rPr>
                <w:sz w:val="7"/>
                <w:szCs w:val="7"/>
                <w:color w:val="auto"/>
              </w:rPr>
            </w:pPr>
          </w:p>
        </w:tc>
        <w:tc>
          <w:tcPr>
            <w:tcW w:w="900" w:type="dxa"/>
            <w:vAlign w:val="bottom"/>
          </w:tcPr>
          <w:p>
            <w:pPr>
              <w:spacing w:after="0"/>
              <w:rPr>
                <w:sz w:val="7"/>
                <w:szCs w:val="7"/>
                <w:color w:val="auto"/>
              </w:rPr>
            </w:pPr>
          </w:p>
        </w:tc>
        <w:tc>
          <w:tcPr>
            <w:tcW w:w="40" w:type="dxa"/>
            <w:vAlign w:val="bottom"/>
          </w:tcPr>
          <w:p>
            <w:pPr>
              <w:spacing w:after="0"/>
              <w:rPr>
                <w:sz w:val="7"/>
                <w:szCs w:val="7"/>
                <w:color w:val="auto"/>
              </w:rPr>
            </w:pPr>
          </w:p>
        </w:tc>
        <w:tc>
          <w:tcPr>
            <w:tcW w:w="200" w:type="dxa"/>
            <w:vAlign w:val="bottom"/>
          </w:tcPr>
          <w:p>
            <w:pPr>
              <w:spacing w:after="0"/>
              <w:rPr>
                <w:sz w:val="7"/>
                <w:szCs w:val="7"/>
                <w:color w:val="auto"/>
              </w:rPr>
            </w:pPr>
          </w:p>
        </w:tc>
        <w:tc>
          <w:tcPr>
            <w:tcW w:w="200" w:type="dxa"/>
            <w:vAlign w:val="bottom"/>
          </w:tcPr>
          <w:p>
            <w:pPr>
              <w:spacing w:after="0"/>
              <w:rPr>
                <w:sz w:val="7"/>
                <w:szCs w:val="7"/>
                <w:color w:val="auto"/>
              </w:rPr>
            </w:pPr>
          </w:p>
        </w:tc>
        <w:tc>
          <w:tcPr>
            <w:tcW w:w="88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0" w:type="dxa"/>
            <w:vAlign w:val="bottom"/>
          </w:tcPr>
          <w:p>
            <w:pPr>
              <w:spacing w:after="0"/>
              <w:rPr>
                <w:sz w:val="7"/>
                <w:szCs w:val="7"/>
                <w:color w:val="auto"/>
              </w:rPr>
            </w:pPr>
          </w:p>
        </w:tc>
        <w:tc>
          <w:tcPr>
            <w:tcW w:w="90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80" w:lineRule="exact"/>
        <w:rPr>
          <w:sz w:val="20"/>
          <w:szCs w:val="20"/>
          <w:color w:val="auto"/>
        </w:rPr>
      </w:pPr>
    </w:p>
    <w:p>
      <w:pPr>
        <w:ind w:left="340" w:hanging="332"/>
        <w:spacing w:after="0"/>
        <w:tabs>
          <w:tab w:leader="none" w:pos="3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Primarily consists of collateralized loan obligations backed by secured corporate loans.</w:t>
      </w:r>
    </w:p>
    <w:p>
      <w:pPr>
        <w:spacing w:after="0" w:line="23" w:lineRule="exact"/>
        <w:rPr>
          <w:rFonts w:ascii="Arial" w:cs="Arial" w:eastAsia="Arial" w:hAnsi="Arial"/>
          <w:sz w:val="18"/>
          <w:szCs w:val="18"/>
          <w:color w:val="auto"/>
        </w:rPr>
      </w:pPr>
    </w:p>
    <w:p>
      <w:pPr>
        <w:ind w:left="340" w:right="120" w:hanging="332"/>
        <w:spacing w:after="0" w:line="250" w:lineRule="auto"/>
        <w:tabs>
          <w:tab w:leader="none" w:pos="3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Within the consolidated statements of financial position, derivative assets are reported with other investments and derivative liabilities are reported with other liabilities. The amounts are presented gross in the tables above to reflect the presentation on the consolidated statements of financial position; however, are presented net for purposes of the rollforward in the Changes in Level 3 Fair Value Measurements tables. Refer to Note 4, Derivative Financial Instruments, for further information on fair value by class of derivative instruments.</w:t>
      </w:r>
    </w:p>
    <w:p>
      <w:pPr>
        <w:spacing w:after="0" w:line="1" w:lineRule="exact"/>
        <w:rPr>
          <w:rFonts w:ascii="Arial" w:cs="Arial" w:eastAsia="Arial" w:hAnsi="Arial"/>
          <w:sz w:val="18"/>
          <w:szCs w:val="18"/>
          <w:color w:val="auto"/>
        </w:rPr>
      </w:pPr>
    </w:p>
    <w:p>
      <w:pPr>
        <w:ind w:left="340" w:right="20" w:hanging="332"/>
        <w:spacing w:after="0" w:line="250" w:lineRule="auto"/>
        <w:tabs>
          <w:tab w:leader="none" w:pos="3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Includes bifurcated embedded derivatives that are reported at net asset (liability) fair value within the same line item in the consolidated statements of financial position in which the host contract is reported. The funds withheld payable embedded derivative could be in either an asset or (liability) position.</w:t>
      </w:r>
    </w:p>
    <w:p>
      <w:pPr>
        <w:spacing w:after="0" w:line="1" w:lineRule="exact"/>
        <w:rPr>
          <w:rFonts w:ascii="Arial" w:cs="Arial" w:eastAsia="Arial" w:hAnsi="Arial"/>
          <w:sz w:val="18"/>
          <w:szCs w:val="18"/>
          <w:color w:val="auto"/>
        </w:rPr>
      </w:pPr>
    </w:p>
    <w:p>
      <w:pPr>
        <w:ind w:left="340" w:right="140" w:hanging="332"/>
        <w:spacing w:after="0" w:line="252" w:lineRule="auto"/>
        <w:tabs>
          <w:tab w:leader="none" w:pos="3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Certain investments are measured at fair value using the NAV per share (or its equivalent) practical expedient and have not been classified in the fair value hierarchy. Other investments using the NAV practical expedient consist of certain fund interests that are restricted until maturity with unfunded commitments totaling $8.5 million and $10.2 million as of June 30, 2022 and December 31, 2021, respectively. Separate account assets using the NAV practical expedient consist of hedge funds and a real estate fund with varying investment strategies that also have a variety of redemption terms and conditions. We do not have unfunded commitments associated with these funds.</w:t>
      </w:r>
    </w:p>
    <w:p>
      <w:pPr>
        <w:sectPr>
          <w:pgSz w:w="11900" w:h="16838" w:orient="portrait"/>
          <w:cols w:equalWidth="0" w:num="1">
            <w:col w:w="9920"/>
          </w:cols>
          <w:pgMar w:left="980" w:top="665" w:right="99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372110</wp:posOffset>
            </wp:positionV>
            <wp:extent cx="6292215" cy="2603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type w:val="continuous"/>
        </w:sectPr>
      </w:pPr>
    </w:p>
    <w:bookmarkStart w:id="65" w:name="page66"/>
    <w:bookmarkEnd w:id="65"/>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Level 3 Fair Value Measurements</w:t>
      </w:r>
    </w:p>
    <w:p>
      <w:pPr>
        <w:spacing w:after="0" w:line="229" w:lineRule="exact"/>
        <w:rPr>
          <w:sz w:val="20"/>
          <w:szCs w:val="20"/>
          <w:color w:val="auto"/>
        </w:rPr>
      </w:pPr>
    </w:p>
    <w:p>
      <w:pPr>
        <w:ind w:right="160" w:firstLine="648"/>
        <w:spacing w:after="0" w:line="277" w:lineRule="auto"/>
        <w:rPr>
          <w:sz w:val="20"/>
          <w:szCs w:val="20"/>
          <w:color w:val="auto"/>
        </w:rPr>
      </w:pPr>
      <w:r>
        <w:rPr>
          <w:rFonts w:ascii="Arial" w:cs="Arial" w:eastAsia="Arial" w:hAnsi="Arial"/>
          <w:sz w:val="18"/>
          <w:szCs w:val="18"/>
          <w:color w:val="auto"/>
        </w:rPr>
        <w:t>The reconciliation for all assets and liabilities measured at fair value on a recurring basis using significant unobservable inputs (Level 3) was as follows:</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26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3100" w:type="dxa"/>
            <w:vAlign w:val="bottom"/>
            <w:tcBorders>
              <w:bottom w:val="single" w:sz="8" w:color="auto"/>
            </w:tcBorders>
            <w:gridSpan w:val="8"/>
          </w:tcPr>
          <w:p>
            <w:pPr>
              <w:jc w:val="center"/>
              <w:ind w:right="240"/>
              <w:spacing w:after="0"/>
              <w:rPr>
                <w:sz w:val="20"/>
                <w:szCs w:val="20"/>
                <w:color w:val="auto"/>
              </w:rPr>
            </w:pPr>
            <w:r>
              <w:rPr>
                <w:rFonts w:ascii="Arial" w:cs="Arial" w:eastAsia="Arial" w:hAnsi="Arial"/>
                <w:sz w:val="14"/>
                <w:szCs w:val="14"/>
                <w:b w:val="1"/>
                <w:bCs w:val="1"/>
                <w:color w:val="auto"/>
                <w:w w:val="92"/>
              </w:rPr>
              <w:t>For the three months ended June 30, 2022</w:t>
            </w:r>
          </w:p>
        </w:tc>
        <w:tc>
          <w:tcPr>
            <w:tcW w:w="12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26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gridSpan w:val="2"/>
          </w:tcPr>
          <w:p>
            <w:pPr>
              <w:jc w:val="center"/>
              <w:ind w:right="160"/>
              <w:spacing w:after="0" w:line="119" w:lineRule="exact"/>
              <w:rPr>
                <w:sz w:val="20"/>
                <w:szCs w:val="20"/>
                <w:color w:val="auto"/>
              </w:rPr>
            </w:pPr>
            <w:r>
              <w:rPr>
                <w:rFonts w:ascii="Arial" w:cs="Arial" w:eastAsia="Arial" w:hAnsi="Arial"/>
                <w:sz w:val="13"/>
                <w:szCs w:val="13"/>
                <w:b w:val="1"/>
                <w:bCs w:val="1"/>
                <w:color w:val="auto"/>
                <w:w w:val="97"/>
              </w:rPr>
              <w:t>Beginning</w:t>
            </w: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60" w:type="dxa"/>
            <w:vAlign w:val="bottom"/>
            <w:gridSpan w:val="6"/>
            <w:vMerge w:val="restart"/>
          </w:tcPr>
          <w:p>
            <w:pPr>
              <w:jc w:val="center"/>
              <w:ind w:right="260"/>
              <w:spacing w:after="0"/>
              <w:rPr>
                <w:sz w:val="20"/>
                <w:szCs w:val="20"/>
                <w:color w:val="auto"/>
              </w:rPr>
            </w:pPr>
            <w:r>
              <w:rPr>
                <w:rFonts w:ascii="Arial" w:cs="Arial" w:eastAsia="Arial" w:hAnsi="Arial"/>
                <w:sz w:val="14"/>
                <w:szCs w:val="14"/>
                <w:b w:val="1"/>
                <w:bCs w:val="1"/>
                <w:color w:val="auto"/>
                <w:w w:val="93"/>
              </w:rPr>
              <w:t>Total realized/unrealized</w:t>
            </w:r>
          </w:p>
        </w:tc>
        <w:tc>
          <w:tcPr>
            <w:tcW w:w="80" w:type="dxa"/>
            <w:vAlign w:val="bottom"/>
          </w:tcPr>
          <w:p>
            <w:pPr>
              <w:spacing w:after="0"/>
              <w:rPr>
                <w:sz w:val="10"/>
                <w:szCs w:val="10"/>
                <w:color w:val="auto"/>
              </w:rPr>
            </w:pPr>
          </w:p>
        </w:tc>
        <w:tc>
          <w:tcPr>
            <w:tcW w:w="960" w:type="dxa"/>
            <w:vAlign w:val="bottom"/>
            <w:gridSpan w:val="2"/>
          </w:tcPr>
          <w:p>
            <w:pPr>
              <w:jc w:val="center"/>
              <w:ind w:right="240"/>
              <w:spacing w:after="0" w:line="119" w:lineRule="exact"/>
              <w:rPr>
                <w:sz w:val="20"/>
                <w:szCs w:val="20"/>
                <w:color w:val="auto"/>
              </w:rPr>
            </w:pPr>
            <w:r>
              <w:rPr>
                <w:rFonts w:ascii="Arial" w:cs="Arial" w:eastAsia="Arial" w:hAnsi="Arial"/>
                <w:sz w:val="13"/>
                <w:szCs w:val="13"/>
                <w:b w:val="1"/>
                <w:bCs w:val="1"/>
                <w:color w:val="auto"/>
                <w:w w:val="95"/>
              </w:rPr>
              <w:t>Net</w:t>
            </w:r>
          </w:p>
        </w:tc>
        <w:tc>
          <w:tcPr>
            <w:tcW w:w="12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80" w:type="dxa"/>
            <w:vAlign w:val="bottom"/>
          </w:tcPr>
          <w:p>
            <w:pPr>
              <w:jc w:val="center"/>
              <w:ind w:right="48"/>
              <w:spacing w:after="0" w:line="119" w:lineRule="exact"/>
              <w:rPr>
                <w:sz w:val="20"/>
                <w:szCs w:val="20"/>
                <w:color w:val="auto"/>
              </w:rPr>
            </w:pPr>
            <w:r>
              <w:rPr>
                <w:rFonts w:ascii="Arial" w:cs="Arial" w:eastAsia="Arial" w:hAnsi="Arial"/>
                <w:sz w:val="13"/>
                <w:szCs w:val="13"/>
                <w:b w:val="1"/>
                <w:bCs w:val="1"/>
                <w:color w:val="auto"/>
              </w:rPr>
              <w:t>Ending</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6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5"/>
              </w:rPr>
              <w:t>asset/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60" w:type="dxa"/>
            <w:vAlign w:val="bottom"/>
            <w:gridSpan w:val="6"/>
            <w:vMerge w:val="continue"/>
          </w:tcPr>
          <w:p>
            <w:pPr>
              <w:spacing w:after="0"/>
              <w:rPr>
                <w:sz w:val="12"/>
                <w:szCs w:val="12"/>
                <w:color w:val="auto"/>
              </w:rPr>
            </w:pPr>
          </w:p>
        </w:tc>
        <w:tc>
          <w:tcPr>
            <w:tcW w:w="80" w:type="dxa"/>
            <w:vAlign w:val="bottom"/>
          </w:tcPr>
          <w:p>
            <w:pPr>
              <w:spacing w:after="0"/>
              <w:rPr>
                <w:sz w:val="12"/>
                <w:szCs w:val="12"/>
                <w:color w:val="auto"/>
              </w:rPr>
            </w:pPr>
          </w:p>
        </w:tc>
        <w:tc>
          <w:tcPr>
            <w:tcW w:w="9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6"/>
              </w:rPr>
              <w:t>purchases,</w:t>
            </w: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85"/>
              </w:rPr>
              <w:t>asset/</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rPr>
              <w:t>(liability)</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60" w:type="dxa"/>
            <w:vAlign w:val="bottom"/>
            <w:gridSpan w:val="6"/>
          </w:tcPr>
          <w:p>
            <w:pPr>
              <w:jc w:val="center"/>
              <w:ind w:right="260"/>
              <w:spacing w:after="0"/>
              <w:rPr>
                <w:sz w:val="20"/>
                <w:szCs w:val="20"/>
                <w:color w:val="auto"/>
              </w:rPr>
            </w:pPr>
            <w:r>
              <w:rPr>
                <w:rFonts w:ascii="Arial" w:cs="Arial" w:eastAsia="Arial" w:hAnsi="Arial"/>
                <w:sz w:val="14"/>
                <w:szCs w:val="14"/>
                <w:b w:val="1"/>
                <w:bCs w:val="1"/>
                <w:color w:val="auto"/>
                <w:w w:val="85"/>
              </w:rPr>
              <w:t>gains (losses)</w:t>
            </w:r>
          </w:p>
        </w:tc>
        <w:tc>
          <w:tcPr>
            <w:tcW w:w="80" w:type="dxa"/>
            <w:vAlign w:val="bottom"/>
          </w:tcPr>
          <w:p>
            <w:pPr>
              <w:spacing w:after="0"/>
              <w:rPr>
                <w:sz w:val="14"/>
                <w:szCs w:val="14"/>
                <w:color w:val="auto"/>
              </w:rPr>
            </w:pPr>
          </w:p>
        </w:tc>
        <w:tc>
          <w:tcPr>
            <w:tcW w:w="96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2"/>
              </w:rPr>
              <w:t>sales,</w:t>
            </w: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rPr>
              <w:t>(liability)</w:t>
            </w: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26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gridSpan w:val="2"/>
          </w:tcPr>
          <w:p>
            <w:pPr>
              <w:jc w:val="center"/>
              <w:ind w:right="160"/>
              <w:spacing w:after="0" w:line="119" w:lineRule="exact"/>
              <w:rPr>
                <w:sz w:val="20"/>
                <w:szCs w:val="20"/>
                <w:color w:val="auto"/>
              </w:rPr>
            </w:pPr>
            <w:r>
              <w:rPr>
                <w:rFonts w:ascii="Arial" w:cs="Arial" w:eastAsia="Arial" w:hAnsi="Arial"/>
                <w:sz w:val="13"/>
                <w:szCs w:val="13"/>
                <w:b w:val="1"/>
                <w:bCs w:val="1"/>
                <w:color w:val="auto"/>
                <w:w w:val="94"/>
              </w:rPr>
              <w:t>balance</w:t>
            </w:r>
          </w:p>
        </w:tc>
        <w:tc>
          <w:tcPr>
            <w:tcW w:w="8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880" w:type="dxa"/>
            <w:vAlign w:val="bottom"/>
            <w:tcBorders>
              <w:top w:val="single" w:sz="8" w:color="auto"/>
            </w:tcBorders>
            <w:gridSpan w:val="2"/>
            <w:vMerge w:val="restart"/>
          </w:tcPr>
          <w:p>
            <w:pPr>
              <w:jc w:val="center"/>
              <w:ind w:right="180"/>
              <w:spacing w:after="0"/>
              <w:rPr>
                <w:sz w:val="20"/>
                <w:szCs w:val="20"/>
                <w:color w:val="auto"/>
              </w:rPr>
            </w:pPr>
            <w:r>
              <w:rPr>
                <w:rFonts w:ascii="Arial" w:cs="Arial" w:eastAsia="Arial" w:hAnsi="Arial"/>
                <w:sz w:val="14"/>
                <w:szCs w:val="14"/>
                <w:b w:val="1"/>
                <w:bCs w:val="1"/>
                <w:color w:val="auto"/>
                <w:w w:val="94"/>
              </w:rPr>
              <w:t>Included in</w:t>
            </w:r>
          </w:p>
        </w:tc>
        <w:tc>
          <w:tcPr>
            <w:tcW w:w="8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840" w:type="dxa"/>
            <w:vAlign w:val="bottom"/>
            <w:tcBorders>
              <w:top w:val="single" w:sz="8" w:color="auto"/>
            </w:tcBorders>
          </w:tcPr>
          <w:p>
            <w:pPr>
              <w:jc w:val="center"/>
              <w:ind w:right="28"/>
              <w:spacing w:after="0" w:line="119" w:lineRule="exact"/>
              <w:rPr>
                <w:sz w:val="20"/>
                <w:szCs w:val="20"/>
                <w:color w:val="auto"/>
              </w:rPr>
            </w:pPr>
            <w:r>
              <w:rPr>
                <w:rFonts w:ascii="Arial" w:cs="Arial" w:eastAsia="Arial" w:hAnsi="Arial"/>
                <w:sz w:val="13"/>
                <w:szCs w:val="13"/>
                <w:b w:val="1"/>
                <w:bCs w:val="1"/>
                <w:color w:val="auto"/>
              </w:rPr>
              <w:t>Included in</w:t>
            </w: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960" w:type="dxa"/>
            <w:vAlign w:val="bottom"/>
            <w:gridSpan w:val="2"/>
          </w:tcPr>
          <w:p>
            <w:pPr>
              <w:jc w:val="center"/>
              <w:ind w:right="240"/>
              <w:spacing w:after="0" w:line="119" w:lineRule="exact"/>
              <w:rPr>
                <w:sz w:val="20"/>
                <w:szCs w:val="20"/>
                <w:color w:val="auto"/>
              </w:rPr>
            </w:pPr>
            <w:r>
              <w:rPr>
                <w:rFonts w:ascii="Arial" w:cs="Arial" w:eastAsia="Arial" w:hAnsi="Arial"/>
                <w:sz w:val="13"/>
                <w:szCs w:val="13"/>
                <w:b w:val="1"/>
                <w:bCs w:val="1"/>
                <w:color w:val="auto"/>
                <w:w w:val="88"/>
              </w:rPr>
              <w:t>issuances</w:t>
            </w:r>
          </w:p>
        </w:tc>
        <w:tc>
          <w:tcPr>
            <w:tcW w:w="120" w:type="dxa"/>
            <w:vAlign w:val="bottom"/>
          </w:tcPr>
          <w:p>
            <w:pPr>
              <w:spacing w:after="0"/>
              <w:rPr>
                <w:sz w:val="10"/>
                <w:szCs w:val="10"/>
                <w:color w:val="auto"/>
              </w:rPr>
            </w:pPr>
          </w:p>
        </w:tc>
        <w:tc>
          <w:tcPr>
            <w:tcW w:w="94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0"/>
              </w:rPr>
              <w:t>Transfers</w:t>
            </w:r>
          </w:p>
        </w:tc>
        <w:tc>
          <w:tcPr>
            <w:tcW w:w="120" w:type="dxa"/>
            <w:vAlign w:val="bottom"/>
          </w:tcPr>
          <w:p>
            <w:pPr>
              <w:spacing w:after="0"/>
              <w:rPr>
                <w:sz w:val="10"/>
                <w:szCs w:val="10"/>
                <w:color w:val="auto"/>
              </w:rPr>
            </w:pPr>
          </w:p>
        </w:tc>
        <w:tc>
          <w:tcPr>
            <w:tcW w:w="94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0"/>
              </w:rPr>
              <w:t>Transfers</w:t>
            </w:r>
          </w:p>
        </w:tc>
        <w:tc>
          <w:tcPr>
            <w:tcW w:w="120" w:type="dxa"/>
            <w:vAlign w:val="bottom"/>
          </w:tcPr>
          <w:p>
            <w:pPr>
              <w:spacing w:after="0"/>
              <w:rPr>
                <w:sz w:val="10"/>
                <w:szCs w:val="10"/>
                <w:color w:val="auto"/>
              </w:rPr>
            </w:pPr>
          </w:p>
        </w:tc>
        <w:tc>
          <w:tcPr>
            <w:tcW w:w="800" w:type="dxa"/>
            <w:vAlign w:val="bottom"/>
            <w:gridSpan w:val="2"/>
          </w:tcPr>
          <w:p>
            <w:pPr>
              <w:jc w:val="center"/>
              <w:ind w:right="140"/>
              <w:spacing w:after="0" w:line="119" w:lineRule="exact"/>
              <w:rPr>
                <w:sz w:val="20"/>
                <w:szCs w:val="20"/>
                <w:color w:val="auto"/>
              </w:rPr>
            </w:pPr>
            <w:r>
              <w:rPr>
                <w:rFonts w:ascii="Arial" w:cs="Arial" w:eastAsia="Arial" w:hAnsi="Arial"/>
                <w:sz w:val="13"/>
                <w:szCs w:val="13"/>
                <w:b w:val="1"/>
                <w:bCs w:val="1"/>
                <w:color w:val="auto"/>
                <w:w w:val="94"/>
              </w:rPr>
              <w:t>balance</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6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5"/>
              </w:rPr>
              <w:t>as of</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8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7"/>
              </w:rPr>
              <w:t>other</w:t>
            </w:r>
          </w:p>
        </w:tc>
        <w:tc>
          <w:tcPr>
            <w:tcW w:w="80" w:type="dxa"/>
            <w:vAlign w:val="bottom"/>
          </w:tcPr>
          <w:p>
            <w:pPr>
              <w:spacing w:after="0"/>
              <w:rPr>
                <w:sz w:val="12"/>
                <w:szCs w:val="12"/>
                <w:color w:val="auto"/>
              </w:rPr>
            </w:pPr>
          </w:p>
        </w:tc>
        <w:tc>
          <w:tcPr>
            <w:tcW w:w="9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6"/>
              </w:rPr>
              <w:t>and</w:t>
            </w:r>
          </w:p>
        </w:tc>
        <w:tc>
          <w:tcPr>
            <w:tcW w:w="120" w:type="dxa"/>
            <w:vAlign w:val="bottom"/>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5"/>
              </w:rPr>
              <w:t>as of</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6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6"/>
              </w:rPr>
              <w:t>April 1,</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8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9"/>
              </w:rPr>
              <w:t>net income</w:t>
            </w:r>
          </w:p>
        </w:tc>
        <w:tc>
          <w:tcPr>
            <w:tcW w:w="80" w:type="dxa"/>
            <w:vAlign w:val="bottom"/>
          </w:tcPr>
          <w:p>
            <w:pPr>
              <w:spacing w:after="0"/>
              <w:rPr>
                <w:sz w:val="12"/>
                <w:szCs w:val="12"/>
                <w:color w:val="auto"/>
              </w:rPr>
            </w:pPr>
          </w:p>
        </w:tc>
        <w:tc>
          <w:tcPr>
            <w:tcW w:w="1100" w:type="dxa"/>
            <w:vAlign w:val="bottom"/>
            <w:gridSpan w:val="3"/>
          </w:tcPr>
          <w:p>
            <w:pPr>
              <w:jc w:val="center"/>
              <w:ind w:right="180"/>
              <w:spacing w:after="0" w:line="149" w:lineRule="exact"/>
              <w:rPr>
                <w:sz w:val="20"/>
                <w:szCs w:val="20"/>
                <w:color w:val="auto"/>
              </w:rPr>
            </w:pPr>
            <w:r>
              <w:rPr>
                <w:rFonts w:ascii="Arial" w:cs="Arial" w:eastAsia="Arial" w:hAnsi="Arial"/>
                <w:sz w:val="14"/>
                <w:szCs w:val="14"/>
                <w:b w:val="1"/>
                <w:bCs w:val="1"/>
                <w:color w:val="auto"/>
                <w:w w:val="89"/>
              </w:rPr>
              <w:t>comprehensive</w:t>
            </w:r>
          </w:p>
        </w:tc>
        <w:tc>
          <w:tcPr>
            <w:tcW w:w="80" w:type="dxa"/>
            <w:vAlign w:val="bottom"/>
          </w:tcPr>
          <w:p>
            <w:pPr>
              <w:spacing w:after="0"/>
              <w:rPr>
                <w:sz w:val="12"/>
                <w:szCs w:val="12"/>
                <w:color w:val="auto"/>
              </w:rPr>
            </w:pPr>
          </w:p>
        </w:tc>
        <w:tc>
          <w:tcPr>
            <w:tcW w:w="9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7"/>
              </w:rPr>
              <w:t>settlements</w:t>
            </w:r>
          </w:p>
        </w:tc>
        <w:tc>
          <w:tcPr>
            <w:tcW w:w="120" w:type="dxa"/>
            <w:vAlign w:val="bottom"/>
          </w:tcPr>
          <w:p>
            <w:pPr>
              <w:spacing w:after="0"/>
              <w:rPr>
                <w:sz w:val="12"/>
                <w:szCs w:val="12"/>
                <w:color w:val="auto"/>
              </w:rPr>
            </w:pPr>
          </w:p>
        </w:tc>
        <w:tc>
          <w:tcPr>
            <w:tcW w:w="9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3"/>
              </w:rPr>
              <w:t>into</w:t>
            </w:r>
          </w:p>
        </w:tc>
        <w:tc>
          <w:tcPr>
            <w:tcW w:w="120" w:type="dxa"/>
            <w:vAlign w:val="bottom"/>
          </w:tcPr>
          <w:p>
            <w:pPr>
              <w:spacing w:after="0"/>
              <w:rPr>
                <w:sz w:val="12"/>
                <w:szCs w:val="12"/>
                <w:color w:val="auto"/>
              </w:rPr>
            </w:pPr>
          </w:p>
        </w:tc>
        <w:tc>
          <w:tcPr>
            <w:tcW w:w="94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2"/>
              </w:rPr>
              <w:t>out of</w:t>
            </w:r>
          </w:p>
        </w:tc>
        <w:tc>
          <w:tcPr>
            <w:tcW w:w="120" w:type="dxa"/>
            <w:vAlign w:val="bottom"/>
          </w:tcPr>
          <w:p>
            <w:pPr>
              <w:spacing w:after="0"/>
              <w:rPr>
                <w:sz w:val="12"/>
                <w:szCs w:val="12"/>
                <w:color w:val="auto"/>
              </w:rPr>
            </w:pPr>
          </w:p>
        </w:tc>
        <w:tc>
          <w:tcPr>
            <w:tcW w:w="80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9"/>
              </w:rPr>
              <w:t>June 30,</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80" w:type="dxa"/>
            <w:vAlign w:val="bottom"/>
          </w:tcPr>
          <w:p>
            <w:pPr>
              <w:jc w:val="center"/>
              <w:ind w:right="8"/>
              <w:spacing w:after="0"/>
              <w:rPr>
                <w:sz w:val="20"/>
                <w:szCs w:val="20"/>
                <w:color w:val="auto"/>
              </w:rPr>
            </w:pPr>
            <w:r>
              <w:rPr>
                <w:rFonts w:ascii="Arial" w:cs="Arial" w:eastAsia="Arial" w:hAnsi="Arial"/>
                <w:sz w:val="14"/>
                <w:szCs w:val="14"/>
                <w:b w:val="1"/>
                <w:bCs w:val="1"/>
                <w:color w:val="auto"/>
                <w:w w:val="96"/>
              </w:rPr>
              <w:t>2022</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tcPr>
          <w:p>
            <w:pPr>
              <w:jc w:val="center"/>
              <w:ind w:right="8"/>
              <w:spacing w:after="0"/>
              <w:rPr>
                <w:sz w:val="20"/>
                <w:szCs w:val="20"/>
                <w:color w:val="auto"/>
              </w:rPr>
            </w:pPr>
            <w:r>
              <w:rPr>
                <w:rFonts w:ascii="Arial" w:cs="Arial" w:eastAsia="Arial" w:hAnsi="Arial"/>
                <w:sz w:val="14"/>
                <w:szCs w:val="14"/>
                <w:b w:val="1"/>
                <w:bCs w:val="1"/>
                <w:color w:val="auto"/>
                <w:w w:val="93"/>
              </w:rPr>
              <w:t>(2)</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1"/>
              </w:rPr>
              <w:t>income (3)</w:t>
            </w:r>
          </w:p>
        </w:tc>
        <w:tc>
          <w:tcPr>
            <w:tcW w:w="80" w:type="dxa"/>
            <w:vAlign w:val="bottom"/>
          </w:tcPr>
          <w:p>
            <w:pPr>
              <w:spacing w:after="0"/>
              <w:rPr>
                <w:sz w:val="14"/>
                <w:szCs w:val="14"/>
                <w:color w:val="auto"/>
              </w:rPr>
            </w:pPr>
          </w:p>
        </w:tc>
        <w:tc>
          <w:tcPr>
            <w:tcW w:w="800" w:type="dxa"/>
            <w:vAlign w:val="bottom"/>
          </w:tcPr>
          <w:p>
            <w:pPr>
              <w:jc w:val="center"/>
              <w:ind w:right="8"/>
              <w:spacing w:after="0"/>
              <w:rPr>
                <w:sz w:val="20"/>
                <w:szCs w:val="20"/>
                <w:color w:val="auto"/>
              </w:rPr>
            </w:pPr>
            <w:r>
              <w:rPr>
                <w:rFonts w:ascii="Arial" w:cs="Arial" w:eastAsia="Arial" w:hAnsi="Arial"/>
                <w:sz w:val="14"/>
                <w:szCs w:val="14"/>
                <w:b w:val="1"/>
                <w:bCs w:val="1"/>
                <w:color w:val="auto"/>
                <w:w w:val="93"/>
              </w:rPr>
              <w:t>(4)</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2"/>
              </w:rPr>
              <w:t>Level 3</w:t>
            </w:r>
          </w:p>
        </w:tc>
        <w:tc>
          <w:tcPr>
            <w:tcW w:w="120" w:type="dxa"/>
            <w:vAlign w:val="bottom"/>
          </w:tcPr>
          <w:p>
            <w:pPr>
              <w:spacing w:after="0"/>
              <w:rPr>
                <w:sz w:val="14"/>
                <w:szCs w:val="14"/>
                <w:color w:val="auto"/>
              </w:rPr>
            </w:pPr>
          </w:p>
        </w:tc>
        <w:tc>
          <w:tcPr>
            <w:tcW w:w="94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2"/>
              </w:rPr>
              <w:t>Level 3</w:t>
            </w:r>
          </w:p>
        </w:tc>
        <w:tc>
          <w:tcPr>
            <w:tcW w:w="120" w:type="dxa"/>
            <w:vAlign w:val="bottom"/>
          </w:tcPr>
          <w:p>
            <w:pPr>
              <w:spacing w:after="0"/>
              <w:rPr>
                <w:sz w:val="14"/>
                <w:szCs w:val="14"/>
                <w:color w:val="auto"/>
              </w:rPr>
            </w:pPr>
          </w:p>
        </w:tc>
        <w:tc>
          <w:tcPr>
            <w:tcW w:w="780" w:type="dxa"/>
            <w:vAlign w:val="bottom"/>
          </w:tcPr>
          <w:p>
            <w:pPr>
              <w:jc w:val="center"/>
              <w:ind w:right="48"/>
              <w:spacing w:after="0"/>
              <w:rPr>
                <w:sz w:val="20"/>
                <w:szCs w:val="20"/>
                <w:color w:val="auto"/>
              </w:rPr>
            </w:pPr>
            <w:r>
              <w:rPr>
                <w:rFonts w:ascii="Arial" w:cs="Arial" w:eastAsia="Arial" w:hAnsi="Arial"/>
                <w:sz w:val="14"/>
                <w:szCs w:val="14"/>
                <w:b w:val="1"/>
                <w:bCs w:val="1"/>
                <w:color w:val="auto"/>
                <w:w w:val="96"/>
              </w:rPr>
              <w:t>2022</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264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780" w:type="dxa"/>
            <w:vAlign w:val="bottom"/>
            <w:tcBorders>
              <w:top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800" w:type="dxa"/>
            <w:vAlign w:val="bottom"/>
            <w:tcBorders>
              <w:top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84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800" w:type="dxa"/>
            <w:vAlign w:val="bottom"/>
            <w:tcBorders>
              <w:top w:val="single" w:sz="8" w:color="auto"/>
            </w:tcBorders>
          </w:tcPr>
          <w:p>
            <w:pPr>
              <w:jc w:val="center"/>
              <w:ind w:right="28"/>
              <w:spacing w:after="0" w:line="129" w:lineRule="exact"/>
              <w:rPr>
                <w:sz w:val="20"/>
                <w:szCs w:val="20"/>
                <w:color w:val="auto"/>
              </w:rPr>
            </w:pPr>
            <w:r>
              <w:rPr>
                <w:rFonts w:ascii="Arial" w:cs="Arial" w:eastAsia="Arial" w:hAnsi="Arial"/>
                <w:sz w:val="14"/>
                <w:szCs w:val="14"/>
                <w:i w:val="1"/>
                <w:iCs w:val="1"/>
                <w:color w:val="auto"/>
                <w:w w:val="98"/>
              </w:rPr>
              <w:t>(in millions)</w:t>
            </w:r>
          </w:p>
        </w:tc>
        <w:tc>
          <w:tcPr>
            <w:tcW w:w="16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78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78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78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4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Assets</w:t>
            </w:r>
          </w:p>
        </w:tc>
        <w:tc>
          <w:tcPr>
            <w:tcW w:w="10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640" w:type="dxa"/>
            <w:vAlign w:val="bottom"/>
          </w:tcPr>
          <w:p>
            <w:pPr>
              <w:spacing w:after="0" w:line="149" w:lineRule="exact"/>
              <w:rPr>
                <w:sz w:val="20"/>
                <w:szCs w:val="20"/>
                <w:color w:val="auto"/>
              </w:rPr>
            </w:pPr>
            <w:r>
              <w:rPr>
                <w:rFonts w:ascii="Arial" w:cs="Arial" w:eastAsia="Arial" w:hAnsi="Arial"/>
                <w:sz w:val="14"/>
                <w:szCs w:val="14"/>
                <w:color w:val="auto"/>
              </w:rPr>
              <w:t>Fixed maturities, available-for-sale:</w:t>
            </w:r>
          </w:p>
        </w:tc>
        <w:tc>
          <w:tcPr>
            <w:tcW w:w="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64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States and political subdivisions</w:t>
            </w:r>
          </w:p>
        </w:tc>
        <w:tc>
          <w:tcPr>
            <w:tcW w:w="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w w:val="76"/>
              </w:rPr>
              <w:t>$</w:t>
            </w: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94.5</w:t>
            </w:r>
          </w:p>
        </w:tc>
        <w:tc>
          <w:tcPr>
            <w:tcW w:w="80" w:type="dxa"/>
            <w:vAlign w:val="bottom"/>
            <w:shd w:val="clear" w:color="auto" w:fill="CCEEFF"/>
          </w:tcPr>
          <w:p>
            <w:pPr>
              <w:spacing w:after="0"/>
              <w:rPr>
                <w:sz w:val="12"/>
                <w:szCs w:val="12"/>
                <w:color w:val="auto"/>
              </w:rPr>
            </w:pPr>
          </w:p>
        </w:tc>
        <w:tc>
          <w:tcPr>
            <w:tcW w:w="18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88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b w:val="1"/>
                <w:bCs w:val="1"/>
                <w:color w:val="auto"/>
              </w:rPr>
              <w:t>—</w:t>
            </w:r>
          </w:p>
        </w:tc>
        <w:tc>
          <w:tcPr>
            <w:tcW w:w="1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0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b w:val="1"/>
                <w:bCs w:val="1"/>
                <w:color w:val="auto"/>
              </w:rPr>
              <w:t>(19.4)</w:t>
            </w: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b w:val="1"/>
                <w:bCs w:val="1"/>
                <w:color w:val="auto"/>
                <w:w w:val="71"/>
              </w:rPr>
              <w:t>$</w:t>
            </w:r>
          </w:p>
        </w:tc>
        <w:tc>
          <w:tcPr>
            <w:tcW w:w="96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b w:val="1"/>
                <w:bCs w:val="1"/>
                <w:color w:val="auto"/>
              </w:rPr>
              <w:t>(0.4)</w:t>
            </w:r>
          </w:p>
        </w:tc>
        <w:tc>
          <w:tcPr>
            <w:tcW w:w="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w w:val="76"/>
              </w:rPr>
              <w:t>$</w:t>
            </w: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12.0</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w w:val="76"/>
              </w:rPr>
              <w:t>$</w:t>
            </w:r>
          </w:p>
        </w:tc>
        <w:tc>
          <w:tcPr>
            <w:tcW w:w="94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shd w:val="clear" w:color="auto" w:fill="CCEEFF"/>
          </w:tcPr>
          <w:p>
            <w:pPr>
              <w:jc w:val="right"/>
              <w:ind w:right="9"/>
              <w:spacing w:after="0"/>
              <w:rPr>
                <w:sz w:val="20"/>
                <w:szCs w:val="20"/>
                <w:color w:val="auto"/>
              </w:rPr>
            </w:pPr>
            <w:r>
              <w:rPr>
                <w:rFonts w:ascii="Arial" w:cs="Arial" w:eastAsia="Arial" w:hAnsi="Arial"/>
                <w:sz w:val="10"/>
                <w:szCs w:val="10"/>
                <w:b w:val="1"/>
                <w:bCs w:val="1"/>
                <w:color w:val="auto"/>
                <w:w w:val="71"/>
              </w:rPr>
              <w:t>$</w:t>
            </w: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86.7</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640" w:type="dxa"/>
            <w:vAlign w:val="bottom"/>
          </w:tcPr>
          <w:p>
            <w:pPr>
              <w:ind w:left="100"/>
              <w:spacing w:after="0" w:line="149" w:lineRule="exact"/>
              <w:rPr>
                <w:sz w:val="20"/>
                <w:szCs w:val="20"/>
                <w:color w:val="auto"/>
              </w:rPr>
            </w:pPr>
            <w:r>
              <w:rPr>
                <w:rFonts w:ascii="Arial" w:cs="Arial" w:eastAsia="Arial" w:hAnsi="Arial"/>
                <w:sz w:val="14"/>
                <w:szCs w:val="14"/>
                <w:color w:val="auto"/>
              </w:rPr>
              <w:t>Corporate</w:t>
            </w:r>
          </w:p>
        </w:tc>
        <w:tc>
          <w:tcPr>
            <w:tcW w:w="10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1,140.8</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80" w:type="dxa"/>
            <w:vAlign w:val="bottom"/>
            <w:gridSpan w:val="2"/>
          </w:tcPr>
          <w:p>
            <w:pPr>
              <w:jc w:val="right"/>
              <w:ind w:right="80"/>
              <w:spacing w:after="0" w:line="149" w:lineRule="exact"/>
              <w:rPr>
                <w:sz w:val="20"/>
                <w:szCs w:val="20"/>
                <w:color w:val="auto"/>
              </w:rPr>
            </w:pPr>
            <w:r>
              <w:rPr>
                <w:rFonts w:ascii="Arial" w:cs="Arial" w:eastAsia="Arial" w:hAnsi="Arial"/>
                <w:sz w:val="14"/>
                <w:szCs w:val="14"/>
                <w:b w:val="1"/>
                <w:bCs w:val="1"/>
                <w:color w:val="auto"/>
              </w:rPr>
              <w:t>(0.4)</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gridSpan w:val="2"/>
          </w:tcPr>
          <w:p>
            <w:pPr>
              <w:jc w:val="right"/>
              <w:ind w:right="160"/>
              <w:spacing w:after="0" w:line="149" w:lineRule="exact"/>
              <w:rPr>
                <w:sz w:val="20"/>
                <w:szCs w:val="20"/>
                <w:color w:val="auto"/>
              </w:rPr>
            </w:pPr>
            <w:r>
              <w:rPr>
                <w:rFonts w:ascii="Arial" w:cs="Arial" w:eastAsia="Arial" w:hAnsi="Arial"/>
                <w:sz w:val="14"/>
                <w:szCs w:val="14"/>
                <w:b w:val="1"/>
                <w:bCs w:val="1"/>
                <w:color w:val="auto"/>
              </w:rPr>
              <w:t>(21.9)</w:t>
            </w:r>
          </w:p>
        </w:tc>
        <w:tc>
          <w:tcPr>
            <w:tcW w:w="8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129.1</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1.1</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gridSpan w:val="2"/>
          </w:tcPr>
          <w:p>
            <w:pPr>
              <w:jc w:val="right"/>
              <w:ind w:right="22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1,248.7</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64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Commercial mortgage-backed securities</w:t>
            </w:r>
          </w:p>
        </w:tc>
        <w:tc>
          <w:tcPr>
            <w:tcW w:w="10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18.1</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0.2</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b w:val="1"/>
                <w:bCs w:val="1"/>
                <w:color w:val="auto"/>
              </w:rPr>
              <w:t>(4.3)</w:t>
            </w:r>
          </w:p>
        </w:tc>
        <w:tc>
          <w:tcPr>
            <w:tcW w:w="12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b w:val="1"/>
                <w:bCs w:val="1"/>
                <w:color w:val="auto"/>
              </w:rPr>
              <w:t>(10.2)</w:t>
            </w:r>
          </w:p>
        </w:tc>
        <w:tc>
          <w:tcPr>
            <w:tcW w:w="12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3.8</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40" w:type="dxa"/>
            <w:vAlign w:val="bottom"/>
          </w:tcPr>
          <w:p>
            <w:pPr>
              <w:ind w:left="100"/>
              <w:spacing w:after="0" w:line="149" w:lineRule="exact"/>
              <w:rPr>
                <w:sz w:val="20"/>
                <w:szCs w:val="20"/>
                <w:color w:val="auto"/>
              </w:rPr>
            </w:pPr>
            <w:r>
              <w:rPr>
                <w:rFonts w:ascii="Arial" w:cs="Arial" w:eastAsia="Arial" w:hAnsi="Arial"/>
                <w:sz w:val="14"/>
                <w:szCs w:val="14"/>
                <w:color w:val="auto"/>
              </w:rPr>
              <w:t>Collateralized debt obligations</w:t>
            </w:r>
          </w:p>
        </w:tc>
        <w:tc>
          <w:tcPr>
            <w:tcW w:w="10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57.0</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80" w:type="dxa"/>
            <w:vAlign w:val="bottom"/>
            <w:gridSpan w:val="2"/>
          </w:tcPr>
          <w:p>
            <w:pPr>
              <w:jc w:val="right"/>
              <w:ind w:right="14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gridSpan w:val="2"/>
          </w:tcPr>
          <w:p>
            <w:pPr>
              <w:jc w:val="right"/>
              <w:ind w:right="160"/>
              <w:spacing w:after="0" w:line="149" w:lineRule="exact"/>
              <w:rPr>
                <w:sz w:val="20"/>
                <w:szCs w:val="20"/>
                <w:color w:val="auto"/>
              </w:rPr>
            </w:pPr>
            <w:r>
              <w:rPr>
                <w:rFonts w:ascii="Arial" w:cs="Arial" w:eastAsia="Arial" w:hAnsi="Arial"/>
                <w:sz w:val="14"/>
                <w:szCs w:val="14"/>
                <w:b w:val="1"/>
                <w:bCs w:val="1"/>
                <w:color w:val="auto"/>
              </w:rPr>
              <w:t>(0.4)</w:t>
            </w:r>
          </w:p>
        </w:tc>
        <w:tc>
          <w:tcPr>
            <w:tcW w:w="80" w:type="dxa"/>
            <w:vAlign w:val="bottom"/>
          </w:tcPr>
          <w:p>
            <w:pPr>
              <w:spacing w:after="0"/>
              <w:rPr>
                <w:sz w:val="12"/>
                <w:szCs w:val="12"/>
                <w:color w:val="auto"/>
              </w:rPr>
            </w:pPr>
          </w:p>
        </w:tc>
        <w:tc>
          <w:tcPr>
            <w:tcW w:w="960" w:type="dxa"/>
            <w:vAlign w:val="bottom"/>
            <w:gridSpan w:val="2"/>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940" w:type="dxa"/>
            <w:vAlign w:val="bottom"/>
            <w:gridSpan w:val="2"/>
          </w:tcPr>
          <w:p>
            <w:pPr>
              <w:jc w:val="right"/>
              <w:ind w:right="22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b w:val="1"/>
                <w:bCs w:val="1"/>
                <w:color w:val="auto"/>
              </w:rPr>
              <w:t>(55.3)</w:t>
            </w:r>
          </w:p>
        </w:tc>
        <w:tc>
          <w:tcPr>
            <w:tcW w:w="12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1.3</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64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Other debt obligations</w:t>
            </w:r>
          </w:p>
        </w:tc>
        <w:tc>
          <w:tcPr>
            <w:tcW w:w="10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21.2</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b w:val="1"/>
                <w:bCs w:val="1"/>
                <w:color w:val="auto"/>
              </w:rPr>
              <w:t>(0.4)</w:t>
            </w:r>
          </w:p>
        </w:tc>
        <w:tc>
          <w:tcPr>
            <w:tcW w:w="12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20.8</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640" w:type="dxa"/>
            <w:vAlign w:val="bottom"/>
          </w:tcPr>
          <w:p>
            <w:pPr>
              <w:spacing w:after="0" w:line="142" w:lineRule="exact"/>
              <w:rPr>
                <w:sz w:val="20"/>
                <w:szCs w:val="20"/>
                <w:color w:val="auto"/>
              </w:rPr>
            </w:pPr>
            <w:r>
              <w:rPr>
                <w:rFonts w:ascii="Arial" w:cs="Arial" w:eastAsia="Arial" w:hAnsi="Arial"/>
                <w:sz w:val="14"/>
                <w:szCs w:val="14"/>
                <w:color w:val="auto"/>
              </w:rPr>
              <w:t>Total fixed maturities, available-for-sale</w:t>
            </w:r>
          </w:p>
        </w:tc>
        <w:tc>
          <w:tcPr>
            <w:tcW w:w="10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1,331.6</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8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(0.4)</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84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(41.5)</w:t>
            </w: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124.0</w:t>
            </w:r>
          </w:p>
        </w:tc>
        <w:tc>
          <w:tcPr>
            <w:tcW w:w="16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13.1</w:t>
            </w:r>
          </w:p>
        </w:tc>
        <w:tc>
          <w:tcPr>
            <w:tcW w:w="16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(65.5)</w:t>
            </w:r>
          </w:p>
        </w:tc>
        <w:tc>
          <w:tcPr>
            <w:tcW w:w="16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1,361.3</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6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Fixed maturities, trading</w:t>
            </w:r>
          </w:p>
        </w:tc>
        <w:tc>
          <w:tcPr>
            <w:tcW w:w="10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62.4</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b w:val="1"/>
                <w:bCs w:val="1"/>
                <w:color w:val="auto"/>
              </w:rPr>
              <w:t>(0.5)</w:t>
            </w: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23.8</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85.7</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640" w:type="dxa"/>
            <w:vAlign w:val="bottom"/>
          </w:tcPr>
          <w:p>
            <w:pPr>
              <w:spacing w:after="0" w:line="149" w:lineRule="exact"/>
              <w:rPr>
                <w:sz w:val="20"/>
                <w:szCs w:val="20"/>
                <w:color w:val="auto"/>
              </w:rPr>
            </w:pPr>
            <w:r>
              <w:rPr>
                <w:rFonts w:ascii="Arial" w:cs="Arial" w:eastAsia="Arial" w:hAnsi="Arial"/>
                <w:sz w:val="14"/>
                <w:szCs w:val="14"/>
                <w:color w:val="auto"/>
              </w:rPr>
              <w:t>Other investments</w:t>
            </w:r>
          </w:p>
        </w:tc>
        <w:tc>
          <w:tcPr>
            <w:tcW w:w="10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1.4</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80" w:type="dxa"/>
            <w:vAlign w:val="bottom"/>
            <w:gridSpan w:val="2"/>
          </w:tcPr>
          <w:p>
            <w:pPr>
              <w:jc w:val="right"/>
              <w:ind w:right="14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gridSpan w:val="2"/>
          </w:tcPr>
          <w:p>
            <w:pPr>
              <w:jc w:val="right"/>
              <w:ind w:right="22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960" w:type="dxa"/>
            <w:vAlign w:val="bottom"/>
            <w:gridSpan w:val="2"/>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940" w:type="dxa"/>
            <w:vAlign w:val="bottom"/>
            <w:gridSpan w:val="2"/>
          </w:tcPr>
          <w:p>
            <w:pPr>
              <w:jc w:val="right"/>
              <w:ind w:right="22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940" w:type="dxa"/>
            <w:vAlign w:val="bottom"/>
            <w:gridSpan w:val="2"/>
          </w:tcPr>
          <w:p>
            <w:pPr>
              <w:jc w:val="right"/>
              <w:ind w:right="22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1.4</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Separate account assets (1)</w:t>
            </w:r>
          </w:p>
        </w:tc>
        <w:tc>
          <w:tcPr>
            <w:tcW w:w="10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1,015.4</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44.3</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b w:val="1"/>
                <w:bCs w:val="1"/>
                <w:color w:val="auto"/>
              </w:rPr>
              <w:t>(1.1)</w:t>
            </w:r>
          </w:p>
        </w:tc>
        <w:tc>
          <w:tcPr>
            <w:tcW w:w="12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1,058.6</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vMerge w:val="restart"/>
          </w:tcPr>
          <w:p>
            <w:pPr>
              <w:spacing w:after="0"/>
              <w:rPr>
                <w:sz w:val="12"/>
                <w:szCs w:val="12"/>
                <w:color w:val="auto"/>
              </w:rPr>
            </w:pPr>
          </w:p>
        </w:tc>
        <w:tc>
          <w:tcPr>
            <w:tcW w:w="26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vMerge w:val="continue"/>
          </w:tcPr>
          <w:p>
            <w:pPr>
              <w:spacing w:after="0"/>
              <w:rPr>
                <w:sz w:val="12"/>
                <w:szCs w:val="12"/>
                <w:color w:val="auto"/>
              </w:rPr>
            </w:pPr>
          </w:p>
        </w:tc>
        <w:tc>
          <w:tcPr>
            <w:tcW w:w="264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Liabilities</w:t>
            </w:r>
          </w:p>
        </w:tc>
        <w:tc>
          <w:tcPr>
            <w:tcW w:w="10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640" w:type="dxa"/>
            <w:vAlign w:val="bottom"/>
          </w:tcPr>
          <w:p>
            <w:pPr>
              <w:spacing w:after="0" w:line="149" w:lineRule="exact"/>
              <w:rPr>
                <w:sz w:val="20"/>
                <w:szCs w:val="20"/>
                <w:color w:val="auto"/>
              </w:rPr>
            </w:pPr>
            <w:r>
              <w:rPr>
                <w:rFonts w:ascii="Arial" w:cs="Arial" w:eastAsia="Arial" w:hAnsi="Arial"/>
                <w:sz w:val="14"/>
                <w:szCs w:val="14"/>
                <w:color w:val="auto"/>
              </w:rPr>
              <w:t>Investment and universal life contracts</w:t>
            </w:r>
          </w:p>
        </w:tc>
        <w:tc>
          <w:tcPr>
            <w:tcW w:w="100" w:type="dxa"/>
            <w:vAlign w:val="bottom"/>
          </w:tcPr>
          <w:p>
            <w:pPr>
              <w:spacing w:after="0"/>
              <w:rPr>
                <w:sz w:val="12"/>
                <w:szCs w:val="12"/>
                <w:color w:val="auto"/>
              </w:rPr>
            </w:pPr>
          </w:p>
        </w:tc>
        <w:tc>
          <w:tcPr>
            <w:tcW w:w="860" w:type="dxa"/>
            <w:vAlign w:val="bottom"/>
            <w:gridSpan w:val="2"/>
          </w:tcPr>
          <w:p>
            <w:pPr>
              <w:jc w:val="right"/>
              <w:ind w:right="80"/>
              <w:spacing w:after="0" w:line="149" w:lineRule="exact"/>
              <w:rPr>
                <w:sz w:val="20"/>
                <w:szCs w:val="20"/>
                <w:color w:val="auto"/>
              </w:rPr>
            </w:pPr>
            <w:r>
              <w:rPr>
                <w:rFonts w:ascii="Arial" w:cs="Arial" w:eastAsia="Arial" w:hAnsi="Arial"/>
                <w:sz w:val="14"/>
                <w:szCs w:val="14"/>
                <w:b w:val="1"/>
                <w:bCs w:val="1"/>
                <w:color w:val="auto"/>
              </w:rPr>
              <w:t>(153.8)</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73.9</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gridSpan w:val="2"/>
          </w:tcPr>
          <w:p>
            <w:pPr>
              <w:jc w:val="right"/>
              <w:ind w:right="22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4.4</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gridSpan w:val="2"/>
          </w:tcPr>
          <w:p>
            <w:pPr>
              <w:jc w:val="right"/>
              <w:ind w:right="22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940" w:type="dxa"/>
            <w:vAlign w:val="bottom"/>
            <w:gridSpan w:val="2"/>
          </w:tcPr>
          <w:p>
            <w:pPr>
              <w:jc w:val="right"/>
              <w:ind w:right="22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(75.5)</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2640" w:type="dxa"/>
            <w:vAlign w:val="bottom"/>
            <w:shd w:val="clear" w:color="auto" w:fill="CCEEFF"/>
          </w:tcPr>
          <w:p>
            <w:pPr>
              <w:spacing w:after="0" w:line="130" w:lineRule="exact"/>
              <w:rPr>
                <w:sz w:val="20"/>
                <w:szCs w:val="20"/>
                <w:color w:val="auto"/>
              </w:rPr>
            </w:pPr>
            <w:r>
              <w:rPr>
                <w:rFonts w:ascii="Arial" w:cs="Arial" w:eastAsia="Arial" w:hAnsi="Arial"/>
                <w:sz w:val="14"/>
                <w:szCs w:val="14"/>
                <w:color w:val="auto"/>
              </w:rPr>
              <w:t>Funds withheld payable embedded</w:t>
            </w:r>
          </w:p>
        </w:tc>
        <w:tc>
          <w:tcPr>
            <w:tcW w:w="100" w:type="dxa"/>
            <w:vAlign w:val="bottom"/>
            <w:shd w:val="clear" w:color="auto" w:fill="CCEEFF"/>
          </w:tcPr>
          <w:p>
            <w:pPr>
              <w:spacing w:after="0"/>
              <w:rPr>
                <w:sz w:val="11"/>
                <w:szCs w:val="11"/>
                <w:color w:val="auto"/>
              </w:rPr>
            </w:pPr>
          </w:p>
        </w:tc>
        <w:tc>
          <w:tcPr>
            <w:tcW w:w="860" w:type="dxa"/>
            <w:vAlign w:val="bottom"/>
            <w:gridSpan w:val="2"/>
            <w:vMerge w:val="restart"/>
            <w:shd w:val="clear" w:color="auto" w:fill="CCEEFF"/>
          </w:tcPr>
          <w:p>
            <w:pPr>
              <w:jc w:val="right"/>
              <w:ind w:right="120"/>
              <w:spacing w:after="0"/>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0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3,067.3</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0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1"/>
                <w:szCs w:val="11"/>
                <w:color w:val="auto"/>
              </w:rPr>
            </w:pPr>
          </w:p>
        </w:tc>
        <w:tc>
          <w:tcPr>
            <w:tcW w:w="960" w:type="dxa"/>
            <w:vAlign w:val="bottom"/>
            <w:gridSpan w:val="2"/>
            <w:vMerge w:val="restart"/>
            <w:shd w:val="clear" w:color="auto" w:fill="CCEEFF"/>
          </w:tcPr>
          <w:p>
            <w:pPr>
              <w:jc w:val="right"/>
              <w:ind w:right="200"/>
              <w:spacing w:after="0"/>
              <w:rPr>
                <w:sz w:val="20"/>
                <w:szCs w:val="20"/>
                <w:color w:val="auto"/>
              </w:rPr>
            </w:pPr>
            <w:r>
              <w:rPr>
                <w:rFonts w:ascii="Arial" w:cs="Arial" w:eastAsia="Arial" w:hAnsi="Arial"/>
                <w:sz w:val="14"/>
                <w:szCs w:val="14"/>
                <w:b w:val="1"/>
                <w:bCs w:val="1"/>
                <w:color w:val="auto"/>
              </w:rPr>
              <w:t>—</w:t>
            </w:r>
          </w:p>
        </w:tc>
        <w:tc>
          <w:tcPr>
            <w:tcW w:w="120" w:type="dxa"/>
            <w:vAlign w:val="bottom"/>
            <w:shd w:val="clear" w:color="auto" w:fill="CCEEFF"/>
          </w:tcPr>
          <w:p>
            <w:pPr>
              <w:spacing w:after="0"/>
              <w:rPr>
                <w:sz w:val="11"/>
                <w:szCs w:val="11"/>
                <w:color w:val="auto"/>
              </w:rPr>
            </w:pPr>
          </w:p>
        </w:tc>
        <w:tc>
          <w:tcPr>
            <w:tcW w:w="94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4"/>
                <w:szCs w:val="14"/>
                <w:b w:val="1"/>
                <w:bCs w:val="1"/>
                <w:color w:val="auto"/>
              </w:rPr>
              <w:t>—</w:t>
            </w:r>
          </w:p>
        </w:tc>
        <w:tc>
          <w:tcPr>
            <w:tcW w:w="120" w:type="dxa"/>
            <w:vAlign w:val="bottom"/>
            <w:shd w:val="clear" w:color="auto" w:fill="CCEEFF"/>
          </w:tcPr>
          <w:p>
            <w:pPr>
              <w:spacing w:after="0"/>
              <w:rPr>
                <w:sz w:val="11"/>
                <w:szCs w:val="11"/>
                <w:color w:val="auto"/>
              </w:rPr>
            </w:pPr>
          </w:p>
        </w:tc>
        <w:tc>
          <w:tcPr>
            <w:tcW w:w="94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4"/>
                <w:szCs w:val="14"/>
                <w:b w:val="1"/>
                <w:bCs w:val="1"/>
                <w:color w:val="auto"/>
              </w:rPr>
              <w:t>—</w:t>
            </w:r>
          </w:p>
        </w:tc>
        <w:tc>
          <w:tcPr>
            <w:tcW w:w="120" w:type="dxa"/>
            <w:vAlign w:val="bottom"/>
            <w:shd w:val="clear" w:color="auto" w:fill="CCEEFF"/>
          </w:tcPr>
          <w:p>
            <w:pPr>
              <w:spacing w:after="0"/>
              <w:rPr>
                <w:sz w:val="11"/>
                <w:szCs w:val="11"/>
                <w:color w:val="auto"/>
              </w:rPr>
            </w:pPr>
          </w:p>
        </w:tc>
        <w:tc>
          <w:tcPr>
            <w:tcW w:w="78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3,067.3</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40" w:type="dxa"/>
            <w:vAlign w:val="bottom"/>
            <w:shd w:val="clear" w:color="auto" w:fill="CCEEFF"/>
          </w:tcPr>
          <w:p>
            <w:pPr>
              <w:ind w:left="120"/>
              <w:spacing w:after="0"/>
              <w:rPr>
                <w:sz w:val="20"/>
                <w:szCs w:val="20"/>
                <w:color w:val="auto"/>
              </w:rPr>
            </w:pPr>
            <w:r>
              <w:rPr>
                <w:rFonts w:ascii="Arial" w:cs="Arial" w:eastAsia="Arial" w:hAnsi="Arial"/>
                <w:sz w:val="14"/>
                <w:szCs w:val="14"/>
                <w:color w:val="auto"/>
              </w:rPr>
              <w:t>derivative</w:t>
            </w:r>
          </w:p>
        </w:tc>
        <w:tc>
          <w:tcPr>
            <w:tcW w:w="100" w:type="dxa"/>
            <w:vAlign w:val="bottom"/>
            <w:shd w:val="clear" w:color="auto" w:fill="CCEEFF"/>
          </w:tcPr>
          <w:p>
            <w:pPr>
              <w:spacing w:after="0"/>
              <w:rPr>
                <w:sz w:val="14"/>
                <w:szCs w:val="14"/>
                <w:color w:val="auto"/>
              </w:rPr>
            </w:pPr>
          </w:p>
        </w:tc>
        <w:tc>
          <w:tcPr>
            <w:tcW w:w="860" w:type="dxa"/>
            <w:vAlign w:val="bottom"/>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00" w:type="dxa"/>
            <w:vAlign w:val="bottom"/>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0" w:type="dxa"/>
            <w:vAlign w:val="bottom"/>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960" w:type="dxa"/>
            <w:vAlign w:val="bottom"/>
            <w:gridSpan w:val="2"/>
            <w:vMerge w:val="continue"/>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40" w:type="dxa"/>
            <w:vAlign w:val="bottom"/>
            <w:gridSpan w:val="2"/>
            <w:vMerge w:val="continue"/>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40" w:type="dxa"/>
            <w:vAlign w:val="bottom"/>
            <w:gridSpan w:val="2"/>
            <w:vMerge w:val="continue"/>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80" w:type="dxa"/>
            <w:vAlign w:val="bottom"/>
            <w:vMerge w:val="continue"/>
            <w:shd w:val="clear" w:color="auto" w:fill="CCEEFF"/>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26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vMerge w:val="continue"/>
          </w:tcPr>
          <w:p>
            <w:pPr>
              <w:spacing w:after="0"/>
              <w:rPr>
                <w:sz w:val="12"/>
                <w:szCs w:val="12"/>
                <w:color w:val="auto"/>
              </w:rPr>
            </w:pPr>
          </w:p>
        </w:tc>
        <w:tc>
          <w:tcPr>
            <w:tcW w:w="264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Derivatives</w:t>
            </w:r>
          </w:p>
        </w:tc>
        <w:tc>
          <w:tcPr>
            <w:tcW w:w="10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2640" w:type="dxa"/>
            <w:vAlign w:val="bottom"/>
          </w:tcPr>
          <w:p>
            <w:pPr>
              <w:spacing w:after="0"/>
              <w:rPr>
                <w:sz w:val="20"/>
                <w:szCs w:val="20"/>
                <w:color w:val="auto"/>
              </w:rPr>
            </w:pPr>
            <w:r>
              <w:rPr>
                <w:rFonts w:ascii="Arial" w:cs="Arial" w:eastAsia="Arial" w:hAnsi="Arial"/>
                <w:sz w:val="14"/>
                <w:szCs w:val="14"/>
                <w:color w:val="auto"/>
              </w:rPr>
              <w:t>Net derivative assets (liabilities)</w:t>
            </w:r>
          </w:p>
        </w:tc>
        <w:tc>
          <w:tcPr>
            <w:tcW w:w="100" w:type="dxa"/>
            <w:vAlign w:val="bottom"/>
          </w:tcPr>
          <w:p>
            <w:pPr>
              <w:spacing w:after="0"/>
              <w:rPr>
                <w:sz w:val="16"/>
                <w:szCs w:val="16"/>
                <w:color w:val="auto"/>
              </w:rPr>
            </w:pPr>
          </w:p>
        </w:tc>
        <w:tc>
          <w:tcPr>
            <w:tcW w:w="860" w:type="dxa"/>
            <w:vAlign w:val="bottom"/>
            <w:gridSpan w:val="2"/>
          </w:tcPr>
          <w:p>
            <w:pPr>
              <w:jc w:val="right"/>
              <w:ind w:right="80"/>
              <w:spacing w:after="0"/>
              <w:rPr>
                <w:sz w:val="20"/>
                <w:szCs w:val="20"/>
                <w:color w:val="auto"/>
              </w:rPr>
            </w:pPr>
            <w:r>
              <w:rPr>
                <w:rFonts w:ascii="Arial" w:cs="Arial" w:eastAsia="Arial" w:hAnsi="Arial"/>
                <w:sz w:val="14"/>
                <w:szCs w:val="14"/>
                <w:b w:val="1"/>
                <w:bCs w:val="1"/>
                <w:color w:val="auto"/>
              </w:rPr>
              <w:t>(0.7)</w:t>
            </w: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80" w:type="dxa"/>
            <w:vAlign w:val="bottom"/>
            <w:gridSpan w:val="2"/>
          </w:tcPr>
          <w:p>
            <w:pPr>
              <w:jc w:val="right"/>
              <w:ind w:right="80"/>
              <w:spacing w:after="0"/>
              <w:rPr>
                <w:sz w:val="20"/>
                <w:szCs w:val="20"/>
                <w:color w:val="auto"/>
              </w:rPr>
            </w:pPr>
            <w:r>
              <w:rPr>
                <w:rFonts w:ascii="Arial" w:cs="Arial" w:eastAsia="Arial" w:hAnsi="Arial"/>
                <w:sz w:val="14"/>
                <w:szCs w:val="14"/>
                <w:b w:val="1"/>
                <w:bCs w:val="1"/>
                <w:color w:val="auto"/>
              </w:rPr>
              <w:t>(0.6)</w:t>
            </w: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4"/>
                <w:szCs w:val="14"/>
                <w:b w:val="1"/>
                <w:bCs w:val="1"/>
                <w:color w:val="auto"/>
              </w:rPr>
              <w:t>(0.3)</w:t>
            </w:r>
          </w:p>
        </w:tc>
        <w:tc>
          <w:tcPr>
            <w:tcW w:w="8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b w:val="1"/>
                <w:bCs w:val="1"/>
                <w:color w:val="auto"/>
              </w:rPr>
              <w:t>1.7</w:t>
            </w:r>
          </w:p>
        </w:tc>
        <w:tc>
          <w:tcPr>
            <w:tcW w:w="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40" w:type="dxa"/>
            <w:vAlign w:val="bottom"/>
            <w:gridSpan w:val="2"/>
          </w:tcPr>
          <w:p>
            <w:pPr>
              <w:jc w:val="right"/>
              <w:ind w:right="220"/>
              <w:spacing w:after="0"/>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6"/>
                <w:szCs w:val="16"/>
                <w:color w:val="auto"/>
              </w:rPr>
            </w:pPr>
          </w:p>
        </w:tc>
        <w:tc>
          <w:tcPr>
            <w:tcW w:w="940" w:type="dxa"/>
            <w:vAlign w:val="bottom"/>
            <w:gridSpan w:val="2"/>
          </w:tcPr>
          <w:p>
            <w:pPr>
              <w:jc w:val="right"/>
              <w:ind w:right="160"/>
              <w:spacing w:after="0"/>
              <w:rPr>
                <w:sz w:val="20"/>
                <w:szCs w:val="20"/>
                <w:color w:val="auto"/>
              </w:rPr>
            </w:pPr>
            <w:r>
              <w:rPr>
                <w:rFonts w:ascii="Arial" w:cs="Arial" w:eastAsia="Arial" w:hAnsi="Arial"/>
                <w:sz w:val="14"/>
                <w:szCs w:val="14"/>
                <w:b w:val="1"/>
                <w:bCs w:val="1"/>
                <w:color w:val="auto"/>
              </w:rPr>
              <w:t>(0.3)</w:t>
            </w:r>
          </w:p>
        </w:tc>
        <w:tc>
          <w:tcPr>
            <w:tcW w:w="1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b w:val="1"/>
                <w:bCs w:val="1"/>
                <w:color w:val="auto"/>
              </w:rPr>
              <w:t>(0.2)</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40"/>
        </w:trPr>
        <w:tc>
          <w:tcPr>
            <w:tcW w:w="20" w:type="dxa"/>
            <w:vAlign w:val="bottom"/>
          </w:tcPr>
          <w:p>
            <w:pPr>
              <w:spacing w:after="0"/>
              <w:rPr>
                <w:sz w:val="24"/>
                <w:szCs w:val="24"/>
                <w:color w:val="auto"/>
              </w:rPr>
            </w:pPr>
          </w:p>
        </w:tc>
        <w:tc>
          <w:tcPr>
            <w:tcW w:w="264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100" w:type="dxa"/>
            <w:vAlign w:val="bottom"/>
            <w:tcBorders>
              <w:bottom w:val="single" w:sz="8" w:color="auto"/>
            </w:tcBorders>
            <w:gridSpan w:val="8"/>
          </w:tcPr>
          <w:p>
            <w:pPr>
              <w:jc w:val="center"/>
              <w:ind w:right="240"/>
              <w:spacing w:after="0"/>
              <w:rPr>
                <w:sz w:val="20"/>
                <w:szCs w:val="20"/>
                <w:color w:val="auto"/>
              </w:rPr>
            </w:pPr>
            <w:r>
              <w:rPr>
                <w:rFonts w:ascii="Arial" w:cs="Arial" w:eastAsia="Arial" w:hAnsi="Arial"/>
                <w:sz w:val="14"/>
                <w:szCs w:val="14"/>
                <w:b w:val="1"/>
                <w:bCs w:val="1"/>
                <w:color w:val="auto"/>
                <w:w w:val="92"/>
              </w:rPr>
              <w:t>For the three months ended June 30, 2021</w:t>
            </w:r>
          </w:p>
        </w:tc>
        <w:tc>
          <w:tcPr>
            <w:tcW w:w="12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26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60" w:type="dxa"/>
            <w:vAlign w:val="bottom"/>
            <w:gridSpan w:val="2"/>
          </w:tcPr>
          <w:p>
            <w:pPr>
              <w:jc w:val="center"/>
              <w:ind w:right="160"/>
              <w:spacing w:after="0" w:line="133" w:lineRule="exact"/>
              <w:rPr>
                <w:sz w:val="20"/>
                <w:szCs w:val="20"/>
                <w:color w:val="auto"/>
              </w:rPr>
            </w:pPr>
            <w:r>
              <w:rPr>
                <w:rFonts w:ascii="Arial" w:cs="Arial" w:eastAsia="Arial" w:hAnsi="Arial"/>
                <w:sz w:val="14"/>
                <w:szCs w:val="14"/>
                <w:b w:val="1"/>
                <w:bCs w:val="1"/>
                <w:color w:val="auto"/>
                <w:w w:val="90"/>
              </w:rPr>
              <w:t>Beginning</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60" w:type="dxa"/>
            <w:vAlign w:val="bottom"/>
            <w:gridSpan w:val="6"/>
            <w:vMerge w:val="restart"/>
          </w:tcPr>
          <w:p>
            <w:pPr>
              <w:jc w:val="center"/>
              <w:ind w:right="260"/>
              <w:spacing w:after="0"/>
              <w:rPr>
                <w:sz w:val="20"/>
                <w:szCs w:val="20"/>
                <w:color w:val="auto"/>
              </w:rPr>
            </w:pPr>
            <w:r>
              <w:rPr>
                <w:rFonts w:ascii="Arial" w:cs="Arial" w:eastAsia="Arial" w:hAnsi="Arial"/>
                <w:sz w:val="14"/>
                <w:szCs w:val="14"/>
                <w:b w:val="1"/>
                <w:bCs w:val="1"/>
                <w:color w:val="auto"/>
                <w:w w:val="93"/>
              </w:rPr>
              <w:t>Total realized/unrealized</w:t>
            </w:r>
          </w:p>
        </w:tc>
        <w:tc>
          <w:tcPr>
            <w:tcW w:w="80" w:type="dxa"/>
            <w:vAlign w:val="bottom"/>
          </w:tcPr>
          <w:p>
            <w:pPr>
              <w:spacing w:after="0"/>
              <w:rPr>
                <w:sz w:val="11"/>
                <w:szCs w:val="11"/>
                <w:color w:val="auto"/>
              </w:rPr>
            </w:pPr>
          </w:p>
        </w:tc>
        <w:tc>
          <w:tcPr>
            <w:tcW w:w="960" w:type="dxa"/>
            <w:vAlign w:val="bottom"/>
            <w:gridSpan w:val="2"/>
          </w:tcPr>
          <w:p>
            <w:pPr>
              <w:jc w:val="center"/>
              <w:ind w:right="240"/>
              <w:spacing w:after="0" w:line="133" w:lineRule="exact"/>
              <w:rPr>
                <w:sz w:val="20"/>
                <w:szCs w:val="20"/>
                <w:color w:val="auto"/>
              </w:rPr>
            </w:pPr>
            <w:r>
              <w:rPr>
                <w:rFonts w:ascii="Arial" w:cs="Arial" w:eastAsia="Arial" w:hAnsi="Arial"/>
                <w:sz w:val="14"/>
                <w:szCs w:val="14"/>
                <w:b w:val="1"/>
                <w:bCs w:val="1"/>
                <w:color w:val="auto"/>
                <w:w w:val="88"/>
              </w:rPr>
              <w:t>Net</w:t>
            </w: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jc w:val="center"/>
              <w:ind w:right="48"/>
              <w:spacing w:after="0" w:line="133" w:lineRule="exact"/>
              <w:rPr>
                <w:sz w:val="20"/>
                <w:szCs w:val="20"/>
                <w:color w:val="auto"/>
              </w:rPr>
            </w:pPr>
            <w:r>
              <w:rPr>
                <w:rFonts w:ascii="Arial" w:cs="Arial" w:eastAsia="Arial" w:hAnsi="Arial"/>
                <w:sz w:val="14"/>
                <w:szCs w:val="14"/>
                <w:b w:val="1"/>
                <w:bCs w:val="1"/>
                <w:color w:val="auto"/>
                <w:w w:val="96"/>
              </w:rPr>
              <w:t>Ending</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5"/>
              </w:rPr>
              <w:t>asset/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60" w:type="dxa"/>
            <w:vAlign w:val="bottom"/>
            <w:gridSpan w:val="6"/>
            <w:vMerge w:val="continue"/>
          </w:tcPr>
          <w:p>
            <w:pPr>
              <w:spacing w:after="0"/>
              <w:rPr>
                <w:sz w:val="12"/>
                <w:szCs w:val="12"/>
                <w:color w:val="auto"/>
              </w:rPr>
            </w:pPr>
          </w:p>
        </w:tc>
        <w:tc>
          <w:tcPr>
            <w:tcW w:w="80" w:type="dxa"/>
            <w:vAlign w:val="bottom"/>
          </w:tcPr>
          <w:p>
            <w:pPr>
              <w:spacing w:after="0"/>
              <w:rPr>
                <w:sz w:val="12"/>
                <w:szCs w:val="12"/>
                <w:color w:val="auto"/>
              </w:rPr>
            </w:pPr>
          </w:p>
        </w:tc>
        <w:tc>
          <w:tcPr>
            <w:tcW w:w="9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6"/>
              </w:rPr>
              <w:t>purchases,</w:t>
            </w: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85"/>
              </w:rPr>
              <w:t>asset/</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rPr>
              <w:t>(liability)</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60" w:type="dxa"/>
            <w:vAlign w:val="bottom"/>
            <w:gridSpan w:val="6"/>
          </w:tcPr>
          <w:p>
            <w:pPr>
              <w:jc w:val="center"/>
              <w:ind w:right="260"/>
              <w:spacing w:after="0"/>
              <w:rPr>
                <w:sz w:val="20"/>
                <w:szCs w:val="20"/>
                <w:color w:val="auto"/>
              </w:rPr>
            </w:pPr>
            <w:r>
              <w:rPr>
                <w:rFonts w:ascii="Arial" w:cs="Arial" w:eastAsia="Arial" w:hAnsi="Arial"/>
                <w:sz w:val="14"/>
                <w:szCs w:val="14"/>
                <w:b w:val="1"/>
                <w:bCs w:val="1"/>
                <w:color w:val="auto"/>
                <w:w w:val="85"/>
              </w:rPr>
              <w:t>gains (losses)</w:t>
            </w:r>
          </w:p>
        </w:tc>
        <w:tc>
          <w:tcPr>
            <w:tcW w:w="80" w:type="dxa"/>
            <w:vAlign w:val="bottom"/>
          </w:tcPr>
          <w:p>
            <w:pPr>
              <w:spacing w:after="0"/>
              <w:rPr>
                <w:sz w:val="14"/>
                <w:szCs w:val="14"/>
                <w:color w:val="auto"/>
              </w:rPr>
            </w:pPr>
          </w:p>
        </w:tc>
        <w:tc>
          <w:tcPr>
            <w:tcW w:w="96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2"/>
              </w:rPr>
              <w:t>sales,</w:t>
            </w: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rPr>
              <w:t>(liability)</w:t>
            </w: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26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gridSpan w:val="2"/>
          </w:tcPr>
          <w:p>
            <w:pPr>
              <w:jc w:val="center"/>
              <w:ind w:right="160"/>
              <w:spacing w:after="0" w:line="119" w:lineRule="exact"/>
              <w:rPr>
                <w:sz w:val="20"/>
                <w:szCs w:val="20"/>
                <w:color w:val="auto"/>
              </w:rPr>
            </w:pPr>
            <w:r>
              <w:rPr>
                <w:rFonts w:ascii="Arial" w:cs="Arial" w:eastAsia="Arial" w:hAnsi="Arial"/>
                <w:sz w:val="13"/>
                <w:szCs w:val="13"/>
                <w:b w:val="1"/>
                <w:bCs w:val="1"/>
                <w:color w:val="auto"/>
                <w:w w:val="94"/>
              </w:rPr>
              <w:t>balance</w:t>
            </w:r>
          </w:p>
        </w:tc>
        <w:tc>
          <w:tcPr>
            <w:tcW w:w="8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880" w:type="dxa"/>
            <w:vAlign w:val="bottom"/>
            <w:tcBorders>
              <w:top w:val="single" w:sz="8" w:color="auto"/>
            </w:tcBorders>
            <w:gridSpan w:val="2"/>
          </w:tcPr>
          <w:p>
            <w:pPr>
              <w:jc w:val="center"/>
              <w:ind w:right="180"/>
              <w:spacing w:after="0" w:line="119" w:lineRule="exact"/>
              <w:rPr>
                <w:sz w:val="20"/>
                <w:szCs w:val="20"/>
                <w:color w:val="auto"/>
              </w:rPr>
            </w:pPr>
            <w:r>
              <w:rPr>
                <w:rFonts w:ascii="Arial" w:cs="Arial" w:eastAsia="Arial" w:hAnsi="Arial"/>
                <w:sz w:val="13"/>
                <w:szCs w:val="13"/>
                <w:b w:val="1"/>
                <w:bCs w:val="1"/>
                <w:color w:val="auto"/>
              </w:rPr>
              <w:t>Included</w:t>
            </w:r>
          </w:p>
        </w:tc>
        <w:tc>
          <w:tcPr>
            <w:tcW w:w="8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840" w:type="dxa"/>
            <w:vAlign w:val="bottom"/>
            <w:tcBorders>
              <w:top w:val="single" w:sz="8" w:color="auto"/>
            </w:tcBorders>
          </w:tcPr>
          <w:p>
            <w:pPr>
              <w:jc w:val="center"/>
              <w:ind w:right="28"/>
              <w:spacing w:after="0" w:line="119" w:lineRule="exact"/>
              <w:rPr>
                <w:sz w:val="20"/>
                <w:szCs w:val="20"/>
                <w:color w:val="auto"/>
              </w:rPr>
            </w:pPr>
            <w:r>
              <w:rPr>
                <w:rFonts w:ascii="Arial" w:cs="Arial" w:eastAsia="Arial" w:hAnsi="Arial"/>
                <w:sz w:val="13"/>
                <w:szCs w:val="13"/>
                <w:b w:val="1"/>
                <w:bCs w:val="1"/>
                <w:color w:val="auto"/>
              </w:rPr>
              <w:t>Included in</w:t>
            </w: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960" w:type="dxa"/>
            <w:vAlign w:val="bottom"/>
            <w:gridSpan w:val="2"/>
          </w:tcPr>
          <w:p>
            <w:pPr>
              <w:jc w:val="center"/>
              <w:ind w:right="240"/>
              <w:spacing w:after="0" w:line="119" w:lineRule="exact"/>
              <w:rPr>
                <w:sz w:val="20"/>
                <w:szCs w:val="20"/>
                <w:color w:val="auto"/>
              </w:rPr>
            </w:pPr>
            <w:r>
              <w:rPr>
                <w:rFonts w:ascii="Arial" w:cs="Arial" w:eastAsia="Arial" w:hAnsi="Arial"/>
                <w:sz w:val="13"/>
                <w:szCs w:val="13"/>
                <w:b w:val="1"/>
                <w:bCs w:val="1"/>
                <w:color w:val="auto"/>
                <w:w w:val="88"/>
              </w:rPr>
              <w:t>issuances</w:t>
            </w:r>
          </w:p>
        </w:tc>
        <w:tc>
          <w:tcPr>
            <w:tcW w:w="120" w:type="dxa"/>
            <w:vAlign w:val="bottom"/>
          </w:tcPr>
          <w:p>
            <w:pPr>
              <w:spacing w:after="0"/>
              <w:rPr>
                <w:sz w:val="10"/>
                <w:szCs w:val="10"/>
                <w:color w:val="auto"/>
              </w:rPr>
            </w:pPr>
          </w:p>
        </w:tc>
        <w:tc>
          <w:tcPr>
            <w:tcW w:w="94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0"/>
              </w:rPr>
              <w:t>Transfers</w:t>
            </w:r>
          </w:p>
        </w:tc>
        <w:tc>
          <w:tcPr>
            <w:tcW w:w="120" w:type="dxa"/>
            <w:vAlign w:val="bottom"/>
          </w:tcPr>
          <w:p>
            <w:pPr>
              <w:spacing w:after="0"/>
              <w:rPr>
                <w:sz w:val="10"/>
                <w:szCs w:val="10"/>
                <w:color w:val="auto"/>
              </w:rPr>
            </w:pPr>
          </w:p>
        </w:tc>
        <w:tc>
          <w:tcPr>
            <w:tcW w:w="94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0"/>
              </w:rPr>
              <w:t>Transfers</w:t>
            </w:r>
          </w:p>
        </w:tc>
        <w:tc>
          <w:tcPr>
            <w:tcW w:w="120" w:type="dxa"/>
            <w:vAlign w:val="bottom"/>
          </w:tcPr>
          <w:p>
            <w:pPr>
              <w:spacing w:after="0"/>
              <w:rPr>
                <w:sz w:val="10"/>
                <w:szCs w:val="10"/>
                <w:color w:val="auto"/>
              </w:rPr>
            </w:pPr>
          </w:p>
        </w:tc>
        <w:tc>
          <w:tcPr>
            <w:tcW w:w="800" w:type="dxa"/>
            <w:vAlign w:val="bottom"/>
            <w:gridSpan w:val="2"/>
          </w:tcPr>
          <w:p>
            <w:pPr>
              <w:jc w:val="center"/>
              <w:ind w:right="140"/>
              <w:spacing w:after="0" w:line="119" w:lineRule="exact"/>
              <w:rPr>
                <w:sz w:val="20"/>
                <w:szCs w:val="20"/>
                <w:color w:val="auto"/>
              </w:rPr>
            </w:pPr>
            <w:r>
              <w:rPr>
                <w:rFonts w:ascii="Arial" w:cs="Arial" w:eastAsia="Arial" w:hAnsi="Arial"/>
                <w:sz w:val="13"/>
                <w:szCs w:val="13"/>
                <w:b w:val="1"/>
                <w:bCs w:val="1"/>
                <w:color w:val="auto"/>
                <w:w w:val="94"/>
              </w:rPr>
              <w:t>balance</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6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5"/>
              </w:rPr>
              <w:t>as of</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8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0"/>
              </w:rPr>
              <w:t>in net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7"/>
              </w:rPr>
              <w:t>other</w:t>
            </w:r>
          </w:p>
        </w:tc>
        <w:tc>
          <w:tcPr>
            <w:tcW w:w="80" w:type="dxa"/>
            <w:vAlign w:val="bottom"/>
          </w:tcPr>
          <w:p>
            <w:pPr>
              <w:spacing w:after="0"/>
              <w:rPr>
                <w:sz w:val="12"/>
                <w:szCs w:val="12"/>
                <w:color w:val="auto"/>
              </w:rPr>
            </w:pPr>
          </w:p>
        </w:tc>
        <w:tc>
          <w:tcPr>
            <w:tcW w:w="9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6"/>
              </w:rPr>
              <w:t>and</w:t>
            </w:r>
          </w:p>
        </w:tc>
        <w:tc>
          <w:tcPr>
            <w:tcW w:w="120" w:type="dxa"/>
            <w:vAlign w:val="bottom"/>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5"/>
              </w:rPr>
              <w:t>as of</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6"/>
              </w:rPr>
              <w:t>April 1,</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8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9"/>
              </w:rPr>
              <w:t>income</w:t>
            </w:r>
          </w:p>
        </w:tc>
        <w:tc>
          <w:tcPr>
            <w:tcW w:w="80" w:type="dxa"/>
            <w:vAlign w:val="bottom"/>
          </w:tcPr>
          <w:p>
            <w:pPr>
              <w:spacing w:after="0"/>
              <w:rPr>
                <w:sz w:val="12"/>
                <w:szCs w:val="12"/>
                <w:color w:val="auto"/>
              </w:rPr>
            </w:pPr>
          </w:p>
        </w:tc>
        <w:tc>
          <w:tcPr>
            <w:tcW w:w="1100" w:type="dxa"/>
            <w:vAlign w:val="bottom"/>
            <w:gridSpan w:val="3"/>
          </w:tcPr>
          <w:p>
            <w:pPr>
              <w:jc w:val="center"/>
              <w:ind w:right="180"/>
              <w:spacing w:after="0" w:line="149" w:lineRule="exact"/>
              <w:rPr>
                <w:sz w:val="20"/>
                <w:szCs w:val="20"/>
                <w:color w:val="auto"/>
              </w:rPr>
            </w:pPr>
            <w:r>
              <w:rPr>
                <w:rFonts w:ascii="Arial" w:cs="Arial" w:eastAsia="Arial" w:hAnsi="Arial"/>
                <w:sz w:val="14"/>
                <w:szCs w:val="14"/>
                <w:b w:val="1"/>
                <w:bCs w:val="1"/>
                <w:color w:val="auto"/>
                <w:w w:val="89"/>
              </w:rPr>
              <w:t>comprehensive</w:t>
            </w:r>
          </w:p>
        </w:tc>
        <w:tc>
          <w:tcPr>
            <w:tcW w:w="80" w:type="dxa"/>
            <w:vAlign w:val="bottom"/>
          </w:tcPr>
          <w:p>
            <w:pPr>
              <w:spacing w:after="0"/>
              <w:rPr>
                <w:sz w:val="12"/>
                <w:szCs w:val="12"/>
                <w:color w:val="auto"/>
              </w:rPr>
            </w:pPr>
          </w:p>
        </w:tc>
        <w:tc>
          <w:tcPr>
            <w:tcW w:w="9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7"/>
              </w:rPr>
              <w:t>settlements</w:t>
            </w:r>
          </w:p>
        </w:tc>
        <w:tc>
          <w:tcPr>
            <w:tcW w:w="120" w:type="dxa"/>
            <w:vAlign w:val="bottom"/>
          </w:tcPr>
          <w:p>
            <w:pPr>
              <w:spacing w:after="0"/>
              <w:rPr>
                <w:sz w:val="12"/>
                <w:szCs w:val="12"/>
                <w:color w:val="auto"/>
              </w:rPr>
            </w:pPr>
          </w:p>
        </w:tc>
        <w:tc>
          <w:tcPr>
            <w:tcW w:w="9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3"/>
              </w:rPr>
              <w:t>into</w:t>
            </w:r>
          </w:p>
        </w:tc>
        <w:tc>
          <w:tcPr>
            <w:tcW w:w="120" w:type="dxa"/>
            <w:vAlign w:val="bottom"/>
          </w:tcPr>
          <w:p>
            <w:pPr>
              <w:spacing w:after="0"/>
              <w:rPr>
                <w:sz w:val="12"/>
                <w:szCs w:val="12"/>
                <w:color w:val="auto"/>
              </w:rPr>
            </w:pPr>
          </w:p>
        </w:tc>
        <w:tc>
          <w:tcPr>
            <w:tcW w:w="94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2"/>
              </w:rPr>
              <w:t>out of</w:t>
            </w:r>
          </w:p>
        </w:tc>
        <w:tc>
          <w:tcPr>
            <w:tcW w:w="120" w:type="dxa"/>
            <w:vAlign w:val="bottom"/>
          </w:tcPr>
          <w:p>
            <w:pPr>
              <w:spacing w:after="0"/>
              <w:rPr>
                <w:sz w:val="12"/>
                <w:szCs w:val="12"/>
                <w:color w:val="auto"/>
              </w:rPr>
            </w:pPr>
          </w:p>
        </w:tc>
        <w:tc>
          <w:tcPr>
            <w:tcW w:w="80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9"/>
              </w:rPr>
              <w:t>June 30,</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80" w:type="dxa"/>
            <w:vAlign w:val="bottom"/>
          </w:tcPr>
          <w:p>
            <w:pPr>
              <w:jc w:val="center"/>
              <w:ind w:right="8"/>
              <w:spacing w:after="0"/>
              <w:rPr>
                <w:sz w:val="20"/>
                <w:szCs w:val="20"/>
                <w:color w:val="auto"/>
              </w:rPr>
            </w:pPr>
            <w:r>
              <w:rPr>
                <w:rFonts w:ascii="Arial" w:cs="Arial" w:eastAsia="Arial" w:hAnsi="Arial"/>
                <w:sz w:val="14"/>
                <w:szCs w:val="14"/>
                <w:b w:val="1"/>
                <w:bCs w:val="1"/>
                <w:color w:val="auto"/>
                <w:w w:val="96"/>
              </w:rPr>
              <w:t>2021</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tcPr>
          <w:p>
            <w:pPr>
              <w:jc w:val="center"/>
              <w:ind w:right="8"/>
              <w:spacing w:after="0"/>
              <w:rPr>
                <w:sz w:val="20"/>
                <w:szCs w:val="20"/>
                <w:color w:val="auto"/>
              </w:rPr>
            </w:pPr>
            <w:r>
              <w:rPr>
                <w:rFonts w:ascii="Arial" w:cs="Arial" w:eastAsia="Arial" w:hAnsi="Arial"/>
                <w:sz w:val="14"/>
                <w:szCs w:val="14"/>
                <w:b w:val="1"/>
                <w:bCs w:val="1"/>
                <w:color w:val="auto"/>
                <w:w w:val="93"/>
              </w:rPr>
              <w:t>(2)</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1"/>
              </w:rPr>
              <w:t>income (3)</w:t>
            </w:r>
          </w:p>
        </w:tc>
        <w:tc>
          <w:tcPr>
            <w:tcW w:w="80" w:type="dxa"/>
            <w:vAlign w:val="bottom"/>
          </w:tcPr>
          <w:p>
            <w:pPr>
              <w:spacing w:after="0"/>
              <w:rPr>
                <w:sz w:val="14"/>
                <w:szCs w:val="14"/>
                <w:color w:val="auto"/>
              </w:rPr>
            </w:pPr>
          </w:p>
        </w:tc>
        <w:tc>
          <w:tcPr>
            <w:tcW w:w="800" w:type="dxa"/>
            <w:vAlign w:val="bottom"/>
          </w:tcPr>
          <w:p>
            <w:pPr>
              <w:jc w:val="center"/>
              <w:ind w:right="8"/>
              <w:spacing w:after="0"/>
              <w:rPr>
                <w:sz w:val="20"/>
                <w:szCs w:val="20"/>
                <w:color w:val="auto"/>
              </w:rPr>
            </w:pPr>
            <w:r>
              <w:rPr>
                <w:rFonts w:ascii="Arial" w:cs="Arial" w:eastAsia="Arial" w:hAnsi="Arial"/>
                <w:sz w:val="14"/>
                <w:szCs w:val="14"/>
                <w:b w:val="1"/>
                <w:bCs w:val="1"/>
                <w:color w:val="auto"/>
                <w:w w:val="93"/>
              </w:rPr>
              <w:t>(4)</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2"/>
              </w:rPr>
              <w:t>Level 3</w:t>
            </w:r>
          </w:p>
        </w:tc>
        <w:tc>
          <w:tcPr>
            <w:tcW w:w="120" w:type="dxa"/>
            <w:vAlign w:val="bottom"/>
          </w:tcPr>
          <w:p>
            <w:pPr>
              <w:spacing w:after="0"/>
              <w:rPr>
                <w:sz w:val="14"/>
                <w:szCs w:val="14"/>
                <w:color w:val="auto"/>
              </w:rPr>
            </w:pPr>
          </w:p>
        </w:tc>
        <w:tc>
          <w:tcPr>
            <w:tcW w:w="94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2"/>
              </w:rPr>
              <w:t>Level 3</w:t>
            </w:r>
          </w:p>
        </w:tc>
        <w:tc>
          <w:tcPr>
            <w:tcW w:w="120" w:type="dxa"/>
            <w:vAlign w:val="bottom"/>
          </w:tcPr>
          <w:p>
            <w:pPr>
              <w:spacing w:after="0"/>
              <w:rPr>
                <w:sz w:val="14"/>
                <w:szCs w:val="14"/>
                <w:color w:val="auto"/>
              </w:rPr>
            </w:pPr>
          </w:p>
        </w:tc>
        <w:tc>
          <w:tcPr>
            <w:tcW w:w="780" w:type="dxa"/>
            <w:vAlign w:val="bottom"/>
          </w:tcPr>
          <w:p>
            <w:pPr>
              <w:jc w:val="center"/>
              <w:ind w:right="48"/>
              <w:spacing w:after="0"/>
              <w:rPr>
                <w:sz w:val="20"/>
                <w:szCs w:val="20"/>
                <w:color w:val="auto"/>
              </w:rPr>
            </w:pPr>
            <w:r>
              <w:rPr>
                <w:rFonts w:ascii="Arial" w:cs="Arial" w:eastAsia="Arial" w:hAnsi="Arial"/>
                <w:sz w:val="14"/>
                <w:szCs w:val="14"/>
                <w:b w:val="1"/>
                <w:bCs w:val="1"/>
                <w:color w:val="auto"/>
                <w:w w:val="96"/>
              </w:rPr>
              <w:t>2021</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264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780" w:type="dxa"/>
            <w:vAlign w:val="bottom"/>
            <w:tcBorders>
              <w:top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800" w:type="dxa"/>
            <w:vAlign w:val="bottom"/>
            <w:tcBorders>
              <w:top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84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800" w:type="dxa"/>
            <w:vAlign w:val="bottom"/>
            <w:tcBorders>
              <w:top w:val="single" w:sz="8" w:color="auto"/>
            </w:tcBorders>
          </w:tcPr>
          <w:p>
            <w:pPr>
              <w:jc w:val="center"/>
              <w:ind w:right="28"/>
              <w:spacing w:after="0" w:line="129" w:lineRule="exact"/>
              <w:rPr>
                <w:sz w:val="20"/>
                <w:szCs w:val="20"/>
                <w:color w:val="auto"/>
              </w:rPr>
            </w:pPr>
            <w:r>
              <w:rPr>
                <w:rFonts w:ascii="Arial" w:cs="Arial" w:eastAsia="Arial" w:hAnsi="Arial"/>
                <w:sz w:val="14"/>
                <w:szCs w:val="14"/>
                <w:i w:val="1"/>
                <w:iCs w:val="1"/>
                <w:color w:val="auto"/>
                <w:w w:val="98"/>
              </w:rPr>
              <w:t>(in millions)</w:t>
            </w:r>
          </w:p>
        </w:tc>
        <w:tc>
          <w:tcPr>
            <w:tcW w:w="16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78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78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78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64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Assets</w:t>
            </w:r>
          </w:p>
        </w:tc>
        <w:tc>
          <w:tcPr>
            <w:tcW w:w="10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640" w:type="dxa"/>
            <w:vAlign w:val="bottom"/>
          </w:tcPr>
          <w:p>
            <w:pPr>
              <w:spacing w:after="0" w:line="149" w:lineRule="exact"/>
              <w:rPr>
                <w:sz w:val="20"/>
                <w:szCs w:val="20"/>
                <w:color w:val="auto"/>
              </w:rPr>
            </w:pPr>
            <w:r>
              <w:rPr>
                <w:rFonts w:ascii="Arial" w:cs="Arial" w:eastAsia="Arial" w:hAnsi="Arial"/>
                <w:sz w:val="14"/>
                <w:szCs w:val="14"/>
                <w:color w:val="auto"/>
              </w:rPr>
              <w:t>Fixed maturities, available-for-sale:</w:t>
            </w:r>
          </w:p>
        </w:tc>
        <w:tc>
          <w:tcPr>
            <w:tcW w:w="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4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Corporate</w:t>
            </w:r>
          </w:p>
        </w:tc>
        <w:tc>
          <w:tcPr>
            <w:tcW w:w="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343.3</w:t>
            </w:r>
          </w:p>
        </w:tc>
        <w:tc>
          <w:tcPr>
            <w:tcW w:w="80" w:type="dxa"/>
            <w:vAlign w:val="bottom"/>
            <w:shd w:val="clear" w:color="auto" w:fill="CCEEFF"/>
          </w:tcPr>
          <w:p>
            <w:pPr>
              <w:spacing w:after="0"/>
              <w:rPr>
                <w:sz w:val="12"/>
                <w:szCs w:val="12"/>
                <w:color w:val="auto"/>
              </w:rPr>
            </w:pPr>
          </w:p>
        </w:tc>
        <w:tc>
          <w:tcPr>
            <w:tcW w:w="18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rPr>
              <w:t>$</w:t>
            </w:r>
          </w:p>
        </w:tc>
        <w:tc>
          <w:tcPr>
            <w:tcW w:w="88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(4.9)</w:t>
            </w:r>
          </w:p>
        </w:tc>
        <w:tc>
          <w:tcPr>
            <w:tcW w:w="1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5.4</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124.9</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80.3</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94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jc w:val="right"/>
              <w:ind w:right="9"/>
              <w:spacing w:after="0"/>
              <w:rPr>
                <w:sz w:val="20"/>
                <w:szCs w:val="20"/>
                <w:color w:val="auto"/>
              </w:rPr>
            </w:pPr>
            <w:r>
              <w:rPr>
                <w:rFonts w:ascii="Arial" w:cs="Arial" w:eastAsia="Arial" w:hAnsi="Arial"/>
                <w:sz w:val="10"/>
                <w:szCs w:val="10"/>
                <w:color w:val="auto"/>
                <w:w w:val="71"/>
              </w:rPr>
              <w:t>$</w:t>
            </w: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549.0</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640" w:type="dxa"/>
            <w:vAlign w:val="bottom"/>
          </w:tcPr>
          <w:p>
            <w:pPr>
              <w:ind w:left="100"/>
              <w:spacing w:after="0" w:line="149" w:lineRule="exact"/>
              <w:rPr>
                <w:sz w:val="20"/>
                <w:szCs w:val="20"/>
                <w:color w:val="auto"/>
              </w:rPr>
            </w:pPr>
            <w:r>
              <w:rPr>
                <w:rFonts w:ascii="Arial" w:cs="Arial" w:eastAsia="Arial" w:hAnsi="Arial"/>
                <w:sz w:val="14"/>
                <w:szCs w:val="14"/>
                <w:color w:val="auto"/>
              </w:rPr>
              <w:t>Commercial mortgage-backed securities</w:t>
            </w:r>
          </w:p>
        </w:tc>
        <w:tc>
          <w:tcPr>
            <w:tcW w:w="10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11.5</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8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(0.2)</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color w:val="auto"/>
              </w:rPr>
              <w:t>0.2</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0.1</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94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11.6</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64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Collateralized debt obligations</w:t>
            </w:r>
          </w:p>
        </w:tc>
        <w:tc>
          <w:tcPr>
            <w:tcW w:w="10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323.3</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(1.5)</w:t>
            </w: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61.2</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36.3</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(225.4)</w:t>
            </w:r>
          </w:p>
        </w:tc>
        <w:tc>
          <w:tcPr>
            <w:tcW w:w="12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195.6</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40" w:type="dxa"/>
            <w:vAlign w:val="bottom"/>
          </w:tcPr>
          <w:p>
            <w:pPr>
              <w:ind w:left="100"/>
              <w:spacing w:after="0" w:line="149" w:lineRule="exact"/>
              <w:rPr>
                <w:sz w:val="20"/>
                <w:szCs w:val="20"/>
                <w:color w:val="auto"/>
              </w:rPr>
            </w:pPr>
            <w:r>
              <w:rPr>
                <w:rFonts w:ascii="Arial" w:cs="Arial" w:eastAsia="Arial" w:hAnsi="Arial"/>
                <w:sz w:val="14"/>
                <w:szCs w:val="14"/>
                <w:color w:val="auto"/>
              </w:rPr>
              <w:t>Other debt obligations</w:t>
            </w:r>
          </w:p>
        </w:tc>
        <w:tc>
          <w:tcPr>
            <w:tcW w:w="10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36.5</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8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(0.2)</w:t>
            </w:r>
          </w:p>
        </w:tc>
        <w:tc>
          <w:tcPr>
            <w:tcW w:w="8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25.1</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94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61.4</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640" w:type="dxa"/>
            <w:vAlign w:val="bottom"/>
            <w:tcBorders>
              <w:top w:val="single" w:sz="8" w:color="CCEEFF"/>
            </w:tcBorders>
            <w:shd w:val="clear" w:color="auto" w:fill="CCEEFF"/>
          </w:tcPr>
          <w:p>
            <w:pPr>
              <w:spacing w:after="0" w:line="142" w:lineRule="exact"/>
              <w:rPr>
                <w:sz w:val="20"/>
                <w:szCs w:val="20"/>
                <w:color w:val="auto"/>
              </w:rPr>
            </w:pPr>
            <w:r>
              <w:rPr>
                <w:rFonts w:ascii="Arial" w:cs="Arial" w:eastAsia="Arial" w:hAnsi="Arial"/>
                <w:sz w:val="14"/>
                <w:szCs w:val="14"/>
                <w:color w:val="auto"/>
              </w:rPr>
              <w:t>Total fixed maturities, available-for-sale</w:t>
            </w:r>
          </w:p>
        </w:tc>
        <w:tc>
          <w:tcPr>
            <w:tcW w:w="100" w:type="dxa"/>
            <w:vAlign w:val="bottom"/>
            <w:tcBorders>
              <w:top w:val="single" w:sz="8" w:color="auto"/>
            </w:tcBorders>
            <w:shd w:val="clear" w:color="auto" w:fill="CCEEFF"/>
          </w:tcPr>
          <w:p>
            <w:pPr>
              <w:spacing w:after="0"/>
              <w:rPr>
                <w:sz w:val="12"/>
                <w:szCs w:val="12"/>
                <w:color w:val="auto"/>
              </w:rPr>
            </w:pPr>
          </w:p>
        </w:tc>
        <w:tc>
          <w:tcPr>
            <w:tcW w:w="78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714.6</w:t>
            </w:r>
          </w:p>
        </w:tc>
        <w:tc>
          <w:tcPr>
            <w:tcW w:w="8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auto"/>
            </w:tcBorders>
            <w:shd w:val="clear" w:color="auto" w:fill="CCEEFF"/>
          </w:tcPr>
          <w:p>
            <w:pPr>
              <w:spacing w:after="0"/>
              <w:rPr>
                <w:sz w:val="12"/>
                <w:szCs w:val="12"/>
                <w:color w:val="auto"/>
              </w:rPr>
            </w:pPr>
          </w:p>
        </w:tc>
        <w:tc>
          <w:tcPr>
            <w:tcW w:w="80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(6.6)</w:t>
            </w:r>
          </w:p>
        </w:tc>
        <w:tc>
          <w:tcPr>
            <w:tcW w:w="8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auto"/>
            </w:tcBorders>
            <w:shd w:val="clear" w:color="auto" w:fill="CCEEFF"/>
          </w:tcPr>
          <w:p>
            <w:pPr>
              <w:spacing w:after="0"/>
              <w:rPr>
                <w:sz w:val="12"/>
                <w:szCs w:val="12"/>
                <w:color w:val="auto"/>
              </w:rPr>
            </w:pPr>
          </w:p>
        </w:tc>
        <w:tc>
          <w:tcPr>
            <w:tcW w:w="84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7.1</w:t>
            </w:r>
          </w:p>
        </w:tc>
        <w:tc>
          <w:tcPr>
            <w:tcW w:w="16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80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211.3</w:t>
            </w:r>
          </w:p>
        </w:tc>
        <w:tc>
          <w:tcPr>
            <w:tcW w:w="160" w:type="dxa"/>
            <w:vAlign w:val="bottom"/>
            <w:tcBorders>
              <w:top w:val="single" w:sz="8" w:color="CCEEFF"/>
            </w:tcBorders>
            <w:shd w:val="clear" w:color="auto" w:fill="CCEEFF"/>
          </w:tcPr>
          <w:p>
            <w:pPr>
              <w:spacing w:after="0"/>
              <w:rPr>
                <w:sz w:val="12"/>
                <w:szCs w:val="12"/>
                <w:color w:val="auto"/>
              </w:rPr>
            </w:pPr>
          </w:p>
        </w:tc>
        <w:tc>
          <w:tcPr>
            <w:tcW w:w="120" w:type="dxa"/>
            <w:vAlign w:val="bottom"/>
            <w:tcBorders>
              <w:top w:val="single" w:sz="8" w:color="auto"/>
            </w:tcBorders>
            <w:shd w:val="clear" w:color="auto" w:fill="CCEEFF"/>
          </w:tcPr>
          <w:p>
            <w:pPr>
              <w:spacing w:after="0"/>
              <w:rPr>
                <w:sz w:val="12"/>
                <w:szCs w:val="12"/>
                <w:color w:val="auto"/>
              </w:rPr>
            </w:pPr>
          </w:p>
        </w:tc>
        <w:tc>
          <w:tcPr>
            <w:tcW w:w="78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116.6</w:t>
            </w:r>
          </w:p>
        </w:tc>
        <w:tc>
          <w:tcPr>
            <w:tcW w:w="160" w:type="dxa"/>
            <w:vAlign w:val="bottom"/>
            <w:tcBorders>
              <w:top w:val="single" w:sz="8" w:color="CCEEFF"/>
            </w:tcBorders>
            <w:shd w:val="clear" w:color="auto" w:fill="CCEEFF"/>
          </w:tcPr>
          <w:p>
            <w:pPr>
              <w:spacing w:after="0"/>
              <w:rPr>
                <w:sz w:val="12"/>
                <w:szCs w:val="12"/>
                <w:color w:val="auto"/>
              </w:rPr>
            </w:pPr>
          </w:p>
        </w:tc>
        <w:tc>
          <w:tcPr>
            <w:tcW w:w="120" w:type="dxa"/>
            <w:vAlign w:val="bottom"/>
            <w:tcBorders>
              <w:top w:val="single" w:sz="8" w:color="auto"/>
            </w:tcBorders>
            <w:shd w:val="clear" w:color="auto" w:fill="CCEEFF"/>
          </w:tcPr>
          <w:p>
            <w:pPr>
              <w:spacing w:after="0"/>
              <w:rPr>
                <w:sz w:val="12"/>
                <w:szCs w:val="12"/>
                <w:color w:val="auto"/>
              </w:rPr>
            </w:pPr>
          </w:p>
        </w:tc>
        <w:tc>
          <w:tcPr>
            <w:tcW w:w="78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(225.4)</w:t>
            </w:r>
          </w:p>
        </w:tc>
        <w:tc>
          <w:tcPr>
            <w:tcW w:w="160" w:type="dxa"/>
            <w:vAlign w:val="bottom"/>
            <w:tcBorders>
              <w:top w:val="single" w:sz="8" w:color="CCEEFF"/>
            </w:tcBorders>
            <w:shd w:val="clear" w:color="auto" w:fill="CCEEFF"/>
          </w:tcPr>
          <w:p>
            <w:pPr>
              <w:spacing w:after="0"/>
              <w:rPr>
                <w:sz w:val="12"/>
                <w:szCs w:val="12"/>
                <w:color w:val="auto"/>
              </w:rPr>
            </w:pPr>
          </w:p>
        </w:tc>
        <w:tc>
          <w:tcPr>
            <w:tcW w:w="120" w:type="dxa"/>
            <w:vAlign w:val="bottom"/>
            <w:tcBorders>
              <w:top w:val="single" w:sz="8" w:color="auto"/>
            </w:tcBorders>
            <w:shd w:val="clear" w:color="auto" w:fill="CCEEFF"/>
          </w:tcPr>
          <w:p>
            <w:pPr>
              <w:spacing w:after="0"/>
              <w:rPr>
                <w:sz w:val="12"/>
                <w:szCs w:val="12"/>
                <w:color w:val="auto"/>
              </w:rPr>
            </w:pPr>
          </w:p>
        </w:tc>
        <w:tc>
          <w:tcPr>
            <w:tcW w:w="78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817.6</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640" w:type="dxa"/>
            <w:vAlign w:val="bottom"/>
          </w:tcPr>
          <w:p>
            <w:pPr>
              <w:spacing w:after="0" w:line="149" w:lineRule="exact"/>
              <w:rPr>
                <w:sz w:val="20"/>
                <w:szCs w:val="20"/>
                <w:color w:val="auto"/>
              </w:rPr>
            </w:pPr>
            <w:r>
              <w:rPr>
                <w:rFonts w:ascii="Arial" w:cs="Arial" w:eastAsia="Arial" w:hAnsi="Arial"/>
                <w:sz w:val="14"/>
                <w:szCs w:val="14"/>
                <w:color w:val="auto"/>
              </w:rPr>
              <w:t>Other investments</w:t>
            </w:r>
          </w:p>
        </w:tc>
        <w:tc>
          <w:tcPr>
            <w:tcW w:w="10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41.1</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3.4</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96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94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94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44.5</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6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Separate account assets (1)</w:t>
            </w:r>
          </w:p>
        </w:tc>
        <w:tc>
          <w:tcPr>
            <w:tcW w:w="10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1,196.2</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49.1</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(27.9)</w:t>
            </w:r>
          </w:p>
        </w:tc>
        <w:tc>
          <w:tcPr>
            <w:tcW w:w="12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1,217.4</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26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vMerge w:val="continue"/>
          </w:tcPr>
          <w:p>
            <w:pPr>
              <w:spacing w:after="0"/>
              <w:rPr>
                <w:sz w:val="12"/>
                <w:szCs w:val="12"/>
                <w:color w:val="auto"/>
              </w:rPr>
            </w:pPr>
          </w:p>
        </w:tc>
        <w:tc>
          <w:tcPr>
            <w:tcW w:w="264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Liabilities</w:t>
            </w:r>
          </w:p>
        </w:tc>
        <w:tc>
          <w:tcPr>
            <w:tcW w:w="10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640" w:type="dxa"/>
            <w:vAlign w:val="bottom"/>
          </w:tcPr>
          <w:p>
            <w:pPr>
              <w:spacing w:after="0" w:line="149" w:lineRule="exact"/>
              <w:rPr>
                <w:sz w:val="20"/>
                <w:szCs w:val="20"/>
                <w:color w:val="auto"/>
              </w:rPr>
            </w:pPr>
            <w:r>
              <w:rPr>
                <w:rFonts w:ascii="Arial" w:cs="Arial" w:eastAsia="Arial" w:hAnsi="Arial"/>
                <w:sz w:val="14"/>
                <w:szCs w:val="14"/>
                <w:color w:val="auto"/>
              </w:rPr>
              <w:t>Investment and universal life contracts</w:t>
            </w:r>
          </w:p>
        </w:tc>
        <w:tc>
          <w:tcPr>
            <w:tcW w:w="100" w:type="dxa"/>
            <w:vAlign w:val="bottom"/>
          </w:tcPr>
          <w:p>
            <w:pPr>
              <w:spacing w:after="0"/>
              <w:rPr>
                <w:sz w:val="12"/>
                <w:szCs w:val="12"/>
                <w:color w:val="auto"/>
              </w:rPr>
            </w:pPr>
          </w:p>
        </w:tc>
        <w:tc>
          <w:tcPr>
            <w:tcW w:w="86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(177.1)</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8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(113.7)</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9.2</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94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(281.6)</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26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vMerge w:val="continue"/>
          </w:tcPr>
          <w:p>
            <w:pPr>
              <w:spacing w:after="0"/>
              <w:rPr>
                <w:sz w:val="12"/>
                <w:szCs w:val="12"/>
                <w:color w:val="auto"/>
              </w:rPr>
            </w:pPr>
          </w:p>
        </w:tc>
        <w:tc>
          <w:tcPr>
            <w:tcW w:w="2640" w:type="dxa"/>
            <w:vAlign w:val="bottom"/>
          </w:tcPr>
          <w:p>
            <w:pPr>
              <w:spacing w:after="0" w:line="149" w:lineRule="exact"/>
              <w:rPr>
                <w:sz w:val="20"/>
                <w:szCs w:val="20"/>
                <w:color w:val="auto"/>
              </w:rPr>
            </w:pPr>
            <w:r>
              <w:rPr>
                <w:rFonts w:ascii="Arial" w:cs="Arial" w:eastAsia="Arial" w:hAnsi="Arial"/>
                <w:sz w:val="14"/>
                <w:szCs w:val="14"/>
                <w:b w:val="1"/>
                <w:bCs w:val="1"/>
                <w:color w:val="auto"/>
              </w:rPr>
              <w:t>Derivatives</w:t>
            </w:r>
          </w:p>
        </w:tc>
        <w:tc>
          <w:tcPr>
            <w:tcW w:w="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Net derivative assets (liabilities)</w:t>
            </w:r>
          </w:p>
        </w:tc>
        <w:tc>
          <w:tcPr>
            <w:tcW w:w="10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(10.7)</w:t>
            </w: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0.6</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(8.9)</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540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66" w:name="page67"/>
    <w:bookmarkEnd w:id="66"/>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3100" w:type="dxa"/>
            <w:vAlign w:val="bottom"/>
            <w:tcBorders>
              <w:bottom w:val="single" w:sz="8" w:color="auto"/>
            </w:tcBorders>
            <w:gridSpan w:val="8"/>
          </w:tcPr>
          <w:p>
            <w:pPr>
              <w:jc w:val="center"/>
              <w:ind w:right="240"/>
              <w:spacing w:after="0"/>
              <w:rPr>
                <w:sz w:val="20"/>
                <w:szCs w:val="20"/>
                <w:color w:val="auto"/>
              </w:rPr>
            </w:pPr>
            <w:r>
              <w:rPr>
                <w:rFonts w:ascii="Arial" w:cs="Arial" w:eastAsia="Arial" w:hAnsi="Arial"/>
                <w:sz w:val="14"/>
                <w:szCs w:val="14"/>
                <w:b w:val="1"/>
                <w:bCs w:val="1"/>
                <w:color w:val="auto"/>
                <w:w w:val="91"/>
              </w:rPr>
              <w:t>For the six months ended June 30, 2022</w:t>
            </w:r>
          </w:p>
        </w:tc>
        <w:tc>
          <w:tcPr>
            <w:tcW w:w="12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24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gridSpan w:val="2"/>
          </w:tcPr>
          <w:p>
            <w:pPr>
              <w:jc w:val="center"/>
              <w:ind w:right="160"/>
              <w:spacing w:after="0" w:line="119" w:lineRule="exact"/>
              <w:rPr>
                <w:sz w:val="20"/>
                <w:szCs w:val="20"/>
                <w:color w:val="auto"/>
              </w:rPr>
            </w:pPr>
            <w:r>
              <w:rPr>
                <w:rFonts w:ascii="Arial" w:cs="Arial" w:eastAsia="Arial" w:hAnsi="Arial"/>
                <w:sz w:val="13"/>
                <w:szCs w:val="13"/>
                <w:b w:val="1"/>
                <w:bCs w:val="1"/>
                <w:color w:val="auto"/>
                <w:w w:val="97"/>
              </w:rPr>
              <w:t>Beginning</w:t>
            </w: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60" w:type="dxa"/>
            <w:vAlign w:val="bottom"/>
            <w:gridSpan w:val="6"/>
            <w:vMerge w:val="restart"/>
          </w:tcPr>
          <w:p>
            <w:pPr>
              <w:jc w:val="center"/>
              <w:ind w:right="260"/>
              <w:spacing w:after="0"/>
              <w:rPr>
                <w:sz w:val="20"/>
                <w:szCs w:val="20"/>
                <w:color w:val="auto"/>
              </w:rPr>
            </w:pPr>
            <w:r>
              <w:rPr>
                <w:rFonts w:ascii="Arial" w:cs="Arial" w:eastAsia="Arial" w:hAnsi="Arial"/>
                <w:sz w:val="14"/>
                <w:szCs w:val="14"/>
                <w:b w:val="1"/>
                <w:bCs w:val="1"/>
                <w:color w:val="auto"/>
                <w:w w:val="93"/>
              </w:rPr>
              <w:t>Total realized/unrealized</w:t>
            </w:r>
          </w:p>
        </w:tc>
        <w:tc>
          <w:tcPr>
            <w:tcW w:w="80" w:type="dxa"/>
            <w:vAlign w:val="bottom"/>
          </w:tcPr>
          <w:p>
            <w:pPr>
              <w:spacing w:after="0"/>
              <w:rPr>
                <w:sz w:val="10"/>
                <w:szCs w:val="10"/>
                <w:color w:val="auto"/>
              </w:rPr>
            </w:pPr>
          </w:p>
        </w:tc>
        <w:tc>
          <w:tcPr>
            <w:tcW w:w="960" w:type="dxa"/>
            <w:vAlign w:val="bottom"/>
            <w:gridSpan w:val="2"/>
          </w:tcPr>
          <w:p>
            <w:pPr>
              <w:jc w:val="center"/>
              <w:ind w:right="240"/>
              <w:spacing w:after="0" w:line="119" w:lineRule="exact"/>
              <w:rPr>
                <w:sz w:val="20"/>
                <w:szCs w:val="20"/>
                <w:color w:val="auto"/>
              </w:rPr>
            </w:pPr>
            <w:r>
              <w:rPr>
                <w:rFonts w:ascii="Arial" w:cs="Arial" w:eastAsia="Arial" w:hAnsi="Arial"/>
                <w:sz w:val="13"/>
                <w:szCs w:val="13"/>
                <w:b w:val="1"/>
                <w:bCs w:val="1"/>
                <w:color w:val="auto"/>
                <w:w w:val="95"/>
              </w:rPr>
              <w:t>Net</w:t>
            </w:r>
          </w:p>
        </w:tc>
        <w:tc>
          <w:tcPr>
            <w:tcW w:w="12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80" w:type="dxa"/>
            <w:vAlign w:val="bottom"/>
          </w:tcPr>
          <w:p>
            <w:pPr>
              <w:jc w:val="center"/>
              <w:ind w:right="48"/>
              <w:spacing w:after="0" w:line="119" w:lineRule="exact"/>
              <w:rPr>
                <w:sz w:val="20"/>
                <w:szCs w:val="20"/>
                <w:color w:val="auto"/>
              </w:rPr>
            </w:pPr>
            <w:r>
              <w:rPr>
                <w:rFonts w:ascii="Arial" w:cs="Arial" w:eastAsia="Arial" w:hAnsi="Arial"/>
                <w:sz w:val="13"/>
                <w:szCs w:val="13"/>
                <w:b w:val="1"/>
                <w:bCs w:val="1"/>
                <w:color w:val="auto"/>
              </w:rPr>
              <w:t>Ending</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4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5"/>
              </w:rPr>
              <w:t>asset/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60" w:type="dxa"/>
            <w:vAlign w:val="bottom"/>
            <w:gridSpan w:val="6"/>
            <w:vMerge w:val="continue"/>
          </w:tcPr>
          <w:p>
            <w:pPr>
              <w:spacing w:after="0"/>
              <w:rPr>
                <w:sz w:val="12"/>
                <w:szCs w:val="12"/>
                <w:color w:val="auto"/>
              </w:rPr>
            </w:pPr>
          </w:p>
        </w:tc>
        <w:tc>
          <w:tcPr>
            <w:tcW w:w="80" w:type="dxa"/>
            <w:vAlign w:val="bottom"/>
          </w:tcPr>
          <w:p>
            <w:pPr>
              <w:spacing w:after="0"/>
              <w:rPr>
                <w:sz w:val="12"/>
                <w:szCs w:val="12"/>
                <w:color w:val="auto"/>
              </w:rPr>
            </w:pPr>
          </w:p>
        </w:tc>
        <w:tc>
          <w:tcPr>
            <w:tcW w:w="9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6"/>
              </w:rPr>
              <w:t>purchases,</w:t>
            </w: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85"/>
              </w:rPr>
              <w:t>asset/</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4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rPr>
              <w:t>(liability)</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60" w:type="dxa"/>
            <w:vAlign w:val="bottom"/>
            <w:gridSpan w:val="6"/>
          </w:tcPr>
          <w:p>
            <w:pPr>
              <w:jc w:val="center"/>
              <w:ind w:right="260"/>
              <w:spacing w:after="0" w:line="149" w:lineRule="exact"/>
              <w:rPr>
                <w:sz w:val="20"/>
                <w:szCs w:val="20"/>
                <w:color w:val="auto"/>
              </w:rPr>
            </w:pPr>
            <w:r>
              <w:rPr>
                <w:rFonts w:ascii="Arial" w:cs="Arial" w:eastAsia="Arial" w:hAnsi="Arial"/>
                <w:sz w:val="14"/>
                <w:szCs w:val="14"/>
                <w:b w:val="1"/>
                <w:bCs w:val="1"/>
                <w:color w:val="auto"/>
                <w:w w:val="85"/>
              </w:rPr>
              <w:t>gains (losses)</w:t>
            </w:r>
          </w:p>
        </w:tc>
        <w:tc>
          <w:tcPr>
            <w:tcW w:w="80" w:type="dxa"/>
            <w:vAlign w:val="bottom"/>
          </w:tcPr>
          <w:p>
            <w:pPr>
              <w:spacing w:after="0"/>
              <w:rPr>
                <w:sz w:val="12"/>
                <w:szCs w:val="12"/>
                <w:color w:val="auto"/>
              </w:rPr>
            </w:pPr>
          </w:p>
        </w:tc>
        <w:tc>
          <w:tcPr>
            <w:tcW w:w="9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2"/>
              </w:rPr>
              <w:t>sales,</w:t>
            </w: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rPr>
              <w:t>(liability)</w:t>
            </w:r>
          </w:p>
        </w:tc>
        <w:tc>
          <w:tcPr>
            <w:tcW w:w="0" w:type="dxa"/>
            <w:vAlign w:val="bottom"/>
          </w:tcPr>
          <w:p>
            <w:pPr>
              <w:spacing w:after="0"/>
              <w:rPr>
                <w:sz w:val="1"/>
                <w:szCs w:val="1"/>
                <w:color w:val="auto"/>
              </w:rPr>
            </w:pPr>
          </w:p>
        </w:tc>
      </w:tr>
      <w:tr>
        <w:trPr>
          <w:trHeight w:val="23"/>
        </w:trPr>
        <w:tc>
          <w:tcPr>
            <w:tcW w:w="2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60" w:type="dxa"/>
            <w:vAlign w:val="bottom"/>
            <w:gridSpan w:val="2"/>
            <w:vMerge w:val="restart"/>
          </w:tcPr>
          <w:p>
            <w:pPr>
              <w:jc w:val="center"/>
              <w:ind w:right="160"/>
              <w:spacing w:after="0"/>
              <w:rPr>
                <w:sz w:val="20"/>
                <w:szCs w:val="20"/>
                <w:color w:val="auto"/>
              </w:rPr>
            </w:pPr>
            <w:r>
              <w:rPr>
                <w:rFonts w:ascii="Arial" w:cs="Arial" w:eastAsia="Arial" w:hAnsi="Arial"/>
                <w:sz w:val="14"/>
                <w:szCs w:val="14"/>
                <w:b w:val="1"/>
                <w:bCs w:val="1"/>
                <w:color w:val="auto"/>
                <w:w w:val="88"/>
              </w:rPr>
              <w:t>balance</w:t>
            </w: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vMerge w:val="restart"/>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6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82"/>
              </w:rPr>
              <w:t>issuances</w:t>
            </w:r>
          </w:p>
        </w:tc>
        <w:tc>
          <w:tcPr>
            <w:tcW w:w="1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88"/>
              </w:rPr>
              <w:t>balance</w:t>
            </w: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24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gridSpan w:val="2"/>
            <w:vMerge w:val="continue"/>
          </w:tcPr>
          <w:p>
            <w:pPr>
              <w:spacing w:after="0"/>
              <w:rPr>
                <w:sz w:val="10"/>
                <w:szCs w:val="10"/>
                <w:color w:val="auto"/>
              </w:rPr>
            </w:pP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80" w:type="dxa"/>
            <w:vAlign w:val="bottom"/>
            <w:gridSpan w:val="2"/>
            <w:vMerge w:val="restart"/>
          </w:tcPr>
          <w:p>
            <w:pPr>
              <w:jc w:val="center"/>
              <w:ind w:right="180"/>
              <w:spacing w:after="0"/>
              <w:rPr>
                <w:sz w:val="20"/>
                <w:szCs w:val="20"/>
                <w:color w:val="auto"/>
              </w:rPr>
            </w:pPr>
            <w:r>
              <w:rPr>
                <w:rFonts w:ascii="Arial" w:cs="Arial" w:eastAsia="Arial" w:hAnsi="Arial"/>
                <w:sz w:val="14"/>
                <w:szCs w:val="14"/>
                <w:b w:val="1"/>
                <w:bCs w:val="1"/>
                <w:color w:val="auto"/>
                <w:w w:val="94"/>
              </w:rPr>
              <w:t>Included in</w:t>
            </w: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40" w:type="dxa"/>
            <w:vAlign w:val="bottom"/>
          </w:tcPr>
          <w:p>
            <w:pPr>
              <w:jc w:val="center"/>
              <w:ind w:right="28"/>
              <w:spacing w:after="0" w:line="119" w:lineRule="exact"/>
              <w:rPr>
                <w:sz w:val="20"/>
                <w:szCs w:val="20"/>
                <w:color w:val="auto"/>
              </w:rPr>
            </w:pPr>
            <w:r>
              <w:rPr>
                <w:rFonts w:ascii="Arial" w:cs="Arial" w:eastAsia="Arial" w:hAnsi="Arial"/>
                <w:sz w:val="13"/>
                <w:szCs w:val="13"/>
                <w:b w:val="1"/>
                <w:bCs w:val="1"/>
                <w:color w:val="auto"/>
              </w:rPr>
              <w:t>Included in</w:t>
            </w:r>
          </w:p>
        </w:tc>
        <w:tc>
          <w:tcPr>
            <w:tcW w:w="160" w:type="dxa"/>
            <w:vAlign w:val="bottom"/>
            <w:vMerge w:val="continue"/>
          </w:tcPr>
          <w:p>
            <w:pPr>
              <w:spacing w:after="0"/>
              <w:rPr>
                <w:sz w:val="10"/>
                <w:szCs w:val="10"/>
                <w:color w:val="auto"/>
              </w:rPr>
            </w:pPr>
          </w:p>
        </w:tc>
        <w:tc>
          <w:tcPr>
            <w:tcW w:w="80" w:type="dxa"/>
            <w:vAlign w:val="bottom"/>
          </w:tcPr>
          <w:p>
            <w:pPr>
              <w:spacing w:after="0"/>
              <w:rPr>
                <w:sz w:val="10"/>
                <w:szCs w:val="10"/>
                <w:color w:val="auto"/>
              </w:rPr>
            </w:pPr>
          </w:p>
        </w:tc>
        <w:tc>
          <w:tcPr>
            <w:tcW w:w="960" w:type="dxa"/>
            <w:vAlign w:val="bottom"/>
            <w:gridSpan w:val="2"/>
            <w:vMerge w:val="continue"/>
          </w:tcPr>
          <w:p>
            <w:pPr>
              <w:spacing w:after="0"/>
              <w:rPr>
                <w:sz w:val="10"/>
                <w:szCs w:val="10"/>
                <w:color w:val="auto"/>
              </w:rPr>
            </w:pPr>
          </w:p>
        </w:tc>
        <w:tc>
          <w:tcPr>
            <w:tcW w:w="120" w:type="dxa"/>
            <w:vAlign w:val="bottom"/>
          </w:tcPr>
          <w:p>
            <w:pPr>
              <w:spacing w:after="0"/>
              <w:rPr>
                <w:sz w:val="10"/>
                <w:szCs w:val="10"/>
                <w:color w:val="auto"/>
              </w:rPr>
            </w:pPr>
          </w:p>
        </w:tc>
        <w:tc>
          <w:tcPr>
            <w:tcW w:w="94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0"/>
              </w:rPr>
              <w:t>Transfers</w:t>
            </w:r>
          </w:p>
        </w:tc>
        <w:tc>
          <w:tcPr>
            <w:tcW w:w="120" w:type="dxa"/>
            <w:vAlign w:val="bottom"/>
          </w:tcPr>
          <w:p>
            <w:pPr>
              <w:spacing w:after="0"/>
              <w:rPr>
                <w:sz w:val="10"/>
                <w:szCs w:val="10"/>
                <w:color w:val="auto"/>
              </w:rPr>
            </w:pPr>
          </w:p>
        </w:tc>
        <w:tc>
          <w:tcPr>
            <w:tcW w:w="94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0"/>
              </w:rPr>
              <w:t>Transfers</w:t>
            </w:r>
          </w:p>
        </w:tc>
        <w:tc>
          <w:tcPr>
            <w:tcW w:w="120" w:type="dxa"/>
            <w:vAlign w:val="bottom"/>
          </w:tcPr>
          <w:p>
            <w:pPr>
              <w:spacing w:after="0"/>
              <w:rPr>
                <w:sz w:val="10"/>
                <w:szCs w:val="10"/>
                <w:color w:val="auto"/>
              </w:rPr>
            </w:pPr>
          </w:p>
        </w:tc>
        <w:tc>
          <w:tcPr>
            <w:tcW w:w="800" w:type="dxa"/>
            <w:vAlign w:val="bottom"/>
            <w:gridSpan w:val="2"/>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4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5"/>
              </w:rPr>
              <w:t>as of</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8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7"/>
              </w:rPr>
              <w:t>other</w:t>
            </w:r>
          </w:p>
        </w:tc>
        <w:tc>
          <w:tcPr>
            <w:tcW w:w="80" w:type="dxa"/>
            <w:vAlign w:val="bottom"/>
          </w:tcPr>
          <w:p>
            <w:pPr>
              <w:spacing w:after="0"/>
              <w:rPr>
                <w:sz w:val="12"/>
                <w:szCs w:val="12"/>
                <w:color w:val="auto"/>
              </w:rPr>
            </w:pPr>
          </w:p>
        </w:tc>
        <w:tc>
          <w:tcPr>
            <w:tcW w:w="9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6"/>
              </w:rPr>
              <w:t>and</w:t>
            </w:r>
          </w:p>
        </w:tc>
        <w:tc>
          <w:tcPr>
            <w:tcW w:w="120" w:type="dxa"/>
            <w:vAlign w:val="bottom"/>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5"/>
              </w:rPr>
              <w:t>as of</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4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5"/>
              </w:rPr>
              <w:t>January 1,</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8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9"/>
              </w:rPr>
              <w:t>net income</w:t>
            </w:r>
          </w:p>
        </w:tc>
        <w:tc>
          <w:tcPr>
            <w:tcW w:w="80" w:type="dxa"/>
            <w:vAlign w:val="bottom"/>
          </w:tcPr>
          <w:p>
            <w:pPr>
              <w:spacing w:after="0"/>
              <w:rPr>
                <w:sz w:val="12"/>
                <w:szCs w:val="12"/>
                <w:color w:val="auto"/>
              </w:rPr>
            </w:pPr>
          </w:p>
        </w:tc>
        <w:tc>
          <w:tcPr>
            <w:tcW w:w="1100" w:type="dxa"/>
            <w:vAlign w:val="bottom"/>
            <w:gridSpan w:val="3"/>
          </w:tcPr>
          <w:p>
            <w:pPr>
              <w:jc w:val="center"/>
              <w:ind w:right="180"/>
              <w:spacing w:after="0" w:line="149" w:lineRule="exact"/>
              <w:rPr>
                <w:sz w:val="20"/>
                <w:szCs w:val="20"/>
                <w:color w:val="auto"/>
              </w:rPr>
            </w:pPr>
            <w:r>
              <w:rPr>
                <w:rFonts w:ascii="Arial" w:cs="Arial" w:eastAsia="Arial" w:hAnsi="Arial"/>
                <w:sz w:val="14"/>
                <w:szCs w:val="14"/>
                <w:b w:val="1"/>
                <w:bCs w:val="1"/>
                <w:color w:val="auto"/>
                <w:w w:val="89"/>
              </w:rPr>
              <w:t>comprehensive</w:t>
            </w:r>
          </w:p>
        </w:tc>
        <w:tc>
          <w:tcPr>
            <w:tcW w:w="80" w:type="dxa"/>
            <w:vAlign w:val="bottom"/>
          </w:tcPr>
          <w:p>
            <w:pPr>
              <w:spacing w:after="0"/>
              <w:rPr>
                <w:sz w:val="12"/>
                <w:szCs w:val="12"/>
                <w:color w:val="auto"/>
              </w:rPr>
            </w:pPr>
          </w:p>
        </w:tc>
        <w:tc>
          <w:tcPr>
            <w:tcW w:w="9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7"/>
              </w:rPr>
              <w:t>settlements</w:t>
            </w:r>
          </w:p>
        </w:tc>
        <w:tc>
          <w:tcPr>
            <w:tcW w:w="120" w:type="dxa"/>
            <w:vAlign w:val="bottom"/>
          </w:tcPr>
          <w:p>
            <w:pPr>
              <w:spacing w:after="0"/>
              <w:rPr>
                <w:sz w:val="12"/>
                <w:szCs w:val="12"/>
                <w:color w:val="auto"/>
              </w:rPr>
            </w:pPr>
          </w:p>
        </w:tc>
        <w:tc>
          <w:tcPr>
            <w:tcW w:w="9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3"/>
              </w:rPr>
              <w:t>into</w:t>
            </w:r>
          </w:p>
        </w:tc>
        <w:tc>
          <w:tcPr>
            <w:tcW w:w="120" w:type="dxa"/>
            <w:vAlign w:val="bottom"/>
          </w:tcPr>
          <w:p>
            <w:pPr>
              <w:spacing w:after="0"/>
              <w:rPr>
                <w:sz w:val="12"/>
                <w:szCs w:val="12"/>
                <w:color w:val="auto"/>
              </w:rPr>
            </w:pPr>
          </w:p>
        </w:tc>
        <w:tc>
          <w:tcPr>
            <w:tcW w:w="94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2"/>
              </w:rPr>
              <w:t>out of</w:t>
            </w:r>
          </w:p>
        </w:tc>
        <w:tc>
          <w:tcPr>
            <w:tcW w:w="120" w:type="dxa"/>
            <w:vAlign w:val="bottom"/>
          </w:tcPr>
          <w:p>
            <w:pPr>
              <w:spacing w:after="0"/>
              <w:rPr>
                <w:sz w:val="12"/>
                <w:szCs w:val="12"/>
                <w:color w:val="auto"/>
              </w:rPr>
            </w:pPr>
          </w:p>
        </w:tc>
        <w:tc>
          <w:tcPr>
            <w:tcW w:w="80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9"/>
              </w:rPr>
              <w:t>June 30,</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80" w:type="dxa"/>
            <w:vAlign w:val="bottom"/>
          </w:tcPr>
          <w:p>
            <w:pPr>
              <w:jc w:val="center"/>
              <w:ind w:right="8"/>
              <w:spacing w:after="0"/>
              <w:rPr>
                <w:sz w:val="20"/>
                <w:szCs w:val="20"/>
                <w:color w:val="auto"/>
              </w:rPr>
            </w:pPr>
            <w:r>
              <w:rPr>
                <w:rFonts w:ascii="Arial" w:cs="Arial" w:eastAsia="Arial" w:hAnsi="Arial"/>
                <w:sz w:val="14"/>
                <w:szCs w:val="14"/>
                <w:b w:val="1"/>
                <w:bCs w:val="1"/>
                <w:color w:val="auto"/>
                <w:w w:val="96"/>
              </w:rPr>
              <w:t>2022</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tcPr>
          <w:p>
            <w:pPr>
              <w:jc w:val="center"/>
              <w:ind w:right="8"/>
              <w:spacing w:after="0"/>
              <w:rPr>
                <w:sz w:val="20"/>
                <w:szCs w:val="20"/>
                <w:color w:val="auto"/>
              </w:rPr>
            </w:pPr>
            <w:r>
              <w:rPr>
                <w:rFonts w:ascii="Arial" w:cs="Arial" w:eastAsia="Arial" w:hAnsi="Arial"/>
                <w:sz w:val="14"/>
                <w:szCs w:val="14"/>
                <w:b w:val="1"/>
                <w:bCs w:val="1"/>
                <w:color w:val="auto"/>
                <w:w w:val="93"/>
              </w:rPr>
              <w:t>(2)</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1"/>
              </w:rPr>
              <w:t>income (3)</w:t>
            </w:r>
          </w:p>
        </w:tc>
        <w:tc>
          <w:tcPr>
            <w:tcW w:w="80" w:type="dxa"/>
            <w:vAlign w:val="bottom"/>
          </w:tcPr>
          <w:p>
            <w:pPr>
              <w:spacing w:after="0"/>
              <w:rPr>
                <w:sz w:val="14"/>
                <w:szCs w:val="14"/>
                <w:color w:val="auto"/>
              </w:rPr>
            </w:pPr>
          </w:p>
        </w:tc>
        <w:tc>
          <w:tcPr>
            <w:tcW w:w="800" w:type="dxa"/>
            <w:vAlign w:val="bottom"/>
          </w:tcPr>
          <w:p>
            <w:pPr>
              <w:jc w:val="center"/>
              <w:ind w:right="8"/>
              <w:spacing w:after="0"/>
              <w:rPr>
                <w:sz w:val="20"/>
                <w:szCs w:val="20"/>
                <w:color w:val="auto"/>
              </w:rPr>
            </w:pPr>
            <w:r>
              <w:rPr>
                <w:rFonts w:ascii="Arial" w:cs="Arial" w:eastAsia="Arial" w:hAnsi="Arial"/>
                <w:sz w:val="14"/>
                <w:szCs w:val="14"/>
                <w:b w:val="1"/>
                <w:bCs w:val="1"/>
                <w:color w:val="auto"/>
                <w:w w:val="93"/>
              </w:rPr>
              <w:t>(4)</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2"/>
              </w:rPr>
              <w:t>Level 3</w:t>
            </w:r>
          </w:p>
        </w:tc>
        <w:tc>
          <w:tcPr>
            <w:tcW w:w="120" w:type="dxa"/>
            <w:vAlign w:val="bottom"/>
          </w:tcPr>
          <w:p>
            <w:pPr>
              <w:spacing w:after="0"/>
              <w:rPr>
                <w:sz w:val="14"/>
                <w:szCs w:val="14"/>
                <w:color w:val="auto"/>
              </w:rPr>
            </w:pPr>
          </w:p>
        </w:tc>
        <w:tc>
          <w:tcPr>
            <w:tcW w:w="94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2"/>
              </w:rPr>
              <w:t>Level 3</w:t>
            </w:r>
          </w:p>
        </w:tc>
        <w:tc>
          <w:tcPr>
            <w:tcW w:w="120" w:type="dxa"/>
            <w:vAlign w:val="bottom"/>
          </w:tcPr>
          <w:p>
            <w:pPr>
              <w:spacing w:after="0"/>
              <w:rPr>
                <w:sz w:val="14"/>
                <w:szCs w:val="14"/>
                <w:color w:val="auto"/>
              </w:rPr>
            </w:pPr>
          </w:p>
        </w:tc>
        <w:tc>
          <w:tcPr>
            <w:tcW w:w="780" w:type="dxa"/>
            <w:vAlign w:val="bottom"/>
          </w:tcPr>
          <w:p>
            <w:pPr>
              <w:jc w:val="center"/>
              <w:ind w:right="48"/>
              <w:spacing w:after="0"/>
              <w:rPr>
                <w:sz w:val="20"/>
                <w:szCs w:val="20"/>
                <w:color w:val="auto"/>
              </w:rPr>
            </w:pPr>
            <w:r>
              <w:rPr>
                <w:rFonts w:ascii="Arial" w:cs="Arial" w:eastAsia="Arial" w:hAnsi="Arial"/>
                <w:sz w:val="14"/>
                <w:szCs w:val="14"/>
                <w:b w:val="1"/>
                <w:bCs w:val="1"/>
                <w:color w:val="auto"/>
                <w:w w:val="96"/>
              </w:rPr>
              <w:t>2022</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24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780" w:type="dxa"/>
            <w:vAlign w:val="bottom"/>
            <w:tcBorders>
              <w:top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800" w:type="dxa"/>
            <w:vAlign w:val="bottom"/>
            <w:tcBorders>
              <w:top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84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800" w:type="dxa"/>
            <w:vAlign w:val="bottom"/>
            <w:tcBorders>
              <w:top w:val="single" w:sz="8" w:color="auto"/>
            </w:tcBorders>
          </w:tcPr>
          <w:p>
            <w:pPr>
              <w:jc w:val="center"/>
              <w:ind w:right="28"/>
              <w:spacing w:after="0" w:line="129" w:lineRule="exact"/>
              <w:rPr>
                <w:sz w:val="20"/>
                <w:szCs w:val="20"/>
                <w:color w:val="auto"/>
              </w:rPr>
            </w:pPr>
            <w:r>
              <w:rPr>
                <w:rFonts w:ascii="Arial" w:cs="Arial" w:eastAsia="Arial" w:hAnsi="Arial"/>
                <w:sz w:val="14"/>
                <w:szCs w:val="14"/>
                <w:i w:val="1"/>
                <w:iCs w:val="1"/>
                <w:color w:val="auto"/>
                <w:w w:val="98"/>
              </w:rPr>
              <w:t>(in millions)</w:t>
            </w:r>
          </w:p>
        </w:tc>
        <w:tc>
          <w:tcPr>
            <w:tcW w:w="16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78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78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78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6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Assets</w:t>
            </w:r>
          </w:p>
        </w:tc>
        <w:tc>
          <w:tcPr>
            <w:tcW w:w="10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640" w:type="dxa"/>
            <w:vAlign w:val="bottom"/>
            <w:gridSpan w:val="2"/>
          </w:tcPr>
          <w:p>
            <w:pPr>
              <w:spacing w:after="0" w:line="149" w:lineRule="exact"/>
              <w:rPr>
                <w:sz w:val="20"/>
                <w:szCs w:val="20"/>
                <w:color w:val="auto"/>
              </w:rPr>
            </w:pPr>
            <w:r>
              <w:rPr>
                <w:rFonts w:ascii="Arial" w:cs="Arial" w:eastAsia="Arial" w:hAnsi="Arial"/>
                <w:sz w:val="14"/>
                <w:szCs w:val="14"/>
                <w:color w:val="auto"/>
              </w:rPr>
              <w:t>Fixed maturities, available-for-sale:</w:t>
            </w:r>
          </w:p>
        </w:tc>
        <w:tc>
          <w:tcPr>
            <w:tcW w:w="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2640" w:type="dxa"/>
            <w:vAlign w:val="bottom"/>
            <w:gridSpan w:val="2"/>
            <w:shd w:val="clear" w:color="auto" w:fill="CCEEFF"/>
          </w:tcPr>
          <w:p>
            <w:pPr>
              <w:ind w:left="100"/>
              <w:spacing w:after="0"/>
              <w:rPr>
                <w:sz w:val="20"/>
                <w:szCs w:val="20"/>
                <w:color w:val="auto"/>
              </w:rPr>
            </w:pPr>
            <w:r>
              <w:rPr>
                <w:rFonts w:ascii="Arial" w:cs="Arial" w:eastAsia="Arial" w:hAnsi="Arial"/>
                <w:sz w:val="14"/>
                <w:szCs w:val="14"/>
                <w:color w:val="auto"/>
              </w:rPr>
              <w:t>States and political subdivisions</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w w:val="76"/>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94.8</w:t>
            </w:r>
          </w:p>
        </w:tc>
        <w:tc>
          <w:tcPr>
            <w:tcW w:w="80" w:type="dxa"/>
            <w:vAlign w:val="bottom"/>
            <w:shd w:val="clear" w:color="auto" w:fill="CCEEFF"/>
          </w:tcPr>
          <w:p>
            <w:pPr>
              <w:spacing w:after="0"/>
              <w:rPr>
                <w:sz w:val="14"/>
                <w:szCs w:val="14"/>
                <w:color w:val="auto"/>
              </w:rPr>
            </w:pPr>
          </w:p>
        </w:tc>
        <w:tc>
          <w:tcPr>
            <w:tcW w:w="18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b w:val="1"/>
                <w:bCs w:val="1"/>
                <w:color w:val="auto"/>
              </w:rPr>
              <w:t>$</w:t>
            </w:r>
          </w:p>
        </w:tc>
        <w:tc>
          <w:tcPr>
            <w:tcW w:w="88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b w:val="1"/>
                <w:bCs w:val="1"/>
                <w:color w:val="auto"/>
              </w:rPr>
              <w:t>—</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b w:val="1"/>
                <w:bCs w:val="1"/>
                <w:color w:val="auto"/>
              </w:rPr>
              <w:t>(19.3)</w:t>
            </w: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b w:val="1"/>
                <w:bCs w:val="1"/>
                <w:color w:val="auto"/>
                <w:w w:val="71"/>
              </w:rPr>
              <w:t>$</w:t>
            </w: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b w:val="1"/>
                <w:bCs w:val="1"/>
                <w:color w:val="auto"/>
              </w:rPr>
              <w:t>(0.8)</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w w:val="76"/>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12.0</w:t>
            </w:r>
          </w:p>
        </w:tc>
        <w:tc>
          <w:tcPr>
            <w:tcW w:w="160" w:type="dxa"/>
            <w:vAlign w:val="bottom"/>
            <w:shd w:val="clear" w:color="auto" w:fill="CCEEFF"/>
          </w:tcPr>
          <w:p>
            <w:pPr>
              <w:spacing w:after="0"/>
              <w:rPr>
                <w:sz w:val="14"/>
                <w:szCs w:val="14"/>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w w:val="76"/>
              </w:rPr>
              <w:t>$</w:t>
            </w:r>
          </w:p>
        </w:tc>
        <w:tc>
          <w:tcPr>
            <w:tcW w:w="9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b w:val="1"/>
                <w:bCs w:val="1"/>
                <w:color w:val="auto"/>
              </w:rPr>
              <w:t>—</w:t>
            </w:r>
          </w:p>
        </w:tc>
        <w:tc>
          <w:tcPr>
            <w:tcW w:w="120" w:type="dxa"/>
            <w:vAlign w:val="bottom"/>
            <w:shd w:val="clear" w:color="auto" w:fill="CCEEFF"/>
          </w:tcPr>
          <w:p>
            <w:pPr>
              <w:jc w:val="right"/>
              <w:ind w:right="9"/>
              <w:spacing w:after="0"/>
              <w:rPr>
                <w:sz w:val="20"/>
                <w:szCs w:val="20"/>
                <w:color w:val="auto"/>
              </w:rPr>
            </w:pPr>
            <w:r>
              <w:rPr>
                <w:rFonts w:ascii="Arial" w:cs="Arial" w:eastAsia="Arial" w:hAnsi="Arial"/>
                <w:sz w:val="10"/>
                <w:szCs w:val="10"/>
                <w:b w:val="1"/>
                <w:bCs w:val="1"/>
                <w:color w:val="auto"/>
                <w:w w:val="71"/>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86.7</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2640" w:type="dxa"/>
            <w:vAlign w:val="bottom"/>
            <w:gridSpan w:val="2"/>
          </w:tcPr>
          <w:p>
            <w:pPr>
              <w:ind w:left="100"/>
              <w:spacing w:after="0"/>
              <w:rPr>
                <w:sz w:val="20"/>
                <w:szCs w:val="20"/>
                <w:color w:val="auto"/>
              </w:rPr>
            </w:pPr>
            <w:r>
              <w:rPr>
                <w:rFonts w:ascii="Arial" w:cs="Arial" w:eastAsia="Arial" w:hAnsi="Arial"/>
                <w:sz w:val="14"/>
                <w:szCs w:val="14"/>
                <w:color w:val="auto"/>
              </w:rPr>
              <w:t>Corporate</w:t>
            </w:r>
          </w:p>
        </w:tc>
        <w:tc>
          <w:tcPr>
            <w:tcW w:w="10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b w:val="1"/>
                <w:bCs w:val="1"/>
                <w:color w:val="auto"/>
              </w:rPr>
              <w:t>834.3</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80" w:type="dxa"/>
            <w:vAlign w:val="bottom"/>
            <w:gridSpan w:val="2"/>
          </w:tcPr>
          <w:p>
            <w:pPr>
              <w:jc w:val="right"/>
              <w:ind w:right="80"/>
              <w:spacing w:after="0"/>
              <w:rPr>
                <w:sz w:val="20"/>
                <w:szCs w:val="20"/>
                <w:color w:val="auto"/>
              </w:rPr>
            </w:pPr>
            <w:r>
              <w:rPr>
                <w:rFonts w:ascii="Arial" w:cs="Arial" w:eastAsia="Arial" w:hAnsi="Arial"/>
                <w:sz w:val="14"/>
                <w:szCs w:val="14"/>
                <w:b w:val="1"/>
                <w:bCs w:val="1"/>
                <w:color w:val="auto"/>
              </w:rPr>
              <w:t>(3.4)</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4"/>
                <w:szCs w:val="14"/>
                <w:b w:val="1"/>
                <w:bCs w:val="1"/>
                <w:color w:val="auto"/>
              </w:rPr>
              <w:t>(26.6)</w:t>
            </w:r>
          </w:p>
        </w:tc>
        <w:tc>
          <w:tcPr>
            <w:tcW w:w="8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b w:val="1"/>
                <w:bCs w:val="1"/>
                <w:color w:val="auto"/>
              </w:rPr>
              <w:t>268.1</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b w:val="1"/>
                <w:bCs w:val="1"/>
                <w:color w:val="auto"/>
              </w:rPr>
              <w:t>176.3</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gridSpan w:val="2"/>
          </w:tcPr>
          <w:p>
            <w:pPr>
              <w:jc w:val="right"/>
              <w:ind w:right="220"/>
              <w:spacing w:after="0"/>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b w:val="1"/>
                <w:bCs w:val="1"/>
                <w:color w:val="auto"/>
              </w:rPr>
              <w:t>1,248.7</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2640" w:type="dxa"/>
            <w:vAlign w:val="bottom"/>
            <w:gridSpan w:val="2"/>
            <w:shd w:val="clear" w:color="auto" w:fill="CCEEFF"/>
          </w:tcPr>
          <w:p>
            <w:pPr>
              <w:ind w:left="100"/>
              <w:spacing w:after="0"/>
              <w:rPr>
                <w:sz w:val="20"/>
                <w:szCs w:val="20"/>
                <w:color w:val="auto"/>
              </w:rPr>
            </w:pPr>
            <w:r>
              <w:rPr>
                <w:rFonts w:ascii="Arial" w:cs="Arial" w:eastAsia="Arial" w:hAnsi="Arial"/>
                <w:sz w:val="14"/>
                <w:szCs w:val="14"/>
                <w:color w:val="auto"/>
              </w:rPr>
              <w:t>Commercial mortgage-backed securities</w:t>
            </w:r>
          </w:p>
        </w:tc>
        <w:tc>
          <w:tcPr>
            <w:tcW w:w="100" w:type="dxa"/>
            <w:vAlign w:val="bottom"/>
            <w:shd w:val="clear" w:color="auto" w:fill="CCEEFF"/>
          </w:tcPr>
          <w:p>
            <w:pPr>
              <w:spacing w:after="0"/>
              <w:rPr>
                <w:sz w:val="14"/>
                <w:szCs w:val="1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19.2</w:t>
            </w:r>
          </w:p>
        </w:tc>
        <w:tc>
          <w:tcPr>
            <w:tcW w:w="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8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b w:val="1"/>
                <w:bCs w:val="1"/>
                <w:color w:val="auto"/>
              </w:rPr>
              <w:t>(0.7)</w:t>
            </w:r>
          </w:p>
        </w:tc>
        <w:tc>
          <w:tcPr>
            <w:tcW w:w="80" w:type="dxa"/>
            <w:vAlign w:val="bottom"/>
            <w:shd w:val="clear" w:color="auto" w:fill="CCEEFF"/>
          </w:tcPr>
          <w:p>
            <w:pPr>
              <w:spacing w:after="0"/>
              <w:rPr>
                <w:sz w:val="14"/>
                <w:szCs w:val="14"/>
                <w:color w:val="auto"/>
              </w:rPr>
            </w:pP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b w:val="1"/>
                <w:bCs w:val="1"/>
                <w:color w:val="auto"/>
              </w:rPr>
              <w:t>(4.5)</w:t>
            </w:r>
          </w:p>
        </w:tc>
        <w:tc>
          <w:tcPr>
            <w:tcW w:w="120" w:type="dxa"/>
            <w:vAlign w:val="bottom"/>
            <w:shd w:val="clear" w:color="auto" w:fill="CCEEFF"/>
          </w:tcPr>
          <w:p>
            <w:pPr>
              <w:spacing w:after="0"/>
              <w:rPr>
                <w:sz w:val="14"/>
                <w:szCs w:val="14"/>
                <w:color w:val="auto"/>
              </w:rPr>
            </w:pPr>
          </w:p>
        </w:tc>
        <w:tc>
          <w:tcPr>
            <w:tcW w:w="9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b w:val="1"/>
                <w:bCs w:val="1"/>
                <w:color w:val="auto"/>
              </w:rPr>
              <w:t>—</w:t>
            </w:r>
          </w:p>
        </w:tc>
        <w:tc>
          <w:tcPr>
            <w:tcW w:w="120" w:type="dxa"/>
            <w:vAlign w:val="bottom"/>
            <w:shd w:val="clear" w:color="auto" w:fill="CCEEFF"/>
          </w:tcPr>
          <w:p>
            <w:pPr>
              <w:spacing w:after="0"/>
              <w:rPr>
                <w:sz w:val="14"/>
                <w:szCs w:val="14"/>
                <w:color w:val="auto"/>
              </w:rPr>
            </w:pPr>
          </w:p>
        </w:tc>
        <w:tc>
          <w:tcPr>
            <w:tcW w:w="94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b w:val="1"/>
                <w:bCs w:val="1"/>
                <w:color w:val="auto"/>
              </w:rPr>
              <w:t>(10.2)</w:t>
            </w:r>
          </w:p>
        </w:tc>
        <w:tc>
          <w:tcPr>
            <w:tcW w:w="120" w:type="dxa"/>
            <w:vAlign w:val="bottom"/>
            <w:shd w:val="clear" w:color="auto" w:fill="CCEEFF"/>
          </w:tcPr>
          <w:p>
            <w:pPr>
              <w:spacing w:after="0"/>
              <w:rPr>
                <w:sz w:val="14"/>
                <w:szCs w:val="1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3.8</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2640" w:type="dxa"/>
            <w:vAlign w:val="bottom"/>
            <w:gridSpan w:val="2"/>
          </w:tcPr>
          <w:p>
            <w:pPr>
              <w:ind w:left="100"/>
              <w:spacing w:after="0"/>
              <w:rPr>
                <w:sz w:val="20"/>
                <w:szCs w:val="20"/>
                <w:color w:val="auto"/>
              </w:rPr>
            </w:pPr>
            <w:r>
              <w:rPr>
                <w:rFonts w:ascii="Arial" w:cs="Arial" w:eastAsia="Arial" w:hAnsi="Arial"/>
                <w:sz w:val="14"/>
                <w:szCs w:val="14"/>
                <w:color w:val="auto"/>
              </w:rPr>
              <w:t>Collateralized debt obligations</w:t>
            </w:r>
          </w:p>
        </w:tc>
        <w:tc>
          <w:tcPr>
            <w:tcW w:w="10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b w:val="1"/>
                <w:bCs w:val="1"/>
                <w:color w:val="auto"/>
              </w:rPr>
              <w:t>85.8</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4"/>
                <w:szCs w:val="14"/>
                <w:b w:val="1"/>
                <w:bCs w:val="1"/>
                <w:color w:val="auto"/>
              </w:rPr>
              <w:t>(0.7)</w:t>
            </w:r>
          </w:p>
        </w:tc>
        <w:tc>
          <w:tcPr>
            <w:tcW w:w="8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b w:val="1"/>
                <w:bCs w:val="1"/>
                <w:color w:val="auto"/>
              </w:rPr>
              <w:t>55.5</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gridSpan w:val="2"/>
          </w:tcPr>
          <w:p>
            <w:pPr>
              <w:jc w:val="right"/>
              <w:ind w:right="220"/>
              <w:spacing w:after="0"/>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4"/>
                <w:szCs w:val="14"/>
                <w:color w:val="auto"/>
              </w:rPr>
            </w:pPr>
          </w:p>
        </w:tc>
        <w:tc>
          <w:tcPr>
            <w:tcW w:w="940" w:type="dxa"/>
            <w:vAlign w:val="bottom"/>
            <w:gridSpan w:val="2"/>
          </w:tcPr>
          <w:p>
            <w:pPr>
              <w:jc w:val="right"/>
              <w:ind w:right="160"/>
              <w:spacing w:after="0"/>
              <w:rPr>
                <w:sz w:val="20"/>
                <w:szCs w:val="20"/>
                <w:color w:val="auto"/>
              </w:rPr>
            </w:pPr>
            <w:r>
              <w:rPr>
                <w:rFonts w:ascii="Arial" w:cs="Arial" w:eastAsia="Arial" w:hAnsi="Arial"/>
                <w:sz w:val="14"/>
                <w:szCs w:val="14"/>
                <w:b w:val="1"/>
                <w:bCs w:val="1"/>
                <w:color w:val="auto"/>
              </w:rPr>
              <w:t>(139.3)</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b w:val="1"/>
                <w:bCs w:val="1"/>
                <w:color w:val="auto"/>
              </w:rPr>
              <w:t>1.3</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2640" w:type="dxa"/>
            <w:vAlign w:val="bottom"/>
            <w:gridSpan w:val="2"/>
            <w:shd w:val="clear" w:color="auto" w:fill="CCEEFF"/>
          </w:tcPr>
          <w:p>
            <w:pPr>
              <w:ind w:left="100"/>
              <w:spacing w:after="0"/>
              <w:rPr>
                <w:sz w:val="20"/>
                <w:szCs w:val="20"/>
                <w:color w:val="auto"/>
              </w:rPr>
            </w:pPr>
            <w:r>
              <w:rPr>
                <w:rFonts w:ascii="Arial" w:cs="Arial" w:eastAsia="Arial" w:hAnsi="Arial"/>
                <w:sz w:val="14"/>
                <w:szCs w:val="14"/>
                <w:color w:val="auto"/>
              </w:rPr>
              <w:t>Other debt obligations</w:t>
            </w:r>
          </w:p>
        </w:tc>
        <w:tc>
          <w:tcPr>
            <w:tcW w:w="100" w:type="dxa"/>
            <w:vAlign w:val="bottom"/>
            <w:shd w:val="clear" w:color="auto" w:fill="CCEEFF"/>
          </w:tcPr>
          <w:p>
            <w:pPr>
              <w:spacing w:after="0"/>
              <w:rPr>
                <w:sz w:val="14"/>
                <w:szCs w:val="1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42.1</w:t>
            </w:r>
          </w:p>
        </w:tc>
        <w:tc>
          <w:tcPr>
            <w:tcW w:w="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8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b w:val="1"/>
                <w:bCs w:val="1"/>
                <w:color w:val="auto"/>
              </w:rPr>
              <w:t>(0.6)</w:t>
            </w:r>
          </w:p>
        </w:tc>
        <w:tc>
          <w:tcPr>
            <w:tcW w:w="80" w:type="dxa"/>
            <w:vAlign w:val="bottom"/>
            <w:shd w:val="clear" w:color="auto" w:fill="CCEEFF"/>
          </w:tcPr>
          <w:p>
            <w:pPr>
              <w:spacing w:after="0"/>
              <w:rPr>
                <w:sz w:val="14"/>
                <w:szCs w:val="14"/>
                <w:color w:val="auto"/>
              </w:rPr>
            </w:pP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b w:val="1"/>
                <w:bCs w:val="1"/>
                <w:color w:val="auto"/>
              </w:rPr>
              <w:t>(0.7)</w:t>
            </w:r>
          </w:p>
        </w:tc>
        <w:tc>
          <w:tcPr>
            <w:tcW w:w="120" w:type="dxa"/>
            <w:vAlign w:val="bottom"/>
            <w:shd w:val="clear" w:color="auto" w:fill="CCEEFF"/>
          </w:tcPr>
          <w:p>
            <w:pPr>
              <w:spacing w:after="0"/>
              <w:rPr>
                <w:sz w:val="14"/>
                <w:szCs w:val="14"/>
                <w:color w:val="auto"/>
              </w:rPr>
            </w:pPr>
          </w:p>
        </w:tc>
        <w:tc>
          <w:tcPr>
            <w:tcW w:w="9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b w:val="1"/>
                <w:bCs w:val="1"/>
                <w:color w:val="auto"/>
              </w:rPr>
              <w:t>—</w:t>
            </w:r>
          </w:p>
        </w:tc>
        <w:tc>
          <w:tcPr>
            <w:tcW w:w="120" w:type="dxa"/>
            <w:vAlign w:val="bottom"/>
            <w:shd w:val="clear" w:color="auto" w:fill="CCEEFF"/>
          </w:tcPr>
          <w:p>
            <w:pPr>
              <w:spacing w:after="0"/>
              <w:rPr>
                <w:sz w:val="14"/>
                <w:szCs w:val="14"/>
                <w:color w:val="auto"/>
              </w:rPr>
            </w:pPr>
          </w:p>
        </w:tc>
        <w:tc>
          <w:tcPr>
            <w:tcW w:w="94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b w:val="1"/>
                <w:bCs w:val="1"/>
                <w:color w:val="auto"/>
              </w:rPr>
              <w:t>(20.0)</w:t>
            </w:r>
          </w:p>
        </w:tc>
        <w:tc>
          <w:tcPr>
            <w:tcW w:w="120" w:type="dxa"/>
            <w:vAlign w:val="bottom"/>
            <w:shd w:val="clear" w:color="auto" w:fill="CCEEFF"/>
          </w:tcPr>
          <w:p>
            <w:pPr>
              <w:spacing w:after="0"/>
              <w:rPr>
                <w:sz w:val="14"/>
                <w:szCs w:val="1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20.8</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640" w:type="dxa"/>
            <w:vAlign w:val="bottom"/>
            <w:gridSpan w:val="2"/>
          </w:tcPr>
          <w:p>
            <w:pPr>
              <w:spacing w:after="0" w:line="142" w:lineRule="exact"/>
              <w:rPr>
                <w:sz w:val="20"/>
                <w:szCs w:val="20"/>
                <w:color w:val="auto"/>
              </w:rPr>
            </w:pPr>
            <w:r>
              <w:rPr>
                <w:rFonts w:ascii="Arial" w:cs="Arial" w:eastAsia="Arial" w:hAnsi="Arial"/>
                <w:sz w:val="14"/>
                <w:szCs w:val="14"/>
                <w:color w:val="auto"/>
              </w:rPr>
              <w:t>Total fixed maturities, available-for-sale</w:t>
            </w:r>
          </w:p>
        </w:tc>
        <w:tc>
          <w:tcPr>
            <w:tcW w:w="10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1,076.2</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8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(3.4)</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84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(47.9)</w:t>
            </w: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317.6</w:t>
            </w:r>
          </w:p>
        </w:tc>
        <w:tc>
          <w:tcPr>
            <w:tcW w:w="16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188.3</w:t>
            </w:r>
          </w:p>
        </w:tc>
        <w:tc>
          <w:tcPr>
            <w:tcW w:w="16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(169.5)</w:t>
            </w:r>
          </w:p>
        </w:tc>
        <w:tc>
          <w:tcPr>
            <w:tcW w:w="16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1,361.3</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264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Fixed maturities, trading</w:t>
            </w:r>
          </w:p>
        </w:tc>
        <w:tc>
          <w:tcPr>
            <w:tcW w:w="100" w:type="dxa"/>
            <w:vAlign w:val="bottom"/>
            <w:shd w:val="clear" w:color="auto" w:fill="CCEEFF"/>
          </w:tcPr>
          <w:p>
            <w:pPr>
              <w:spacing w:after="0"/>
              <w:rPr>
                <w:sz w:val="14"/>
                <w:szCs w:val="1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4.9</w:t>
            </w:r>
          </w:p>
        </w:tc>
        <w:tc>
          <w:tcPr>
            <w:tcW w:w="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8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b w:val="1"/>
                <w:bCs w:val="1"/>
                <w:color w:val="auto"/>
              </w:rPr>
              <w:t>(0.5)</w:t>
            </w:r>
          </w:p>
        </w:tc>
        <w:tc>
          <w:tcPr>
            <w:tcW w:w="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4"/>
                <w:szCs w:val="1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52.3</w:t>
            </w:r>
          </w:p>
        </w:tc>
        <w:tc>
          <w:tcPr>
            <w:tcW w:w="1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29.0</w:t>
            </w:r>
          </w:p>
        </w:tc>
        <w:tc>
          <w:tcPr>
            <w:tcW w:w="1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b w:val="1"/>
                <w:bCs w:val="1"/>
                <w:color w:val="auto"/>
              </w:rPr>
              <w:t>—</w:t>
            </w:r>
          </w:p>
        </w:tc>
        <w:tc>
          <w:tcPr>
            <w:tcW w:w="120" w:type="dxa"/>
            <w:vAlign w:val="bottom"/>
            <w:shd w:val="clear" w:color="auto" w:fill="CCEEFF"/>
          </w:tcPr>
          <w:p>
            <w:pPr>
              <w:spacing w:after="0"/>
              <w:rPr>
                <w:sz w:val="14"/>
                <w:szCs w:val="1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85.7</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2640" w:type="dxa"/>
            <w:vAlign w:val="bottom"/>
            <w:gridSpan w:val="2"/>
          </w:tcPr>
          <w:p>
            <w:pPr>
              <w:spacing w:after="0"/>
              <w:rPr>
                <w:sz w:val="20"/>
                <w:szCs w:val="20"/>
                <w:color w:val="auto"/>
              </w:rPr>
            </w:pPr>
            <w:r>
              <w:rPr>
                <w:rFonts w:ascii="Arial" w:cs="Arial" w:eastAsia="Arial" w:hAnsi="Arial"/>
                <w:sz w:val="14"/>
                <w:szCs w:val="14"/>
                <w:color w:val="auto"/>
              </w:rPr>
              <w:t>Other investments</w:t>
            </w:r>
          </w:p>
        </w:tc>
        <w:tc>
          <w:tcPr>
            <w:tcW w:w="10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b w:val="1"/>
                <w:bCs w:val="1"/>
                <w:color w:val="auto"/>
              </w:rPr>
              <w:t>2.1</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4"/>
                <w:szCs w:val="14"/>
                <w:b w:val="1"/>
                <w:bCs w:val="1"/>
                <w:color w:val="auto"/>
              </w:rPr>
              <w:t>(0.7)</w:t>
            </w:r>
          </w:p>
        </w:tc>
        <w:tc>
          <w:tcPr>
            <w:tcW w:w="80" w:type="dxa"/>
            <w:vAlign w:val="bottom"/>
          </w:tcPr>
          <w:p>
            <w:pPr>
              <w:spacing w:after="0"/>
              <w:rPr>
                <w:sz w:val="14"/>
                <w:szCs w:val="14"/>
                <w:color w:val="auto"/>
              </w:rPr>
            </w:pPr>
          </w:p>
        </w:tc>
        <w:tc>
          <w:tcPr>
            <w:tcW w:w="960" w:type="dxa"/>
            <w:vAlign w:val="bottom"/>
            <w:gridSpan w:val="2"/>
          </w:tcPr>
          <w:p>
            <w:pPr>
              <w:jc w:val="right"/>
              <w:ind w:right="200"/>
              <w:spacing w:after="0"/>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4"/>
                <w:szCs w:val="14"/>
                <w:color w:val="auto"/>
              </w:rPr>
            </w:pPr>
          </w:p>
        </w:tc>
        <w:tc>
          <w:tcPr>
            <w:tcW w:w="940" w:type="dxa"/>
            <w:vAlign w:val="bottom"/>
            <w:gridSpan w:val="2"/>
          </w:tcPr>
          <w:p>
            <w:pPr>
              <w:jc w:val="right"/>
              <w:ind w:right="220"/>
              <w:spacing w:after="0"/>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4"/>
                <w:szCs w:val="14"/>
                <w:color w:val="auto"/>
              </w:rPr>
            </w:pPr>
          </w:p>
        </w:tc>
        <w:tc>
          <w:tcPr>
            <w:tcW w:w="940" w:type="dxa"/>
            <w:vAlign w:val="bottom"/>
            <w:gridSpan w:val="2"/>
          </w:tcPr>
          <w:p>
            <w:pPr>
              <w:jc w:val="right"/>
              <w:ind w:right="220"/>
              <w:spacing w:after="0"/>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b w:val="1"/>
                <w:bCs w:val="1"/>
                <w:color w:val="auto"/>
              </w:rPr>
              <w:t>1.4</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264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Separate account assets (1)</w:t>
            </w:r>
          </w:p>
        </w:tc>
        <w:tc>
          <w:tcPr>
            <w:tcW w:w="100" w:type="dxa"/>
            <w:vAlign w:val="bottom"/>
            <w:shd w:val="clear" w:color="auto" w:fill="CCEEFF"/>
          </w:tcPr>
          <w:p>
            <w:pPr>
              <w:spacing w:after="0"/>
              <w:rPr>
                <w:sz w:val="14"/>
                <w:szCs w:val="1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945.3</w:t>
            </w:r>
          </w:p>
        </w:tc>
        <w:tc>
          <w:tcPr>
            <w:tcW w:w="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115.7</w:t>
            </w:r>
          </w:p>
        </w:tc>
        <w:tc>
          <w:tcPr>
            <w:tcW w:w="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4"/>
                <w:szCs w:val="14"/>
                <w:color w:val="auto"/>
              </w:rPr>
            </w:pP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b w:val="1"/>
                <w:bCs w:val="1"/>
                <w:color w:val="auto"/>
              </w:rPr>
              <w:t>(2.4)</w:t>
            </w:r>
          </w:p>
        </w:tc>
        <w:tc>
          <w:tcPr>
            <w:tcW w:w="120" w:type="dxa"/>
            <w:vAlign w:val="bottom"/>
            <w:shd w:val="clear" w:color="auto" w:fill="CCEEFF"/>
          </w:tcPr>
          <w:p>
            <w:pPr>
              <w:spacing w:after="0"/>
              <w:rPr>
                <w:sz w:val="14"/>
                <w:szCs w:val="14"/>
                <w:color w:val="auto"/>
              </w:rPr>
            </w:pPr>
          </w:p>
        </w:tc>
        <w:tc>
          <w:tcPr>
            <w:tcW w:w="9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b w:val="1"/>
                <w:bCs w:val="1"/>
                <w:color w:val="auto"/>
              </w:rPr>
              <w:t>—</w:t>
            </w:r>
          </w:p>
        </w:tc>
        <w:tc>
          <w:tcPr>
            <w:tcW w:w="120" w:type="dxa"/>
            <w:vAlign w:val="bottom"/>
            <w:shd w:val="clear" w:color="auto" w:fill="CCEEFF"/>
          </w:tcPr>
          <w:p>
            <w:pPr>
              <w:spacing w:after="0"/>
              <w:rPr>
                <w:sz w:val="14"/>
                <w:szCs w:val="14"/>
                <w:color w:val="auto"/>
              </w:rPr>
            </w:pPr>
          </w:p>
        </w:tc>
        <w:tc>
          <w:tcPr>
            <w:tcW w:w="9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b w:val="1"/>
                <w:bCs w:val="1"/>
                <w:color w:val="auto"/>
              </w:rPr>
              <w:t>—</w:t>
            </w:r>
          </w:p>
        </w:tc>
        <w:tc>
          <w:tcPr>
            <w:tcW w:w="120" w:type="dxa"/>
            <w:vAlign w:val="bottom"/>
            <w:shd w:val="clear" w:color="auto" w:fill="CCEEFF"/>
          </w:tcPr>
          <w:p>
            <w:pPr>
              <w:spacing w:after="0"/>
              <w:rPr>
                <w:sz w:val="14"/>
                <w:szCs w:val="1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1,058.6</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vMerge w:val="restart"/>
          </w:tcPr>
          <w:p>
            <w:pPr>
              <w:spacing w:after="0"/>
              <w:rPr>
                <w:sz w:val="14"/>
                <w:szCs w:val="14"/>
                <w:color w:val="auto"/>
              </w:rPr>
            </w:pPr>
          </w:p>
        </w:tc>
        <w:tc>
          <w:tcPr>
            <w:tcW w:w="24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vMerge w:val="continue"/>
          </w:tcPr>
          <w:p>
            <w:pPr>
              <w:spacing w:after="0"/>
              <w:rPr>
                <w:sz w:val="14"/>
                <w:szCs w:val="14"/>
                <w:color w:val="auto"/>
              </w:rPr>
            </w:pPr>
          </w:p>
        </w:tc>
        <w:tc>
          <w:tcPr>
            <w:tcW w:w="2640" w:type="dxa"/>
            <w:vAlign w:val="bottom"/>
            <w:gridSpan w:val="2"/>
            <w:shd w:val="clear" w:color="auto" w:fill="CCEEFF"/>
          </w:tcPr>
          <w:p>
            <w:pPr>
              <w:spacing w:after="0"/>
              <w:rPr>
                <w:sz w:val="20"/>
                <w:szCs w:val="20"/>
                <w:color w:val="auto"/>
              </w:rPr>
            </w:pPr>
            <w:r>
              <w:rPr>
                <w:rFonts w:ascii="Arial" w:cs="Arial" w:eastAsia="Arial" w:hAnsi="Arial"/>
                <w:sz w:val="14"/>
                <w:szCs w:val="14"/>
                <w:b w:val="1"/>
                <w:bCs w:val="1"/>
                <w:color w:val="auto"/>
              </w:rPr>
              <w:t>Liabilities</w:t>
            </w:r>
          </w:p>
        </w:tc>
        <w:tc>
          <w:tcPr>
            <w:tcW w:w="10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2640" w:type="dxa"/>
            <w:vAlign w:val="bottom"/>
            <w:gridSpan w:val="2"/>
          </w:tcPr>
          <w:p>
            <w:pPr>
              <w:spacing w:after="0"/>
              <w:rPr>
                <w:sz w:val="20"/>
                <w:szCs w:val="20"/>
                <w:color w:val="auto"/>
              </w:rPr>
            </w:pPr>
            <w:r>
              <w:rPr>
                <w:rFonts w:ascii="Arial" w:cs="Arial" w:eastAsia="Arial" w:hAnsi="Arial"/>
                <w:sz w:val="14"/>
                <w:szCs w:val="14"/>
                <w:color w:val="auto"/>
              </w:rPr>
              <w:t>Investment and universal life contracts</w:t>
            </w:r>
          </w:p>
        </w:tc>
        <w:tc>
          <w:tcPr>
            <w:tcW w:w="100" w:type="dxa"/>
            <w:vAlign w:val="bottom"/>
          </w:tcPr>
          <w:p>
            <w:pPr>
              <w:spacing w:after="0"/>
              <w:rPr>
                <w:sz w:val="14"/>
                <w:szCs w:val="14"/>
                <w:color w:val="auto"/>
              </w:rPr>
            </w:pPr>
          </w:p>
        </w:tc>
        <w:tc>
          <w:tcPr>
            <w:tcW w:w="860" w:type="dxa"/>
            <w:vAlign w:val="bottom"/>
            <w:gridSpan w:val="2"/>
          </w:tcPr>
          <w:p>
            <w:pPr>
              <w:jc w:val="right"/>
              <w:ind w:right="80"/>
              <w:spacing w:after="0"/>
              <w:rPr>
                <w:sz w:val="20"/>
                <w:szCs w:val="20"/>
                <w:color w:val="auto"/>
              </w:rPr>
            </w:pPr>
            <w:r>
              <w:rPr>
                <w:rFonts w:ascii="Arial" w:cs="Arial" w:eastAsia="Arial" w:hAnsi="Arial"/>
                <w:sz w:val="14"/>
                <w:szCs w:val="14"/>
                <w:b w:val="1"/>
                <w:bCs w:val="1"/>
                <w:color w:val="auto"/>
              </w:rPr>
              <w:t>(356.3)</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b w:val="1"/>
                <w:bCs w:val="1"/>
                <w:color w:val="auto"/>
              </w:rPr>
              <w:t>268.2</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b w:val="1"/>
                <w:bCs w:val="1"/>
                <w:color w:val="auto"/>
              </w:rPr>
              <w:t>0.2</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b w:val="1"/>
                <w:bCs w:val="1"/>
                <w:color w:val="auto"/>
              </w:rPr>
              <w:t>12.4</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gridSpan w:val="2"/>
          </w:tcPr>
          <w:p>
            <w:pPr>
              <w:jc w:val="right"/>
              <w:ind w:right="220"/>
              <w:spacing w:after="0"/>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4"/>
                <w:szCs w:val="14"/>
                <w:color w:val="auto"/>
              </w:rPr>
            </w:pPr>
          </w:p>
        </w:tc>
        <w:tc>
          <w:tcPr>
            <w:tcW w:w="940" w:type="dxa"/>
            <w:vAlign w:val="bottom"/>
            <w:gridSpan w:val="2"/>
          </w:tcPr>
          <w:p>
            <w:pPr>
              <w:jc w:val="right"/>
              <w:ind w:right="220"/>
              <w:spacing w:after="0"/>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b w:val="1"/>
                <w:bCs w:val="1"/>
                <w:color w:val="auto"/>
              </w:rPr>
              <w:t>(75.5)</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2640" w:type="dxa"/>
            <w:vAlign w:val="bottom"/>
            <w:gridSpan w:val="2"/>
            <w:shd w:val="clear" w:color="auto" w:fill="CCEEFF"/>
          </w:tcPr>
          <w:p>
            <w:pPr>
              <w:spacing w:after="0" w:line="130" w:lineRule="exact"/>
              <w:rPr>
                <w:sz w:val="20"/>
                <w:szCs w:val="20"/>
                <w:color w:val="auto"/>
              </w:rPr>
            </w:pPr>
            <w:r>
              <w:rPr>
                <w:rFonts w:ascii="Arial" w:cs="Arial" w:eastAsia="Arial" w:hAnsi="Arial"/>
                <w:sz w:val="14"/>
                <w:szCs w:val="14"/>
                <w:color w:val="auto"/>
              </w:rPr>
              <w:t>Funds withheld payable embedded</w:t>
            </w:r>
          </w:p>
        </w:tc>
        <w:tc>
          <w:tcPr>
            <w:tcW w:w="100" w:type="dxa"/>
            <w:vAlign w:val="bottom"/>
            <w:shd w:val="clear" w:color="auto" w:fill="CCEEFF"/>
          </w:tcPr>
          <w:p>
            <w:pPr>
              <w:spacing w:after="0"/>
              <w:rPr>
                <w:sz w:val="11"/>
                <w:szCs w:val="11"/>
                <w:color w:val="auto"/>
              </w:rPr>
            </w:pPr>
          </w:p>
        </w:tc>
        <w:tc>
          <w:tcPr>
            <w:tcW w:w="860" w:type="dxa"/>
            <w:vAlign w:val="bottom"/>
            <w:gridSpan w:val="2"/>
            <w:vMerge w:val="restart"/>
            <w:shd w:val="clear" w:color="auto" w:fill="CCEEFF"/>
          </w:tcPr>
          <w:p>
            <w:pPr>
              <w:jc w:val="right"/>
              <w:ind w:right="120"/>
              <w:spacing w:after="0"/>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0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3,067.3</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0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1"/>
                <w:szCs w:val="11"/>
                <w:color w:val="auto"/>
              </w:rPr>
            </w:pPr>
          </w:p>
        </w:tc>
        <w:tc>
          <w:tcPr>
            <w:tcW w:w="960" w:type="dxa"/>
            <w:vAlign w:val="bottom"/>
            <w:gridSpan w:val="2"/>
            <w:vMerge w:val="restart"/>
            <w:shd w:val="clear" w:color="auto" w:fill="CCEEFF"/>
          </w:tcPr>
          <w:p>
            <w:pPr>
              <w:jc w:val="right"/>
              <w:ind w:right="200"/>
              <w:spacing w:after="0"/>
              <w:rPr>
                <w:sz w:val="20"/>
                <w:szCs w:val="20"/>
                <w:color w:val="auto"/>
              </w:rPr>
            </w:pPr>
            <w:r>
              <w:rPr>
                <w:rFonts w:ascii="Arial" w:cs="Arial" w:eastAsia="Arial" w:hAnsi="Arial"/>
                <w:sz w:val="14"/>
                <w:szCs w:val="14"/>
                <w:b w:val="1"/>
                <w:bCs w:val="1"/>
                <w:color w:val="auto"/>
              </w:rPr>
              <w:t>—</w:t>
            </w:r>
          </w:p>
        </w:tc>
        <w:tc>
          <w:tcPr>
            <w:tcW w:w="120" w:type="dxa"/>
            <w:vAlign w:val="bottom"/>
            <w:shd w:val="clear" w:color="auto" w:fill="CCEEFF"/>
          </w:tcPr>
          <w:p>
            <w:pPr>
              <w:spacing w:after="0"/>
              <w:rPr>
                <w:sz w:val="11"/>
                <w:szCs w:val="11"/>
                <w:color w:val="auto"/>
              </w:rPr>
            </w:pPr>
          </w:p>
        </w:tc>
        <w:tc>
          <w:tcPr>
            <w:tcW w:w="94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4"/>
                <w:szCs w:val="14"/>
                <w:b w:val="1"/>
                <w:bCs w:val="1"/>
                <w:color w:val="auto"/>
              </w:rPr>
              <w:t>—</w:t>
            </w:r>
          </w:p>
        </w:tc>
        <w:tc>
          <w:tcPr>
            <w:tcW w:w="120" w:type="dxa"/>
            <w:vAlign w:val="bottom"/>
            <w:shd w:val="clear" w:color="auto" w:fill="CCEEFF"/>
          </w:tcPr>
          <w:p>
            <w:pPr>
              <w:spacing w:after="0"/>
              <w:rPr>
                <w:sz w:val="11"/>
                <w:szCs w:val="11"/>
                <w:color w:val="auto"/>
              </w:rPr>
            </w:pPr>
          </w:p>
        </w:tc>
        <w:tc>
          <w:tcPr>
            <w:tcW w:w="94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4"/>
                <w:szCs w:val="14"/>
                <w:b w:val="1"/>
                <w:bCs w:val="1"/>
                <w:color w:val="auto"/>
              </w:rPr>
              <w:t>—</w:t>
            </w:r>
          </w:p>
        </w:tc>
        <w:tc>
          <w:tcPr>
            <w:tcW w:w="120" w:type="dxa"/>
            <w:vAlign w:val="bottom"/>
            <w:shd w:val="clear" w:color="auto" w:fill="CCEEFF"/>
          </w:tcPr>
          <w:p>
            <w:pPr>
              <w:spacing w:after="0"/>
              <w:rPr>
                <w:sz w:val="11"/>
                <w:szCs w:val="11"/>
                <w:color w:val="auto"/>
              </w:rPr>
            </w:pPr>
          </w:p>
        </w:tc>
        <w:tc>
          <w:tcPr>
            <w:tcW w:w="78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3,067.3</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40" w:type="dxa"/>
            <w:vAlign w:val="bottom"/>
            <w:gridSpan w:val="2"/>
            <w:shd w:val="clear" w:color="auto" w:fill="CCEEFF"/>
          </w:tcPr>
          <w:p>
            <w:pPr>
              <w:ind w:left="120"/>
              <w:spacing w:after="0"/>
              <w:rPr>
                <w:sz w:val="20"/>
                <w:szCs w:val="20"/>
                <w:color w:val="auto"/>
              </w:rPr>
            </w:pPr>
            <w:r>
              <w:rPr>
                <w:rFonts w:ascii="Arial" w:cs="Arial" w:eastAsia="Arial" w:hAnsi="Arial"/>
                <w:sz w:val="14"/>
                <w:szCs w:val="14"/>
                <w:color w:val="auto"/>
              </w:rPr>
              <w:t>derivative</w:t>
            </w:r>
          </w:p>
        </w:tc>
        <w:tc>
          <w:tcPr>
            <w:tcW w:w="100" w:type="dxa"/>
            <w:vAlign w:val="bottom"/>
            <w:shd w:val="clear" w:color="auto" w:fill="CCEEFF"/>
          </w:tcPr>
          <w:p>
            <w:pPr>
              <w:spacing w:after="0"/>
              <w:rPr>
                <w:sz w:val="14"/>
                <w:szCs w:val="14"/>
                <w:color w:val="auto"/>
              </w:rPr>
            </w:pPr>
          </w:p>
        </w:tc>
        <w:tc>
          <w:tcPr>
            <w:tcW w:w="860" w:type="dxa"/>
            <w:vAlign w:val="bottom"/>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00" w:type="dxa"/>
            <w:vAlign w:val="bottom"/>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0" w:type="dxa"/>
            <w:vAlign w:val="bottom"/>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960" w:type="dxa"/>
            <w:vAlign w:val="bottom"/>
            <w:gridSpan w:val="2"/>
            <w:vMerge w:val="continue"/>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40" w:type="dxa"/>
            <w:vAlign w:val="bottom"/>
            <w:gridSpan w:val="2"/>
            <w:vMerge w:val="continue"/>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40" w:type="dxa"/>
            <w:vAlign w:val="bottom"/>
            <w:gridSpan w:val="2"/>
            <w:vMerge w:val="continue"/>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80" w:type="dxa"/>
            <w:vAlign w:val="bottom"/>
            <w:vMerge w:val="continue"/>
            <w:shd w:val="clear" w:color="auto" w:fill="CCEEFF"/>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vMerge w:val="restart"/>
          </w:tcPr>
          <w:p>
            <w:pPr>
              <w:spacing w:after="0"/>
              <w:rPr>
                <w:sz w:val="14"/>
                <w:szCs w:val="14"/>
                <w:color w:val="auto"/>
              </w:rPr>
            </w:pPr>
          </w:p>
        </w:tc>
        <w:tc>
          <w:tcPr>
            <w:tcW w:w="24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vMerge w:val="continue"/>
          </w:tcPr>
          <w:p>
            <w:pPr>
              <w:spacing w:after="0"/>
              <w:rPr>
                <w:sz w:val="14"/>
                <w:szCs w:val="14"/>
                <w:color w:val="auto"/>
              </w:rPr>
            </w:pPr>
          </w:p>
        </w:tc>
        <w:tc>
          <w:tcPr>
            <w:tcW w:w="2640" w:type="dxa"/>
            <w:vAlign w:val="bottom"/>
            <w:gridSpan w:val="2"/>
            <w:shd w:val="clear" w:color="auto" w:fill="CCEEFF"/>
          </w:tcPr>
          <w:p>
            <w:pPr>
              <w:spacing w:after="0"/>
              <w:rPr>
                <w:sz w:val="20"/>
                <w:szCs w:val="20"/>
                <w:color w:val="auto"/>
              </w:rPr>
            </w:pPr>
            <w:r>
              <w:rPr>
                <w:rFonts w:ascii="Arial" w:cs="Arial" w:eastAsia="Arial" w:hAnsi="Arial"/>
                <w:sz w:val="14"/>
                <w:szCs w:val="14"/>
                <w:b w:val="1"/>
                <w:bCs w:val="1"/>
                <w:color w:val="auto"/>
              </w:rPr>
              <w:t>Derivatives</w:t>
            </w:r>
          </w:p>
        </w:tc>
        <w:tc>
          <w:tcPr>
            <w:tcW w:w="10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2640" w:type="dxa"/>
            <w:vAlign w:val="bottom"/>
            <w:gridSpan w:val="2"/>
          </w:tcPr>
          <w:p>
            <w:pPr>
              <w:spacing w:after="0"/>
              <w:rPr>
                <w:sz w:val="20"/>
                <w:szCs w:val="20"/>
                <w:color w:val="auto"/>
              </w:rPr>
            </w:pPr>
            <w:r>
              <w:rPr>
                <w:rFonts w:ascii="Arial" w:cs="Arial" w:eastAsia="Arial" w:hAnsi="Arial"/>
                <w:sz w:val="14"/>
                <w:szCs w:val="14"/>
                <w:color w:val="auto"/>
              </w:rPr>
              <w:t>Net derivative assets (liabilities)</w:t>
            </w:r>
          </w:p>
        </w:tc>
        <w:tc>
          <w:tcPr>
            <w:tcW w:w="100" w:type="dxa"/>
            <w:vAlign w:val="bottom"/>
          </w:tcPr>
          <w:p>
            <w:pPr>
              <w:spacing w:after="0"/>
              <w:rPr>
                <w:sz w:val="16"/>
                <w:szCs w:val="16"/>
                <w:color w:val="auto"/>
              </w:rPr>
            </w:pPr>
          </w:p>
        </w:tc>
        <w:tc>
          <w:tcPr>
            <w:tcW w:w="860" w:type="dxa"/>
            <w:vAlign w:val="bottom"/>
            <w:gridSpan w:val="2"/>
          </w:tcPr>
          <w:p>
            <w:pPr>
              <w:jc w:val="right"/>
              <w:ind w:right="120"/>
              <w:spacing w:after="0"/>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80" w:type="dxa"/>
            <w:vAlign w:val="bottom"/>
            <w:gridSpan w:val="2"/>
          </w:tcPr>
          <w:p>
            <w:pPr>
              <w:jc w:val="right"/>
              <w:ind w:right="80"/>
              <w:spacing w:after="0"/>
              <w:rPr>
                <w:sz w:val="20"/>
                <w:szCs w:val="20"/>
                <w:color w:val="auto"/>
              </w:rPr>
            </w:pPr>
            <w:r>
              <w:rPr>
                <w:rFonts w:ascii="Arial" w:cs="Arial" w:eastAsia="Arial" w:hAnsi="Arial"/>
                <w:sz w:val="14"/>
                <w:szCs w:val="14"/>
                <w:b w:val="1"/>
                <w:bCs w:val="1"/>
                <w:color w:val="auto"/>
              </w:rPr>
              <w:t>(2.0)</w:t>
            </w: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4"/>
                <w:szCs w:val="14"/>
                <w:b w:val="1"/>
                <w:bCs w:val="1"/>
                <w:color w:val="auto"/>
              </w:rPr>
              <w:t>(0.3)</w:t>
            </w:r>
          </w:p>
        </w:tc>
        <w:tc>
          <w:tcPr>
            <w:tcW w:w="8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b w:val="1"/>
                <w:bCs w:val="1"/>
                <w:color w:val="auto"/>
              </w:rPr>
              <w:t>2.4</w:t>
            </w:r>
          </w:p>
        </w:tc>
        <w:tc>
          <w:tcPr>
            <w:tcW w:w="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40" w:type="dxa"/>
            <w:vAlign w:val="bottom"/>
            <w:gridSpan w:val="2"/>
          </w:tcPr>
          <w:p>
            <w:pPr>
              <w:jc w:val="right"/>
              <w:ind w:right="220"/>
              <w:spacing w:after="0"/>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6"/>
                <w:szCs w:val="16"/>
                <w:color w:val="auto"/>
              </w:rPr>
            </w:pPr>
          </w:p>
        </w:tc>
        <w:tc>
          <w:tcPr>
            <w:tcW w:w="940" w:type="dxa"/>
            <w:vAlign w:val="bottom"/>
            <w:gridSpan w:val="2"/>
          </w:tcPr>
          <w:p>
            <w:pPr>
              <w:jc w:val="right"/>
              <w:ind w:right="160"/>
              <w:spacing w:after="0"/>
              <w:rPr>
                <w:sz w:val="20"/>
                <w:szCs w:val="20"/>
                <w:color w:val="auto"/>
              </w:rPr>
            </w:pPr>
            <w:r>
              <w:rPr>
                <w:rFonts w:ascii="Arial" w:cs="Arial" w:eastAsia="Arial" w:hAnsi="Arial"/>
                <w:sz w:val="14"/>
                <w:szCs w:val="14"/>
                <w:b w:val="1"/>
                <w:bCs w:val="1"/>
                <w:color w:val="auto"/>
              </w:rPr>
              <w:t>(0.3)</w:t>
            </w:r>
          </w:p>
        </w:tc>
        <w:tc>
          <w:tcPr>
            <w:tcW w:w="1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b w:val="1"/>
                <w:bCs w:val="1"/>
                <w:color w:val="auto"/>
              </w:rPr>
              <w:t>(0.2)</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54"/>
        </w:trPr>
        <w:tc>
          <w:tcPr>
            <w:tcW w:w="20" w:type="dxa"/>
            <w:vAlign w:val="bottom"/>
          </w:tcPr>
          <w:p>
            <w:pPr>
              <w:spacing w:after="0"/>
              <w:rPr>
                <w:sz w:val="24"/>
                <w:szCs w:val="24"/>
                <w:color w:val="auto"/>
              </w:rPr>
            </w:pPr>
          </w:p>
        </w:tc>
        <w:tc>
          <w:tcPr>
            <w:tcW w:w="24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100" w:type="dxa"/>
            <w:vAlign w:val="bottom"/>
            <w:tcBorders>
              <w:bottom w:val="single" w:sz="8" w:color="auto"/>
            </w:tcBorders>
            <w:gridSpan w:val="8"/>
          </w:tcPr>
          <w:p>
            <w:pPr>
              <w:jc w:val="center"/>
              <w:ind w:right="240"/>
              <w:spacing w:after="0"/>
              <w:rPr>
                <w:sz w:val="20"/>
                <w:szCs w:val="20"/>
                <w:color w:val="auto"/>
              </w:rPr>
            </w:pPr>
            <w:r>
              <w:rPr>
                <w:rFonts w:ascii="Arial" w:cs="Arial" w:eastAsia="Arial" w:hAnsi="Arial"/>
                <w:sz w:val="14"/>
                <w:szCs w:val="14"/>
                <w:b w:val="1"/>
                <w:bCs w:val="1"/>
                <w:color w:val="auto"/>
                <w:w w:val="91"/>
              </w:rPr>
              <w:t>For the six months ended June 30, 2021</w:t>
            </w:r>
          </w:p>
        </w:tc>
        <w:tc>
          <w:tcPr>
            <w:tcW w:w="12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24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gridSpan w:val="2"/>
          </w:tcPr>
          <w:p>
            <w:pPr>
              <w:jc w:val="center"/>
              <w:ind w:right="160"/>
              <w:spacing w:after="0" w:line="119" w:lineRule="exact"/>
              <w:rPr>
                <w:sz w:val="20"/>
                <w:szCs w:val="20"/>
                <w:color w:val="auto"/>
              </w:rPr>
            </w:pPr>
            <w:r>
              <w:rPr>
                <w:rFonts w:ascii="Arial" w:cs="Arial" w:eastAsia="Arial" w:hAnsi="Arial"/>
                <w:sz w:val="13"/>
                <w:szCs w:val="13"/>
                <w:b w:val="1"/>
                <w:bCs w:val="1"/>
                <w:color w:val="auto"/>
                <w:w w:val="97"/>
              </w:rPr>
              <w:t>Beginning</w:t>
            </w: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60" w:type="dxa"/>
            <w:vAlign w:val="bottom"/>
            <w:gridSpan w:val="6"/>
            <w:vMerge w:val="restart"/>
          </w:tcPr>
          <w:p>
            <w:pPr>
              <w:jc w:val="center"/>
              <w:ind w:right="260"/>
              <w:spacing w:after="0"/>
              <w:rPr>
                <w:sz w:val="20"/>
                <w:szCs w:val="20"/>
                <w:color w:val="auto"/>
              </w:rPr>
            </w:pPr>
            <w:r>
              <w:rPr>
                <w:rFonts w:ascii="Arial" w:cs="Arial" w:eastAsia="Arial" w:hAnsi="Arial"/>
                <w:sz w:val="14"/>
                <w:szCs w:val="14"/>
                <w:b w:val="1"/>
                <w:bCs w:val="1"/>
                <w:color w:val="auto"/>
                <w:w w:val="93"/>
              </w:rPr>
              <w:t>Total realized/unrealized</w:t>
            </w:r>
          </w:p>
        </w:tc>
        <w:tc>
          <w:tcPr>
            <w:tcW w:w="80" w:type="dxa"/>
            <w:vAlign w:val="bottom"/>
          </w:tcPr>
          <w:p>
            <w:pPr>
              <w:spacing w:after="0"/>
              <w:rPr>
                <w:sz w:val="10"/>
                <w:szCs w:val="10"/>
                <w:color w:val="auto"/>
              </w:rPr>
            </w:pPr>
          </w:p>
        </w:tc>
        <w:tc>
          <w:tcPr>
            <w:tcW w:w="960" w:type="dxa"/>
            <w:vAlign w:val="bottom"/>
            <w:gridSpan w:val="2"/>
          </w:tcPr>
          <w:p>
            <w:pPr>
              <w:jc w:val="center"/>
              <w:ind w:right="240"/>
              <w:spacing w:after="0" w:line="119" w:lineRule="exact"/>
              <w:rPr>
                <w:sz w:val="20"/>
                <w:szCs w:val="20"/>
                <w:color w:val="auto"/>
              </w:rPr>
            </w:pPr>
            <w:r>
              <w:rPr>
                <w:rFonts w:ascii="Arial" w:cs="Arial" w:eastAsia="Arial" w:hAnsi="Arial"/>
                <w:sz w:val="13"/>
                <w:szCs w:val="13"/>
                <w:b w:val="1"/>
                <w:bCs w:val="1"/>
                <w:color w:val="auto"/>
                <w:w w:val="95"/>
              </w:rPr>
              <w:t>Net</w:t>
            </w:r>
          </w:p>
        </w:tc>
        <w:tc>
          <w:tcPr>
            <w:tcW w:w="12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80" w:type="dxa"/>
            <w:vAlign w:val="bottom"/>
          </w:tcPr>
          <w:p>
            <w:pPr>
              <w:jc w:val="center"/>
              <w:ind w:right="48"/>
              <w:spacing w:after="0" w:line="119" w:lineRule="exact"/>
              <w:rPr>
                <w:sz w:val="20"/>
                <w:szCs w:val="20"/>
                <w:color w:val="auto"/>
              </w:rPr>
            </w:pPr>
            <w:r>
              <w:rPr>
                <w:rFonts w:ascii="Arial" w:cs="Arial" w:eastAsia="Arial" w:hAnsi="Arial"/>
                <w:sz w:val="13"/>
                <w:szCs w:val="13"/>
                <w:b w:val="1"/>
                <w:bCs w:val="1"/>
                <w:color w:val="auto"/>
              </w:rPr>
              <w:t>Ending</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4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5"/>
              </w:rPr>
              <w:t>asset/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60" w:type="dxa"/>
            <w:vAlign w:val="bottom"/>
            <w:gridSpan w:val="6"/>
            <w:vMerge w:val="continue"/>
          </w:tcPr>
          <w:p>
            <w:pPr>
              <w:spacing w:after="0"/>
              <w:rPr>
                <w:sz w:val="12"/>
                <w:szCs w:val="12"/>
                <w:color w:val="auto"/>
              </w:rPr>
            </w:pPr>
          </w:p>
        </w:tc>
        <w:tc>
          <w:tcPr>
            <w:tcW w:w="80" w:type="dxa"/>
            <w:vAlign w:val="bottom"/>
          </w:tcPr>
          <w:p>
            <w:pPr>
              <w:spacing w:after="0"/>
              <w:rPr>
                <w:sz w:val="12"/>
                <w:szCs w:val="12"/>
                <w:color w:val="auto"/>
              </w:rPr>
            </w:pPr>
          </w:p>
        </w:tc>
        <w:tc>
          <w:tcPr>
            <w:tcW w:w="9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6"/>
              </w:rPr>
              <w:t>purchases,</w:t>
            </w: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85"/>
              </w:rPr>
              <w:t>asset/</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4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rPr>
              <w:t>(liability)</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60" w:type="dxa"/>
            <w:vAlign w:val="bottom"/>
            <w:gridSpan w:val="6"/>
          </w:tcPr>
          <w:p>
            <w:pPr>
              <w:jc w:val="center"/>
              <w:ind w:right="260"/>
              <w:spacing w:after="0" w:line="149" w:lineRule="exact"/>
              <w:rPr>
                <w:sz w:val="20"/>
                <w:szCs w:val="20"/>
                <w:color w:val="auto"/>
              </w:rPr>
            </w:pPr>
            <w:r>
              <w:rPr>
                <w:rFonts w:ascii="Arial" w:cs="Arial" w:eastAsia="Arial" w:hAnsi="Arial"/>
                <w:sz w:val="14"/>
                <w:szCs w:val="14"/>
                <w:b w:val="1"/>
                <w:bCs w:val="1"/>
                <w:color w:val="auto"/>
                <w:w w:val="85"/>
              </w:rPr>
              <w:t>gains (losses)</w:t>
            </w:r>
          </w:p>
        </w:tc>
        <w:tc>
          <w:tcPr>
            <w:tcW w:w="80" w:type="dxa"/>
            <w:vAlign w:val="bottom"/>
          </w:tcPr>
          <w:p>
            <w:pPr>
              <w:spacing w:after="0"/>
              <w:rPr>
                <w:sz w:val="12"/>
                <w:szCs w:val="12"/>
                <w:color w:val="auto"/>
              </w:rPr>
            </w:pPr>
          </w:p>
        </w:tc>
        <w:tc>
          <w:tcPr>
            <w:tcW w:w="9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2"/>
              </w:rPr>
              <w:t>sales,</w:t>
            </w: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rPr>
              <w:t>(liability)</w:t>
            </w:r>
          </w:p>
        </w:tc>
        <w:tc>
          <w:tcPr>
            <w:tcW w:w="0" w:type="dxa"/>
            <w:vAlign w:val="bottom"/>
          </w:tcPr>
          <w:p>
            <w:pPr>
              <w:spacing w:after="0"/>
              <w:rPr>
                <w:sz w:val="1"/>
                <w:szCs w:val="1"/>
                <w:color w:val="auto"/>
              </w:rPr>
            </w:pPr>
          </w:p>
        </w:tc>
      </w:tr>
      <w:tr>
        <w:trPr>
          <w:trHeight w:val="23"/>
        </w:trPr>
        <w:tc>
          <w:tcPr>
            <w:tcW w:w="2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60" w:type="dxa"/>
            <w:vAlign w:val="bottom"/>
            <w:gridSpan w:val="2"/>
            <w:vMerge w:val="restart"/>
          </w:tcPr>
          <w:p>
            <w:pPr>
              <w:jc w:val="center"/>
              <w:ind w:right="160"/>
              <w:spacing w:after="0"/>
              <w:rPr>
                <w:sz w:val="20"/>
                <w:szCs w:val="20"/>
                <w:color w:val="auto"/>
              </w:rPr>
            </w:pPr>
            <w:r>
              <w:rPr>
                <w:rFonts w:ascii="Arial" w:cs="Arial" w:eastAsia="Arial" w:hAnsi="Arial"/>
                <w:sz w:val="14"/>
                <w:szCs w:val="14"/>
                <w:b w:val="1"/>
                <w:bCs w:val="1"/>
                <w:color w:val="auto"/>
                <w:w w:val="88"/>
              </w:rPr>
              <w:t>balance</w:t>
            </w: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gridSpan w:val="2"/>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vMerge w:val="restart"/>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6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82"/>
              </w:rPr>
              <w:t>issuances</w:t>
            </w:r>
          </w:p>
        </w:tc>
        <w:tc>
          <w:tcPr>
            <w:tcW w:w="1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88"/>
              </w:rPr>
              <w:t>balance</w:t>
            </w: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24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gridSpan w:val="2"/>
            <w:vMerge w:val="continue"/>
          </w:tcPr>
          <w:p>
            <w:pPr>
              <w:spacing w:after="0"/>
              <w:rPr>
                <w:sz w:val="10"/>
                <w:szCs w:val="10"/>
                <w:color w:val="auto"/>
              </w:rPr>
            </w:pP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80" w:type="dxa"/>
            <w:vAlign w:val="bottom"/>
            <w:gridSpan w:val="2"/>
          </w:tcPr>
          <w:p>
            <w:pPr>
              <w:jc w:val="center"/>
              <w:ind w:right="180"/>
              <w:spacing w:after="0" w:line="119" w:lineRule="exact"/>
              <w:rPr>
                <w:sz w:val="20"/>
                <w:szCs w:val="20"/>
                <w:color w:val="auto"/>
              </w:rPr>
            </w:pPr>
            <w:r>
              <w:rPr>
                <w:rFonts w:ascii="Arial" w:cs="Arial" w:eastAsia="Arial" w:hAnsi="Arial"/>
                <w:sz w:val="13"/>
                <w:szCs w:val="13"/>
                <w:b w:val="1"/>
                <w:bCs w:val="1"/>
                <w:color w:val="auto"/>
              </w:rPr>
              <w:t>Included</w:t>
            </w: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40" w:type="dxa"/>
            <w:vAlign w:val="bottom"/>
          </w:tcPr>
          <w:p>
            <w:pPr>
              <w:jc w:val="center"/>
              <w:ind w:right="28"/>
              <w:spacing w:after="0" w:line="119" w:lineRule="exact"/>
              <w:rPr>
                <w:sz w:val="20"/>
                <w:szCs w:val="20"/>
                <w:color w:val="auto"/>
              </w:rPr>
            </w:pPr>
            <w:r>
              <w:rPr>
                <w:rFonts w:ascii="Arial" w:cs="Arial" w:eastAsia="Arial" w:hAnsi="Arial"/>
                <w:sz w:val="13"/>
                <w:szCs w:val="13"/>
                <w:b w:val="1"/>
                <w:bCs w:val="1"/>
                <w:color w:val="auto"/>
              </w:rPr>
              <w:t>Included in</w:t>
            </w:r>
          </w:p>
        </w:tc>
        <w:tc>
          <w:tcPr>
            <w:tcW w:w="160" w:type="dxa"/>
            <w:vAlign w:val="bottom"/>
            <w:vMerge w:val="continue"/>
          </w:tcPr>
          <w:p>
            <w:pPr>
              <w:spacing w:after="0"/>
              <w:rPr>
                <w:sz w:val="10"/>
                <w:szCs w:val="10"/>
                <w:color w:val="auto"/>
              </w:rPr>
            </w:pPr>
          </w:p>
        </w:tc>
        <w:tc>
          <w:tcPr>
            <w:tcW w:w="80" w:type="dxa"/>
            <w:vAlign w:val="bottom"/>
          </w:tcPr>
          <w:p>
            <w:pPr>
              <w:spacing w:after="0"/>
              <w:rPr>
                <w:sz w:val="10"/>
                <w:szCs w:val="10"/>
                <w:color w:val="auto"/>
              </w:rPr>
            </w:pPr>
          </w:p>
        </w:tc>
        <w:tc>
          <w:tcPr>
            <w:tcW w:w="960" w:type="dxa"/>
            <w:vAlign w:val="bottom"/>
            <w:gridSpan w:val="2"/>
            <w:vMerge w:val="continue"/>
          </w:tcPr>
          <w:p>
            <w:pPr>
              <w:spacing w:after="0"/>
              <w:rPr>
                <w:sz w:val="10"/>
                <w:szCs w:val="10"/>
                <w:color w:val="auto"/>
              </w:rPr>
            </w:pPr>
          </w:p>
        </w:tc>
        <w:tc>
          <w:tcPr>
            <w:tcW w:w="120" w:type="dxa"/>
            <w:vAlign w:val="bottom"/>
          </w:tcPr>
          <w:p>
            <w:pPr>
              <w:spacing w:after="0"/>
              <w:rPr>
                <w:sz w:val="10"/>
                <w:szCs w:val="10"/>
                <w:color w:val="auto"/>
              </w:rPr>
            </w:pPr>
          </w:p>
        </w:tc>
        <w:tc>
          <w:tcPr>
            <w:tcW w:w="94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0"/>
              </w:rPr>
              <w:t>Transfers</w:t>
            </w:r>
          </w:p>
        </w:tc>
        <w:tc>
          <w:tcPr>
            <w:tcW w:w="120" w:type="dxa"/>
            <w:vAlign w:val="bottom"/>
          </w:tcPr>
          <w:p>
            <w:pPr>
              <w:spacing w:after="0"/>
              <w:rPr>
                <w:sz w:val="10"/>
                <w:szCs w:val="10"/>
                <w:color w:val="auto"/>
              </w:rPr>
            </w:pPr>
          </w:p>
        </w:tc>
        <w:tc>
          <w:tcPr>
            <w:tcW w:w="94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0"/>
              </w:rPr>
              <w:t>Transfers</w:t>
            </w:r>
          </w:p>
        </w:tc>
        <w:tc>
          <w:tcPr>
            <w:tcW w:w="120" w:type="dxa"/>
            <w:vAlign w:val="bottom"/>
          </w:tcPr>
          <w:p>
            <w:pPr>
              <w:spacing w:after="0"/>
              <w:rPr>
                <w:sz w:val="10"/>
                <w:szCs w:val="10"/>
                <w:color w:val="auto"/>
              </w:rPr>
            </w:pPr>
          </w:p>
        </w:tc>
        <w:tc>
          <w:tcPr>
            <w:tcW w:w="800" w:type="dxa"/>
            <w:vAlign w:val="bottom"/>
            <w:gridSpan w:val="2"/>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4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5"/>
              </w:rPr>
              <w:t>as of</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8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0"/>
              </w:rPr>
              <w:t>in net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7"/>
              </w:rPr>
              <w:t>other</w:t>
            </w:r>
          </w:p>
        </w:tc>
        <w:tc>
          <w:tcPr>
            <w:tcW w:w="80" w:type="dxa"/>
            <w:vAlign w:val="bottom"/>
          </w:tcPr>
          <w:p>
            <w:pPr>
              <w:spacing w:after="0"/>
              <w:rPr>
                <w:sz w:val="12"/>
                <w:szCs w:val="12"/>
                <w:color w:val="auto"/>
              </w:rPr>
            </w:pPr>
          </w:p>
        </w:tc>
        <w:tc>
          <w:tcPr>
            <w:tcW w:w="9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6"/>
              </w:rPr>
              <w:t>and</w:t>
            </w:r>
          </w:p>
        </w:tc>
        <w:tc>
          <w:tcPr>
            <w:tcW w:w="120" w:type="dxa"/>
            <w:vAlign w:val="bottom"/>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5"/>
              </w:rPr>
              <w:t>as of</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4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5"/>
              </w:rPr>
              <w:t>January 1,</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8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9"/>
              </w:rPr>
              <w:t>income</w:t>
            </w:r>
          </w:p>
        </w:tc>
        <w:tc>
          <w:tcPr>
            <w:tcW w:w="80" w:type="dxa"/>
            <w:vAlign w:val="bottom"/>
          </w:tcPr>
          <w:p>
            <w:pPr>
              <w:spacing w:after="0"/>
              <w:rPr>
                <w:sz w:val="12"/>
                <w:szCs w:val="12"/>
                <w:color w:val="auto"/>
              </w:rPr>
            </w:pPr>
          </w:p>
        </w:tc>
        <w:tc>
          <w:tcPr>
            <w:tcW w:w="1100" w:type="dxa"/>
            <w:vAlign w:val="bottom"/>
            <w:gridSpan w:val="3"/>
          </w:tcPr>
          <w:p>
            <w:pPr>
              <w:jc w:val="center"/>
              <w:ind w:right="180"/>
              <w:spacing w:after="0" w:line="149" w:lineRule="exact"/>
              <w:rPr>
                <w:sz w:val="20"/>
                <w:szCs w:val="20"/>
                <w:color w:val="auto"/>
              </w:rPr>
            </w:pPr>
            <w:r>
              <w:rPr>
                <w:rFonts w:ascii="Arial" w:cs="Arial" w:eastAsia="Arial" w:hAnsi="Arial"/>
                <w:sz w:val="14"/>
                <w:szCs w:val="14"/>
                <w:b w:val="1"/>
                <w:bCs w:val="1"/>
                <w:color w:val="auto"/>
                <w:w w:val="89"/>
              </w:rPr>
              <w:t>comprehensive</w:t>
            </w:r>
          </w:p>
        </w:tc>
        <w:tc>
          <w:tcPr>
            <w:tcW w:w="80" w:type="dxa"/>
            <w:vAlign w:val="bottom"/>
          </w:tcPr>
          <w:p>
            <w:pPr>
              <w:spacing w:after="0"/>
              <w:rPr>
                <w:sz w:val="12"/>
                <w:szCs w:val="12"/>
                <w:color w:val="auto"/>
              </w:rPr>
            </w:pPr>
          </w:p>
        </w:tc>
        <w:tc>
          <w:tcPr>
            <w:tcW w:w="9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7"/>
              </w:rPr>
              <w:t>settlements</w:t>
            </w:r>
          </w:p>
        </w:tc>
        <w:tc>
          <w:tcPr>
            <w:tcW w:w="120" w:type="dxa"/>
            <w:vAlign w:val="bottom"/>
          </w:tcPr>
          <w:p>
            <w:pPr>
              <w:spacing w:after="0"/>
              <w:rPr>
                <w:sz w:val="12"/>
                <w:szCs w:val="12"/>
                <w:color w:val="auto"/>
              </w:rPr>
            </w:pPr>
          </w:p>
        </w:tc>
        <w:tc>
          <w:tcPr>
            <w:tcW w:w="9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3"/>
              </w:rPr>
              <w:t>into</w:t>
            </w:r>
          </w:p>
        </w:tc>
        <w:tc>
          <w:tcPr>
            <w:tcW w:w="120" w:type="dxa"/>
            <w:vAlign w:val="bottom"/>
          </w:tcPr>
          <w:p>
            <w:pPr>
              <w:spacing w:after="0"/>
              <w:rPr>
                <w:sz w:val="12"/>
                <w:szCs w:val="12"/>
                <w:color w:val="auto"/>
              </w:rPr>
            </w:pPr>
          </w:p>
        </w:tc>
        <w:tc>
          <w:tcPr>
            <w:tcW w:w="94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2"/>
              </w:rPr>
              <w:t>out of</w:t>
            </w:r>
          </w:p>
        </w:tc>
        <w:tc>
          <w:tcPr>
            <w:tcW w:w="120" w:type="dxa"/>
            <w:vAlign w:val="bottom"/>
          </w:tcPr>
          <w:p>
            <w:pPr>
              <w:spacing w:after="0"/>
              <w:rPr>
                <w:sz w:val="12"/>
                <w:szCs w:val="12"/>
                <w:color w:val="auto"/>
              </w:rPr>
            </w:pPr>
          </w:p>
        </w:tc>
        <w:tc>
          <w:tcPr>
            <w:tcW w:w="80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9"/>
              </w:rPr>
              <w:t>June 30,</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80" w:type="dxa"/>
            <w:vAlign w:val="bottom"/>
          </w:tcPr>
          <w:p>
            <w:pPr>
              <w:jc w:val="center"/>
              <w:ind w:right="8"/>
              <w:spacing w:after="0"/>
              <w:rPr>
                <w:sz w:val="20"/>
                <w:szCs w:val="20"/>
                <w:color w:val="auto"/>
              </w:rPr>
            </w:pPr>
            <w:r>
              <w:rPr>
                <w:rFonts w:ascii="Arial" w:cs="Arial" w:eastAsia="Arial" w:hAnsi="Arial"/>
                <w:sz w:val="14"/>
                <w:szCs w:val="14"/>
                <w:b w:val="1"/>
                <w:bCs w:val="1"/>
                <w:color w:val="auto"/>
                <w:w w:val="96"/>
              </w:rPr>
              <w:t>2021</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tcPr>
          <w:p>
            <w:pPr>
              <w:jc w:val="center"/>
              <w:ind w:right="8"/>
              <w:spacing w:after="0"/>
              <w:rPr>
                <w:sz w:val="20"/>
                <w:szCs w:val="20"/>
                <w:color w:val="auto"/>
              </w:rPr>
            </w:pPr>
            <w:r>
              <w:rPr>
                <w:rFonts w:ascii="Arial" w:cs="Arial" w:eastAsia="Arial" w:hAnsi="Arial"/>
                <w:sz w:val="14"/>
                <w:szCs w:val="14"/>
                <w:b w:val="1"/>
                <w:bCs w:val="1"/>
                <w:color w:val="auto"/>
                <w:w w:val="93"/>
              </w:rPr>
              <w:t>(2)</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1"/>
              </w:rPr>
              <w:t>income (3)</w:t>
            </w:r>
          </w:p>
        </w:tc>
        <w:tc>
          <w:tcPr>
            <w:tcW w:w="80" w:type="dxa"/>
            <w:vAlign w:val="bottom"/>
          </w:tcPr>
          <w:p>
            <w:pPr>
              <w:spacing w:after="0"/>
              <w:rPr>
                <w:sz w:val="14"/>
                <w:szCs w:val="14"/>
                <w:color w:val="auto"/>
              </w:rPr>
            </w:pPr>
          </w:p>
        </w:tc>
        <w:tc>
          <w:tcPr>
            <w:tcW w:w="800" w:type="dxa"/>
            <w:vAlign w:val="bottom"/>
          </w:tcPr>
          <w:p>
            <w:pPr>
              <w:jc w:val="center"/>
              <w:ind w:right="8"/>
              <w:spacing w:after="0"/>
              <w:rPr>
                <w:sz w:val="20"/>
                <w:szCs w:val="20"/>
                <w:color w:val="auto"/>
              </w:rPr>
            </w:pPr>
            <w:r>
              <w:rPr>
                <w:rFonts w:ascii="Arial" w:cs="Arial" w:eastAsia="Arial" w:hAnsi="Arial"/>
                <w:sz w:val="14"/>
                <w:szCs w:val="14"/>
                <w:b w:val="1"/>
                <w:bCs w:val="1"/>
                <w:color w:val="auto"/>
                <w:w w:val="93"/>
              </w:rPr>
              <w:t>(4)</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2"/>
              </w:rPr>
              <w:t>Level 3</w:t>
            </w:r>
          </w:p>
        </w:tc>
        <w:tc>
          <w:tcPr>
            <w:tcW w:w="120" w:type="dxa"/>
            <w:vAlign w:val="bottom"/>
          </w:tcPr>
          <w:p>
            <w:pPr>
              <w:spacing w:after="0"/>
              <w:rPr>
                <w:sz w:val="14"/>
                <w:szCs w:val="14"/>
                <w:color w:val="auto"/>
              </w:rPr>
            </w:pPr>
          </w:p>
        </w:tc>
        <w:tc>
          <w:tcPr>
            <w:tcW w:w="94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2"/>
              </w:rPr>
              <w:t>Level 3</w:t>
            </w:r>
          </w:p>
        </w:tc>
        <w:tc>
          <w:tcPr>
            <w:tcW w:w="120" w:type="dxa"/>
            <w:vAlign w:val="bottom"/>
          </w:tcPr>
          <w:p>
            <w:pPr>
              <w:spacing w:after="0"/>
              <w:rPr>
                <w:sz w:val="14"/>
                <w:szCs w:val="14"/>
                <w:color w:val="auto"/>
              </w:rPr>
            </w:pPr>
          </w:p>
        </w:tc>
        <w:tc>
          <w:tcPr>
            <w:tcW w:w="780" w:type="dxa"/>
            <w:vAlign w:val="bottom"/>
          </w:tcPr>
          <w:p>
            <w:pPr>
              <w:jc w:val="center"/>
              <w:ind w:right="48"/>
              <w:spacing w:after="0"/>
              <w:rPr>
                <w:sz w:val="20"/>
                <w:szCs w:val="20"/>
                <w:color w:val="auto"/>
              </w:rPr>
            </w:pPr>
            <w:r>
              <w:rPr>
                <w:rFonts w:ascii="Arial" w:cs="Arial" w:eastAsia="Arial" w:hAnsi="Arial"/>
                <w:sz w:val="14"/>
                <w:szCs w:val="14"/>
                <w:b w:val="1"/>
                <w:bCs w:val="1"/>
                <w:color w:val="auto"/>
                <w:w w:val="96"/>
              </w:rPr>
              <w:t>2021</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24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780" w:type="dxa"/>
            <w:vAlign w:val="bottom"/>
            <w:tcBorders>
              <w:top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800" w:type="dxa"/>
            <w:vAlign w:val="bottom"/>
            <w:tcBorders>
              <w:top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84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800" w:type="dxa"/>
            <w:vAlign w:val="bottom"/>
            <w:tcBorders>
              <w:top w:val="single" w:sz="8" w:color="auto"/>
            </w:tcBorders>
          </w:tcPr>
          <w:p>
            <w:pPr>
              <w:jc w:val="center"/>
              <w:ind w:right="28"/>
              <w:spacing w:after="0" w:line="129" w:lineRule="exact"/>
              <w:rPr>
                <w:sz w:val="20"/>
                <w:szCs w:val="20"/>
                <w:color w:val="auto"/>
              </w:rPr>
            </w:pPr>
            <w:r>
              <w:rPr>
                <w:rFonts w:ascii="Arial" w:cs="Arial" w:eastAsia="Arial" w:hAnsi="Arial"/>
                <w:sz w:val="14"/>
                <w:szCs w:val="14"/>
                <w:i w:val="1"/>
                <w:iCs w:val="1"/>
                <w:color w:val="auto"/>
                <w:w w:val="98"/>
              </w:rPr>
              <w:t>(in millions)</w:t>
            </w:r>
          </w:p>
        </w:tc>
        <w:tc>
          <w:tcPr>
            <w:tcW w:w="16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78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78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78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6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Assets</w:t>
            </w:r>
          </w:p>
        </w:tc>
        <w:tc>
          <w:tcPr>
            <w:tcW w:w="10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40" w:type="dxa"/>
            <w:vAlign w:val="bottom"/>
            <w:gridSpan w:val="2"/>
          </w:tcPr>
          <w:p>
            <w:pPr>
              <w:spacing w:after="0" w:line="149" w:lineRule="exact"/>
              <w:rPr>
                <w:sz w:val="20"/>
                <w:szCs w:val="20"/>
                <w:color w:val="auto"/>
              </w:rPr>
            </w:pPr>
            <w:r>
              <w:rPr>
                <w:rFonts w:ascii="Arial" w:cs="Arial" w:eastAsia="Arial" w:hAnsi="Arial"/>
                <w:sz w:val="14"/>
                <w:szCs w:val="14"/>
                <w:color w:val="auto"/>
              </w:rPr>
              <w:t>Fixed maturities, available-for-sale:</w:t>
            </w:r>
          </w:p>
        </w:tc>
        <w:tc>
          <w:tcPr>
            <w:tcW w:w="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2640" w:type="dxa"/>
            <w:vAlign w:val="bottom"/>
            <w:gridSpan w:val="2"/>
            <w:shd w:val="clear" w:color="auto" w:fill="CCEEFF"/>
          </w:tcPr>
          <w:p>
            <w:pPr>
              <w:ind w:left="100"/>
              <w:spacing w:after="0"/>
              <w:rPr>
                <w:sz w:val="20"/>
                <w:szCs w:val="20"/>
                <w:color w:val="auto"/>
              </w:rPr>
            </w:pPr>
            <w:r>
              <w:rPr>
                <w:rFonts w:ascii="Arial" w:cs="Arial" w:eastAsia="Arial" w:hAnsi="Arial"/>
                <w:sz w:val="14"/>
                <w:szCs w:val="14"/>
                <w:color w:val="auto"/>
              </w:rPr>
              <w:t>Corporate</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290.8</w:t>
            </w:r>
          </w:p>
        </w:tc>
        <w:tc>
          <w:tcPr>
            <w:tcW w:w="80" w:type="dxa"/>
            <w:vAlign w:val="bottom"/>
            <w:shd w:val="clear" w:color="auto" w:fill="CCEEFF"/>
          </w:tcPr>
          <w:p>
            <w:pPr>
              <w:spacing w:after="0"/>
              <w:rPr>
                <w:sz w:val="14"/>
                <w:szCs w:val="14"/>
                <w:color w:val="auto"/>
              </w:rPr>
            </w:pPr>
          </w:p>
        </w:tc>
        <w:tc>
          <w:tcPr>
            <w:tcW w:w="18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88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(4.9)</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(4.7)</w:t>
            </w: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125.3</w:t>
            </w:r>
          </w:p>
        </w:tc>
        <w:tc>
          <w:tcPr>
            <w:tcW w:w="160" w:type="dxa"/>
            <w:vAlign w:val="bottom"/>
            <w:shd w:val="clear" w:color="auto" w:fill="CCEEFF"/>
          </w:tcPr>
          <w:p>
            <w:pPr>
              <w:spacing w:after="0"/>
              <w:rPr>
                <w:sz w:val="14"/>
                <w:szCs w:val="14"/>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142.5</w:t>
            </w:r>
          </w:p>
        </w:tc>
        <w:tc>
          <w:tcPr>
            <w:tcW w:w="160" w:type="dxa"/>
            <w:vAlign w:val="bottom"/>
            <w:shd w:val="clear" w:color="auto" w:fill="CCEEFF"/>
          </w:tcPr>
          <w:p>
            <w:pPr>
              <w:spacing w:after="0"/>
              <w:rPr>
                <w:sz w:val="14"/>
                <w:szCs w:val="14"/>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jc w:val="right"/>
              <w:ind w:right="9"/>
              <w:spacing w:after="0"/>
              <w:rPr>
                <w:sz w:val="20"/>
                <w:szCs w:val="20"/>
                <w:color w:val="auto"/>
              </w:rPr>
            </w:pPr>
            <w:r>
              <w:rPr>
                <w:rFonts w:ascii="Arial" w:cs="Arial" w:eastAsia="Arial" w:hAnsi="Arial"/>
                <w:sz w:val="10"/>
                <w:szCs w:val="10"/>
                <w:color w:val="auto"/>
                <w:w w:val="71"/>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549.0</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2640" w:type="dxa"/>
            <w:vAlign w:val="bottom"/>
            <w:gridSpan w:val="2"/>
          </w:tcPr>
          <w:p>
            <w:pPr>
              <w:ind w:left="100"/>
              <w:spacing w:after="0"/>
              <w:rPr>
                <w:sz w:val="20"/>
                <w:szCs w:val="20"/>
                <w:color w:val="auto"/>
              </w:rPr>
            </w:pPr>
            <w:r>
              <w:rPr>
                <w:rFonts w:ascii="Arial" w:cs="Arial" w:eastAsia="Arial" w:hAnsi="Arial"/>
                <w:sz w:val="14"/>
                <w:szCs w:val="14"/>
                <w:color w:val="auto"/>
              </w:rPr>
              <w:t>Commercial mortgage-backed securities</w:t>
            </w:r>
          </w:p>
        </w:tc>
        <w:tc>
          <w:tcPr>
            <w:tcW w:w="10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13.2</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80" w:type="dxa"/>
            <w:vAlign w:val="bottom"/>
            <w:gridSpan w:val="2"/>
          </w:tcPr>
          <w:p>
            <w:pPr>
              <w:jc w:val="right"/>
              <w:ind w:right="80"/>
              <w:spacing w:after="0"/>
              <w:rPr>
                <w:sz w:val="20"/>
                <w:szCs w:val="20"/>
                <w:color w:val="auto"/>
              </w:rPr>
            </w:pPr>
            <w:r>
              <w:rPr>
                <w:rFonts w:ascii="Arial" w:cs="Arial" w:eastAsia="Arial" w:hAnsi="Arial"/>
                <w:sz w:val="14"/>
                <w:szCs w:val="14"/>
                <w:color w:val="auto"/>
              </w:rPr>
              <w:t>(1.0)</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4"/>
                <w:szCs w:val="14"/>
                <w:color w:val="auto"/>
              </w:rPr>
              <w:t>(0.5)</w:t>
            </w:r>
          </w:p>
        </w:tc>
        <w:tc>
          <w:tcPr>
            <w:tcW w:w="80" w:type="dxa"/>
            <w:vAlign w:val="bottom"/>
          </w:tcPr>
          <w:p>
            <w:pPr>
              <w:spacing w:after="0"/>
              <w:rPr>
                <w:sz w:val="14"/>
                <w:szCs w:val="14"/>
                <w:color w:val="auto"/>
              </w:rPr>
            </w:pPr>
          </w:p>
        </w:tc>
        <w:tc>
          <w:tcPr>
            <w:tcW w:w="960" w:type="dxa"/>
            <w:vAlign w:val="bottom"/>
            <w:gridSpan w:val="2"/>
          </w:tcPr>
          <w:p>
            <w:pPr>
              <w:jc w:val="right"/>
              <w:ind w:right="160"/>
              <w:spacing w:after="0"/>
              <w:rPr>
                <w:sz w:val="20"/>
                <w:szCs w:val="20"/>
                <w:color w:val="auto"/>
              </w:rPr>
            </w:pPr>
            <w:r>
              <w:rPr>
                <w:rFonts w:ascii="Arial" w:cs="Arial" w:eastAsia="Arial" w:hAnsi="Arial"/>
                <w:sz w:val="14"/>
                <w:szCs w:val="14"/>
                <w:color w:val="auto"/>
              </w:rPr>
              <w:t>(0.1)</w:t>
            </w:r>
          </w:p>
        </w:tc>
        <w:tc>
          <w:tcPr>
            <w:tcW w:w="120" w:type="dxa"/>
            <w:vAlign w:val="bottom"/>
          </w:tcPr>
          <w:p>
            <w:pPr>
              <w:spacing w:after="0"/>
              <w:rPr>
                <w:sz w:val="14"/>
                <w:szCs w:val="14"/>
                <w:color w:val="auto"/>
              </w:rPr>
            </w:pPr>
          </w:p>
        </w:tc>
        <w:tc>
          <w:tcPr>
            <w:tcW w:w="9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9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11.6</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2640" w:type="dxa"/>
            <w:vAlign w:val="bottom"/>
            <w:gridSpan w:val="2"/>
            <w:shd w:val="clear" w:color="auto" w:fill="CCEEFF"/>
          </w:tcPr>
          <w:p>
            <w:pPr>
              <w:ind w:left="100"/>
              <w:spacing w:after="0"/>
              <w:rPr>
                <w:sz w:val="20"/>
                <w:szCs w:val="20"/>
                <w:color w:val="auto"/>
              </w:rPr>
            </w:pPr>
            <w:r>
              <w:rPr>
                <w:rFonts w:ascii="Arial" w:cs="Arial" w:eastAsia="Arial" w:hAnsi="Arial"/>
                <w:sz w:val="14"/>
                <w:szCs w:val="14"/>
                <w:color w:val="auto"/>
              </w:rPr>
              <w:t>Collateralized debt obligations</w:t>
            </w:r>
          </w:p>
        </w:tc>
        <w:tc>
          <w:tcPr>
            <w:tcW w:w="100" w:type="dxa"/>
            <w:vAlign w:val="bottom"/>
            <w:shd w:val="clear" w:color="auto" w:fill="CCEEFF"/>
          </w:tcPr>
          <w:p>
            <w:pPr>
              <w:spacing w:after="0"/>
              <w:rPr>
                <w:sz w:val="14"/>
                <w:szCs w:val="1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27.2</w:t>
            </w:r>
          </w:p>
        </w:tc>
        <w:tc>
          <w:tcPr>
            <w:tcW w:w="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8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(2.0)</w:t>
            </w:r>
          </w:p>
        </w:tc>
        <w:tc>
          <w:tcPr>
            <w:tcW w:w="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w:t>
            </w:r>
          </w:p>
        </w:tc>
        <w:tc>
          <w:tcPr>
            <w:tcW w:w="1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309.9</w:t>
            </w:r>
          </w:p>
        </w:tc>
        <w:tc>
          <w:tcPr>
            <w:tcW w:w="1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84.1</w:t>
            </w:r>
          </w:p>
        </w:tc>
        <w:tc>
          <w:tcPr>
            <w:tcW w:w="1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4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(225.4)</w:t>
            </w:r>
          </w:p>
        </w:tc>
        <w:tc>
          <w:tcPr>
            <w:tcW w:w="120" w:type="dxa"/>
            <w:vAlign w:val="bottom"/>
            <w:shd w:val="clear" w:color="auto" w:fill="CCEEFF"/>
          </w:tcPr>
          <w:p>
            <w:pPr>
              <w:spacing w:after="0"/>
              <w:rPr>
                <w:sz w:val="14"/>
                <w:szCs w:val="1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195.6</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2640" w:type="dxa"/>
            <w:vAlign w:val="bottom"/>
            <w:gridSpan w:val="2"/>
          </w:tcPr>
          <w:p>
            <w:pPr>
              <w:ind w:left="100"/>
              <w:spacing w:after="0"/>
              <w:rPr>
                <w:sz w:val="20"/>
                <w:szCs w:val="20"/>
                <w:color w:val="auto"/>
              </w:rPr>
            </w:pPr>
            <w:r>
              <w:rPr>
                <w:rFonts w:ascii="Arial" w:cs="Arial" w:eastAsia="Arial" w:hAnsi="Arial"/>
                <w:sz w:val="14"/>
                <w:szCs w:val="14"/>
                <w:color w:val="auto"/>
              </w:rPr>
              <w:t>Other debt obligations</w:t>
            </w:r>
          </w:p>
        </w:tc>
        <w:tc>
          <w:tcPr>
            <w:tcW w:w="10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29.2</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0.8</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10.8</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20.6</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61.4</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640" w:type="dxa"/>
            <w:vAlign w:val="bottom"/>
            <w:tcBorders>
              <w:top w:val="single" w:sz="8" w:color="CCEEFF"/>
            </w:tcBorders>
            <w:gridSpan w:val="2"/>
            <w:shd w:val="clear" w:color="auto" w:fill="CCEEFF"/>
          </w:tcPr>
          <w:p>
            <w:pPr>
              <w:spacing w:after="0" w:line="142" w:lineRule="exact"/>
              <w:rPr>
                <w:sz w:val="20"/>
                <w:szCs w:val="20"/>
                <w:color w:val="auto"/>
              </w:rPr>
            </w:pPr>
            <w:r>
              <w:rPr>
                <w:rFonts w:ascii="Arial" w:cs="Arial" w:eastAsia="Arial" w:hAnsi="Arial"/>
                <w:sz w:val="14"/>
                <w:szCs w:val="14"/>
                <w:color w:val="auto"/>
              </w:rPr>
              <w:t>Total fixed maturities, available-for-sale</w:t>
            </w:r>
          </w:p>
        </w:tc>
        <w:tc>
          <w:tcPr>
            <w:tcW w:w="100" w:type="dxa"/>
            <w:vAlign w:val="bottom"/>
            <w:tcBorders>
              <w:top w:val="single" w:sz="8" w:color="auto"/>
            </w:tcBorders>
            <w:shd w:val="clear" w:color="auto" w:fill="CCEEFF"/>
          </w:tcPr>
          <w:p>
            <w:pPr>
              <w:spacing w:after="0"/>
              <w:rPr>
                <w:sz w:val="12"/>
                <w:szCs w:val="12"/>
                <w:color w:val="auto"/>
              </w:rPr>
            </w:pPr>
          </w:p>
        </w:tc>
        <w:tc>
          <w:tcPr>
            <w:tcW w:w="78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360.4</w:t>
            </w:r>
          </w:p>
        </w:tc>
        <w:tc>
          <w:tcPr>
            <w:tcW w:w="8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auto"/>
            </w:tcBorders>
            <w:shd w:val="clear" w:color="auto" w:fill="CCEEFF"/>
          </w:tcPr>
          <w:p>
            <w:pPr>
              <w:spacing w:after="0"/>
              <w:rPr>
                <w:sz w:val="12"/>
                <w:szCs w:val="12"/>
                <w:color w:val="auto"/>
              </w:rPr>
            </w:pPr>
          </w:p>
        </w:tc>
        <w:tc>
          <w:tcPr>
            <w:tcW w:w="80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(7.9)</w:t>
            </w:r>
          </w:p>
        </w:tc>
        <w:tc>
          <w:tcPr>
            <w:tcW w:w="8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auto"/>
            </w:tcBorders>
            <w:shd w:val="clear" w:color="auto" w:fill="CCEEFF"/>
          </w:tcPr>
          <w:p>
            <w:pPr>
              <w:spacing w:after="0"/>
              <w:rPr>
                <w:sz w:val="12"/>
                <w:szCs w:val="12"/>
                <w:color w:val="auto"/>
              </w:rPr>
            </w:pPr>
          </w:p>
        </w:tc>
        <w:tc>
          <w:tcPr>
            <w:tcW w:w="84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(2.6)</w:t>
            </w:r>
          </w:p>
        </w:tc>
        <w:tc>
          <w:tcPr>
            <w:tcW w:w="16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80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445.9</w:t>
            </w:r>
          </w:p>
        </w:tc>
        <w:tc>
          <w:tcPr>
            <w:tcW w:w="160" w:type="dxa"/>
            <w:vAlign w:val="bottom"/>
            <w:tcBorders>
              <w:top w:val="single" w:sz="8" w:color="CCEEFF"/>
            </w:tcBorders>
            <w:shd w:val="clear" w:color="auto" w:fill="CCEEFF"/>
          </w:tcPr>
          <w:p>
            <w:pPr>
              <w:spacing w:after="0"/>
              <w:rPr>
                <w:sz w:val="12"/>
                <w:szCs w:val="12"/>
                <w:color w:val="auto"/>
              </w:rPr>
            </w:pPr>
          </w:p>
        </w:tc>
        <w:tc>
          <w:tcPr>
            <w:tcW w:w="120" w:type="dxa"/>
            <w:vAlign w:val="bottom"/>
            <w:tcBorders>
              <w:top w:val="single" w:sz="8" w:color="auto"/>
            </w:tcBorders>
            <w:shd w:val="clear" w:color="auto" w:fill="CCEEFF"/>
          </w:tcPr>
          <w:p>
            <w:pPr>
              <w:spacing w:after="0"/>
              <w:rPr>
                <w:sz w:val="12"/>
                <w:szCs w:val="12"/>
                <w:color w:val="auto"/>
              </w:rPr>
            </w:pPr>
          </w:p>
        </w:tc>
        <w:tc>
          <w:tcPr>
            <w:tcW w:w="78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247.2</w:t>
            </w:r>
          </w:p>
        </w:tc>
        <w:tc>
          <w:tcPr>
            <w:tcW w:w="160" w:type="dxa"/>
            <w:vAlign w:val="bottom"/>
            <w:tcBorders>
              <w:top w:val="single" w:sz="8" w:color="CCEEFF"/>
            </w:tcBorders>
            <w:shd w:val="clear" w:color="auto" w:fill="CCEEFF"/>
          </w:tcPr>
          <w:p>
            <w:pPr>
              <w:spacing w:after="0"/>
              <w:rPr>
                <w:sz w:val="12"/>
                <w:szCs w:val="12"/>
                <w:color w:val="auto"/>
              </w:rPr>
            </w:pPr>
          </w:p>
        </w:tc>
        <w:tc>
          <w:tcPr>
            <w:tcW w:w="120" w:type="dxa"/>
            <w:vAlign w:val="bottom"/>
            <w:tcBorders>
              <w:top w:val="single" w:sz="8" w:color="auto"/>
            </w:tcBorders>
            <w:shd w:val="clear" w:color="auto" w:fill="CCEEFF"/>
          </w:tcPr>
          <w:p>
            <w:pPr>
              <w:spacing w:after="0"/>
              <w:rPr>
                <w:sz w:val="12"/>
                <w:szCs w:val="12"/>
                <w:color w:val="auto"/>
              </w:rPr>
            </w:pPr>
          </w:p>
        </w:tc>
        <w:tc>
          <w:tcPr>
            <w:tcW w:w="78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(225.4)</w:t>
            </w:r>
          </w:p>
        </w:tc>
        <w:tc>
          <w:tcPr>
            <w:tcW w:w="160" w:type="dxa"/>
            <w:vAlign w:val="bottom"/>
            <w:tcBorders>
              <w:top w:val="single" w:sz="8" w:color="CCEEFF"/>
            </w:tcBorders>
            <w:shd w:val="clear" w:color="auto" w:fill="CCEEFF"/>
          </w:tcPr>
          <w:p>
            <w:pPr>
              <w:spacing w:after="0"/>
              <w:rPr>
                <w:sz w:val="12"/>
                <w:szCs w:val="12"/>
                <w:color w:val="auto"/>
              </w:rPr>
            </w:pPr>
          </w:p>
        </w:tc>
        <w:tc>
          <w:tcPr>
            <w:tcW w:w="120" w:type="dxa"/>
            <w:vAlign w:val="bottom"/>
            <w:tcBorders>
              <w:top w:val="single" w:sz="8" w:color="auto"/>
            </w:tcBorders>
            <w:shd w:val="clear" w:color="auto" w:fill="CCEEFF"/>
          </w:tcPr>
          <w:p>
            <w:pPr>
              <w:spacing w:after="0"/>
              <w:rPr>
                <w:sz w:val="12"/>
                <w:szCs w:val="12"/>
                <w:color w:val="auto"/>
              </w:rPr>
            </w:pPr>
          </w:p>
        </w:tc>
        <w:tc>
          <w:tcPr>
            <w:tcW w:w="78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817.6</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2640" w:type="dxa"/>
            <w:vAlign w:val="bottom"/>
            <w:gridSpan w:val="2"/>
          </w:tcPr>
          <w:p>
            <w:pPr>
              <w:spacing w:after="0"/>
              <w:rPr>
                <w:sz w:val="20"/>
                <w:szCs w:val="20"/>
                <w:color w:val="auto"/>
              </w:rPr>
            </w:pPr>
            <w:r>
              <w:rPr>
                <w:rFonts w:ascii="Arial" w:cs="Arial" w:eastAsia="Arial" w:hAnsi="Arial"/>
                <w:sz w:val="14"/>
                <w:szCs w:val="14"/>
                <w:color w:val="auto"/>
              </w:rPr>
              <w:t>Other investments</w:t>
            </w:r>
          </w:p>
        </w:tc>
        <w:tc>
          <w:tcPr>
            <w:tcW w:w="10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31.9</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12.6</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96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9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9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44.5</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264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Separate account assets (1)</w:t>
            </w:r>
          </w:p>
        </w:tc>
        <w:tc>
          <w:tcPr>
            <w:tcW w:w="100" w:type="dxa"/>
            <w:vAlign w:val="bottom"/>
            <w:shd w:val="clear" w:color="auto" w:fill="CCEEFF"/>
          </w:tcPr>
          <w:p>
            <w:pPr>
              <w:spacing w:after="0"/>
              <w:rPr>
                <w:sz w:val="14"/>
                <w:szCs w:val="1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8,893.2</w:t>
            </w:r>
          </w:p>
        </w:tc>
        <w:tc>
          <w:tcPr>
            <w:tcW w:w="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144.6</w:t>
            </w:r>
          </w:p>
        </w:tc>
        <w:tc>
          <w:tcPr>
            <w:tcW w:w="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4"/>
                <w:szCs w:val="14"/>
                <w:color w:val="auto"/>
              </w:rPr>
            </w:pP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(7,820.4)</w:t>
            </w:r>
          </w:p>
        </w:tc>
        <w:tc>
          <w:tcPr>
            <w:tcW w:w="120" w:type="dxa"/>
            <w:vAlign w:val="bottom"/>
            <w:shd w:val="clear" w:color="auto" w:fill="CCEEFF"/>
          </w:tcPr>
          <w:p>
            <w:pPr>
              <w:spacing w:after="0"/>
              <w:rPr>
                <w:sz w:val="14"/>
                <w:szCs w:val="14"/>
                <w:color w:val="auto"/>
              </w:rPr>
            </w:pPr>
          </w:p>
        </w:tc>
        <w:tc>
          <w:tcPr>
            <w:tcW w:w="9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4"/>
                <w:szCs w:val="14"/>
                <w:color w:val="auto"/>
              </w:rPr>
            </w:pPr>
          </w:p>
        </w:tc>
        <w:tc>
          <w:tcPr>
            <w:tcW w:w="9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4"/>
                <w:szCs w:val="1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1,217.4</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vMerge w:val="restart"/>
          </w:tcPr>
          <w:p>
            <w:pPr>
              <w:spacing w:after="0"/>
              <w:rPr>
                <w:sz w:val="14"/>
                <w:szCs w:val="14"/>
                <w:color w:val="auto"/>
              </w:rPr>
            </w:pPr>
          </w:p>
        </w:tc>
        <w:tc>
          <w:tcPr>
            <w:tcW w:w="24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vMerge w:val="continue"/>
          </w:tcPr>
          <w:p>
            <w:pPr>
              <w:spacing w:after="0"/>
              <w:rPr>
                <w:sz w:val="14"/>
                <w:szCs w:val="14"/>
                <w:color w:val="auto"/>
              </w:rPr>
            </w:pPr>
          </w:p>
        </w:tc>
        <w:tc>
          <w:tcPr>
            <w:tcW w:w="2640" w:type="dxa"/>
            <w:vAlign w:val="bottom"/>
            <w:gridSpan w:val="2"/>
            <w:shd w:val="clear" w:color="auto" w:fill="CCEEFF"/>
          </w:tcPr>
          <w:p>
            <w:pPr>
              <w:spacing w:after="0"/>
              <w:rPr>
                <w:sz w:val="20"/>
                <w:szCs w:val="20"/>
                <w:color w:val="auto"/>
              </w:rPr>
            </w:pPr>
            <w:r>
              <w:rPr>
                <w:rFonts w:ascii="Arial" w:cs="Arial" w:eastAsia="Arial" w:hAnsi="Arial"/>
                <w:sz w:val="14"/>
                <w:szCs w:val="14"/>
                <w:b w:val="1"/>
                <w:bCs w:val="1"/>
                <w:color w:val="auto"/>
              </w:rPr>
              <w:t>Liabilities</w:t>
            </w:r>
          </w:p>
        </w:tc>
        <w:tc>
          <w:tcPr>
            <w:tcW w:w="10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2640" w:type="dxa"/>
            <w:vAlign w:val="bottom"/>
            <w:gridSpan w:val="2"/>
          </w:tcPr>
          <w:p>
            <w:pPr>
              <w:spacing w:after="0"/>
              <w:rPr>
                <w:sz w:val="20"/>
                <w:szCs w:val="20"/>
                <w:color w:val="auto"/>
              </w:rPr>
            </w:pPr>
            <w:r>
              <w:rPr>
                <w:rFonts w:ascii="Arial" w:cs="Arial" w:eastAsia="Arial" w:hAnsi="Arial"/>
                <w:sz w:val="14"/>
                <w:szCs w:val="14"/>
                <w:color w:val="auto"/>
              </w:rPr>
              <w:t>Investment and universal life contracts</w:t>
            </w:r>
          </w:p>
        </w:tc>
        <w:tc>
          <w:tcPr>
            <w:tcW w:w="100" w:type="dxa"/>
            <w:vAlign w:val="bottom"/>
          </w:tcPr>
          <w:p>
            <w:pPr>
              <w:spacing w:after="0"/>
              <w:rPr>
                <w:sz w:val="14"/>
                <w:szCs w:val="14"/>
                <w:color w:val="auto"/>
              </w:rPr>
            </w:pPr>
          </w:p>
        </w:tc>
        <w:tc>
          <w:tcPr>
            <w:tcW w:w="860" w:type="dxa"/>
            <w:vAlign w:val="bottom"/>
            <w:gridSpan w:val="2"/>
          </w:tcPr>
          <w:p>
            <w:pPr>
              <w:jc w:val="right"/>
              <w:ind w:right="80"/>
              <w:spacing w:after="0"/>
              <w:rPr>
                <w:sz w:val="20"/>
                <w:szCs w:val="20"/>
                <w:color w:val="auto"/>
              </w:rPr>
            </w:pPr>
            <w:r>
              <w:rPr>
                <w:rFonts w:ascii="Arial" w:cs="Arial" w:eastAsia="Arial" w:hAnsi="Arial"/>
                <w:sz w:val="14"/>
                <w:szCs w:val="14"/>
                <w:color w:val="auto"/>
              </w:rPr>
              <w:t>(467.8)</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169.7</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0.1</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16.4</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9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(281.6)</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vMerge w:val="restart"/>
          </w:tcPr>
          <w:p>
            <w:pPr>
              <w:spacing w:after="0"/>
              <w:rPr>
                <w:sz w:val="14"/>
                <w:szCs w:val="14"/>
                <w:color w:val="auto"/>
              </w:rPr>
            </w:pPr>
          </w:p>
        </w:tc>
        <w:tc>
          <w:tcPr>
            <w:tcW w:w="246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vMerge w:val="continue"/>
          </w:tcPr>
          <w:p>
            <w:pPr>
              <w:spacing w:after="0"/>
              <w:rPr>
                <w:sz w:val="14"/>
                <w:szCs w:val="14"/>
                <w:color w:val="auto"/>
              </w:rPr>
            </w:pPr>
          </w:p>
        </w:tc>
        <w:tc>
          <w:tcPr>
            <w:tcW w:w="2640" w:type="dxa"/>
            <w:vAlign w:val="bottom"/>
            <w:gridSpan w:val="2"/>
          </w:tcPr>
          <w:p>
            <w:pPr>
              <w:spacing w:after="0"/>
              <w:rPr>
                <w:sz w:val="20"/>
                <w:szCs w:val="20"/>
                <w:color w:val="auto"/>
              </w:rPr>
            </w:pPr>
            <w:r>
              <w:rPr>
                <w:rFonts w:ascii="Arial" w:cs="Arial" w:eastAsia="Arial" w:hAnsi="Arial"/>
                <w:sz w:val="14"/>
                <w:szCs w:val="14"/>
                <w:b w:val="1"/>
                <w:bCs w:val="1"/>
                <w:color w:val="auto"/>
              </w:rPr>
              <w:t>Derivatives</w:t>
            </w:r>
          </w:p>
        </w:tc>
        <w:tc>
          <w:tcPr>
            <w:tcW w:w="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264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Net derivative assets (liabilities)</w:t>
            </w:r>
          </w:p>
        </w:tc>
        <w:tc>
          <w:tcPr>
            <w:tcW w:w="100" w:type="dxa"/>
            <w:vAlign w:val="bottom"/>
            <w:shd w:val="clear" w:color="auto" w:fill="CCEEFF"/>
          </w:tcPr>
          <w:p>
            <w:pPr>
              <w:spacing w:after="0"/>
              <w:rPr>
                <w:sz w:val="14"/>
                <w:szCs w:val="14"/>
                <w:color w:val="auto"/>
              </w:rPr>
            </w:pPr>
          </w:p>
        </w:tc>
        <w:tc>
          <w:tcPr>
            <w:tcW w:w="86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(5.1)</w:t>
            </w:r>
          </w:p>
        </w:tc>
        <w:tc>
          <w:tcPr>
            <w:tcW w:w="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8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(4.4)</w:t>
            </w:r>
          </w:p>
        </w:tc>
        <w:tc>
          <w:tcPr>
            <w:tcW w:w="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4"/>
                <w:szCs w:val="1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0.6</w:t>
            </w:r>
          </w:p>
        </w:tc>
        <w:tc>
          <w:tcPr>
            <w:tcW w:w="1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4"/>
                <w:szCs w:val="14"/>
                <w:color w:val="auto"/>
              </w:rPr>
            </w:pPr>
          </w:p>
        </w:tc>
        <w:tc>
          <w:tcPr>
            <w:tcW w:w="9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4"/>
                <w:szCs w:val="1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(8.9)</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2460" w:type="dxa"/>
            <w:vAlign w:val="bottom"/>
            <w:tcBorders>
              <w:bottom w:val="single" w:sz="8" w:color="auto"/>
            </w:tcBorders>
          </w:tcPr>
          <w:p>
            <w:pPr>
              <w:spacing w:after="0"/>
              <w:rPr>
                <w:sz w:val="9"/>
                <w:szCs w:val="9"/>
                <w:color w:val="auto"/>
              </w:rPr>
            </w:pPr>
          </w:p>
        </w:tc>
        <w:tc>
          <w:tcPr>
            <w:tcW w:w="180" w:type="dxa"/>
            <w:vAlign w:val="bottom"/>
          </w:tcPr>
          <w:p>
            <w:pPr>
              <w:spacing w:after="0"/>
              <w:rPr>
                <w:sz w:val="9"/>
                <w:szCs w:val="9"/>
                <w:color w:val="auto"/>
              </w:rPr>
            </w:pPr>
          </w:p>
        </w:tc>
        <w:tc>
          <w:tcPr>
            <w:tcW w:w="100" w:type="dxa"/>
            <w:vAlign w:val="bottom"/>
          </w:tcPr>
          <w:p>
            <w:pPr>
              <w:spacing w:after="0"/>
              <w:rPr>
                <w:sz w:val="9"/>
                <w:szCs w:val="9"/>
                <w:color w:val="auto"/>
              </w:rPr>
            </w:pPr>
          </w:p>
        </w:tc>
        <w:tc>
          <w:tcPr>
            <w:tcW w:w="7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100" w:type="dxa"/>
            <w:vAlign w:val="bottom"/>
          </w:tcPr>
          <w:p>
            <w:pPr>
              <w:spacing w:after="0"/>
              <w:rPr>
                <w:sz w:val="9"/>
                <w:szCs w:val="9"/>
                <w:color w:val="auto"/>
              </w:rPr>
            </w:pPr>
          </w:p>
        </w:tc>
        <w:tc>
          <w:tcPr>
            <w:tcW w:w="84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780" w:type="dxa"/>
            <w:vAlign w:val="bottom"/>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780" w:type="dxa"/>
            <w:vAlign w:val="bottom"/>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7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80" w:lineRule="exact"/>
        <w:rPr>
          <w:sz w:val="20"/>
          <w:szCs w:val="20"/>
          <w:color w:val="auto"/>
        </w:rPr>
      </w:pPr>
    </w:p>
    <w:p>
      <w:pPr>
        <w:ind w:left="340" w:right="60" w:hanging="332"/>
        <w:spacing w:after="0" w:line="259" w:lineRule="auto"/>
        <w:tabs>
          <w:tab w:leader="none" w:pos="340" w:val="left"/>
        </w:tabs>
        <w:numPr>
          <w:ilvl w:val="0"/>
          <w:numId w:val="30"/>
        </w:numPr>
        <w:rPr>
          <w:rFonts w:ascii="Arial" w:cs="Arial" w:eastAsia="Arial" w:hAnsi="Arial"/>
          <w:sz w:val="18"/>
          <w:szCs w:val="18"/>
          <w:color w:val="auto"/>
        </w:rPr>
      </w:pPr>
      <w:r>
        <w:rPr>
          <w:rFonts w:ascii="Arial" w:cs="Arial" w:eastAsia="Arial" w:hAnsi="Arial"/>
          <w:sz w:val="18"/>
          <w:szCs w:val="18"/>
          <w:color w:val="auto"/>
        </w:rPr>
        <w:t>Gains and losses for separate account assets do not impact net income as the change in value of separate account assets is offset by a change in value of separate account liabilities. Foreign currency translation adjustments related to the Principal International segment separate account assets are recorded in AOCI and are offset by foreign currency translation adjustments of the corresponding separate account liabilities.</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603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67" w:name="page68"/>
    <w:bookmarkEnd w:id="67"/>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left="680" w:right="80" w:hanging="321"/>
        <w:spacing w:after="0" w:line="255" w:lineRule="auto"/>
        <w:tabs>
          <w:tab w:leader="none" w:pos="6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Both realized gains (losses) and mark-to-market unrealized gains (losses) are generally reported in net realized capital gains (losses), net realized capital gains (losses) on funds withheld assets or change in fair value of funds withheld embedded derivative within the consolidated statements of operations. Realized and unrealized gains (losses) on certain securities with an investment objective to realize economic value through mark-to-market changes are reported in net investment income within the consolidated statements of operations. Changes in unrealized gains (losses) included in net income relating to positions still held were:</w:t>
      </w:r>
    </w:p>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320" w:type="dxa"/>
            <w:vAlign w:val="bottom"/>
          </w:tcPr>
          <w:p>
            <w:pPr>
              <w:spacing w:after="0"/>
              <w:rPr>
                <w:sz w:val="14"/>
                <w:szCs w:val="14"/>
                <w:color w:val="auto"/>
              </w:rPr>
            </w:pPr>
          </w:p>
        </w:tc>
        <w:tc>
          <w:tcPr>
            <w:tcW w:w="1800" w:type="dxa"/>
            <w:vAlign w:val="bottom"/>
            <w:gridSpan w:val="6"/>
          </w:tcPr>
          <w:p>
            <w:pPr>
              <w:spacing w:after="0"/>
              <w:rPr>
                <w:sz w:val="20"/>
                <w:szCs w:val="20"/>
                <w:color w:val="auto"/>
              </w:rPr>
            </w:pPr>
            <w:r>
              <w:rPr>
                <w:rFonts w:ascii="Arial" w:cs="Arial" w:eastAsia="Arial" w:hAnsi="Arial"/>
                <w:sz w:val="14"/>
                <w:szCs w:val="14"/>
                <w:b w:val="1"/>
                <w:bCs w:val="1"/>
                <w:color w:val="auto"/>
                <w:w w:val="96"/>
              </w:rPr>
              <w:t>For the three months ended</w:t>
            </w:r>
          </w:p>
        </w:tc>
        <w:tc>
          <w:tcPr>
            <w:tcW w:w="80" w:type="dxa"/>
            <w:vAlign w:val="bottom"/>
          </w:tcPr>
          <w:p>
            <w:pPr>
              <w:spacing w:after="0"/>
              <w:rPr>
                <w:sz w:val="14"/>
                <w:szCs w:val="14"/>
                <w:color w:val="auto"/>
              </w:rPr>
            </w:pPr>
          </w:p>
        </w:tc>
        <w:tc>
          <w:tcPr>
            <w:tcW w:w="1700" w:type="dxa"/>
            <w:vAlign w:val="bottom"/>
            <w:gridSpan w:val="5"/>
          </w:tcPr>
          <w:p>
            <w:pPr>
              <w:jc w:val="center"/>
              <w:spacing w:after="0"/>
              <w:rPr>
                <w:sz w:val="20"/>
                <w:szCs w:val="20"/>
                <w:color w:val="auto"/>
              </w:rPr>
            </w:pPr>
            <w:r>
              <w:rPr>
                <w:rFonts w:ascii="Arial" w:cs="Arial" w:eastAsia="Arial" w:hAnsi="Arial"/>
                <w:sz w:val="14"/>
                <w:szCs w:val="14"/>
                <w:b w:val="1"/>
                <w:bCs w:val="1"/>
                <w:color w:val="auto"/>
                <w:w w:val="90"/>
              </w:rPr>
              <w:t>For the six months ended</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632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gridSpan w:val="3"/>
          </w:tcPr>
          <w:p>
            <w:pPr>
              <w:ind w:left="440"/>
              <w:spacing w:after="0"/>
              <w:rPr>
                <w:sz w:val="20"/>
                <w:szCs w:val="20"/>
                <w:color w:val="auto"/>
              </w:rPr>
            </w:pPr>
            <w:r>
              <w:rPr>
                <w:rFonts w:ascii="Arial" w:cs="Arial" w:eastAsia="Arial" w:hAnsi="Arial"/>
                <w:sz w:val="14"/>
                <w:szCs w:val="14"/>
                <w:b w:val="1"/>
                <w:bCs w:val="1"/>
                <w:color w:val="auto"/>
                <w:w w:val="96"/>
              </w:rPr>
              <w:t>June 30,</w:t>
            </w:r>
          </w:p>
        </w:tc>
        <w:tc>
          <w:tcPr>
            <w:tcW w:w="58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gridSpan w:val="3"/>
          </w:tcPr>
          <w:p>
            <w:pPr>
              <w:jc w:val="center"/>
              <w:ind w:left="313"/>
              <w:spacing w:after="0"/>
              <w:rPr>
                <w:sz w:val="20"/>
                <w:szCs w:val="20"/>
                <w:color w:val="auto"/>
              </w:rPr>
            </w:pPr>
            <w:r>
              <w:rPr>
                <w:rFonts w:ascii="Arial" w:cs="Arial" w:eastAsia="Arial" w:hAnsi="Arial"/>
                <w:sz w:val="14"/>
                <w:szCs w:val="14"/>
                <w:b w:val="1"/>
                <w:bCs w:val="1"/>
                <w:color w:val="auto"/>
                <w:w w:val="89"/>
              </w:rPr>
              <w:t>June 30,</w:t>
            </w:r>
          </w:p>
        </w:tc>
        <w:tc>
          <w:tcPr>
            <w:tcW w:w="58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32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ind w:right="173"/>
              <w:spacing w:after="0" w:line="142" w:lineRule="exact"/>
              <w:rPr>
                <w:sz w:val="20"/>
                <w:szCs w:val="20"/>
                <w:color w:val="auto"/>
              </w:rPr>
            </w:pPr>
            <w:r>
              <w:rPr>
                <w:rFonts w:ascii="Arial" w:cs="Arial" w:eastAsia="Arial" w:hAnsi="Arial"/>
                <w:sz w:val="14"/>
                <w:szCs w:val="14"/>
                <w:b w:val="1"/>
                <w:bCs w:val="1"/>
                <w:color w:val="auto"/>
              </w:rPr>
              <w:t>2022</w:t>
            </w:r>
          </w:p>
        </w:tc>
        <w:tc>
          <w:tcPr>
            <w:tcW w:w="160" w:type="dxa"/>
            <w:vAlign w:val="bottom"/>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580" w:type="dxa"/>
            <w:vAlign w:val="bottom"/>
            <w:tcBorders>
              <w:bottom w:val="single" w:sz="8" w:color="auto"/>
            </w:tcBorders>
          </w:tcPr>
          <w:p>
            <w:pPr>
              <w:jc w:val="right"/>
              <w:ind w:right="173"/>
              <w:spacing w:after="0" w:line="142" w:lineRule="exact"/>
              <w:rPr>
                <w:sz w:val="20"/>
                <w:szCs w:val="20"/>
                <w:color w:val="auto"/>
              </w:rPr>
            </w:pPr>
            <w:r>
              <w:rPr>
                <w:rFonts w:ascii="Arial" w:cs="Arial" w:eastAsia="Arial" w:hAnsi="Arial"/>
                <w:sz w:val="14"/>
                <w:szCs w:val="14"/>
                <w:b w:val="1"/>
                <w:bCs w:val="1"/>
                <w:color w:val="auto"/>
                <w:w w:val="96"/>
              </w:rPr>
              <w:t>2021</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jc w:val="right"/>
              <w:ind w:right="153"/>
              <w:spacing w:after="0" w:line="142" w:lineRule="exact"/>
              <w:rPr>
                <w:sz w:val="20"/>
                <w:szCs w:val="20"/>
                <w:color w:val="auto"/>
              </w:rPr>
            </w:pPr>
            <w:r>
              <w:rPr>
                <w:rFonts w:ascii="Arial" w:cs="Arial" w:eastAsia="Arial" w:hAnsi="Arial"/>
                <w:sz w:val="14"/>
                <w:szCs w:val="14"/>
                <w:b w:val="1"/>
                <w:bCs w:val="1"/>
                <w:color w:val="auto"/>
              </w:rPr>
              <w:t>2022</w:t>
            </w:r>
          </w:p>
        </w:tc>
        <w:tc>
          <w:tcPr>
            <w:tcW w:w="160" w:type="dxa"/>
            <w:vAlign w:val="bottom"/>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580" w:type="dxa"/>
            <w:vAlign w:val="bottom"/>
            <w:tcBorders>
              <w:bottom w:val="single" w:sz="8" w:color="auto"/>
            </w:tcBorders>
          </w:tcPr>
          <w:p>
            <w:pPr>
              <w:jc w:val="right"/>
              <w:ind w:right="152"/>
              <w:spacing w:after="0" w:line="142" w:lineRule="exact"/>
              <w:rPr>
                <w:sz w:val="20"/>
                <w:szCs w:val="20"/>
                <w:color w:val="auto"/>
              </w:rPr>
            </w:pPr>
            <w:r>
              <w:rPr>
                <w:rFonts w:ascii="Arial" w:cs="Arial" w:eastAsia="Arial" w:hAnsi="Arial"/>
                <w:sz w:val="14"/>
                <w:szCs w:val="14"/>
                <w:b w:val="1"/>
                <w:bCs w:val="1"/>
                <w:color w:val="auto"/>
              </w:rPr>
              <w:t>2021</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500" w:type="dxa"/>
            <w:vAlign w:val="bottom"/>
            <w:gridSpan w:val="5"/>
          </w:tcPr>
          <w:p>
            <w:pPr>
              <w:jc w:val="right"/>
              <w:ind w:right="413"/>
              <w:spacing w:after="0" w:line="129" w:lineRule="exact"/>
              <w:rPr>
                <w:sz w:val="20"/>
                <w:szCs w:val="20"/>
                <w:color w:val="auto"/>
              </w:rPr>
            </w:pPr>
            <w:r>
              <w:rPr>
                <w:rFonts w:ascii="Arial" w:cs="Arial" w:eastAsia="Arial" w:hAnsi="Arial"/>
                <w:sz w:val="14"/>
                <w:szCs w:val="14"/>
                <w:i w:val="1"/>
                <w:iCs w:val="1"/>
                <w:color w:val="auto"/>
              </w:rPr>
              <w:t>(in millions)</w:t>
            </w:r>
          </w:p>
        </w:tc>
        <w:tc>
          <w:tcPr>
            <w:tcW w:w="1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20" w:type="dxa"/>
            <w:vAlign w:val="bottom"/>
          </w:tcPr>
          <w:p>
            <w:pPr>
              <w:spacing w:after="0"/>
              <w:rPr>
                <w:sz w:val="20"/>
                <w:szCs w:val="20"/>
                <w:color w:val="auto"/>
              </w:rPr>
            </w:pPr>
            <w:r>
              <w:rPr>
                <w:rFonts w:ascii="Arial" w:cs="Arial" w:eastAsia="Arial" w:hAnsi="Arial"/>
                <w:sz w:val="18"/>
                <w:szCs w:val="18"/>
                <w:color w:val="auto"/>
              </w:rPr>
              <w:t>Fixed maturities, available-for-sale:</w:t>
            </w: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Corporate</w:t>
            </w:r>
          </w:p>
        </w:tc>
        <w:tc>
          <w:tcPr>
            <w:tcW w:w="1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w:t>
            </w:r>
          </w:p>
        </w:tc>
        <w:tc>
          <w:tcPr>
            <w:tcW w:w="1000" w:type="dxa"/>
            <w:vAlign w:val="bottom"/>
            <w:gridSpan w:val="3"/>
            <w:shd w:val="clear" w:color="auto" w:fill="CCEEFF"/>
          </w:tcPr>
          <w:p>
            <w:pPr>
              <w:ind w:left="400"/>
              <w:spacing w:after="0"/>
              <w:rPr>
                <w:sz w:val="20"/>
                <w:szCs w:val="20"/>
                <w:color w:val="auto"/>
              </w:rPr>
            </w:pPr>
            <w:r>
              <w:rPr>
                <w:rFonts w:ascii="Arial" w:cs="Arial" w:eastAsia="Arial" w:hAnsi="Arial"/>
                <w:sz w:val="18"/>
                <w:szCs w:val="18"/>
                <w:b w:val="1"/>
                <w:bCs w:val="1"/>
                <w:color w:val="auto"/>
              </w:rPr>
              <w:t xml:space="preserve">—  </w:t>
            </w:r>
            <w:r>
              <w:rPr>
                <w:rFonts w:ascii="Arial" w:cs="Arial" w:eastAsia="Arial" w:hAnsi="Arial"/>
                <w:sz w:val="18"/>
                <w:szCs w:val="18"/>
                <w:color w:val="auto"/>
              </w:rPr>
              <w:t>$</w:t>
            </w:r>
          </w:p>
        </w:tc>
        <w:tc>
          <w:tcPr>
            <w:tcW w:w="6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(4.7)</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980" w:type="dxa"/>
            <w:vAlign w:val="bottom"/>
            <w:gridSpan w:val="3"/>
            <w:shd w:val="clear" w:color="auto" w:fill="CCEEFF"/>
          </w:tcPr>
          <w:p>
            <w:pPr>
              <w:ind w:left="400"/>
              <w:spacing w:after="0"/>
              <w:rPr>
                <w:sz w:val="20"/>
                <w:szCs w:val="20"/>
                <w:color w:val="auto"/>
              </w:rPr>
            </w:pPr>
            <w:r>
              <w:rPr>
                <w:rFonts w:ascii="Arial" w:cs="Arial" w:eastAsia="Arial" w:hAnsi="Arial"/>
                <w:sz w:val="18"/>
                <w:szCs w:val="18"/>
                <w:b w:val="1"/>
                <w:bCs w:val="1"/>
                <w:color w:val="auto"/>
              </w:rPr>
              <w:t xml:space="preserve">—  </w:t>
            </w: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20" w:type="dxa"/>
            <w:vAlign w:val="bottom"/>
          </w:tcPr>
          <w:p>
            <w:pPr>
              <w:ind w:left="100"/>
              <w:spacing w:after="0"/>
              <w:rPr>
                <w:sz w:val="20"/>
                <w:szCs w:val="20"/>
                <w:color w:val="auto"/>
              </w:rPr>
            </w:pPr>
            <w:r>
              <w:rPr>
                <w:rFonts w:ascii="Arial" w:cs="Arial" w:eastAsia="Arial" w:hAnsi="Arial"/>
                <w:sz w:val="18"/>
                <w:szCs w:val="18"/>
                <w:color w:val="auto"/>
              </w:rPr>
              <w:t>Commercial mortgage-backed securities</w:t>
            </w:r>
          </w:p>
        </w:tc>
        <w:tc>
          <w:tcPr>
            <w:tcW w:w="140" w:type="dxa"/>
            <w:vAlign w:val="bottom"/>
          </w:tcPr>
          <w:p>
            <w:pPr>
              <w:spacing w:after="0"/>
              <w:rPr>
                <w:sz w:val="18"/>
                <w:szCs w:val="18"/>
                <w:color w:val="auto"/>
              </w:rPr>
            </w:pPr>
          </w:p>
        </w:tc>
        <w:tc>
          <w:tcPr>
            <w:tcW w:w="1000" w:type="dxa"/>
            <w:vAlign w:val="bottom"/>
            <w:gridSpan w:val="3"/>
          </w:tcPr>
          <w:p>
            <w:pPr>
              <w:jc w:val="right"/>
              <w:ind w:right="420"/>
              <w:spacing w:after="0"/>
              <w:rPr>
                <w:sz w:val="20"/>
                <w:szCs w:val="20"/>
                <w:color w:val="auto"/>
              </w:rPr>
            </w:pPr>
            <w:r>
              <w:rPr>
                <w:rFonts w:ascii="Arial" w:cs="Arial" w:eastAsia="Arial" w:hAnsi="Arial"/>
                <w:sz w:val="18"/>
                <w:szCs w:val="18"/>
                <w:b w:val="1"/>
                <w:bCs w:val="1"/>
                <w:color w:val="auto"/>
              </w:rPr>
              <w:t>—</w:t>
            </w:r>
          </w:p>
        </w:tc>
        <w:tc>
          <w:tcPr>
            <w:tcW w:w="660" w:type="dxa"/>
            <w:vAlign w:val="bottom"/>
            <w:gridSpan w:val="2"/>
          </w:tcPr>
          <w:p>
            <w:pPr>
              <w:jc w:val="right"/>
              <w:ind w:right="80"/>
              <w:spacing w:after="0"/>
              <w:rPr>
                <w:sz w:val="20"/>
                <w:szCs w:val="20"/>
                <w:color w:val="auto"/>
              </w:rPr>
            </w:pPr>
            <w:r>
              <w:rPr>
                <w:rFonts w:ascii="Arial" w:cs="Arial" w:eastAsia="Arial" w:hAnsi="Arial"/>
                <w:sz w:val="18"/>
                <w:szCs w:val="18"/>
                <w:color w:val="auto"/>
              </w:rPr>
              <w:t>(0.2)</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gridSpan w:val="3"/>
          </w:tcPr>
          <w:p>
            <w:pPr>
              <w:jc w:val="right"/>
              <w:ind w:right="400"/>
              <w:spacing w:after="0"/>
              <w:rPr>
                <w:sz w:val="20"/>
                <w:szCs w:val="20"/>
                <w:color w:val="auto"/>
              </w:rPr>
            </w:pPr>
            <w:r>
              <w:rPr>
                <w:rFonts w:ascii="Arial" w:cs="Arial" w:eastAsia="Arial" w:hAnsi="Arial"/>
                <w:sz w:val="18"/>
                <w:szCs w:val="18"/>
                <w:b w:val="1"/>
                <w:bCs w:val="1"/>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Collateralized debt obligations</w:t>
            </w:r>
          </w:p>
        </w:tc>
        <w:tc>
          <w:tcPr>
            <w:tcW w:w="140" w:type="dxa"/>
            <w:vAlign w:val="bottom"/>
            <w:shd w:val="clear" w:color="auto" w:fill="CCEEFF"/>
          </w:tcPr>
          <w:p>
            <w:pPr>
              <w:spacing w:after="0"/>
              <w:rPr>
                <w:sz w:val="18"/>
                <w:szCs w:val="18"/>
                <w:color w:val="auto"/>
              </w:rPr>
            </w:pPr>
          </w:p>
        </w:tc>
        <w:tc>
          <w:tcPr>
            <w:tcW w:w="1000" w:type="dxa"/>
            <w:vAlign w:val="bottom"/>
            <w:gridSpan w:val="3"/>
            <w:shd w:val="clear" w:color="auto" w:fill="CCEEFF"/>
          </w:tcPr>
          <w:p>
            <w:pPr>
              <w:jc w:val="right"/>
              <w:ind w:right="420"/>
              <w:spacing w:after="0"/>
              <w:rPr>
                <w:sz w:val="20"/>
                <w:szCs w:val="20"/>
                <w:color w:val="auto"/>
              </w:rPr>
            </w:pPr>
            <w:r>
              <w:rPr>
                <w:rFonts w:ascii="Arial" w:cs="Arial" w:eastAsia="Arial" w:hAnsi="Arial"/>
                <w:sz w:val="18"/>
                <w:szCs w:val="18"/>
                <w:b w:val="1"/>
                <w:bCs w:val="1"/>
                <w:color w:val="auto"/>
              </w:rPr>
              <w:t>—</w:t>
            </w:r>
          </w:p>
        </w:tc>
        <w:tc>
          <w:tcPr>
            <w:tcW w:w="6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(1.5)</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gridSpan w:val="3"/>
            <w:shd w:val="clear" w:color="auto" w:fill="CCEEFF"/>
          </w:tcPr>
          <w:p>
            <w:pPr>
              <w:jc w:val="right"/>
              <w:ind w:right="400"/>
              <w:spacing w:after="0"/>
              <w:rPr>
                <w:sz w:val="20"/>
                <w:szCs w:val="20"/>
                <w:color w:val="auto"/>
              </w:rPr>
            </w:pPr>
            <w:r>
              <w:rPr>
                <w:rFonts w:ascii="Arial" w:cs="Arial" w:eastAsia="Arial" w:hAnsi="Arial"/>
                <w:sz w:val="18"/>
                <w:szCs w:val="18"/>
                <w:b w:val="1"/>
                <w:bCs w:val="1"/>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6320" w:type="dxa"/>
            <w:vAlign w:val="bottom"/>
          </w:tcPr>
          <w:p>
            <w:pPr>
              <w:spacing w:after="0"/>
              <w:rPr>
                <w:sz w:val="20"/>
                <w:szCs w:val="20"/>
                <w:color w:val="auto"/>
              </w:rPr>
            </w:pPr>
            <w:r>
              <w:rPr>
                <w:rFonts w:ascii="Arial" w:cs="Arial" w:eastAsia="Arial" w:hAnsi="Arial"/>
                <w:sz w:val="18"/>
                <w:szCs w:val="18"/>
                <w:color w:val="auto"/>
              </w:rPr>
              <w:t>Total fixed maturities, available-for-sale</w:t>
            </w:r>
          </w:p>
        </w:tc>
        <w:tc>
          <w:tcPr>
            <w:tcW w:w="14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w:t>
            </w:r>
          </w:p>
        </w:tc>
        <w:tc>
          <w:tcPr>
            <w:tcW w:w="16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(6.4)</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w:t>
            </w:r>
          </w:p>
        </w:tc>
        <w:tc>
          <w:tcPr>
            <w:tcW w:w="16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20" w:type="dxa"/>
            <w:vAlign w:val="bottom"/>
            <w:shd w:val="clear" w:color="auto" w:fill="CCEEFF"/>
          </w:tcPr>
          <w:p>
            <w:pPr>
              <w:spacing w:after="0"/>
              <w:rPr>
                <w:sz w:val="20"/>
                <w:szCs w:val="20"/>
                <w:color w:val="auto"/>
              </w:rPr>
            </w:pPr>
            <w:r>
              <w:rPr>
                <w:rFonts w:ascii="Arial" w:cs="Arial" w:eastAsia="Arial" w:hAnsi="Arial"/>
                <w:sz w:val="18"/>
                <w:szCs w:val="18"/>
                <w:color w:val="auto"/>
              </w:rPr>
              <w:t>Fixed maturities, trading</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(0.5)</w:t>
            </w:r>
          </w:p>
        </w:tc>
        <w:tc>
          <w:tcPr>
            <w:tcW w:w="2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(0.5)</w:t>
            </w: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20" w:type="dxa"/>
            <w:vAlign w:val="bottom"/>
          </w:tcPr>
          <w:p>
            <w:pPr>
              <w:spacing w:after="0"/>
              <w:rPr>
                <w:sz w:val="20"/>
                <w:szCs w:val="20"/>
                <w:color w:val="auto"/>
              </w:rPr>
            </w:pPr>
            <w:r>
              <w:rPr>
                <w:rFonts w:ascii="Arial" w:cs="Arial" w:eastAsia="Arial" w:hAnsi="Arial"/>
                <w:sz w:val="18"/>
                <w:szCs w:val="18"/>
                <w:color w:val="auto"/>
              </w:rPr>
              <w:t>Other investments</w:t>
            </w:r>
          </w:p>
        </w:tc>
        <w:tc>
          <w:tcPr>
            <w:tcW w:w="140" w:type="dxa"/>
            <w:vAlign w:val="bottom"/>
          </w:tcPr>
          <w:p>
            <w:pPr>
              <w:spacing w:after="0"/>
              <w:rPr>
                <w:sz w:val="18"/>
                <w:szCs w:val="18"/>
                <w:color w:val="auto"/>
              </w:rPr>
            </w:pPr>
          </w:p>
        </w:tc>
        <w:tc>
          <w:tcPr>
            <w:tcW w:w="1000" w:type="dxa"/>
            <w:vAlign w:val="bottom"/>
            <w:gridSpan w:val="3"/>
          </w:tcPr>
          <w:p>
            <w:pPr>
              <w:jc w:val="right"/>
              <w:ind w:right="420"/>
              <w:spacing w:after="0"/>
              <w:rPr>
                <w:sz w:val="20"/>
                <w:szCs w:val="20"/>
                <w:color w:val="auto"/>
              </w:rPr>
            </w:pPr>
            <w:r>
              <w:rPr>
                <w:rFonts w:ascii="Arial" w:cs="Arial" w:eastAsia="Arial" w:hAnsi="Arial"/>
                <w:sz w:val="18"/>
                <w:szCs w:val="18"/>
                <w:b w:val="1"/>
                <w:bCs w:val="1"/>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3.4</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gridSpan w:val="3"/>
          </w:tcPr>
          <w:p>
            <w:pPr>
              <w:jc w:val="right"/>
              <w:ind w:right="400"/>
              <w:spacing w:after="0"/>
              <w:rPr>
                <w:sz w:val="20"/>
                <w:szCs w:val="20"/>
                <w:color w:val="auto"/>
              </w:rPr>
            </w:pPr>
            <w:r>
              <w:rPr>
                <w:rFonts w:ascii="Arial" w:cs="Arial" w:eastAsia="Arial" w:hAnsi="Arial"/>
                <w:sz w:val="18"/>
                <w:szCs w:val="18"/>
                <w:b w:val="1"/>
                <w:bCs w:val="1"/>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12.7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20" w:type="dxa"/>
            <w:vAlign w:val="bottom"/>
            <w:shd w:val="clear" w:color="auto" w:fill="CCEEFF"/>
          </w:tcPr>
          <w:p>
            <w:pPr>
              <w:spacing w:after="0"/>
              <w:rPr>
                <w:sz w:val="20"/>
                <w:szCs w:val="20"/>
                <w:color w:val="auto"/>
              </w:rPr>
            </w:pPr>
            <w:r>
              <w:rPr>
                <w:rFonts w:ascii="Arial" w:cs="Arial" w:eastAsia="Arial" w:hAnsi="Arial"/>
                <w:sz w:val="18"/>
                <w:szCs w:val="18"/>
                <w:color w:val="auto"/>
              </w:rPr>
              <w:t>Separate account assets</w:t>
            </w: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44.5</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47.6</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112.8</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144.1</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6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3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Liabilities</w:t>
            </w: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20" w:type="dxa"/>
            <w:vAlign w:val="bottom"/>
          </w:tcPr>
          <w:p>
            <w:pPr>
              <w:spacing w:after="0"/>
              <w:rPr>
                <w:sz w:val="20"/>
                <w:szCs w:val="20"/>
                <w:color w:val="auto"/>
              </w:rPr>
            </w:pPr>
            <w:r>
              <w:rPr>
                <w:rFonts w:ascii="Arial" w:cs="Arial" w:eastAsia="Arial" w:hAnsi="Arial"/>
                <w:sz w:val="18"/>
                <w:szCs w:val="18"/>
                <w:color w:val="auto"/>
              </w:rPr>
              <w:t>Investment and universal life contracts</w:t>
            </w: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b w:val="1"/>
                <w:bCs w:val="1"/>
                <w:color w:val="auto"/>
              </w:rPr>
              <w:t>70.2</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60" w:type="dxa"/>
            <w:vAlign w:val="bottom"/>
            <w:gridSpan w:val="2"/>
          </w:tcPr>
          <w:p>
            <w:pPr>
              <w:jc w:val="right"/>
              <w:ind w:right="80"/>
              <w:spacing w:after="0"/>
              <w:rPr>
                <w:sz w:val="20"/>
                <w:szCs w:val="20"/>
                <w:color w:val="auto"/>
              </w:rPr>
            </w:pPr>
            <w:r>
              <w:rPr>
                <w:rFonts w:ascii="Arial" w:cs="Arial" w:eastAsia="Arial" w:hAnsi="Arial"/>
                <w:sz w:val="18"/>
                <w:szCs w:val="18"/>
                <w:color w:val="auto"/>
                <w:w w:val="98"/>
              </w:rPr>
              <w:t>(113.9)</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b w:val="1"/>
                <w:bCs w:val="1"/>
                <w:color w:val="auto"/>
              </w:rPr>
              <w:t>262.0</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166.0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20" w:type="dxa"/>
            <w:vAlign w:val="bottom"/>
            <w:shd w:val="clear" w:color="auto" w:fill="CCEEFF"/>
          </w:tcPr>
          <w:p>
            <w:pPr>
              <w:spacing w:after="0"/>
              <w:rPr>
                <w:sz w:val="20"/>
                <w:szCs w:val="20"/>
                <w:color w:val="auto"/>
              </w:rPr>
            </w:pPr>
            <w:r>
              <w:rPr>
                <w:rFonts w:ascii="Arial" w:cs="Arial" w:eastAsia="Arial" w:hAnsi="Arial"/>
                <w:sz w:val="18"/>
                <w:szCs w:val="18"/>
                <w:color w:val="auto"/>
              </w:rPr>
              <w:t>Funds withheld payable embedded derivative</w:t>
            </w: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3"/>
              </w:rPr>
              <w:t>3,067.3</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3"/>
              </w:rPr>
              <w:t>3,067.3</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6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3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Derivatives</w:t>
            </w: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6320" w:type="dxa"/>
            <w:vAlign w:val="bottom"/>
          </w:tcPr>
          <w:p>
            <w:pPr>
              <w:spacing w:after="0"/>
              <w:rPr>
                <w:sz w:val="20"/>
                <w:szCs w:val="20"/>
                <w:color w:val="auto"/>
              </w:rPr>
            </w:pPr>
            <w:r>
              <w:rPr>
                <w:rFonts w:ascii="Arial" w:cs="Arial" w:eastAsia="Arial" w:hAnsi="Arial"/>
                <w:sz w:val="18"/>
                <w:szCs w:val="18"/>
                <w:color w:val="auto"/>
              </w:rPr>
              <w:t>Net derivative assets (liabilities)</w:t>
            </w:r>
          </w:p>
        </w:tc>
        <w:tc>
          <w:tcPr>
            <w:tcW w:w="140" w:type="dxa"/>
            <w:vAlign w:val="bottom"/>
          </w:tcPr>
          <w:p>
            <w:pPr>
              <w:spacing w:after="0"/>
              <w:rPr>
                <w:sz w:val="20"/>
                <w:szCs w:val="20"/>
                <w:color w:val="auto"/>
              </w:rPr>
            </w:pPr>
          </w:p>
        </w:tc>
        <w:tc>
          <w:tcPr>
            <w:tcW w:w="640" w:type="dxa"/>
            <w:vAlign w:val="bottom"/>
          </w:tcPr>
          <w:p>
            <w:pPr>
              <w:jc w:val="right"/>
              <w:spacing w:after="0"/>
              <w:rPr>
                <w:sz w:val="20"/>
                <w:szCs w:val="20"/>
                <w:color w:val="auto"/>
              </w:rPr>
            </w:pPr>
            <w:r>
              <w:rPr>
                <w:rFonts w:ascii="Arial" w:cs="Arial" w:eastAsia="Arial" w:hAnsi="Arial"/>
                <w:sz w:val="18"/>
                <w:szCs w:val="18"/>
                <w:b w:val="1"/>
                <w:bCs w:val="1"/>
                <w:color w:val="auto"/>
              </w:rPr>
              <w:t>1.0</w:t>
            </w:r>
          </w:p>
        </w:tc>
        <w:tc>
          <w:tcPr>
            <w:tcW w:w="1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1.1</w:t>
            </w: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(0.2)</w:t>
            </w:r>
          </w:p>
        </w:tc>
        <w:tc>
          <w:tcPr>
            <w:tcW w:w="200" w:type="dxa"/>
            <w:vAlign w:val="bottom"/>
          </w:tcPr>
          <w:p>
            <w:pPr>
              <w:spacing w:after="0"/>
              <w:rPr>
                <w:sz w:val="20"/>
                <w:szCs w:val="20"/>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(3.8)</w:t>
            </w:r>
          </w:p>
        </w:tc>
        <w:tc>
          <w:tcPr>
            <w:tcW w:w="0" w:type="dxa"/>
            <w:vAlign w:val="bottom"/>
          </w:tcPr>
          <w:p>
            <w:pPr>
              <w:spacing w:after="0"/>
              <w:rPr>
                <w:sz w:val="1"/>
                <w:szCs w:val="1"/>
                <w:color w:val="auto"/>
              </w:rPr>
            </w:pPr>
          </w:p>
        </w:tc>
      </w:tr>
    </w:tbl>
    <w:p>
      <w:pPr>
        <w:spacing w:after="0" w:line="183" w:lineRule="exact"/>
        <w:rPr>
          <w:sz w:val="20"/>
          <w:szCs w:val="20"/>
          <w:color w:val="auto"/>
        </w:rPr>
      </w:pPr>
    </w:p>
    <w:p>
      <w:pPr>
        <w:ind w:left="340" w:right="340" w:hanging="332"/>
        <w:spacing w:after="0" w:line="277" w:lineRule="auto"/>
        <w:tabs>
          <w:tab w:leader="none" w:pos="340" w:val="left"/>
        </w:tabs>
        <w:numPr>
          <w:ilvl w:val="0"/>
          <w:numId w:val="32"/>
        </w:numPr>
        <w:rPr>
          <w:rFonts w:ascii="Arial" w:cs="Arial" w:eastAsia="Arial" w:hAnsi="Arial"/>
          <w:sz w:val="18"/>
          <w:szCs w:val="18"/>
          <w:color w:val="auto"/>
        </w:rPr>
      </w:pPr>
      <w:r>
        <w:rPr>
          <w:rFonts w:ascii="Arial" w:cs="Arial" w:eastAsia="Arial" w:hAnsi="Arial"/>
          <w:sz w:val="18"/>
          <w:szCs w:val="18"/>
          <w:color w:val="auto"/>
        </w:rPr>
        <w:t>Changes in unrealized gains (losses) included in OCI, including foreign currency translation adjustments related to our Principal International segment, relating to positions still held were:</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920" w:type="dxa"/>
            <w:vAlign w:val="bottom"/>
          </w:tcPr>
          <w:p>
            <w:pPr>
              <w:spacing w:after="0"/>
              <w:rPr>
                <w:sz w:val="14"/>
                <w:szCs w:val="14"/>
                <w:color w:val="auto"/>
              </w:rPr>
            </w:pPr>
          </w:p>
        </w:tc>
        <w:tc>
          <w:tcPr>
            <w:tcW w:w="18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80" w:type="dxa"/>
            <w:vAlign w:val="bottom"/>
            <w:gridSpan w:val="4"/>
          </w:tcPr>
          <w:p>
            <w:pPr>
              <w:jc w:val="center"/>
              <w:ind w:right="54"/>
              <w:spacing w:after="0"/>
              <w:rPr>
                <w:sz w:val="20"/>
                <w:szCs w:val="20"/>
                <w:color w:val="auto"/>
              </w:rPr>
            </w:pPr>
            <w:r>
              <w:rPr>
                <w:rFonts w:ascii="Arial" w:cs="Arial" w:eastAsia="Arial" w:hAnsi="Arial"/>
                <w:sz w:val="14"/>
                <w:szCs w:val="14"/>
                <w:b w:val="1"/>
                <w:bCs w:val="1"/>
                <w:color w:val="auto"/>
                <w:w w:val="91"/>
              </w:rPr>
              <w:t>For the three months ended</w:t>
            </w:r>
          </w:p>
        </w:tc>
        <w:tc>
          <w:tcPr>
            <w:tcW w:w="2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800" w:type="dxa"/>
            <w:vAlign w:val="bottom"/>
            <w:gridSpan w:val="4"/>
          </w:tcPr>
          <w:p>
            <w:pPr>
              <w:jc w:val="center"/>
              <w:ind w:right="52"/>
              <w:spacing w:after="0"/>
              <w:rPr>
                <w:sz w:val="20"/>
                <w:szCs w:val="20"/>
                <w:color w:val="auto"/>
              </w:rPr>
            </w:pPr>
            <w:r>
              <w:rPr>
                <w:rFonts w:ascii="Arial" w:cs="Arial" w:eastAsia="Arial" w:hAnsi="Arial"/>
                <w:sz w:val="14"/>
                <w:szCs w:val="14"/>
                <w:b w:val="1"/>
                <w:bCs w:val="1"/>
                <w:color w:val="auto"/>
                <w:w w:val="90"/>
              </w:rPr>
              <w:t>For the six months ended</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3920" w:type="dxa"/>
            <w:vAlign w:val="bottom"/>
          </w:tcPr>
          <w:p>
            <w:pPr>
              <w:spacing w:after="0"/>
              <w:rPr>
                <w:sz w:val="14"/>
                <w:szCs w:val="14"/>
                <w:color w:val="auto"/>
              </w:rPr>
            </w:pPr>
          </w:p>
        </w:tc>
        <w:tc>
          <w:tcPr>
            <w:tcW w:w="184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gridSpan w:val="3"/>
          </w:tcPr>
          <w:p>
            <w:pPr>
              <w:jc w:val="center"/>
              <w:ind w:left="435"/>
              <w:spacing w:after="0"/>
              <w:rPr>
                <w:sz w:val="20"/>
                <w:szCs w:val="20"/>
                <w:color w:val="auto"/>
              </w:rPr>
            </w:pPr>
            <w:r>
              <w:rPr>
                <w:rFonts w:ascii="Arial" w:cs="Arial" w:eastAsia="Arial" w:hAnsi="Arial"/>
                <w:sz w:val="14"/>
                <w:szCs w:val="14"/>
                <w:b w:val="1"/>
                <w:bCs w:val="1"/>
                <w:color w:val="auto"/>
                <w:w w:val="92"/>
              </w:rPr>
              <w:t>June 30,</w:t>
            </w:r>
          </w:p>
        </w:tc>
        <w:tc>
          <w:tcPr>
            <w:tcW w:w="68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gridSpan w:val="3"/>
          </w:tcPr>
          <w:p>
            <w:pPr>
              <w:jc w:val="center"/>
              <w:ind w:left="395"/>
              <w:spacing w:after="0"/>
              <w:rPr>
                <w:sz w:val="20"/>
                <w:szCs w:val="20"/>
                <w:color w:val="auto"/>
              </w:rPr>
            </w:pPr>
            <w:r>
              <w:rPr>
                <w:rFonts w:ascii="Arial" w:cs="Arial" w:eastAsia="Arial" w:hAnsi="Arial"/>
                <w:sz w:val="14"/>
                <w:szCs w:val="14"/>
                <w:b w:val="1"/>
                <w:bCs w:val="1"/>
                <w:color w:val="auto"/>
                <w:w w:val="89"/>
              </w:rPr>
              <w:t>June 30,</w:t>
            </w:r>
          </w:p>
        </w:tc>
        <w:tc>
          <w:tcPr>
            <w:tcW w:w="66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920" w:type="dxa"/>
            <w:vAlign w:val="bottom"/>
          </w:tcPr>
          <w:p>
            <w:pPr>
              <w:spacing w:after="0"/>
              <w:rPr>
                <w:sz w:val="12"/>
                <w:szCs w:val="12"/>
                <w:color w:val="auto"/>
              </w:rPr>
            </w:pPr>
          </w:p>
        </w:tc>
        <w:tc>
          <w:tcPr>
            <w:tcW w:w="184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ind w:right="215"/>
              <w:spacing w:after="0" w:line="142" w:lineRule="exact"/>
              <w:rPr>
                <w:sz w:val="20"/>
                <w:szCs w:val="20"/>
                <w:color w:val="auto"/>
              </w:rPr>
            </w:pPr>
            <w:r>
              <w:rPr>
                <w:rFonts w:ascii="Arial" w:cs="Arial" w:eastAsia="Arial" w:hAnsi="Arial"/>
                <w:sz w:val="14"/>
                <w:szCs w:val="14"/>
                <w:b w:val="1"/>
                <w:bCs w:val="1"/>
                <w:color w:val="auto"/>
              </w:rPr>
              <w:t>2022</w:t>
            </w:r>
          </w:p>
        </w:tc>
        <w:tc>
          <w:tcPr>
            <w:tcW w:w="200" w:type="dxa"/>
            <w:vAlign w:val="bottom"/>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ind w:right="214"/>
              <w:spacing w:after="0" w:line="142" w:lineRule="exact"/>
              <w:rPr>
                <w:sz w:val="20"/>
                <w:szCs w:val="20"/>
                <w:color w:val="auto"/>
              </w:rPr>
            </w:pPr>
            <w:r>
              <w:rPr>
                <w:rFonts w:ascii="Arial" w:cs="Arial" w:eastAsia="Arial" w:hAnsi="Arial"/>
                <w:sz w:val="14"/>
                <w:szCs w:val="14"/>
                <w:b w:val="1"/>
                <w:bCs w:val="1"/>
                <w:color w:val="auto"/>
              </w:rPr>
              <w:t>2021</w:t>
            </w:r>
          </w:p>
        </w:tc>
        <w:tc>
          <w:tcPr>
            <w:tcW w:w="20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740" w:type="dxa"/>
            <w:vAlign w:val="bottom"/>
            <w:tcBorders>
              <w:bottom w:val="single" w:sz="8" w:color="auto"/>
            </w:tcBorders>
          </w:tcPr>
          <w:p>
            <w:pPr>
              <w:jc w:val="right"/>
              <w:ind w:right="215"/>
              <w:spacing w:after="0" w:line="142" w:lineRule="exact"/>
              <w:rPr>
                <w:sz w:val="20"/>
                <w:szCs w:val="20"/>
                <w:color w:val="auto"/>
              </w:rPr>
            </w:pPr>
            <w:r>
              <w:rPr>
                <w:rFonts w:ascii="Arial" w:cs="Arial" w:eastAsia="Arial" w:hAnsi="Arial"/>
                <w:sz w:val="14"/>
                <w:szCs w:val="14"/>
                <w:b w:val="1"/>
                <w:bCs w:val="1"/>
                <w:color w:val="auto"/>
              </w:rPr>
              <w:t>2022</w:t>
            </w:r>
          </w:p>
        </w:tc>
        <w:tc>
          <w:tcPr>
            <w:tcW w:w="180" w:type="dxa"/>
            <w:vAlign w:val="bottom"/>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jc w:val="right"/>
              <w:ind w:right="212"/>
              <w:spacing w:after="0" w:line="142" w:lineRule="exact"/>
              <w:rPr>
                <w:sz w:val="20"/>
                <w:szCs w:val="20"/>
                <w:color w:val="auto"/>
              </w:rPr>
            </w:pPr>
            <w:r>
              <w:rPr>
                <w:rFonts w:ascii="Arial" w:cs="Arial" w:eastAsia="Arial" w:hAnsi="Arial"/>
                <w:sz w:val="14"/>
                <w:szCs w:val="14"/>
                <w:b w:val="1"/>
                <w:bCs w:val="1"/>
                <w:color w:val="auto"/>
              </w:rPr>
              <w:t>2021</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3920" w:type="dxa"/>
            <w:vAlign w:val="bottom"/>
          </w:tcPr>
          <w:p>
            <w:pPr>
              <w:spacing w:after="0"/>
              <w:rPr>
                <w:sz w:val="11"/>
                <w:szCs w:val="11"/>
                <w:color w:val="auto"/>
              </w:rPr>
            </w:pPr>
          </w:p>
        </w:tc>
        <w:tc>
          <w:tcPr>
            <w:tcW w:w="18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760" w:type="dxa"/>
            <w:vAlign w:val="bottom"/>
            <w:gridSpan w:val="4"/>
          </w:tcPr>
          <w:p>
            <w:pPr>
              <w:jc w:val="right"/>
              <w:ind w:right="575"/>
              <w:spacing w:after="0" w:line="129" w:lineRule="exact"/>
              <w:rPr>
                <w:sz w:val="20"/>
                <w:szCs w:val="20"/>
                <w:color w:val="auto"/>
              </w:rPr>
            </w:pPr>
            <w:r>
              <w:rPr>
                <w:rFonts w:ascii="Arial" w:cs="Arial" w:eastAsia="Arial" w:hAnsi="Arial"/>
                <w:sz w:val="14"/>
                <w:szCs w:val="14"/>
                <w:i w:val="1"/>
                <w:iCs w:val="1"/>
                <w:color w:val="auto"/>
              </w:rPr>
              <w:t>(in millions)</w:t>
            </w:r>
          </w:p>
        </w:tc>
        <w:tc>
          <w:tcPr>
            <w:tcW w:w="1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18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tcPr>
          <w:p>
            <w:pPr>
              <w:spacing w:after="0"/>
              <w:rPr>
                <w:sz w:val="20"/>
                <w:szCs w:val="20"/>
                <w:color w:val="auto"/>
              </w:rPr>
            </w:pPr>
            <w:r>
              <w:rPr>
                <w:rFonts w:ascii="Arial" w:cs="Arial" w:eastAsia="Arial" w:hAnsi="Arial"/>
                <w:sz w:val="18"/>
                <w:szCs w:val="18"/>
                <w:color w:val="auto"/>
              </w:rPr>
              <w:t>Fixed maturities, available-for-sale:</w:t>
            </w:r>
          </w:p>
        </w:tc>
        <w:tc>
          <w:tcPr>
            <w:tcW w:w="18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States and political subdivisions</w:t>
            </w:r>
          </w:p>
        </w:tc>
        <w:tc>
          <w:tcPr>
            <w:tcW w:w="19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w:t>
            </w:r>
          </w:p>
        </w:tc>
        <w:tc>
          <w:tcPr>
            <w:tcW w:w="9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(19.5)</w:t>
            </w: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w:t>
            </w: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(19.4)</w:t>
            </w: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tcPr>
          <w:p>
            <w:pPr>
              <w:ind w:left="100"/>
              <w:spacing w:after="0"/>
              <w:rPr>
                <w:sz w:val="20"/>
                <w:szCs w:val="20"/>
                <w:color w:val="auto"/>
              </w:rPr>
            </w:pPr>
            <w:r>
              <w:rPr>
                <w:rFonts w:ascii="Arial" w:cs="Arial" w:eastAsia="Arial" w:hAnsi="Arial"/>
                <w:sz w:val="18"/>
                <w:szCs w:val="18"/>
                <w:color w:val="auto"/>
              </w:rPr>
              <w:t>Corporate</w:t>
            </w:r>
          </w:p>
        </w:tc>
        <w:tc>
          <w:tcPr>
            <w:tcW w:w="18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(21.9)</w:t>
            </w:r>
          </w:p>
        </w:tc>
        <w:tc>
          <w:tcPr>
            <w:tcW w:w="2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3.0</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(27.4)</w:t>
            </w:r>
          </w:p>
        </w:tc>
        <w:tc>
          <w:tcPr>
            <w:tcW w:w="2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(6.2)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Commercial mortgage-backed securities</w:t>
            </w:r>
          </w:p>
        </w:tc>
        <w:tc>
          <w:tcPr>
            <w:tcW w:w="18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(0.1)</w:t>
            </w: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0.2</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(0.3)</w:t>
            </w:r>
          </w:p>
        </w:tc>
        <w:tc>
          <w:tcPr>
            <w:tcW w:w="2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tcPr>
          <w:p>
            <w:pPr>
              <w:ind w:left="100"/>
              <w:spacing w:after="0"/>
              <w:rPr>
                <w:sz w:val="20"/>
                <w:szCs w:val="20"/>
                <w:color w:val="auto"/>
              </w:rPr>
            </w:pPr>
            <w:r>
              <w:rPr>
                <w:rFonts w:ascii="Arial" w:cs="Arial" w:eastAsia="Arial" w:hAnsi="Arial"/>
                <w:sz w:val="18"/>
                <w:szCs w:val="18"/>
                <w:color w:val="auto"/>
              </w:rPr>
              <w:t>Collateralized debt obligations</w:t>
            </w:r>
          </w:p>
        </w:tc>
        <w:tc>
          <w:tcPr>
            <w:tcW w:w="18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(0.3)</w:t>
            </w:r>
          </w:p>
        </w:tc>
        <w:tc>
          <w:tcPr>
            <w:tcW w:w="2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2.0</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(0.5)</w:t>
            </w:r>
          </w:p>
        </w:tc>
        <w:tc>
          <w:tcPr>
            <w:tcW w:w="2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9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fixed maturities, available-for-sale</w:t>
            </w:r>
          </w:p>
        </w:tc>
        <w:tc>
          <w:tcPr>
            <w:tcW w:w="18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(41.8)</w:t>
            </w:r>
          </w:p>
        </w:tc>
        <w:tc>
          <w:tcPr>
            <w:tcW w:w="20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5.2</w:t>
            </w:r>
          </w:p>
        </w:tc>
        <w:tc>
          <w:tcPr>
            <w:tcW w:w="20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(47.6)</w:t>
            </w:r>
          </w:p>
        </w:tc>
        <w:tc>
          <w:tcPr>
            <w:tcW w:w="18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(4.6)</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920" w:type="dxa"/>
            <w:vAlign w:val="bottom"/>
          </w:tcPr>
          <w:p>
            <w:pPr>
              <w:spacing w:after="0"/>
              <w:rPr>
                <w:sz w:val="18"/>
                <w:szCs w:val="18"/>
                <w:color w:val="auto"/>
              </w:rPr>
            </w:pPr>
          </w:p>
        </w:tc>
        <w:tc>
          <w:tcPr>
            <w:tcW w:w="18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9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Liabilities</w:t>
            </w:r>
          </w:p>
        </w:tc>
        <w:tc>
          <w:tcPr>
            <w:tcW w:w="18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tcPr>
          <w:p>
            <w:pPr>
              <w:spacing w:after="0"/>
              <w:rPr>
                <w:sz w:val="20"/>
                <w:szCs w:val="20"/>
                <w:color w:val="auto"/>
              </w:rPr>
            </w:pPr>
            <w:r>
              <w:rPr>
                <w:rFonts w:ascii="Arial" w:cs="Arial" w:eastAsia="Arial" w:hAnsi="Arial"/>
                <w:sz w:val="18"/>
                <w:szCs w:val="18"/>
                <w:color w:val="auto"/>
              </w:rPr>
              <w:t>Investment and universal life contracts</w:t>
            </w:r>
          </w:p>
        </w:tc>
        <w:tc>
          <w:tcPr>
            <w:tcW w:w="18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b w:val="1"/>
                <w:bCs w:val="1"/>
                <w:color w:val="auto"/>
              </w:rPr>
              <w:t>0.1</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b w:val="1"/>
                <w:bCs w:val="1"/>
                <w:color w:val="auto"/>
              </w:rPr>
              <w:t>0.2</w:t>
            </w: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0.1</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920" w:type="dxa"/>
            <w:vAlign w:val="bottom"/>
            <w:shd w:val="clear" w:color="auto" w:fill="CCEEFF"/>
          </w:tcPr>
          <w:p>
            <w:pPr>
              <w:spacing w:after="0"/>
              <w:rPr>
                <w:sz w:val="18"/>
                <w:szCs w:val="18"/>
                <w:color w:val="auto"/>
              </w:rPr>
            </w:pPr>
          </w:p>
        </w:tc>
        <w:tc>
          <w:tcPr>
            <w:tcW w:w="18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920" w:type="dxa"/>
            <w:vAlign w:val="bottom"/>
          </w:tcPr>
          <w:p>
            <w:pPr>
              <w:spacing w:after="0"/>
              <w:rPr>
                <w:sz w:val="20"/>
                <w:szCs w:val="20"/>
                <w:color w:val="auto"/>
              </w:rPr>
            </w:pPr>
            <w:r>
              <w:rPr>
                <w:rFonts w:ascii="Arial" w:cs="Arial" w:eastAsia="Arial" w:hAnsi="Arial"/>
                <w:sz w:val="18"/>
                <w:szCs w:val="18"/>
                <w:b w:val="1"/>
                <w:bCs w:val="1"/>
                <w:color w:val="auto"/>
              </w:rPr>
              <w:t>Derivatives</w:t>
            </w:r>
          </w:p>
        </w:tc>
        <w:tc>
          <w:tcPr>
            <w:tcW w:w="18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shd w:val="clear" w:color="auto" w:fill="CCEEFF"/>
          </w:tcPr>
          <w:p>
            <w:pPr>
              <w:spacing w:after="0"/>
              <w:rPr>
                <w:sz w:val="20"/>
                <w:szCs w:val="20"/>
                <w:color w:val="auto"/>
              </w:rPr>
            </w:pPr>
            <w:r>
              <w:rPr>
                <w:rFonts w:ascii="Arial" w:cs="Arial" w:eastAsia="Arial" w:hAnsi="Arial"/>
                <w:sz w:val="18"/>
                <w:szCs w:val="18"/>
                <w:color w:val="auto"/>
              </w:rPr>
              <w:t>Net derivative assets (liabilities)</w:t>
            </w:r>
          </w:p>
        </w:tc>
        <w:tc>
          <w:tcPr>
            <w:tcW w:w="18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(0.2)</w:t>
            </w: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(0.2)</w:t>
            </w:r>
          </w:p>
        </w:tc>
        <w:tc>
          <w:tcPr>
            <w:tcW w:w="2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864"/>
        </w:trPr>
        <w:tc>
          <w:tcPr>
            <w:tcW w:w="20" w:type="dxa"/>
            <w:vAlign w:val="bottom"/>
          </w:tcPr>
          <w:p>
            <w:pPr>
              <w:spacing w:after="0"/>
              <w:rPr>
                <w:sz w:val="24"/>
                <w:szCs w:val="24"/>
                <w:color w:val="auto"/>
              </w:rPr>
            </w:pPr>
          </w:p>
        </w:tc>
        <w:tc>
          <w:tcPr>
            <w:tcW w:w="3920" w:type="dxa"/>
            <w:vAlign w:val="bottom"/>
          </w:tcPr>
          <w:p>
            <w:pPr>
              <w:spacing w:after="0"/>
              <w:rPr>
                <w:sz w:val="24"/>
                <w:szCs w:val="24"/>
                <w:color w:val="auto"/>
              </w:rPr>
            </w:pPr>
          </w:p>
        </w:tc>
        <w:tc>
          <w:tcPr>
            <w:tcW w:w="1840" w:type="dxa"/>
            <w:vAlign w:val="bottom"/>
          </w:tcPr>
          <w:p>
            <w:pPr>
              <w:jc w:val="right"/>
              <w:ind w:right="630"/>
              <w:spacing w:after="0"/>
              <w:rPr>
                <w:sz w:val="20"/>
                <w:szCs w:val="20"/>
                <w:color w:val="auto"/>
              </w:rPr>
            </w:pPr>
            <w:r>
              <w:rPr>
                <w:rFonts w:ascii="Arial" w:cs="Arial" w:eastAsia="Arial" w:hAnsi="Arial"/>
                <w:sz w:val="18"/>
                <w:szCs w:val="18"/>
                <w:color w:val="auto"/>
              </w:rPr>
              <w:t>68</w:t>
            </w:r>
          </w:p>
        </w:tc>
        <w:tc>
          <w:tcPr>
            <w:tcW w:w="1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61"/>
        </w:trPr>
        <w:tc>
          <w:tcPr>
            <w:tcW w:w="20" w:type="dxa"/>
            <w:vAlign w:val="bottom"/>
          </w:tcPr>
          <w:p>
            <w:pPr>
              <w:spacing w:after="0"/>
              <w:rPr>
                <w:sz w:val="24"/>
                <w:szCs w:val="24"/>
                <w:color w:val="auto"/>
              </w:rPr>
            </w:pPr>
          </w:p>
        </w:tc>
        <w:tc>
          <w:tcPr>
            <w:tcW w:w="3920" w:type="dxa"/>
            <w:vAlign w:val="bottom"/>
            <w:tcBorders>
              <w:bottom w:val="single" w:sz="8" w:color="auto"/>
            </w:tcBorders>
          </w:tcPr>
          <w:p>
            <w:pPr>
              <w:spacing w:after="0"/>
              <w:rPr>
                <w:sz w:val="24"/>
                <w:szCs w:val="24"/>
                <w:color w:val="auto"/>
              </w:rPr>
            </w:pPr>
          </w:p>
        </w:tc>
        <w:tc>
          <w:tcPr>
            <w:tcW w:w="18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920"/>
          </w:cols>
          <w:pgMar w:left="980" w:top="665" w:right="999" w:bottom="1440" w:gutter="0" w:footer="0" w:header="0"/>
        </w:sectPr>
      </w:pPr>
    </w:p>
    <w:bookmarkStart w:id="68" w:name="page69"/>
    <w:bookmarkEnd w:id="68"/>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(4) Gross purchases, sales, issuances and settlements were:</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39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760" w:type="dxa"/>
            <w:vAlign w:val="bottom"/>
            <w:tcBorders>
              <w:bottom w:val="single" w:sz="8" w:color="auto"/>
            </w:tcBorders>
            <w:gridSpan w:val="9"/>
          </w:tcPr>
          <w:p>
            <w:pPr>
              <w:jc w:val="center"/>
              <w:ind w:right="100"/>
              <w:spacing w:after="0"/>
              <w:rPr>
                <w:sz w:val="20"/>
                <w:szCs w:val="20"/>
                <w:color w:val="auto"/>
              </w:rPr>
            </w:pPr>
            <w:r>
              <w:rPr>
                <w:rFonts w:ascii="Arial" w:cs="Arial" w:eastAsia="Arial" w:hAnsi="Arial"/>
                <w:sz w:val="14"/>
                <w:szCs w:val="14"/>
                <w:b w:val="1"/>
                <w:bCs w:val="1"/>
                <w:color w:val="auto"/>
                <w:w w:val="92"/>
              </w:rPr>
              <w:t>For the three months ended June 30, 2022</w:t>
            </w:r>
          </w:p>
        </w:tc>
        <w:tc>
          <w:tcPr>
            <w:tcW w:w="30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392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80" w:type="dxa"/>
            <w:vAlign w:val="bottom"/>
            <w:gridSpan w:val="2"/>
          </w:tcPr>
          <w:p>
            <w:pPr>
              <w:jc w:val="right"/>
              <w:spacing w:after="0" w:line="147" w:lineRule="exact"/>
              <w:rPr>
                <w:sz w:val="20"/>
                <w:szCs w:val="20"/>
                <w:color w:val="auto"/>
              </w:rPr>
            </w:pPr>
            <w:r>
              <w:rPr>
                <w:rFonts w:ascii="Arial" w:cs="Arial" w:eastAsia="Arial" w:hAnsi="Arial"/>
                <w:sz w:val="14"/>
                <w:szCs w:val="14"/>
                <w:b w:val="1"/>
                <w:bCs w:val="1"/>
                <w:color w:val="auto"/>
                <w:w w:val="91"/>
              </w:rPr>
              <w:t>Net purchases,</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9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0" w:type="dxa"/>
            <w:vAlign w:val="bottom"/>
            <w:gridSpan w:val="3"/>
          </w:tcPr>
          <w:p>
            <w:pPr>
              <w:ind w:left="20"/>
              <w:spacing w:after="0"/>
              <w:rPr>
                <w:sz w:val="20"/>
                <w:szCs w:val="20"/>
                <w:color w:val="auto"/>
              </w:rPr>
            </w:pPr>
            <w:r>
              <w:rPr>
                <w:rFonts w:ascii="Arial" w:cs="Arial" w:eastAsia="Arial" w:hAnsi="Arial"/>
                <w:sz w:val="14"/>
                <w:szCs w:val="14"/>
                <w:b w:val="1"/>
                <w:bCs w:val="1"/>
                <w:color w:val="auto"/>
                <w:w w:val="86"/>
              </w:rPr>
              <w:t>sales, issuances</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39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b w:val="1"/>
                <w:bCs w:val="1"/>
                <w:color w:val="auto"/>
                <w:w w:val="84"/>
              </w:rPr>
              <w:t>Purchases</w:t>
            </w:r>
          </w:p>
        </w:tc>
        <w:tc>
          <w:tcPr>
            <w:tcW w:w="1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right"/>
              <w:ind w:right="153"/>
              <w:spacing w:after="0"/>
              <w:rPr>
                <w:sz w:val="20"/>
                <w:szCs w:val="20"/>
                <w:color w:val="auto"/>
              </w:rPr>
            </w:pPr>
            <w:r>
              <w:rPr>
                <w:rFonts w:ascii="Arial" w:cs="Arial" w:eastAsia="Arial" w:hAnsi="Arial"/>
                <w:sz w:val="14"/>
                <w:szCs w:val="14"/>
                <w:b w:val="1"/>
                <w:bCs w:val="1"/>
                <w:color w:val="auto"/>
              </w:rPr>
              <w:t>Sales</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13"/>
              <w:spacing w:after="0"/>
              <w:rPr>
                <w:sz w:val="20"/>
                <w:szCs w:val="20"/>
                <w:color w:val="auto"/>
              </w:rPr>
            </w:pPr>
            <w:r>
              <w:rPr>
                <w:rFonts w:ascii="Arial" w:cs="Arial" w:eastAsia="Arial" w:hAnsi="Arial"/>
                <w:sz w:val="14"/>
                <w:szCs w:val="14"/>
                <w:b w:val="1"/>
                <w:bCs w:val="1"/>
                <w:color w:val="auto"/>
                <w:w w:val="85"/>
              </w:rPr>
              <w:t>Issuances</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3"/>
              </w:rPr>
              <w:t>Settlements</w:t>
            </w:r>
          </w:p>
        </w:tc>
        <w:tc>
          <w:tcPr>
            <w:tcW w:w="160" w:type="dxa"/>
            <w:vAlign w:val="bottom"/>
          </w:tcPr>
          <w:p>
            <w:pPr>
              <w:spacing w:after="0"/>
              <w:rPr>
                <w:sz w:val="14"/>
                <w:szCs w:val="14"/>
                <w:color w:val="auto"/>
              </w:rPr>
            </w:pPr>
          </w:p>
        </w:tc>
        <w:tc>
          <w:tcPr>
            <w:tcW w:w="98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w w:val="90"/>
              </w:rPr>
              <w:t>and settlements</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392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0" w:type="dxa"/>
            <w:vAlign w:val="bottom"/>
            <w:gridSpan w:val="2"/>
          </w:tcPr>
          <w:p>
            <w:pPr>
              <w:jc w:val="center"/>
              <w:ind w:right="20"/>
              <w:spacing w:after="0"/>
              <w:rPr>
                <w:sz w:val="20"/>
                <w:szCs w:val="20"/>
                <w:color w:val="auto"/>
              </w:rPr>
            </w:pPr>
            <w:r>
              <w:rPr>
                <w:rFonts w:ascii="Arial" w:cs="Arial" w:eastAsia="Arial" w:hAnsi="Arial"/>
                <w:sz w:val="14"/>
                <w:szCs w:val="14"/>
                <w:i w:val="1"/>
                <w:iCs w:val="1"/>
                <w:color w:val="auto"/>
                <w:w w:val="98"/>
              </w:rPr>
              <w:t>(in millions)</w:t>
            </w:r>
          </w:p>
        </w:tc>
        <w:tc>
          <w:tcPr>
            <w:tcW w:w="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1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tcPr>
          <w:p>
            <w:pPr>
              <w:spacing w:after="0"/>
              <w:rPr>
                <w:sz w:val="20"/>
                <w:szCs w:val="20"/>
                <w:color w:val="auto"/>
              </w:rPr>
            </w:pPr>
            <w:r>
              <w:rPr>
                <w:rFonts w:ascii="Arial" w:cs="Arial" w:eastAsia="Arial" w:hAnsi="Arial"/>
                <w:sz w:val="18"/>
                <w:szCs w:val="18"/>
                <w:color w:val="auto"/>
              </w:rPr>
              <w:t>Fixed maturities, available-for-sale:</w:t>
            </w:r>
          </w:p>
        </w:tc>
        <w:tc>
          <w:tcPr>
            <w:tcW w:w="1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States and political subdivisions</w:t>
            </w:r>
          </w:p>
        </w:tc>
        <w:tc>
          <w:tcPr>
            <w:tcW w:w="124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w:t>
            </w:r>
          </w:p>
        </w:tc>
        <w:tc>
          <w:tcPr>
            <w:tcW w:w="8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w:t>
            </w:r>
          </w:p>
        </w:tc>
        <w:tc>
          <w:tcPr>
            <w:tcW w:w="280" w:type="dxa"/>
            <w:vAlign w:val="bottom"/>
            <w:gridSpan w:val="2"/>
            <w:shd w:val="clear" w:color="auto" w:fill="CCEEFF"/>
          </w:tcPr>
          <w:p>
            <w:pPr>
              <w:jc w:val="right"/>
              <w:ind w:right="68"/>
              <w:spacing w:after="0"/>
              <w:rPr>
                <w:sz w:val="20"/>
                <w:szCs w:val="20"/>
                <w:color w:val="auto"/>
              </w:rPr>
            </w:pPr>
            <w:r>
              <w:rPr>
                <w:rFonts w:ascii="Arial" w:cs="Arial" w:eastAsia="Arial" w:hAnsi="Arial"/>
                <w:sz w:val="18"/>
                <w:szCs w:val="18"/>
                <w:b w:val="1"/>
                <w:bCs w:val="1"/>
                <w:color w:val="auto"/>
              </w:rPr>
              <w:t>$</w:t>
            </w: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(0.4)</w:t>
            </w:r>
          </w:p>
        </w:tc>
        <w:tc>
          <w:tcPr>
            <w:tcW w:w="3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(0.4)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tcPr>
          <w:p>
            <w:pPr>
              <w:ind w:left="100"/>
              <w:spacing w:after="0"/>
              <w:rPr>
                <w:sz w:val="20"/>
                <w:szCs w:val="20"/>
                <w:color w:val="auto"/>
              </w:rPr>
            </w:pPr>
            <w:r>
              <w:rPr>
                <w:rFonts w:ascii="Arial" w:cs="Arial" w:eastAsia="Arial" w:hAnsi="Arial"/>
                <w:sz w:val="18"/>
                <w:szCs w:val="18"/>
                <w:color w:val="auto"/>
              </w:rPr>
              <w:t>Corporate</w:t>
            </w:r>
          </w:p>
        </w:tc>
        <w:tc>
          <w:tcPr>
            <w:tcW w:w="1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rPr>
              <w:t>160.0</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(4.9)</w:t>
            </w:r>
          </w:p>
        </w:tc>
        <w:tc>
          <w:tcPr>
            <w:tcW w:w="10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w:t>
            </w: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(26.0)</w:t>
            </w:r>
          </w:p>
        </w:tc>
        <w:tc>
          <w:tcPr>
            <w:tcW w:w="3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b w:val="1"/>
                <w:bCs w:val="1"/>
                <w:color w:val="auto"/>
              </w:rPr>
              <w:t>129.1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Commercial mortgage-backed securities</w:t>
            </w:r>
          </w:p>
        </w:tc>
        <w:tc>
          <w:tcPr>
            <w:tcW w:w="1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(4.2)</w:t>
            </w: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w:t>
            </w:r>
          </w:p>
        </w:tc>
        <w:tc>
          <w:tcPr>
            <w:tcW w:w="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(0.1)</w:t>
            </w:r>
          </w:p>
        </w:tc>
        <w:tc>
          <w:tcPr>
            <w:tcW w:w="3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tcPr>
          <w:p>
            <w:pPr>
              <w:ind w:left="100"/>
              <w:spacing w:after="0"/>
              <w:rPr>
                <w:sz w:val="20"/>
                <w:szCs w:val="20"/>
                <w:color w:val="auto"/>
              </w:rPr>
            </w:pPr>
            <w:r>
              <w:rPr>
                <w:rFonts w:ascii="Arial" w:cs="Arial" w:eastAsia="Arial" w:hAnsi="Arial"/>
                <w:sz w:val="18"/>
                <w:szCs w:val="18"/>
                <w:color w:val="auto"/>
              </w:rPr>
              <w:t>Other debt obligations</w:t>
            </w:r>
          </w:p>
        </w:tc>
        <w:tc>
          <w:tcPr>
            <w:tcW w:w="1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w:t>
            </w: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(0.4)</w:t>
            </w:r>
          </w:p>
        </w:tc>
        <w:tc>
          <w:tcPr>
            <w:tcW w:w="3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b w:val="1"/>
                <w:bCs w:val="1"/>
                <w:color w:val="auto"/>
              </w:rPr>
              <w:t>(0.4)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39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fixed maturities, available-for-sale</w:t>
            </w:r>
          </w:p>
        </w:tc>
        <w:tc>
          <w:tcPr>
            <w:tcW w:w="116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160.0</w:t>
            </w:r>
          </w:p>
        </w:tc>
        <w:tc>
          <w:tcPr>
            <w:tcW w:w="1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(9.1)</w:t>
            </w:r>
          </w:p>
        </w:tc>
        <w:tc>
          <w:tcPr>
            <w:tcW w:w="16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00" w:type="dxa"/>
            <w:vAlign w:val="bottom"/>
            <w:tcBorders>
              <w:top w:val="single" w:sz="8" w:color="CCEEFF"/>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(26.9)</w:t>
            </w:r>
          </w:p>
        </w:tc>
        <w:tc>
          <w:tcPr>
            <w:tcW w:w="160" w:type="dxa"/>
            <w:vAlign w:val="bottom"/>
            <w:tcBorders>
              <w:top w:val="single" w:sz="8" w:color="CCEEFF"/>
            </w:tcBorders>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124.0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tcPr>
          <w:p>
            <w:pPr>
              <w:spacing w:after="0"/>
              <w:rPr>
                <w:sz w:val="20"/>
                <w:szCs w:val="20"/>
                <w:color w:val="auto"/>
              </w:rPr>
            </w:pPr>
            <w:r>
              <w:rPr>
                <w:rFonts w:ascii="Arial" w:cs="Arial" w:eastAsia="Arial" w:hAnsi="Arial"/>
                <w:sz w:val="18"/>
                <w:szCs w:val="18"/>
                <w:color w:val="auto"/>
              </w:rPr>
              <w:t>Fixed maturities, trading</w:t>
            </w:r>
          </w:p>
        </w:tc>
        <w:tc>
          <w:tcPr>
            <w:tcW w:w="1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rPr>
              <w:t>24.0</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w:t>
            </w: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(0.2)</w:t>
            </w:r>
          </w:p>
        </w:tc>
        <w:tc>
          <w:tcPr>
            <w:tcW w:w="3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b w:val="1"/>
                <w:bCs w:val="1"/>
                <w:color w:val="auto"/>
              </w:rPr>
              <w:t>23.8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shd w:val="clear" w:color="auto" w:fill="CCEEFF"/>
          </w:tcPr>
          <w:p>
            <w:pPr>
              <w:spacing w:after="0"/>
              <w:rPr>
                <w:sz w:val="20"/>
                <w:szCs w:val="20"/>
                <w:color w:val="auto"/>
              </w:rPr>
            </w:pPr>
            <w:r>
              <w:rPr>
                <w:rFonts w:ascii="Arial" w:cs="Arial" w:eastAsia="Arial" w:hAnsi="Arial"/>
                <w:sz w:val="18"/>
                <w:szCs w:val="18"/>
                <w:color w:val="auto"/>
              </w:rPr>
              <w:t>Separate account assets (5)</w:t>
            </w:r>
          </w:p>
        </w:tc>
        <w:tc>
          <w:tcPr>
            <w:tcW w:w="1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(0.8)</w:t>
            </w:r>
          </w:p>
        </w:tc>
        <w:tc>
          <w:tcPr>
            <w:tcW w:w="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(0.3)</w:t>
            </w:r>
          </w:p>
        </w:tc>
        <w:tc>
          <w:tcPr>
            <w:tcW w:w="3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9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9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Liabilities</w:t>
            </w:r>
          </w:p>
        </w:tc>
        <w:tc>
          <w:tcPr>
            <w:tcW w:w="1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tcPr>
          <w:p>
            <w:pPr>
              <w:spacing w:after="0"/>
              <w:rPr>
                <w:sz w:val="20"/>
                <w:szCs w:val="20"/>
                <w:color w:val="auto"/>
              </w:rPr>
            </w:pPr>
            <w:r>
              <w:rPr>
                <w:rFonts w:ascii="Arial" w:cs="Arial" w:eastAsia="Arial" w:hAnsi="Arial"/>
                <w:sz w:val="18"/>
                <w:szCs w:val="18"/>
                <w:color w:val="auto"/>
              </w:rPr>
              <w:t>Investment and universal life contracts</w:t>
            </w:r>
          </w:p>
        </w:tc>
        <w:tc>
          <w:tcPr>
            <w:tcW w:w="1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(1.6)</w:t>
            </w: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b w:val="1"/>
                <w:bCs w:val="1"/>
                <w:color w:val="auto"/>
              </w:rPr>
              <w:t>6.0</w:t>
            </w:r>
          </w:p>
        </w:tc>
        <w:tc>
          <w:tcPr>
            <w:tcW w:w="1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b w:val="1"/>
                <w:bCs w:val="1"/>
                <w:color w:val="auto"/>
              </w:rPr>
              <w:t>4.4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92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920" w:type="dxa"/>
            <w:vAlign w:val="bottom"/>
          </w:tcPr>
          <w:p>
            <w:pPr>
              <w:spacing w:after="0"/>
              <w:rPr>
                <w:sz w:val="20"/>
                <w:szCs w:val="20"/>
                <w:color w:val="auto"/>
              </w:rPr>
            </w:pPr>
            <w:r>
              <w:rPr>
                <w:rFonts w:ascii="Arial" w:cs="Arial" w:eastAsia="Arial" w:hAnsi="Arial"/>
                <w:sz w:val="18"/>
                <w:szCs w:val="18"/>
                <w:b w:val="1"/>
                <w:bCs w:val="1"/>
                <w:color w:val="auto"/>
              </w:rPr>
              <w:t>Derivatives</w:t>
            </w:r>
          </w:p>
        </w:tc>
        <w:tc>
          <w:tcPr>
            <w:tcW w:w="1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shd w:val="clear" w:color="auto" w:fill="CCEEFF"/>
          </w:tcPr>
          <w:p>
            <w:pPr>
              <w:spacing w:after="0"/>
              <w:rPr>
                <w:sz w:val="20"/>
                <w:szCs w:val="20"/>
                <w:color w:val="auto"/>
              </w:rPr>
            </w:pPr>
            <w:r>
              <w:rPr>
                <w:rFonts w:ascii="Arial" w:cs="Arial" w:eastAsia="Arial" w:hAnsi="Arial"/>
                <w:sz w:val="18"/>
                <w:szCs w:val="18"/>
                <w:color w:val="auto"/>
              </w:rPr>
              <w:t>Net derivative assets (liabilities)</w:t>
            </w:r>
          </w:p>
        </w:tc>
        <w:tc>
          <w:tcPr>
            <w:tcW w:w="1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1.7</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w:t>
            </w:r>
          </w:p>
        </w:tc>
        <w:tc>
          <w:tcPr>
            <w:tcW w:w="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w:t>
            </w:r>
          </w:p>
        </w:tc>
        <w:tc>
          <w:tcPr>
            <w:tcW w:w="3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78"/>
        </w:trPr>
        <w:tc>
          <w:tcPr>
            <w:tcW w:w="20" w:type="dxa"/>
            <w:vAlign w:val="bottom"/>
          </w:tcPr>
          <w:p>
            <w:pPr>
              <w:spacing w:after="0"/>
              <w:rPr>
                <w:sz w:val="24"/>
                <w:szCs w:val="24"/>
                <w:color w:val="auto"/>
              </w:rPr>
            </w:pPr>
          </w:p>
        </w:tc>
        <w:tc>
          <w:tcPr>
            <w:tcW w:w="39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760" w:type="dxa"/>
            <w:vAlign w:val="bottom"/>
            <w:tcBorders>
              <w:bottom w:val="single" w:sz="8" w:color="auto"/>
            </w:tcBorders>
            <w:gridSpan w:val="9"/>
          </w:tcPr>
          <w:p>
            <w:pPr>
              <w:jc w:val="center"/>
              <w:ind w:right="100"/>
              <w:spacing w:after="0"/>
              <w:rPr>
                <w:sz w:val="20"/>
                <w:szCs w:val="20"/>
                <w:color w:val="auto"/>
              </w:rPr>
            </w:pPr>
            <w:r>
              <w:rPr>
                <w:rFonts w:ascii="Arial" w:cs="Arial" w:eastAsia="Arial" w:hAnsi="Arial"/>
                <w:sz w:val="14"/>
                <w:szCs w:val="14"/>
                <w:b w:val="1"/>
                <w:bCs w:val="1"/>
                <w:color w:val="auto"/>
                <w:w w:val="92"/>
              </w:rPr>
              <w:t>For the three months ended June 30, 2021</w:t>
            </w:r>
          </w:p>
        </w:tc>
        <w:tc>
          <w:tcPr>
            <w:tcW w:w="30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392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80" w:type="dxa"/>
            <w:vAlign w:val="bottom"/>
            <w:gridSpan w:val="2"/>
          </w:tcPr>
          <w:p>
            <w:pPr>
              <w:ind w:left="40"/>
              <w:spacing w:after="0" w:line="147" w:lineRule="exact"/>
              <w:rPr>
                <w:sz w:val="20"/>
                <w:szCs w:val="20"/>
                <w:color w:val="auto"/>
              </w:rPr>
            </w:pPr>
            <w:r>
              <w:rPr>
                <w:rFonts w:ascii="Arial" w:cs="Arial" w:eastAsia="Arial" w:hAnsi="Arial"/>
                <w:sz w:val="14"/>
                <w:szCs w:val="14"/>
                <w:b w:val="1"/>
                <w:bCs w:val="1"/>
                <w:color w:val="auto"/>
                <w:w w:val="91"/>
              </w:rPr>
              <w:t>Net purchases,</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9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0" w:type="dxa"/>
            <w:vAlign w:val="bottom"/>
            <w:gridSpan w:val="3"/>
          </w:tcPr>
          <w:p>
            <w:pPr>
              <w:ind w:left="20"/>
              <w:spacing w:after="0"/>
              <w:rPr>
                <w:sz w:val="20"/>
                <w:szCs w:val="20"/>
                <w:color w:val="auto"/>
              </w:rPr>
            </w:pPr>
            <w:r>
              <w:rPr>
                <w:rFonts w:ascii="Arial" w:cs="Arial" w:eastAsia="Arial" w:hAnsi="Arial"/>
                <w:sz w:val="14"/>
                <w:szCs w:val="14"/>
                <w:b w:val="1"/>
                <w:bCs w:val="1"/>
                <w:color w:val="auto"/>
                <w:w w:val="86"/>
              </w:rPr>
              <w:t>sales, issuances</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39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b w:val="1"/>
                <w:bCs w:val="1"/>
                <w:color w:val="auto"/>
                <w:w w:val="84"/>
              </w:rPr>
              <w:t>Purchases</w:t>
            </w:r>
          </w:p>
        </w:tc>
        <w:tc>
          <w:tcPr>
            <w:tcW w:w="1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right"/>
              <w:ind w:right="153"/>
              <w:spacing w:after="0"/>
              <w:rPr>
                <w:sz w:val="20"/>
                <w:szCs w:val="20"/>
                <w:color w:val="auto"/>
              </w:rPr>
            </w:pPr>
            <w:r>
              <w:rPr>
                <w:rFonts w:ascii="Arial" w:cs="Arial" w:eastAsia="Arial" w:hAnsi="Arial"/>
                <w:sz w:val="14"/>
                <w:szCs w:val="14"/>
                <w:b w:val="1"/>
                <w:bCs w:val="1"/>
                <w:color w:val="auto"/>
              </w:rPr>
              <w:t>Sales</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13"/>
              <w:spacing w:after="0"/>
              <w:rPr>
                <w:sz w:val="20"/>
                <w:szCs w:val="20"/>
                <w:color w:val="auto"/>
              </w:rPr>
            </w:pPr>
            <w:r>
              <w:rPr>
                <w:rFonts w:ascii="Arial" w:cs="Arial" w:eastAsia="Arial" w:hAnsi="Arial"/>
                <w:sz w:val="14"/>
                <w:szCs w:val="14"/>
                <w:b w:val="1"/>
                <w:bCs w:val="1"/>
                <w:color w:val="auto"/>
                <w:w w:val="85"/>
              </w:rPr>
              <w:t>Issuances</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3"/>
              </w:rPr>
              <w:t>Settlements</w:t>
            </w:r>
          </w:p>
        </w:tc>
        <w:tc>
          <w:tcPr>
            <w:tcW w:w="160" w:type="dxa"/>
            <w:vAlign w:val="bottom"/>
          </w:tcPr>
          <w:p>
            <w:pPr>
              <w:spacing w:after="0"/>
              <w:rPr>
                <w:sz w:val="14"/>
                <w:szCs w:val="14"/>
                <w:color w:val="auto"/>
              </w:rPr>
            </w:pPr>
          </w:p>
        </w:tc>
        <w:tc>
          <w:tcPr>
            <w:tcW w:w="98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w w:val="90"/>
              </w:rPr>
              <w:t>and settlements</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392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0" w:type="dxa"/>
            <w:vAlign w:val="bottom"/>
            <w:gridSpan w:val="2"/>
          </w:tcPr>
          <w:p>
            <w:pPr>
              <w:jc w:val="center"/>
              <w:ind w:right="20"/>
              <w:spacing w:after="0"/>
              <w:rPr>
                <w:sz w:val="20"/>
                <w:szCs w:val="20"/>
                <w:color w:val="auto"/>
              </w:rPr>
            </w:pPr>
            <w:r>
              <w:rPr>
                <w:rFonts w:ascii="Arial" w:cs="Arial" w:eastAsia="Arial" w:hAnsi="Arial"/>
                <w:sz w:val="14"/>
                <w:szCs w:val="14"/>
                <w:i w:val="1"/>
                <w:iCs w:val="1"/>
                <w:color w:val="auto"/>
                <w:w w:val="98"/>
              </w:rPr>
              <w:t>(in millions)</w:t>
            </w:r>
          </w:p>
        </w:tc>
        <w:tc>
          <w:tcPr>
            <w:tcW w:w="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1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tcPr>
          <w:p>
            <w:pPr>
              <w:spacing w:after="0"/>
              <w:rPr>
                <w:sz w:val="20"/>
                <w:szCs w:val="20"/>
                <w:color w:val="auto"/>
              </w:rPr>
            </w:pPr>
            <w:r>
              <w:rPr>
                <w:rFonts w:ascii="Arial" w:cs="Arial" w:eastAsia="Arial" w:hAnsi="Arial"/>
                <w:sz w:val="18"/>
                <w:szCs w:val="18"/>
                <w:color w:val="auto"/>
              </w:rPr>
              <w:t>Fixed maturities, available-for-sale:</w:t>
            </w:r>
          </w:p>
        </w:tc>
        <w:tc>
          <w:tcPr>
            <w:tcW w:w="1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Corporate</w:t>
            </w:r>
          </w:p>
        </w:tc>
        <w:tc>
          <w:tcPr>
            <w:tcW w:w="1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156.0</w:t>
            </w:r>
          </w:p>
        </w:tc>
        <w:tc>
          <w:tcPr>
            <w:tcW w:w="2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280" w:type="dxa"/>
            <w:vAlign w:val="bottom"/>
            <w:gridSpan w:val="2"/>
            <w:shd w:val="clear" w:color="auto" w:fill="CCEEFF"/>
          </w:tcPr>
          <w:p>
            <w:pPr>
              <w:jc w:val="right"/>
              <w:ind w:right="68"/>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(31.1)</w:t>
            </w:r>
          </w:p>
        </w:tc>
        <w:tc>
          <w:tcPr>
            <w:tcW w:w="3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124.9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tcPr>
          <w:p>
            <w:pPr>
              <w:ind w:left="100"/>
              <w:spacing w:after="0"/>
              <w:rPr>
                <w:sz w:val="20"/>
                <w:szCs w:val="20"/>
                <w:color w:val="auto"/>
              </w:rPr>
            </w:pPr>
            <w:r>
              <w:rPr>
                <w:rFonts w:ascii="Arial" w:cs="Arial" w:eastAsia="Arial" w:hAnsi="Arial"/>
                <w:sz w:val="18"/>
                <w:szCs w:val="18"/>
                <w:color w:val="auto"/>
              </w:rPr>
              <w:t>Commercial mortgage-backed securities</w:t>
            </w:r>
          </w:p>
        </w:tc>
        <w:tc>
          <w:tcPr>
            <w:tcW w:w="1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0.1</w:t>
            </w:r>
          </w:p>
        </w:tc>
        <w:tc>
          <w:tcPr>
            <w:tcW w:w="1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0.1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Collateralized debt obligations</w:t>
            </w:r>
          </w:p>
        </w:tc>
        <w:tc>
          <w:tcPr>
            <w:tcW w:w="1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85.9</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(24.7)</w:t>
            </w:r>
          </w:p>
        </w:tc>
        <w:tc>
          <w:tcPr>
            <w:tcW w:w="3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tcPr>
          <w:p>
            <w:pPr>
              <w:ind w:left="100"/>
              <w:spacing w:after="0"/>
              <w:rPr>
                <w:sz w:val="20"/>
                <w:szCs w:val="20"/>
                <w:color w:val="auto"/>
              </w:rPr>
            </w:pPr>
            <w:r>
              <w:rPr>
                <w:rFonts w:ascii="Arial" w:cs="Arial" w:eastAsia="Arial" w:hAnsi="Arial"/>
                <w:sz w:val="18"/>
                <w:szCs w:val="18"/>
                <w:color w:val="auto"/>
              </w:rPr>
              <w:t>Other debt obligations</w:t>
            </w:r>
          </w:p>
        </w:tc>
        <w:tc>
          <w:tcPr>
            <w:tcW w:w="1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25.1</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25.1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9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fixed maturities, available-for-sale</w:t>
            </w:r>
          </w:p>
        </w:tc>
        <w:tc>
          <w:tcPr>
            <w:tcW w:w="116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267.0</w:t>
            </w:r>
          </w:p>
        </w:tc>
        <w:tc>
          <w:tcPr>
            <w:tcW w:w="1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CCEEFF"/>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(55.7)</w:t>
            </w:r>
          </w:p>
        </w:tc>
        <w:tc>
          <w:tcPr>
            <w:tcW w:w="160" w:type="dxa"/>
            <w:vAlign w:val="bottom"/>
            <w:tcBorders>
              <w:top w:val="single" w:sz="8" w:color="CCEEFF"/>
            </w:tcBorders>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211.3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tcPr>
          <w:p>
            <w:pPr>
              <w:spacing w:after="0"/>
              <w:rPr>
                <w:sz w:val="20"/>
                <w:szCs w:val="20"/>
                <w:color w:val="auto"/>
              </w:rPr>
            </w:pPr>
            <w:r>
              <w:rPr>
                <w:rFonts w:ascii="Arial" w:cs="Arial" w:eastAsia="Arial" w:hAnsi="Arial"/>
                <w:sz w:val="18"/>
                <w:szCs w:val="18"/>
                <w:color w:val="auto"/>
              </w:rPr>
              <w:t>Separate account assets (5)</w:t>
            </w:r>
          </w:p>
        </w:tc>
        <w:tc>
          <w:tcPr>
            <w:tcW w:w="1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8"/>
                <w:szCs w:val="18"/>
                <w:color w:val="auto"/>
              </w:rPr>
              <w:t>(0.7)</w:t>
            </w:r>
          </w:p>
        </w:tc>
        <w:tc>
          <w:tcPr>
            <w:tcW w:w="10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(27.0)</w:t>
            </w: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8"/>
                <w:szCs w:val="18"/>
                <w:color w:val="auto"/>
              </w:rPr>
              <w:t>(0.2)</w:t>
            </w:r>
          </w:p>
        </w:tc>
        <w:tc>
          <w:tcPr>
            <w:tcW w:w="3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(27.9)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92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920" w:type="dxa"/>
            <w:vAlign w:val="bottom"/>
          </w:tcPr>
          <w:p>
            <w:pPr>
              <w:spacing w:after="0"/>
              <w:rPr>
                <w:sz w:val="20"/>
                <w:szCs w:val="20"/>
                <w:color w:val="auto"/>
              </w:rPr>
            </w:pPr>
            <w:r>
              <w:rPr>
                <w:rFonts w:ascii="Arial" w:cs="Arial" w:eastAsia="Arial" w:hAnsi="Arial"/>
                <w:sz w:val="18"/>
                <w:szCs w:val="18"/>
                <w:b w:val="1"/>
                <w:bCs w:val="1"/>
                <w:color w:val="auto"/>
              </w:rPr>
              <w:t>Liabilities</w:t>
            </w:r>
          </w:p>
        </w:tc>
        <w:tc>
          <w:tcPr>
            <w:tcW w:w="1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shd w:val="clear" w:color="auto" w:fill="CCEEFF"/>
          </w:tcPr>
          <w:p>
            <w:pPr>
              <w:spacing w:after="0"/>
              <w:rPr>
                <w:sz w:val="20"/>
                <w:szCs w:val="20"/>
                <w:color w:val="auto"/>
              </w:rPr>
            </w:pPr>
            <w:r>
              <w:rPr>
                <w:rFonts w:ascii="Arial" w:cs="Arial" w:eastAsia="Arial" w:hAnsi="Arial"/>
                <w:sz w:val="18"/>
                <w:szCs w:val="18"/>
                <w:color w:val="auto"/>
              </w:rPr>
              <w:t>Investment and universal life contracts</w:t>
            </w:r>
          </w:p>
        </w:tc>
        <w:tc>
          <w:tcPr>
            <w:tcW w:w="1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(3.5)</w:t>
            </w:r>
          </w:p>
        </w:tc>
        <w:tc>
          <w:tcPr>
            <w:tcW w:w="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12.7</w:t>
            </w:r>
          </w:p>
        </w:tc>
        <w:tc>
          <w:tcPr>
            <w:tcW w:w="1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9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9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Derivatives</w:t>
            </w:r>
          </w:p>
        </w:tc>
        <w:tc>
          <w:tcPr>
            <w:tcW w:w="1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920" w:type="dxa"/>
            <w:vAlign w:val="bottom"/>
          </w:tcPr>
          <w:p>
            <w:pPr>
              <w:spacing w:after="0"/>
              <w:rPr>
                <w:sz w:val="20"/>
                <w:szCs w:val="20"/>
                <w:color w:val="auto"/>
              </w:rPr>
            </w:pPr>
            <w:r>
              <w:rPr>
                <w:rFonts w:ascii="Arial" w:cs="Arial" w:eastAsia="Arial" w:hAnsi="Arial"/>
                <w:sz w:val="18"/>
                <w:szCs w:val="18"/>
                <w:color w:val="auto"/>
              </w:rPr>
              <w:t>Net derivative assets (liabilities)</w:t>
            </w:r>
          </w:p>
        </w:tc>
        <w:tc>
          <w:tcPr>
            <w:tcW w:w="1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0.6</w:t>
            </w: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0.6</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850"/>
        </w:trPr>
        <w:tc>
          <w:tcPr>
            <w:tcW w:w="20" w:type="dxa"/>
            <w:vAlign w:val="bottom"/>
          </w:tcPr>
          <w:p>
            <w:pPr>
              <w:spacing w:after="0"/>
              <w:rPr>
                <w:sz w:val="24"/>
                <w:szCs w:val="24"/>
                <w:color w:val="auto"/>
              </w:rPr>
            </w:pPr>
          </w:p>
        </w:tc>
        <w:tc>
          <w:tcPr>
            <w:tcW w:w="3920" w:type="dxa"/>
            <w:vAlign w:val="bottom"/>
          </w:tcPr>
          <w:p>
            <w:pPr>
              <w:spacing w:after="0"/>
              <w:rPr>
                <w:sz w:val="24"/>
                <w:szCs w:val="24"/>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69</w:t>
            </w:r>
          </w:p>
        </w:tc>
        <w:tc>
          <w:tcPr>
            <w:tcW w:w="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60"/>
        </w:trPr>
        <w:tc>
          <w:tcPr>
            <w:tcW w:w="20" w:type="dxa"/>
            <w:vAlign w:val="bottom"/>
          </w:tcPr>
          <w:p>
            <w:pPr>
              <w:spacing w:after="0"/>
              <w:rPr>
                <w:sz w:val="24"/>
                <w:szCs w:val="24"/>
                <w:color w:val="auto"/>
              </w:rPr>
            </w:pPr>
          </w:p>
        </w:tc>
        <w:tc>
          <w:tcPr>
            <w:tcW w:w="392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920"/>
          </w:cols>
          <w:pgMar w:left="980" w:top="665" w:right="999" w:bottom="1440" w:gutter="0" w:footer="0" w:header="0"/>
        </w:sectPr>
      </w:pPr>
    </w:p>
    <w:bookmarkStart w:id="69" w:name="page70"/>
    <w:bookmarkEnd w:id="69"/>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50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760" w:type="dxa"/>
            <w:vAlign w:val="bottom"/>
            <w:tcBorders>
              <w:bottom w:val="single" w:sz="8" w:color="auto"/>
            </w:tcBorders>
            <w:gridSpan w:val="10"/>
          </w:tcPr>
          <w:p>
            <w:pPr>
              <w:ind w:left="120"/>
              <w:spacing w:after="0"/>
              <w:rPr>
                <w:sz w:val="20"/>
                <w:szCs w:val="20"/>
                <w:color w:val="auto"/>
              </w:rPr>
            </w:pPr>
            <w:r>
              <w:rPr>
                <w:rFonts w:ascii="Arial" w:cs="Arial" w:eastAsia="Arial" w:hAnsi="Arial"/>
                <w:sz w:val="14"/>
                <w:szCs w:val="14"/>
                <w:b w:val="1"/>
                <w:bCs w:val="1"/>
                <w:color w:val="auto"/>
                <w:w w:val="98"/>
              </w:rPr>
              <w:t>For the six months ended June 30, 2022</w:t>
            </w:r>
          </w:p>
        </w:tc>
        <w:tc>
          <w:tcPr>
            <w:tcW w:w="20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50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80" w:type="dxa"/>
            <w:vAlign w:val="bottom"/>
            <w:gridSpan w:val="2"/>
          </w:tcPr>
          <w:p>
            <w:pPr>
              <w:jc w:val="right"/>
              <w:spacing w:after="0" w:line="147" w:lineRule="exact"/>
              <w:rPr>
                <w:sz w:val="20"/>
                <w:szCs w:val="20"/>
                <w:color w:val="auto"/>
              </w:rPr>
            </w:pPr>
            <w:r>
              <w:rPr>
                <w:rFonts w:ascii="Arial" w:cs="Arial" w:eastAsia="Arial" w:hAnsi="Arial"/>
                <w:sz w:val="14"/>
                <w:szCs w:val="14"/>
                <w:b w:val="1"/>
                <w:bCs w:val="1"/>
                <w:color w:val="auto"/>
                <w:w w:val="91"/>
              </w:rPr>
              <w:t>Net purchases,</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50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0" w:type="dxa"/>
            <w:vAlign w:val="bottom"/>
            <w:gridSpan w:val="3"/>
          </w:tcPr>
          <w:p>
            <w:pPr>
              <w:ind w:left="20"/>
              <w:spacing w:after="0"/>
              <w:rPr>
                <w:sz w:val="20"/>
                <w:szCs w:val="20"/>
                <w:color w:val="auto"/>
              </w:rPr>
            </w:pPr>
            <w:r>
              <w:rPr>
                <w:rFonts w:ascii="Arial" w:cs="Arial" w:eastAsia="Arial" w:hAnsi="Arial"/>
                <w:sz w:val="14"/>
                <w:szCs w:val="14"/>
                <w:b w:val="1"/>
                <w:bCs w:val="1"/>
                <w:color w:val="auto"/>
                <w:w w:val="86"/>
              </w:rPr>
              <w:t>sales, issuances</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50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20" w:type="dxa"/>
            <w:vAlign w:val="bottom"/>
          </w:tcPr>
          <w:p>
            <w:pPr>
              <w:jc w:val="right"/>
              <w:ind w:right="12"/>
              <w:spacing w:after="0"/>
              <w:rPr>
                <w:sz w:val="20"/>
                <w:szCs w:val="20"/>
                <w:color w:val="auto"/>
              </w:rPr>
            </w:pPr>
            <w:r>
              <w:rPr>
                <w:rFonts w:ascii="Arial" w:cs="Arial" w:eastAsia="Arial" w:hAnsi="Arial"/>
                <w:sz w:val="14"/>
                <w:szCs w:val="14"/>
                <w:b w:val="1"/>
                <w:bCs w:val="1"/>
                <w:color w:val="auto"/>
                <w:w w:val="84"/>
              </w:rPr>
              <w:t>Purchases</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40" w:type="dxa"/>
            <w:vAlign w:val="bottom"/>
            <w:gridSpan w:val="3"/>
          </w:tcPr>
          <w:p>
            <w:pPr>
              <w:ind w:left="120"/>
              <w:spacing w:after="0"/>
              <w:rPr>
                <w:sz w:val="20"/>
                <w:szCs w:val="20"/>
                <w:color w:val="auto"/>
              </w:rPr>
            </w:pPr>
            <w:r>
              <w:rPr>
                <w:rFonts w:ascii="Arial" w:cs="Arial" w:eastAsia="Arial" w:hAnsi="Arial"/>
                <w:sz w:val="14"/>
                <w:szCs w:val="14"/>
                <w:b w:val="1"/>
                <w:bCs w:val="1"/>
                <w:color w:val="auto"/>
              </w:rPr>
              <w:t>Sales</w:t>
            </w:r>
          </w:p>
        </w:tc>
        <w:tc>
          <w:tcPr>
            <w:tcW w:w="100" w:type="dxa"/>
            <w:vAlign w:val="bottom"/>
          </w:tcPr>
          <w:p>
            <w:pPr>
              <w:spacing w:after="0"/>
              <w:rPr>
                <w:sz w:val="14"/>
                <w:szCs w:val="14"/>
                <w:color w:val="auto"/>
              </w:rPr>
            </w:pPr>
          </w:p>
        </w:tc>
        <w:tc>
          <w:tcPr>
            <w:tcW w:w="800" w:type="dxa"/>
            <w:vAlign w:val="bottom"/>
            <w:gridSpan w:val="2"/>
          </w:tcPr>
          <w:p>
            <w:pPr>
              <w:jc w:val="right"/>
              <w:ind w:right="200"/>
              <w:spacing w:after="0"/>
              <w:rPr>
                <w:sz w:val="20"/>
                <w:szCs w:val="20"/>
                <w:color w:val="auto"/>
              </w:rPr>
            </w:pPr>
            <w:r>
              <w:rPr>
                <w:rFonts w:ascii="Arial" w:cs="Arial" w:eastAsia="Arial" w:hAnsi="Arial"/>
                <w:sz w:val="14"/>
                <w:szCs w:val="14"/>
                <w:b w:val="1"/>
                <w:bCs w:val="1"/>
                <w:color w:val="auto"/>
                <w:w w:val="85"/>
              </w:rPr>
              <w:t>Issuances</w:t>
            </w:r>
          </w:p>
        </w:tc>
        <w:tc>
          <w:tcPr>
            <w:tcW w:w="60" w:type="dxa"/>
            <w:vAlign w:val="bottom"/>
          </w:tcPr>
          <w:p>
            <w:pPr>
              <w:spacing w:after="0"/>
              <w:rPr>
                <w:sz w:val="14"/>
                <w:szCs w:val="14"/>
                <w:color w:val="auto"/>
              </w:rPr>
            </w:pPr>
          </w:p>
        </w:tc>
        <w:tc>
          <w:tcPr>
            <w:tcW w:w="960" w:type="dxa"/>
            <w:vAlign w:val="bottom"/>
            <w:gridSpan w:val="3"/>
          </w:tcPr>
          <w:p>
            <w:pPr>
              <w:jc w:val="right"/>
              <w:ind w:right="200"/>
              <w:spacing w:after="0"/>
              <w:rPr>
                <w:sz w:val="20"/>
                <w:szCs w:val="20"/>
                <w:color w:val="auto"/>
              </w:rPr>
            </w:pPr>
            <w:r>
              <w:rPr>
                <w:rFonts w:ascii="Arial" w:cs="Arial" w:eastAsia="Arial" w:hAnsi="Arial"/>
                <w:sz w:val="14"/>
                <w:szCs w:val="14"/>
                <w:b w:val="1"/>
                <w:bCs w:val="1"/>
                <w:color w:val="auto"/>
                <w:w w:val="93"/>
              </w:rPr>
              <w:t>Settlements</w:t>
            </w:r>
          </w:p>
        </w:tc>
        <w:tc>
          <w:tcPr>
            <w:tcW w:w="1000" w:type="dxa"/>
            <w:vAlign w:val="bottom"/>
            <w:gridSpan w:val="3"/>
          </w:tcPr>
          <w:p>
            <w:pPr>
              <w:spacing w:after="0"/>
              <w:rPr>
                <w:sz w:val="20"/>
                <w:szCs w:val="20"/>
                <w:color w:val="auto"/>
              </w:rPr>
            </w:pPr>
            <w:r>
              <w:rPr>
                <w:rFonts w:ascii="Arial" w:cs="Arial" w:eastAsia="Arial" w:hAnsi="Arial"/>
                <w:sz w:val="14"/>
                <w:szCs w:val="14"/>
                <w:b w:val="1"/>
                <w:bCs w:val="1"/>
                <w:color w:val="auto"/>
                <w:w w:val="91"/>
              </w:rPr>
              <w:t>and settlements</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508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72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68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700" w:type="dxa"/>
            <w:vAlign w:val="bottom"/>
            <w:tcBorders>
              <w:top w:val="single" w:sz="8" w:color="auto"/>
            </w:tcBorders>
          </w:tcPr>
          <w:p>
            <w:pPr>
              <w:jc w:val="right"/>
              <w:spacing w:after="0" w:line="129" w:lineRule="exact"/>
              <w:rPr>
                <w:sz w:val="20"/>
                <w:szCs w:val="20"/>
                <w:color w:val="auto"/>
              </w:rPr>
            </w:pPr>
            <w:r>
              <w:rPr>
                <w:rFonts w:ascii="Arial" w:cs="Arial" w:eastAsia="Arial" w:hAnsi="Arial"/>
                <w:sz w:val="14"/>
                <w:szCs w:val="14"/>
                <w:i w:val="1"/>
                <w:iCs w:val="1"/>
                <w:color w:val="auto"/>
                <w:w w:val="96"/>
              </w:rPr>
              <w:t>(in millions)</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62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78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80" w:type="dxa"/>
            <w:vAlign w:val="bottom"/>
          </w:tcPr>
          <w:p>
            <w:pPr>
              <w:spacing w:after="0"/>
              <w:rPr>
                <w:sz w:val="20"/>
                <w:szCs w:val="20"/>
                <w:color w:val="auto"/>
              </w:rPr>
            </w:pPr>
            <w:r>
              <w:rPr>
                <w:rFonts w:ascii="Arial" w:cs="Arial" w:eastAsia="Arial" w:hAnsi="Arial"/>
                <w:sz w:val="18"/>
                <w:szCs w:val="18"/>
                <w:color w:val="auto"/>
              </w:rPr>
              <w:t>Fixed maturities, available-for-sale:</w:t>
            </w: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80" w:type="dxa"/>
            <w:vAlign w:val="bottom"/>
            <w:shd w:val="clear" w:color="auto" w:fill="CCEEFF"/>
          </w:tcPr>
          <w:p>
            <w:pPr>
              <w:ind w:left="100"/>
              <w:spacing w:after="0"/>
              <w:rPr>
                <w:sz w:val="20"/>
                <w:szCs w:val="20"/>
                <w:color w:val="auto"/>
              </w:rPr>
            </w:pPr>
            <w:r>
              <w:rPr>
                <w:rFonts w:ascii="Arial" w:cs="Arial" w:eastAsia="Arial" w:hAnsi="Arial"/>
                <w:sz w:val="18"/>
                <w:szCs w:val="18"/>
                <w:color w:val="auto"/>
              </w:rPr>
              <w:t>States and political subdivisions</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w:t>
            </w:r>
          </w:p>
        </w:tc>
        <w:tc>
          <w:tcPr>
            <w:tcW w:w="84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w:t>
            </w:r>
          </w:p>
        </w:tc>
        <w:tc>
          <w:tcPr>
            <w:tcW w:w="240" w:type="dxa"/>
            <w:vAlign w:val="bottom"/>
            <w:gridSpan w:val="2"/>
            <w:shd w:val="clear" w:color="auto" w:fill="CCEEFF"/>
          </w:tcPr>
          <w:p>
            <w:pPr>
              <w:jc w:val="right"/>
              <w:ind w:right="28"/>
              <w:spacing w:after="0"/>
              <w:rPr>
                <w:sz w:val="20"/>
                <w:szCs w:val="20"/>
                <w:color w:val="auto"/>
              </w:rPr>
            </w:pPr>
            <w:r>
              <w:rPr>
                <w:rFonts w:ascii="Arial" w:cs="Arial" w:eastAsia="Arial" w:hAnsi="Arial"/>
                <w:sz w:val="18"/>
                <w:szCs w:val="18"/>
                <w:b w:val="1"/>
                <w:bCs w:val="1"/>
                <w:color w:val="auto"/>
              </w:rPr>
              <w:t>$</w:t>
            </w: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(0.8)</w:t>
            </w:r>
          </w:p>
        </w:tc>
        <w:tc>
          <w:tcPr>
            <w:tcW w:w="2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(0.8)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80" w:type="dxa"/>
            <w:vAlign w:val="bottom"/>
          </w:tcPr>
          <w:p>
            <w:pPr>
              <w:ind w:left="100"/>
              <w:spacing w:after="0"/>
              <w:rPr>
                <w:sz w:val="20"/>
                <w:szCs w:val="20"/>
                <w:color w:val="auto"/>
              </w:rPr>
            </w:pPr>
            <w:r>
              <w:rPr>
                <w:rFonts w:ascii="Arial" w:cs="Arial" w:eastAsia="Arial" w:hAnsi="Arial"/>
                <w:sz w:val="18"/>
                <w:szCs w:val="18"/>
                <w:color w:val="auto"/>
              </w:rPr>
              <w:t>Corporate</w:t>
            </w:r>
          </w:p>
        </w:tc>
        <w:tc>
          <w:tcPr>
            <w:tcW w:w="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rPr>
              <w:t>350.9</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(25.3)</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w:t>
            </w: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(57.5)</w:t>
            </w:r>
          </w:p>
        </w:tc>
        <w:tc>
          <w:tcPr>
            <w:tcW w:w="2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b w:val="1"/>
                <w:bCs w:val="1"/>
                <w:color w:val="auto"/>
              </w:rPr>
              <w:t>268.1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80" w:type="dxa"/>
            <w:vAlign w:val="bottom"/>
            <w:shd w:val="clear" w:color="auto" w:fill="CCEEFF"/>
          </w:tcPr>
          <w:p>
            <w:pPr>
              <w:ind w:left="100"/>
              <w:spacing w:after="0"/>
              <w:rPr>
                <w:sz w:val="20"/>
                <w:szCs w:val="20"/>
                <w:color w:val="auto"/>
              </w:rPr>
            </w:pPr>
            <w:r>
              <w:rPr>
                <w:rFonts w:ascii="Arial" w:cs="Arial" w:eastAsia="Arial" w:hAnsi="Arial"/>
                <w:sz w:val="18"/>
                <w:szCs w:val="18"/>
                <w:color w:val="auto"/>
              </w:rPr>
              <w:t>Commercial mortgage-backed securities</w:t>
            </w: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(4.2)</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w:t>
            </w: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(0.3)</w:t>
            </w:r>
          </w:p>
        </w:tc>
        <w:tc>
          <w:tcPr>
            <w:tcW w:w="2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80" w:type="dxa"/>
            <w:vAlign w:val="bottom"/>
          </w:tcPr>
          <w:p>
            <w:pPr>
              <w:ind w:left="100"/>
              <w:spacing w:after="0"/>
              <w:rPr>
                <w:sz w:val="20"/>
                <w:szCs w:val="20"/>
                <w:color w:val="auto"/>
              </w:rPr>
            </w:pPr>
            <w:r>
              <w:rPr>
                <w:rFonts w:ascii="Arial" w:cs="Arial" w:eastAsia="Arial" w:hAnsi="Arial"/>
                <w:sz w:val="18"/>
                <w:szCs w:val="18"/>
                <w:color w:val="auto"/>
              </w:rPr>
              <w:t>Collateralized debt obligations</w:t>
            </w:r>
          </w:p>
        </w:tc>
        <w:tc>
          <w:tcPr>
            <w:tcW w:w="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rPr>
              <w:t>55.5</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gridSpan w:val="3"/>
          </w:tcPr>
          <w:p>
            <w:pPr>
              <w:jc w:val="right"/>
              <w:ind w:right="22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w:t>
            </w: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b w:val="1"/>
                <w:bCs w:val="1"/>
                <w:color w:val="auto"/>
              </w:rPr>
              <w:t>55.5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80" w:type="dxa"/>
            <w:vAlign w:val="bottom"/>
            <w:shd w:val="clear" w:color="auto" w:fill="CCEEFF"/>
          </w:tcPr>
          <w:p>
            <w:pPr>
              <w:ind w:left="100"/>
              <w:spacing w:after="0"/>
              <w:rPr>
                <w:sz w:val="20"/>
                <w:szCs w:val="20"/>
                <w:color w:val="auto"/>
              </w:rPr>
            </w:pPr>
            <w:r>
              <w:rPr>
                <w:rFonts w:ascii="Arial" w:cs="Arial" w:eastAsia="Arial" w:hAnsi="Arial"/>
                <w:sz w:val="18"/>
                <w:szCs w:val="18"/>
                <w:color w:val="auto"/>
              </w:rPr>
              <w:t>Other debt obligations</w:t>
            </w: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w:t>
            </w: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(0.7)</w:t>
            </w:r>
          </w:p>
        </w:tc>
        <w:tc>
          <w:tcPr>
            <w:tcW w:w="2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(0.7)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5080" w:type="dxa"/>
            <w:vAlign w:val="bottom"/>
          </w:tcPr>
          <w:p>
            <w:pPr>
              <w:spacing w:after="0"/>
              <w:rPr>
                <w:sz w:val="20"/>
                <w:szCs w:val="20"/>
                <w:color w:val="auto"/>
              </w:rPr>
            </w:pPr>
            <w:r>
              <w:rPr>
                <w:rFonts w:ascii="Arial" w:cs="Arial" w:eastAsia="Arial" w:hAnsi="Arial"/>
                <w:sz w:val="18"/>
                <w:szCs w:val="18"/>
                <w:color w:val="auto"/>
              </w:rPr>
              <w:t>Total fixed maturities, available-for-sale</w:t>
            </w:r>
          </w:p>
        </w:tc>
        <w:tc>
          <w:tcPr>
            <w:tcW w:w="80" w:type="dxa"/>
            <w:vAlign w:val="bottom"/>
            <w:tcBorders>
              <w:top w:val="single" w:sz="8" w:color="auto"/>
            </w:tcBorders>
          </w:tcPr>
          <w:p>
            <w:pPr>
              <w:spacing w:after="0"/>
              <w:rPr>
                <w:sz w:val="18"/>
                <w:szCs w:val="18"/>
                <w:color w:val="auto"/>
              </w:rPr>
            </w:pP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406.4</w:t>
            </w:r>
          </w:p>
        </w:tc>
        <w:tc>
          <w:tcPr>
            <w:tcW w:w="16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(29.5)</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(59.3)</w:t>
            </w:r>
          </w:p>
        </w:tc>
        <w:tc>
          <w:tcPr>
            <w:tcW w:w="16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317.6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80" w:type="dxa"/>
            <w:vAlign w:val="bottom"/>
            <w:shd w:val="clear" w:color="auto" w:fill="CCEEFF"/>
          </w:tcPr>
          <w:p>
            <w:pPr>
              <w:spacing w:after="0"/>
              <w:rPr>
                <w:sz w:val="20"/>
                <w:szCs w:val="20"/>
                <w:color w:val="auto"/>
              </w:rPr>
            </w:pPr>
            <w:r>
              <w:rPr>
                <w:rFonts w:ascii="Arial" w:cs="Arial" w:eastAsia="Arial" w:hAnsi="Arial"/>
                <w:sz w:val="18"/>
                <w:szCs w:val="18"/>
                <w:color w:val="auto"/>
              </w:rPr>
              <w:t>Fixed maturities, trading</w:t>
            </w: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52.5</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w:t>
            </w: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(0.2)</w:t>
            </w:r>
          </w:p>
        </w:tc>
        <w:tc>
          <w:tcPr>
            <w:tcW w:w="2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52.3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80" w:type="dxa"/>
            <w:vAlign w:val="bottom"/>
          </w:tcPr>
          <w:p>
            <w:pPr>
              <w:spacing w:after="0"/>
              <w:rPr>
                <w:sz w:val="20"/>
                <w:szCs w:val="20"/>
                <w:color w:val="auto"/>
              </w:rPr>
            </w:pPr>
            <w:r>
              <w:rPr>
                <w:rFonts w:ascii="Arial" w:cs="Arial" w:eastAsia="Arial" w:hAnsi="Arial"/>
                <w:sz w:val="18"/>
                <w:szCs w:val="18"/>
                <w:color w:val="auto"/>
              </w:rPr>
              <w:t>Separate account assets (5)</w:t>
            </w:r>
          </w:p>
        </w:tc>
        <w:tc>
          <w:tcPr>
            <w:tcW w:w="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gridSpan w:val="3"/>
          </w:tcPr>
          <w:p>
            <w:pPr>
              <w:jc w:val="right"/>
              <w:ind w:right="22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(1.9)</w:t>
            </w: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(0.5)</w:t>
            </w:r>
          </w:p>
        </w:tc>
        <w:tc>
          <w:tcPr>
            <w:tcW w:w="2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b w:val="1"/>
                <w:bCs w:val="1"/>
                <w:color w:val="auto"/>
              </w:rPr>
              <w:t>(2.4)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0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080" w:type="dxa"/>
            <w:vAlign w:val="bottom"/>
          </w:tcPr>
          <w:p>
            <w:pPr>
              <w:spacing w:after="0"/>
              <w:rPr>
                <w:sz w:val="20"/>
                <w:szCs w:val="20"/>
                <w:color w:val="auto"/>
              </w:rPr>
            </w:pPr>
            <w:r>
              <w:rPr>
                <w:rFonts w:ascii="Arial" w:cs="Arial" w:eastAsia="Arial" w:hAnsi="Arial"/>
                <w:sz w:val="18"/>
                <w:szCs w:val="18"/>
                <w:b w:val="1"/>
                <w:bCs w:val="1"/>
                <w:color w:val="auto"/>
              </w:rPr>
              <w:t>Liabilities</w:t>
            </w: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80" w:type="dxa"/>
            <w:vAlign w:val="bottom"/>
            <w:shd w:val="clear" w:color="auto" w:fill="CCEEFF"/>
          </w:tcPr>
          <w:p>
            <w:pPr>
              <w:spacing w:after="0"/>
              <w:rPr>
                <w:sz w:val="20"/>
                <w:szCs w:val="20"/>
                <w:color w:val="auto"/>
              </w:rPr>
            </w:pPr>
            <w:r>
              <w:rPr>
                <w:rFonts w:ascii="Arial" w:cs="Arial" w:eastAsia="Arial" w:hAnsi="Arial"/>
                <w:sz w:val="18"/>
                <w:szCs w:val="18"/>
                <w:color w:val="auto"/>
              </w:rPr>
              <w:t>Investment and universal life contracts</w:t>
            </w: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(7.1)</w:t>
            </w: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19.5</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12.4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0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0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Derivatives</w:t>
            </w: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5080" w:type="dxa"/>
            <w:vAlign w:val="bottom"/>
          </w:tcPr>
          <w:p>
            <w:pPr>
              <w:spacing w:after="0"/>
              <w:rPr>
                <w:sz w:val="20"/>
                <w:szCs w:val="20"/>
                <w:color w:val="auto"/>
              </w:rPr>
            </w:pPr>
            <w:r>
              <w:rPr>
                <w:rFonts w:ascii="Arial" w:cs="Arial" w:eastAsia="Arial" w:hAnsi="Arial"/>
                <w:sz w:val="18"/>
                <w:szCs w:val="18"/>
                <w:color w:val="auto"/>
              </w:rPr>
              <w:t>Net derivative assets (liabilities)</w:t>
            </w:r>
          </w:p>
        </w:tc>
        <w:tc>
          <w:tcPr>
            <w:tcW w:w="80" w:type="dxa"/>
            <w:vAlign w:val="bottom"/>
          </w:tcPr>
          <w:p>
            <w:pPr>
              <w:spacing w:after="0"/>
              <w:rPr>
                <w:sz w:val="20"/>
                <w:szCs w:val="20"/>
                <w:color w:val="auto"/>
              </w:rPr>
            </w:pP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Arial" w:cs="Arial" w:eastAsia="Arial" w:hAnsi="Arial"/>
                <w:sz w:val="18"/>
                <w:szCs w:val="18"/>
                <w:b w:val="1"/>
                <w:bCs w:val="1"/>
                <w:color w:val="auto"/>
              </w:rPr>
              <w:t>2.4</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w:t>
            </w:r>
          </w:p>
        </w:tc>
        <w:tc>
          <w:tcPr>
            <w:tcW w:w="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Arial" w:cs="Arial" w:eastAsia="Arial" w:hAnsi="Arial"/>
                <w:sz w:val="18"/>
                <w:szCs w:val="18"/>
                <w:b w:val="1"/>
                <w:bCs w:val="1"/>
                <w:color w:val="auto"/>
              </w:rPr>
              <w:t>2.4</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60"/>
        </w:trPr>
        <w:tc>
          <w:tcPr>
            <w:tcW w:w="20" w:type="dxa"/>
            <w:vAlign w:val="bottom"/>
          </w:tcPr>
          <w:p>
            <w:pPr>
              <w:spacing w:after="0"/>
              <w:rPr>
                <w:sz w:val="24"/>
                <w:szCs w:val="24"/>
                <w:color w:val="auto"/>
              </w:rPr>
            </w:pPr>
          </w:p>
        </w:tc>
        <w:tc>
          <w:tcPr>
            <w:tcW w:w="5080" w:type="dxa"/>
            <w:vAlign w:val="bottom"/>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760" w:type="dxa"/>
            <w:vAlign w:val="bottom"/>
            <w:tcBorders>
              <w:bottom w:val="single" w:sz="8" w:color="auto"/>
            </w:tcBorders>
            <w:gridSpan w:val="10"/>
          </w:tcPr>
          <w:p>
            <w:pPr>
              <w:ind w:left="120"/>
              <w:spacing w:after="0"/>
              <w:rPr>
                <w:sz w:val="20"/>
                <w:szCs w:val="20"/>
                <w:color w:val="auto"/>
              </w:rPr>
            </w:pPr>
            <w:r>
              <w:rPr>
                <w:rFonts w:ascii="Arial" w:cs="Arial" w:eastAsia="Arial" w:hAnsi="Arial"/>
                <w:sz w:val="14"/>
                <w:szCs w:val="14"/>
                <w:b w:val="1"/>
                <w:bCs w:val="1"/>
                <w:color w:val="auto"/>
                <w:w w:val="98"/>
              </w:rPr>
              <w:t>For the six months ended June 30, 2021</w:t>
            </w:r>
          </w:p>
        </w:tc>
        <w:tc>
          <w:tcPr>
            <w:tcW w:w="20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50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80" w:type="dxa"/>
            <w:vAlign w:val="bottom"/>
            <w:gridSpan w:val="2"/>
          </w:tcPr>
          <w:p>
            <w:pPr>
              <w:ind w:left="40"/>
              <w:spacing w:after="0" w:line="119" w:lineRule="exact"/>
              <w:rPr>
                <w:sz w:val="20"/>
                <w:szCs w:val="20"/>
                <w:color w:val="auto"/>
              </w:rPr>
            </w:pPr>
            <w:r>
              <w:rPr>
                <w:rFonts w:ascii="Arial" w:cs="Arial" w:eastAsia="Arial" w:hAnsi="Arial"/>
                <w:sz w:val="13"/>
                <w:szCs w:val="13"/>
                <w:b w:val="1"/>
                <w:bCs w:val="1"/>
                <w:color w:val="auto"/>
                <w:w w:val="98"/>
              </w:rPr>
              <w:t>Net purchases,</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0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vMerge w:val="restart"/>
          </w:tcPr>
          <w:p>
            <w:pPr>
              <w:jc w:val="right"/>
              <w:ind w:right="12"/>
              <w:spacing w:after="0"/>
              <w:rPr>
                <w:sz w:val="20"/>
                <w:szCs w:val="20"/>
                <w:color w:val="auto"/>
              </w:rPr>
            </w:pPr>
            <w:r>
              <w:rPr>
                <w:rFonts w:ascii="Arial" w:cs="Arial" w:eastAsia="Arial" w:hAnsi="Arial"/>
                <w:sz w:val="14"/>
                <w:szCs w:val="14"/>
                <w:b w:val="1"/>
                <w:bCs w:val="1"/>
                <w:color w:val="auto"/>
                <w:w w:val="84"/>
              </w:rPr>
              <w:t>Purchases</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40" w:type="dxa"/>
            <w:vAlign w:val="bottom"/>
            <w:gridSpan w:val="3"/>
            <w:vMerge w:val="restart"/>
          </w:tcPr>
          <w:p>
            <w:pPr>
              <w:ind w:left="120"/>
              <w:spacing w:after="0"/>
              <w:rPr>
                <w:sz w:val="20"/>
                <w:szCs w:val="20"/>
                <w:color w:val="auto"/>
              </w:rPr>
            </w:pPr>
            <w:r>
              <w:rPr>
                <w:rFonts w:ascii="Arial" w:cs="Arial" w:eastAsia="Arial" w:hAnsi="Arial"/>
                <w:sz w:val="14"/>
                <w:szCs w:val="14"/>
                <w:b w:val="1"/>
                <w:bCs w:val="1"/>
                <w:color w:val="auto"/>
              </w:rPr>
              <w:t>Sales</w:t>
            </w:r>
          </w:p>
        </w:tc>
        <w:tc>
          <w:tcPr>
            <w:tcW w:w="100" w:type="dxa"/>
            <w:vAlign w:val="bottom"/>
          </w:tcPr>
          <w:p>
            <w:pPr>
              <w:spacing w:after="0"/>
              <w:rPr>
                <w:sz w:val="12"/>
                <w:szCs w:val="12"/>
                <w:color w:val="auto"/>
              </w:rPr>
            </w:pPr>
          </w:p>
        </w:tc>
        <w:tc>
          <w:tcPr>
            <w:tcW w:w="800" w:type="dxa"/>
            <w:vAlign w:val="bottom"/>
            <w:gridSpan w:val="2"/>
            <w:vMerge w:val="restart"/>
          </w:tcPr>
          <w:p>
            <w:pPr>
              <w:jc w:val="right"/>
              <w:ind w:right="200"/>
              <w:spacing w:after="0"/>
              <w:rPr>
                <w:sz w:val="20"/>
                <w:szCs w:val="20"/>
                <w:color w:val="auto"/>
              </w:rPr>
            </w:pPr>
            <w:r>
              <w:rPr>
                <w:rFonts w:ascii="Arial" w:cs="Arial" w:eastAsia="Arial" w:hAnsi="Arial"/>
                <w:sz w:val="14"/>
                <w:szCs w:val="14"/>
                <w:b w:val="1"/>
                <w:bCs w:val="1"/>
                <w:color w:val="auto"/>
                <w:w w:val="85"/>
              </w:rPr>
              <w:t>Issuances</w:t>
            </w:r>
          </w:p>
        </w:tc>
        <w:tc>
          <w:tcPr>
            <w:tcW w:w="60" w:type="dxa"/>
            <w:vAlign w:val="bottom"/>
          </w:tcPr>
          <w:p>
            <w:pPr>
              <w:spacing w:after="0"/>
              <w:rPr>
                <w:sz w:val="12"/>
                <w:szCs w:val="12"/>
                <w:color w:val="auto"/>
              </w:rPr>
            </w:pPr>
          </w:p>
        </w:tc>
        <w:tc>
          <w:tcPr>
            <w:tcW w:w="960" w:type="dxa"/>
            <w:vAlign w:val="bottom"/>
            <w:gridSpan w:val="3"/>
            <w:vMerge w:val="restart"/>
          </w:tcPr>
          <w:p>
            <w:pPr>
              <w:jc w:val="right"/>
              <w:ind w:right="200"/>
              <w:spacing w:after="0"/>
              <w:rPr>
                <w:sz w:val="20"/>
                <w:szCs w:val="20"/>
                <w:color w:val="auto"/>
              </w:rPr>
            </w:pPr>
            <w:r>
              <w:rPr>
                <w:rFonts w:ascii="Arial" w:cs="Arial" w:eastAsia="Arial" w:hAnsi="Arial"/>
                <w:sz w:val="14"/>
                <w:szCs w:val="14"/>
                <w:b w:val="1"/>
                <w:bCs w:val="1"/>
                <w:color w:val="auto"/>
                <w:w w:val="93"/>
              </w:rPr>
              <w:t>Settlements</w:t>
            </w:r>
          </w:p>
        </w:tc>
        <w:tc>
          <w:tcPr>
            <w:tcW w:w="100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w w:val="86"/>
              </w:rPr>
              <w:t>sales, issuances</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50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40" w:type="dxa"/>
            <w:vAlign w:val="bottom"/>
            <w:gridSpan w:val="3"/>
            <w:vMerge w:val="continue"/>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gridSpan w:val="2"/>
            <w:vMerge w:val="continue"/>
          </w:tcPr>
          <w:p>
            <w:pPr>
              <w:spacing w:after="0"/>
              <w:rPr>
                <w:sz w:val="14"/>
                <w:szCs w:val="14"/>
                <w:color w:val="auto"/>
              </w:rPr>
            </w:pPr>
          </w:p>
        </w:tc>
        <w:tc>
          <w:tcPr>
            <w:tcW w:w="60" w:type="dxa"/>
            <w:vAlign w:val="bottom"/>
          </w:tcPr>
          <w:p>
            <w:pPr>
              <w:spacing w:after="0"/>
              <w:rPr>
                <w:sz w:val="14"/>
                <w:szCs w:val="14"/>
                <w:color w:val="auto"/>
              </w:rPr>
            </w:pPr>
          </w:p>
        </w:tc>
        <w:tc>
          <w:tcPr>
            <w:tcW w:w="960" w:type="dxa"/>
            <w:vAlign w:val="bottom"/>
            <w:gridSpan w:val="3"/>
            <w:vMerge w:val="continue"/>
          </w:tcPr>
          <w:p>
            <w:pPr>
              <w:spacing w:after="0"/>
              <w:rPr>
                <w:sz w:val="14"/>
                <w:szCs w:val="14"/>
                <w:color w:val="auto"/>
              </w:rPr>
            </w:pPr>
          </w:p>
        </w:tc>
        <w:tc>
          <w:tcPr>
            <w:tcW w:w="1000" w:type="dxa"/>
            <w:vAlign w:val="bottom"/>
            <w:gridSpan w:val="3"/>
          </w:tcPr>
          <w:p>
            <w:pPr>
              <w:spacing w:after="0"/>
              <w:rPr>
                <w:sz w:val="20"/>
                <w:szCs w:val="20"/>
                <w:color w:val="auto"/>
              </w:rPr>
            </w:pPr>
            <w:r>
              <w:rPr>
                <w:rFonts w:ascii="Arial" w:cs="Arial" w:eastAsia="Arial" w:hAnsi="Arial"/>
                <w:sz w:val="14"/>
                <w:szCs w:val="14"/>
                <w:b w:val="1"/>
                <w:bCs w:val="1"/>
                <w:color w:val="auto"/>
                <w:w w:val="91"/>
              </w:rPr>
              <w:t>and settlements</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508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72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68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700" w:type="dxa"/>
            <w:vAlign w:val="bottom"/>
            <w:tcBorders>
              <w:top w:val="single" w:sz="8" w:color="auto"/>
            </w:tcBorders>
          </w:tcPr>
          <w:p>
            <w:pPr>
              <w:jc w:val="right"/>
              <w:spacing w:after="0" w:line="129" w:lineRule="exact"/>
              <w:rPr>
                <w:sz w:val="20"/>
                <w:szCs w:val="20"/>
                <w:color w:val="auto"/>
              </w:rPr>
            </w:pPr>
            <w:r>
              <w:rPr>
                <w:rFonts w:ascii="Arial" w:cs="Arial" w:eastAsia="Arial" w:hAnsi="Arial"/>
                <w:sz w:val="14"/>
                <w:szCs w:val="14"/>
                <w:i w:val="1"/>
                <w:iCs w:val="1"/>
                <w:color w:val="auto"/>
                <w:w w:val="96"/>
              </w:rPr>
              <w:t>(in millions)</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62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78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80" w:type="dxa"/>
            <w:vAlign w:val="bottom"/>
          </w:tcPr>
          <w:p>
            <w:pPr>
              <w:spacing w:after="0"/>
              <w:rPr>
                <w:sz w:val="20"/>
                <w:szCs w:val="20"/>
                <w:color w:val="auto"/>
              </w:rPr>
            </w:pPr>
            <w:r>
              <w:rPr>
                <w:rFonts w:ascii="Arial" w:cs="Arial" w:eastAsia="Arial" w:hAnsi="Arial"/>
                <w:sz w:val="18"/>
                <w:szCs w:val="18"/>
                <w:color w:val="auto"/>
              </w:rPr>
              <w:t>Fixed maturities, available-for-sale:</w:t>
            </w: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80" w:type="dxa"/>
            <w:vAlign w:val="bottom"/>
            <w:shd w:val="clear" w:color="auto" w:fill="CCEEFF"/>
          </w:tcPr>
          <w:p>
            <w:pPr>
              <w:ind w:left="100"/>
              <w:spacing w:after="0"/>
              <w:rPr>
                <w:sz w:val="20"/>
                <w:szCs w:val="20"/>
                <w:color w:val="auto"/>
              </w:rPr>
            </w:pPr>
            <w:r>
              <w:rPr>
                <w:rFonts w:ascii="Arial" w:cs="Arial" w:eastAsia="Arial" w:hAnsi="Arial"/>
                <w:sz w:val="18"/>
                <w:szCs w:val="18"/>
                <w:color w:val="auto"/>
              </w:rPr>
              <w:t>Corporate</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200.8</w:t>
            </w:r>
          </w:p>
        </w:tc>
        <w:tc>
          <w:tcPr>
            <w:tcW w:w="2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84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(10.9)</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240" w:type="dxa"/>
            <w:vAlign w:val="bottom"/>
            <w:gridSpan w:val="2"/>
            <w:shd w:val="clear" w:color="auto" w:fill="CCEEFF"/>
          </w:tcPr>
          <w:p>
            <w:pPr>
              <w:jc w:val="right"/>
              <w:ind w:right="28"/>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(64.6)</w:t>
            </w:r>
          </w:p>
        </w:tc>
        <w:tc>
          <w:tcPr>
            <w:tcW w:w="2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125.3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80" w:type="dxa"/>
            <w:vAlign w:val="bottom"/>
          </w:tcPr>
          <w:p>
            <w:pPr>
              <w:ind w:left="100"/>
              <w:spacing w:after="0"/>
              <w:rPr>
                <w:sz w:val="20"/>
                <w:szCs w:val="20"/>
                <w:color w:val="auto"/>
              </w:rPr>
            </w:pPr>
            <w:r>
              <w:rPr>
                <w:rFonts w:ascii="Arial" w:cs="Arial" w:eastAsia="Arial" w:hAnsi="Arial"/>
                <w:sz w:val="18"/>
                <w:szCs w:val="18"/>
                <w:color w:val="auto"/>
              </w:rPr>
              <w:t>Commercial mortgage-backed securities</w:t>
            </w:r>
          </w:p>
        </w:tc>
        <w:tc>
          <w:tcPr>
            <w:tcW w:w="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gridSpan w:val="3"/>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(0.1)</w:t>
            </w:r>
          </w:p>
        </w:tc>
        <w:tc>
          <w:tcPr>
            <w:tcW w:w="2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(0.1)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80" w:type="dxa"/>
            <w:vAlign w:val="bottom"/>
            <w:shd w:val="clear" w:color="auto" w:fill="CCEEFF"/>
          </w:tcPr>
          <w:p>
            <w:pPr>
              <w:ind w:left="100"/>
              <w:spacing w:after="0"/>
              <w:rPr>
                <w:sz w:val="20"/>
                <w:szCs w:val="20"/>
                <w:color w:val="auto"/>
              </w:rPr>
            </w:pPr>
            <w:r>
              <w:rPr>
                <w:rFonts w:ascii="Arial" w:cs="Arial" w:eastAsia="Arial" w:hAnsi="Arial"/>
                <w:sz w:val="18"/>
                <w:szCs w:val="18"/>
                <w:color w:val="auto"/>
              </w:rPr>
              <w:t>Collateralized debt obligations</w:t>
            </w: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334.4</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(24.5)</w:t>
            </w:r>
          </w:p>
        </w:tc>
        <w:tc>
          <w:tcPr>
            <w:tcW w:w="2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309.9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80" w:type="dxa"/>
            <w:vAlign w:val="bottom"/>
          </w:tcPr>
          <w:p>
            <w:pPr>
              <w:ind w:left="100"/>
              <w:spacing w:after="0"/>
              <w:rPr>
                <w:sz w:val="20"/>
                <w:szCs w:val="20"/>
                <w:color w:val="auto"/>
              </w:rPr>
            </w:pPr>
            <w:r>
              <w:rPr>
                <w:rFonts w:ascii="Arial" w:cs="Arial" w:eastAsia="Arial" w:hAnsi="Arial"/>
                <w:sz w:val="18"/>
                <w:szCs w:val="18"/>
                <w:color w:val="auto"/>
              </w:rPr>
              <w:t>Other debt obligations</w:t>
            </w:r>
          </w:p>
        </w:tc>
        <w:tc>
          <w:tcPr>
            <w:tcW w:w="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25.1</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gridSpan w:val="3"/>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(14.3)</w:t>
            </w:r>
          </w:p>
        </w:tc>
        <w:tc>
          <w:tcPr>
            <w:tcW w:w="2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10.8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0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fixed maturities, available-for-sale</w:t>
            </w:r>
          </w:p>
        </w:tc>
        <w:tc>
          <w:tcPr>
            <w:tcW w:w="80" w:type="dxa"/>
            <w:vAlign w:val="bottom"/>
            <w:tcBorders>
              <w:top w:val="single" w:sz="8" w:color="auto"/>
            </w:tcBorders>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560.3</w:t>
            </w:r>
          </w:p>
        </w:tc>
        <w:tc>
          <w:tcPr>
            <w:tcW w:w="1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(10.9)</w:t>
            </w:r>
          </w:p>
        </w:tc>
        <w:tc>
          <w:tcPr>
            <w:tcW w:w="1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CCEEFF"/>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(103.5)</w:t>
            </w:r>
          </w:p>
        </w:tc>
        <w:tc>
          <w:tcPr>
            <w:tcW w:w="16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445.9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80" w:type="dxa"/>
            <w:vAlign w:val="bottom"/>
          </w:tcPr>
          <w:p>
            <w:pPr>
              <w:spacing w:after="0"/>
              <w:rPr>
                <w:sz w:val="20"/>
                <w:szCs w:val="20"/>
                <w:color w:val="auto"/>
              </w:rPr>
            </w:pPr>
            <w:r>
              <w:rPr>
                <w:rFonts w:ascii="Arial" w:cs="Arial" w:eastAsia="Arial" w:hAnsi="Arial"/>
                <w:sz w:val="18"/>
                <w:szCs w:val="18"/>
                <w:color w:val="auto"/>
              </w:rPr>
              <w:t>Separate account assets (5)</w:t>
            </w:r>
          </w:p>
        </w:tc>
        <w:tc>
          <w:tcPr>
            <w:tcW w:w="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36.7</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gridSpan w:val="3"/>
          </w:tcPr>
          <w:p>
            <w:pPr>
              <w:jc w:val="right"/>
              <w:ind w:right="160"/>
              <w:spacing w:after="0"/>
              <w:rPr>
                <w:sz w:val="20"/>
                <w:szCs w:val="20"/>
                <w:color w:val="auto"/>
              </w:rPr>
            </w:pPr>
            <w:r>
              <w:rPr>
                <w:rFonts w:ascii="Arial" w:cs="Arial" w:eastAsia="Arial" w:hAnsi="Arial"/>
                <w:sz w:val="18"/>
                <w:szCs w:val="18"/>
                <w:color w:val="auto"/>
                <w:w w:val="91"/>
              </w:rPr>
              <w:t>(7,793.2)</w:t>
            </w:r>
          </w:p>
        </w:tc>
        <w:tc>
          <w:tcPr>
            <w:tcW w:w="10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(141.0)</w:t>
            </w: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77.1</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(7,820.4)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0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080" w:type="dxa"/>
            <w:vAlign w:val="bottom"/>
          </w:tcPr>
          <w:p>
            <w:pPr>
              <w:spacing w:after="0"/>
              <w:rPr>
                <w:sz w:val="20"/>
                <w:szCs w:val="20"/>
                <w:color w:val="auto"/>
              </w:rPr>
            </w:pPr>
            <w:r>
              <w:rPr>
                <w:rFonts w:ascii="Arial" w:cs="Arial" w:eastAsia="Arial" w:hAnsi="Arial"/>
                <w:sz w:val="18"/>
                <w:szCs w:val="18"/>
                <w:b w:val="1"/>
                <w:bCs w:val="1"/>
                <w:color w:val="auto"/>
              </w:rPr>
              <w:t>Liabilities</w:t>
            </w: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80" w:type="dxa"/>
            <w:vAlign w:val="bottom"/>
            <w:shd w:val="clear" w:color="auto" w:fill="CCEEFF"/>
          </w:tcPr>
          <w:p>
            <w:pPr>
              <w:spacing w:after="0"/>
              <w:rPr>
                <w:sz w:val="20"/>
                <w:szCs w:val="20"/>
                <w:color w:val="auto"/>
              </w:rPr>
            </w:pPr>
            <w:r>
              <w:rPr>
                <w:rFonts w:ascii="Arial" w:cs="Arial" w:eastAsia="Arial" w:hAnsi="Arial"/>
                <w:sz w:val="18"/>
                <w:szCs w:val="18"/>
                <w:color w:val="auto"/>
              </w:rPr>
              <w:t>Investment and universal life contracts</w:t>
            </w: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(8.2)</w:t>
            </w: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24.6</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0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0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Derivatives</w:t>
            </w: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080" w:type="dxa"/>
            <w:vAlign w:val="bottom"/>
          </w:tcPr>
          <w:p>
            <w:pPr>
              <w:spacing w:after="0"/>
              <w:rPr>
                <w:sz w:val="20"/>
                <w:szCs w:val="20"/>
                <w:color w:val="auto"/>
              </w:rPr>
            </w:pPr>
            <w:r>
              <w:rPr>
                <w:rFonts w:ascii="Arial" w:cs="Arial" w:eastAsia="Arial" w:hAnsi="Arial"/>
                <w:sz w:val="18"/>
                <w:szCs w:val="18"/>
                <w:color w:val="auto"/>
              </w:rPr>
              <w:t>Net derivative assets (liabilities)</w:t>
            </w:r>
          </w:p>
        </w:tc>
        <w:tc>
          <w:tcPr>
            <w:tcW w:w="80" w:type="dxa"/>
            <w:vAlign w:val="bottom"/>
          </w:tcPr>
          <w:p>
            <w:pPr>
              <w:spacing w:after="0"/>
              <w:rPr>
                <w:sz w:val="20"/>
                <w:szCs w:val="20"/>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0.6</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0.6</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59690</wp:posOffset>
            </wp:positionV>
            <wp:extent cx="1568450" cy="889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1568450" cy="8890"/>
                    </a:xfrm>
                    <a:prstGeom prst="rect">
                      <a:avLst/>
                    </a:prstGeom>
                    <a:noFill/>
                  </pic:spPr>
                </pic:pic>
              </a:graphicData>
            </a:graphic>
          </wp:anchor>
        </w:drawing>
      </w:r>
    </w:p>
    <w:p>
      <w:pPr>
        <w:spacing w:after="0" w:line="167" w:lineRule="exact"/>
        <w:rPr>
          <w:sz w:val="20"/>
          <w:szCs w:val="20"/>
          <w:color w:val="auto"/>
        </w:rPr>
      </w:pPr>
    </w:p>
    <w:p>
      <w:pPr>
        <w:ind w:left="340" w:hanging="332"/>
        <w:spacing w:after="0"/>
        <w:tabs>
          <w:tab w:leader="none" w:pos="340" w:val="left"/>
        </w:tabs>
        <w:numPr>
          <w:ilvl w:val="0"/>
          <w:numId w:val="33"/>
        </w:numPr>
        <w:rPr>
          <w:rFonts w:ascii="Arial" w:cs="Arial" w:eastAsia="Arial" w:hAnsi="Arial"/>
          <w:sz w:val="16"/>
          <w:szCs w:val="16"/>
          <w:color w:val="auto"/>
        </w:rPr>
      </w:pPr>
      <w:r>
        <w:rPr>
          <w:rFonts w:ascii="Arial" w:cs="Arial" w:eastAsia="Arial" w:hAnsi="Arial"/>
          <w:sz w:val="16"/>
          <w:szCs w:val="16"/>
          <w:color w:val="auto"/>
        </w:rPr>
        <w:t>Issuances and settlements include amounts related to mortgage encumbrances associated with real estate in our separate accounts.</w:t>
      </w:r>
    </w:p>
    <w:p>
      <w:pPr>
        <w:spacing w:after="0" w:line="200" w:lineRule="exact"/>
        <w:rPr>
          <w:rFonts w:ascii="Arial" w:cs="Arial" w:eastAsia="Arial" w:hAnsi="Arial"/>
          <w:sz w:val="16"/>
          <w:szCs w:val="16"/>
          <w:color w:val="auto"/>
        </w:rPr>
      </w:pPr>
    </w:p>
    <w:p>
      <w:pPr>
        <w:spacing w:after="0" w:line="200" w:lineRule="exact"/>
        <w:rPr>
          <w:rFonts w:ascii="Arial" w:cs="Arial" w:eastAsia="Arial" w:hAnsi="Arial"/>
          <w:sz w:val="16"/>
          <w:szCs w:val="16"/>
          <w:color w:val="auto"/>
        </w:rPr>
      </w:pPr>
    </w:p>
    <w:p>
      <w:pPr>
        <w:spacing w:after="0" w:line="280" w:lineRule="exact"/>
        <w:rPr>
          <w:rFonts w:ascii="Arial" w:cs="Arial" w:eastAsia="Arial" w:hAnsi="Arial"/>
          <w:sz w:val="16"/>
          <w:szCs w:val="16"/>
          <w:color w:val="auto"/>
        </w:rPr>
      </w:pPr>
    </w:p>
    <w:p>
      <w:pPr>
        <w:ind w:left="4880"/>
        <w:spacing w:after="0"/>
        <w:rPr>
          <w:rFonts w:ascii="Arial" w:cs="Arial" w:eastAsia="Arial" w:hAnsi="Arial"/>
          <w:sz w:val="16"/>
          <w:szCs w:val="16"/>
          <w:color w:val="auto"/>
        </w:rPr>
      </w:pPr>
      <w:r>
        <w:rPr>
          <w:rFonts w:ascii="Arial" w:cs="Arial" w:eastAsia="Arial" w:hAnsi="Arial"/>
          <w:sz w:val="18"/>
          <w:szCs w:val="18"/>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540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70" w:name="page71"/>
    <w:bookmarkEnd w:id="70"/>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Transfers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Transfers of assets and liabilities measured at fair value on a recurring basis between fair value hierarchy levels were as follows:</w:t>
      </w:r>
    </w:p>
    <w:p>
      <w:pPr>
        <w:spacing w:after="0" w:line="253"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35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700" w:type="dxa"/>
            <w:vAlign w:val="bottom"/>
            <w:tcBorders>
              <w:bottom w:val="single" w:sz="8" w:color="auto"/>
            </w:tcBorders>
            <w:gridSpan w:val="4"/>
          </w:tcPr>
          <w:p>
            <w:pPr>
              <w:jc w:val="center"/>
              <w:ind w:right="17"/>
              <w:spacing w:after="0"/>
              <w:rPr>
                <w:sz w:val="20"/>
                <w:szCs w:val="20"/>
                <w:color w:val="auto"/>
              </w:rPr>
            </w:pPr>
            <w:r>
              <w:rPr>
                <w:rFonts w:ascii="Arial" w:cs="Arial" w:eastAsia="Arial" w:hAnsi="Arial"/>
                <w:sz w:val="14"/>
                <w:szCs w:val="14"/>
                <w:b w:val="1"/>
                <w:bCs w:val="1"/>
                <w:color w:val="auto"/>
                <w:w w:val="91"/>
              </w:rPr>
              <w:t>For the three months ended June 30, 2022</w:t>
            </w:r>
          </w:p>
        </w:tc>
        <w:tc>
          <w:tcPr>
            <w:tcW w:w="2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354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120" w:type="dxa"/>
            <w:vAlign w:val="bottom"/>
          </w:tcPr>
          <w:p>
            <w:pPr>
              <w:jc w:val="center"/>
              <w:ind w:right="57"/>
              <w:spacing w:after="0" w:line="119" w:lineRule="exact"/>
              <w:rPr>
                <w:sz w:val="20"/>
                <w:szCs w:val="20"/>
                <w:color w:val="auto"/>
              </w:rPr>
            </w:pPr>
            <w:r>
              <w:rPr>
                <w:rFonts w:ascii="Arial" w:cs="Arial" w:eastAsia="Arial" w:hAnsi="Arial"/>
                <w:sz w:val="13"/>
                <w:szCs w:val="13"/>
                <w:b w:val="1"/>
                <w:bCs w:val="1"/>
                <w:color w:val="auto"/>
                <w:w w:val="98"/>
              </w:rPr>
              <w:t>Transfers out</w:t>
            </w:r>
          </w:p>
        </w:tc>
        <w:tc>
          <w:tcPr>
            <w:tcW w:w="2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420" w:type="dxa"/>
            <w:vAlign w:val="bottom"/>
            <w:gridSpan w:val="2"/>
          </w:tcPr>
          <w:p>
            <w:pPr>
              <w:jc w:val="center"/>
              <w:ind w:right="360"/>
              <w:spacing w:after="0" w:line="119" w:lineRule="exact"/>
              <w:rPr>
                <w:sz w:val="20"/>
                <w:szCs w:val="20"/>
                <w:color w:val="auto"/>
              </w:rPr>
            </w:pPr>
            <w:r>
              <w:rPr>
                <w:rFonts w:ascii="Arial" w:cs="Arial" w:eastAsia="Arial" w:hAnsi="Arial"/>
                <w:sz w:val="13"/>
                <w:szCs w:val="13"/>
                <w:b w:val="1"/>
                <w:bCs w:val="1"/>
                <w:color w:val="auto"/>
                <w:w w:val="98"/>
              </w:rPr>
              <w:t>Transfers out</w:t>
            </w:r>
          </w:p>
        </w:tc>
        <w:tc>
          <w:tcPr>
            <w:tcW w:w="140" w:type="dxa"/>
            <w:vAlign w:val="bottom"/>
          </w:tcPr>
          <w:p>
            <w:pPr>
              <w:spacing w:after="0"/>
              <w:rPr>
                <w:sz w:val="10"/>
                <w:szCs w:val="10"/>
                <w:color w:val="auto"/>
              </w:rPr>
            </w:pPr>
          </w:p>
        </w:tc>
        <w:tc>
          <w:tcPr>
            <w:tcW w:w="1140" w:type="dxa"/>
            <w:vAlign w:val="bottom"/>
          </w:tcPr>
          <w:p>
            <w:pPr>
              <w:jc w:val="center"/>
              <w:ind w:right="57"/>
              <w:spacing w:after="0" w:line="119" w:lineRule="exact"/>
              <w:rPr>
                <w:sz w:val="20"/>
                <w:szCs w:val="20"/>
                <w:color w:val="auto"/>
              </w:rPr>
            </w:pPr>
            <w:r>
              <w:rPr>
                <w:rFonts w:ascii="Arial" w:cs="Arial" w:eastAsia="Arial" w:hAnsi="Arial"/>
                <w:sz w:val="13"/>
                <w:szCs w:val="13"/>
                <w:b w:val="1"/>
                <w:bCs w:val="1"/>
                <w:color w:val="auto"/>
              </w:rPr>
              <w:t>Transfers out</w:t>
            </w:r>
          </w:p>
        </w:tc>
        <w:tc>
          <w:tcPr>
            <w:tcW w:w="2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120" w:type="dxa"/>
            <w:vAlign w:val="bottom"/>
          </w:tcPr>
          <w:p>
            <w:pPr>
              <w:jc w:val="center"/>
              <w:ind w:right="57"/>
              <w:spacing w:after="0" w:line="119" w:lineRule="exact"/>
              <w:rPr>
                <w:sz w:val="20"/>
                <w:szCs w:val="20"/>
                <w:color w:val="auto"/>
              </w:rPr>
            </w:pPr>
            <w:r>
              <w:rPr>
                <w:rFonts w:ascii="Arial" w:cs="Arial" w:eastAsia="Arial" w:hAnsi="Arial"/>
                <w:sz w:val="13"/>
                <w:szCs w:val="13"/>
                <w:b w:val="1"/>
                <w:bCs w:val="1"/>
                <w:color w:val="auto"/>
                <w:w w:val="98"/>
              </w:rPr>
              <w:t>Transfers out</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5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20" w:type="dxa"/>
            <w:vAlign w:val="bottom"/>
          </w:tcPr>
          <w:p>
            <w:pPr>
              <w:jc w:val="center"/>
              <w:ind w:right="37"/>
              <w:spacing w:after="0" w:line="149" w:lineRule="exact"/>
              <w:rPr>
                <w:sz w:val="20"/>
                <w:szCs w:val="20"/>
                <w:color w:val="auto"/>
              </w:rPr>
            </w:pPr>
            <w:r>
              <w:rPr>
                <w:rFonts w:ascii="Arial" w:cs="Arial" w:eastAsia="Arial" w:hAnsi="Arial"/>
                <w:sz w:val="14"/>
                <w:szCs w:val="14"/>
                <w:b w:val="1"/>
                <w:bCs w:val="1"/>
                <w:color w:val="auto"/>
                <w:w w:val="93"/>
              </w:rPr>
              <w:t>of Level 1 into</w:t>
            </w: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2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3"/>
              </w:rPr>
              <w:t>of Level 2 into</w:t>
            </w:r>
          </w:p>
        </w:tc>
        <w:tc>
          <w:tcPr>
            <w:tcW w:w="140" w:type="dxa"/>
            <w:vAlign w:val="bottom"/>
          </w:tcPr>
          <w:p>
            <w:pPr>
              <w:spacing w:after="0"/>
              <w:rPr>
                <w:sz w:val="12"/>
                <w:szCs w:val="12"/>
                <w:color w:val="auto"/>
              </w:rPr>
            </w:pPr>
          </w:p>
        </w:tc>
        <w:tc>
          <w:tcPr>
            <w:tcW w:w="1140" w:type="dxa"/>
            <w:vAlign w:val="bottom"/>
          </w:tcPr>
          <w:p>
            <w:pPr>
              <w:jc w:val="center"/>
              <w:ind w:right="57"/>
              <w:spacing w:after="0" w:line="149" w:lineRule="exact"/>
              <w:rPr>
                <w:sz w:val="20"/>
                <w:szCs w:val="20"/>
                <w:color w:val="auto"/>
              </w:rPr>
            </w:pPr>
            <w:r>
              <w:rPr>
                <w:rFonts w:ascii="Arial" w:cs="Arial" w:eastAsia="Arial" w:hAnsi="Arial"/>
                <w:sz w:val="14"/>
                <w:szCs w:val="14"/>
                <w:b w:val="1"/>
                <w:bCs w:val="1"/>
                <w:color w:val="auto"/>
                <w:w w:val="93"/>
              </w:rPr>
              <w:t>of Level 3 into</w:t>
            </w: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20" w:type="dxa"/>
            <w:vAlign w:val="bottom"/>
          </w:tcPr>
          <w:p>
            <w:pPr>
              <w:jc w:val="center"/>
              <w:ind w:right="77"/>
              <w:spacing w:after="0" w:line="149" w:lineRule="exact"/>
              <w:rPr>
                <w:sz w:val="20"/>
                <w:szCs w:val="20"/>
                <w:color w:val="auto"/>
              </w:rPr>
            </w:pPr>
            <w:r>
              <w:rPr>
                <w:rFonts w:ascii="Arial" w:cs="Arial" w:eastAsia="Arial" w:hAnsi="Arial"/>
                <w:sz w:val="14"/>
                <w:szCs w:val="14"/>
                <w:b w:val="1"/>
                <w:bCs w:val="1"/>
                <w:color w:val="auto"/>
                <w:w w:val="93"/>
              </w:rPr>
              <w:t>of Level 3 into</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35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tcPr>
          <w:p>
            <w:pPr>
              <w:jc w:val="center"/>
              <w:ind w:right="37"/>
              <w:spacing w:after="0"/>
              <w:rPr>
                <w:sz w:val="20"/>
                <w:szCs w:val="20"/>
                <w:color w:val="auto"/>
              </w:rPr>
            </w:pPr>
            <w:r>
              <w:rPr>
                <w:rFonts w:ascii="Arial" w:cs="Arial" w:eastAsia="Arial" w:hAnsi="Arial"/>
                <w:sz w:val="14"/>
                <w:szCs w:val="14"/>
                <w:b w:val="1"/>
                <w:bCs w:val="1"/>
                <w:color w:val="auto"/>
                <w:w w:val="92"/>
              </w:rPr>
              <w:t>Level 3</w:t>
            </w:r>
          </w:p>
        </w:tc>
        <w:tc>
          <w:tcPr>
            <w:tcW w:w="2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1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Level 3</w:t>
            </w:r>
          </w:p>
        </w:tc>
        <w:tc>
          <w:tcPr>
            <w:tcW w:w="2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tcPr>
          <w:p>
            <w:pPr>
              <w:jc w:val="center"/>
              <w:ind w:right="57"/>
              <w:spacing w:after="0"/>
              <w:rPr>
                <w:sz w:val="20"/>
                <w:szCs w:val="20"/>
                <w:color w:val="auto"/>
              </w:rPr>
            </w:pPr>
            <w:r>
              <w:rPr>
                <w:rFonts w:ascii="Arial" w:cs="Arial" w:eastAsia="Arial" w:hAnsi="Arial"/>
                <w:sz w:val="14"/>
                <w:szCs w:val="14"/>
                <w:b w:val="1"/>
                <w:bCs w:val="1"/>
                <w:color w:val="auto"/>
                <w:w w:val="92"/>
              </w:rPr>
              <w:t>Level 1</w:t>
            </w:r>
          </w:p>
        </w:tc>
        <w:tc>
          <w:tcPr>
            <w:tcW w:w="24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tcPr>
          <w:p>
            <w:pPr>
              <w:jc w:val="center"/>
              <w:ind w:right="77"/>
              <w:spacing w:after="0"/>
              <w:rPr>
                <w:sz w:val="20"/>
                <w:szCs w:val="20"/>
                <w:color w:val="auto"/>
              </w:rPr>
            </w:pPr>
            <w:r>
              <w:rPr>
                <w:rFonts w:ascii="Arial" w:cs="Arial" w:eastAsia="Arial" w:hAnsi="Arial"/>
                <w:sz w:val="14"/>
                <w:szCs w:val="14"/>
                <w:b w:val="1"/>
                <w:bCs w:val="1"/>
                <w:color w:val="auto"/>
                <w:w w:val="92"/>
              </w:rPr>
              <w:t>Level 2</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35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700" w:type="dxa"/>
            <w:vAlign w:val="bottom"/>
            <w:gridSpan w:val="4"/>
          </w:tcPr>
          <w:p>
            <w:pPr>
              <w:jc w:val="center"/>
              <w:ind w:right="17"/>
              <w:spacing w:after="0" w:line="129" w:lineRule="exact"/>
              <w:rPr>
                <w:sz w:val="20"/>
                <w:szCs w:val="20"/>
                <w:color w:val="auto"/>
              </w:rPr>
            </w:pPr>
            <w:r>
              <w:rPr>
                <w:rFonts w:ascii="Arial" w:cs="Arial" w:eastAsia="Arial" w:hAnsi="Arial"/>
                <w:sz w:val="14"/>
                <w:szCs w:val="14"/>
                <w:i w:val="1"/>
                <w:iCs w:val="1"/>
                <w:color w:val="auto"/>
              </w:rPr>
              <w:t>(in millions)</w:t>
            </w:r>
          </w:p>
        </w:tc>
        <w:tc>
          <w:tcPr>
            <w:tcW w:w="2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5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40" w:type="dxa"/>
            <w:vAlign w:val="bottom"/>
          </w:tcPr>
          <w:p>
            <w:pPr>
              <w:spacing w:after="0"/>
              <w:rPr>
                <w:sz w:val="20"/>
                <w:szCs w:val="20"/>
                <w:color w:val="auto"/>
              </w:rPr>
            </w:pPr>
            <w:r>
              <w:rPr>
                <w:rFonts w:ascii="Arial" w:cs="Arial" w:eastAsia="Arial" w:hAnsi="Arial"/>
                <w:sz w:val="18"/>
                <w:szCs w:val="18"/>
                <w:color w:val="auto"/>
              </w:rPr>
              <w:t>Fixed maturities, available-for-sale:</w:t>
            </w:r>
          </w:p>
        </w:tc>
        <w:tc>
          <w:tcPr>
            <w:tcW w:w="5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40" w:type="dxa"/>
            <w:vAlign w:val="bottom"/>
            <w:shd w:val="clear" w:color="auto" w:fill="CCEEFF"/>
          </w:tcPr>
          <w:p>
            <w:pPr>
              <w:ind w:left="100"/>
              <w:spacing w:after="0"/>
              <w:rPr>
                <w:sz w:val="20"/>
                <w:szCs w:val="20"/>
                <w:color w:val="auto"/>
              </w:rPr>
            </w:pPr>
            <w:r>
              <w:rPr>
                <w:rFonts w:ascii="Arial" w:cs="Arial" w:eastAsia="Arial" w:hAnsi="Arial"/>
                <w:sz w:val="18"/>
                <w:szCs w:val="18"/>
                <w:color w:val="auto"/>
              </w:rPr>
              <w:t>States and political subdivisions</w:t>
            </w:r>
          </w:p>
        </w:tc>
        <w:tc>
          <w:tcPr>
            <w:tcW w:w="6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w:t>
            </w:r>
          </w:p>
        </w:tc>
        <w:tc>
          <w:tcPr>
            <w:tcW w:w="1120" w:type="dxa"/>
            <w:vAlign w:val="bottom"/>
            <w:shd w:val="clear" w:color="auto" w:fill="CCEEFF"/>
          </w:tcPr>
          <w:p>
            <w:pPr>
              <w:ind w:left="880"/>
              <w:spacing w:after="0"/>
              <w:rPr>
                <w:sz w:val="20"/>
                <w:szCs w:val="20"/>
                <w:color w:val="auto"/>
              </w:rPr>
            </w:pPr>
            <w:r>
              <w:rPr>
                <w:rFonts w:ascii="Arial" w:cs="Arial" w:eastAsia="Arial" w:hAnsi="Arial"/>
                <w:sz w:val="18"/>
                <w:szCs w:val="18"/>
                <w:b w:val="1"/>
                <w:bCs w:val="1"/>
                <w:color w:val="auto"/>
              </w:rPr>
              <w:t>—</w:t>
            </w:r>
          </w:p>
        </w:tc>
        <w:tc>
          <w:tcPr>
            <w:tcW w:w="3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12.0</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140" w:type="dxa"/>
            <w:vAlign w:val="bottom"/>
            <w:shd w:val="clear" w:color="auto" w:fill="CCEEFF"/>
          </w:tcPr>
          <w:p>
            <w:pPr>
              <w:ind w:left="900"/>
              <w:spacing w:after="0"/>
              <w:rPr>
                <w:sz w:val="20"/>
                <w:szCs w:val="20"/>
                <w:color w:val="auto"/>
              </w:rPr>
            </w:pPr>
            <w:r>
              <w:rPr>
                <w:rFonts w:ascii="Arial" w:cs="Arial" w:eastAsia="Arial" w:hAnsi="Arial"/>
                <w:sz w:val="18"/>
                <w:szCs w:val="18"/>
                <w:b w:val="1"/>
                <w:bCs w:val="1"/>
                <w:color w:val="auto"/>
              </w:rPr>
              <w:t>—</w:t>
            </w:r>
          </w:p>
        </w:tc>
        <w:tc>
          <w:tcPr>
            <w:tcW w:w="4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40" w:type="dxa"/>
            <w:vAlign w:val="bottom"/>
          </w:tcPr>
          <w:p>
            <w:pPr>
              <w:ind w:left="100"/>
              <w:spacing w:after="0"/>
              <w:rPr>
                <w:sz w:val="20"/>
                <w:szCs w:val="20"/>
                <w:color w:val="auto"/>
              </w:rPr>
            </w:pPr>
            <w:r>
              <w:rPr>
                <w:rFonts w:ascii="Arial" w:cs="Arial" w:eastAsia="Arial" w:hAnsi="Arial"/>
                <w:sz w:val="18"/>
                <w:szCs w:val="18"/>
                <w:color w:val="auto"/>
              </w:rPr>
              <w:t>Corporate</w:t>
            </w:r>
          </w:p>
        </w:tc>
        <w:tc>
          <w:tcPr>
            <w:tcW w:w="5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20" w:type="dxa"/>
            <w:vAlign w:val="bottom"/>
          </w:tcPr>
          <w:p>
            <w:pPr>
              <w:ind w:left="880"/>
              <w:spacing w:after="0"/>
              <w:rPr>
                <w:sz w:val="20"/>
                <w:szCs w:val="20"/>
                <w:color w:val="auto"/>
              </w:rPr>
            </w:pPr>
            <w:r>
              <w:rPr>
                <w:rFonts w:ascii="Arial" w:cs="Arial" w:eastAsia="Arial" w:hAnsi="Arial"/>
                <w:sz w:val="18"/>
                <w:szCs w:val="18"/>
                <w:b w:val="1"/>
                <w:bCs w:val="1"/>
                <w:color w:val="auto"/>
              </w:rPr>
              <w:t>—</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Arial" w:cs="Arial" w:eastAsia="Arial" w:hAnsi="Arial"/>
                <w:sz w:val="18"/>
                <w:szCs w:val="18"/>
                <w:b w:val="1"/>
                <w:bCs w:val="1"/>
                <w:color w:val="auto"/>
              </w:rPr>
              <w:t>1.1</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tcPr>
          <w:p>
            <w:pPr>
              <w:ind w:left="900"/>
              <w:spacing w:after="0"/>
              <w:rPr>
                <w:sz w:val="20"/>
                <w:szCs w:val="20"/>
                <w:color w:val="auto"/>
              </w:rPr>
            </w:pPr>
            <w:r>
              <w:rPr>
                <w:rFonts w:ascii="Arial" w:cs="Arial" w:eastAsia="Arial" w:hAnsi="Arial"/>
                <w:sz w:val="18"/>
                <w:szCs w:val="18"/>
                <w:b w:val="1"/>
                <w:bCs w:val="1"/>
                <w:color w:val="auto"/>
              </w:rPr>
              <w:t>—</w:t>
            </w: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40" w:type="dxa"/>
            <w:vAlign w:val="bottom"/>
            <w:shd w:val="clear" w:color="auto" w:fill="CCEEFF"/>
          </w:tcPr>
          <w:p>
            <w:pPr>
              <w:ind w:left="100"/>
              <w:spacing w:after="0"/>
              <w:rPr>
                <w:sz w:val="20"/>
                <w:szCs w:val="20"/>
                <w:color w:val="auto"/>
              </w:rPr>
            </w:pPr>
            <w:r>
              <w:rPr>
                <w:rFonts w:ascii="Arial" w:cs="Arial" w:eastAsia="Arial" w:hAnsi="Arial"/>
                <w:sz w:val="18"/>
                <w:szCs w:val="18"/>
                <w:color w:val="auto"/>
              </w:rPr>
              <w:t>Commercial mortgage-backed securities</w:t>
            </w:r>
          </w:p>
        </w:tc>
        <w:tc>
          <w:tcPr>
            <w:tcW w:w="5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20" w:type="dxa"/>
            <w:vAlign w:val="bottom"/>
            <w:shd w:val="clear" w:color="auto" w:fill="CCEEFF"/>
          </w:tcPr>
          <w:p>
            <w:pPr>
              <w:ind w:left="880"/>
              <w:spacing w:after="0"/>
              <w:rPr>
                <w:sz w:val="20"/>
                <w:szCs w:val="20"/>
                <w:color w:val="auto"/>
              </w:rPr>
            </w:pPr>
            <w:r>
              <w:rPr>
                <w:rFonts w:ascii="Arial" w:cs="Arial" w:eastAsia="Arial" w:hAnsi="Arial"/>
                <w:sz w:val="18"/>
                <w:szCs w:val="18"/>
                <w:b w:val="1"/>
                <w:bCs w:val="1"/>
                <w:color w:val="auto"/>
              </w:rPr>
              <w:t>—</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w:t>
            </w:r>
          </w:p>
        </w:tc>
        <w:tc>
          <w:tcPr>
            <w:tcW w:w="140" w:type="dxa"/>
            <w:vAlign w:val="bottom"/>
            <w:shd w:val="clear" w:color="auto" w:fill="CCEEFF"/>
          </w:tcPr>
          <w:p>
            <w:pPr>
              <w:spacing w:after="0"/>
              <w:rPr>
                <w:sz w:val="18"/>
                <w:szCs w:val="18"/>
                <w:color w:val="auto"/>
              </w:rPr>
            </w:pPr>
          </w:p>
        </w:tc>
        <w:tc>
          <w:tcPr>
            <w:tcW w:w="1140" w:type="dxa"/>
            <w:vAlign w:val="bottom"/>
            <w:shd w:val="clear" w:color="auto" w:fill="CCEEFF"/>
          </w:tcPr>
          <w:p>
            <w:pPr>
              <w:ind w:left="900"/>
              <w:spacing w:after="0"/>
              <w:rPr>
                <w:sz w:val="20"/>
                <w:szCs w:val="20"/>
                <w:color w:val="auto"/>
              </w:rPr>
            </w:pPr>
            <w:r>
              <w:rPr>
                <w:rFonts w:ascii="Arial" w:cs="Arial" w:eastAsia="Arial" w:hAnsi="Arial"/>
                <w:sz w:val="18"/>
                <w:szCs w:val="18"/>
                <w:b w:val="1"/>
                <w:bCs w:val="1"/>
                <w:color w:val="auto"/>
              </w:rPr>
              <w:t>—</w:t>
            </w:r>
          </w:p>
        </w:tc>
        <w:tc>
          <w:tcPr>
            <w:tcW w:w="2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10.2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40" w:type="dxa"/>
            <w:vAlign w:val="bottom"/>
          </w:tcPr>
          <w:p>
            <w:pPr>
              <w:ind w:left="100"/>
              <w:spacing w:after="0"/>
              <w:rPr>
                <w:sz w:val="20"/>
                <w:szCs w:val="20"/>
                <w:color w:val="auto"/>
              </w:rPr>
            </w:pPr>
            <w:r>
              <w:rPr>
                <w:rFonts w:ascii="Arial" w:cs="Arial" w:eastAsia="Arial" w:hAnsi="Arial"/>
                <w:sz w:val="18"/>
                <w:szCs w:val="18"/>
                <w:color w:val="auto"/>
              </w:rPr>
              <w:t>Collateralized debt obligations</w:t>
            </w:r>
          </w:p>
        </w:tc>
        <w:tc>
          <w:tcPr>
            <w:tcW w:w="5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20" w:type="dxa"/>
            <w:vAlign w:val="bottom"/>
          </w:tcPr>
          <w:p>
            <w:pPr>
              <w:ind w:left="880"/>
              <w:spacing w:after="0"/>
              <w:rPr>
                <w:sz w:val="20"/>
                <w:szCs w:val="20"/>
                <w:color w:val="auto"/>
              </w:rPr>
            </w:pPr>
            <w:r>
              <w:rPr>
                <w:rFonts w:ascii="Arial" w:cs="Arial" w:eastAsia="Arial" w:hAnsi="Arial"/>
                <w:sz w:val="18"/>
                <w:szCs w:val="18"/>
                <w:b w:val="1"/>
                <w:bCs w:val="1"/>
                <w:color w:val="auto"/>
              </w:rPr>
              <w:t>—</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2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spacing w:after="0"/>
              <w:rPr>
                <w:sz w:val="18"/>
                <w:szCs w:val="18"/>
                <w:color w:val="auto"/>
              </w:rPr>
            </w:pPr>
          </w:p>
        </w:tc>
        <w:tc>
          <w:tcPr>
            <w:tcW w:w="1140" w:type="dxa"/>
            <w:vAlign w:val="bottom"/>
          </w:tcPr>
          <w:p>
            <w:pPr>
              <w:ind w:left="900"/>
              <w:spacing w:after="0"/>
              <w:rPr>
                <w:sz w:val="20"/>
                <w:szCs w:val="20"/>
                <w:color w:val="auto"/>
              </w:rPr>
            </w:pPr>
            <w:r>
              <w:rPr>
                <w:rFonts w:ascii="Arial" w:cs="Arial" w:eastAsia="Arial" w:hAnsi="Arial"/>
                <w:sz w:val="18"/>
                <w:szCs w:val="18"/>
                <w:b w:val="1"/>
                <w:bCs w:val="1"/>
                <w:color w:val="auto"/>
              </w:rPr>
              <w:t>—</w:t>
            </w: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Arial" w:cs="Arial" w:eastAsia="Arial" w:hAnsi="Arial"/>
                <w:sz w:val="18"/>
                <w:szCs w:val="18"/>
                <w:b w:val="1"/>
                <w:bCs w:val="1"/>
                <w:color w:val="auto"/>
              </w:rPr>
              <w:t>55.3</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35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fixed maturities, available-for-sale</w:t>
            </w:r>
          </w:p>
        </w:tc>
        <w:tc>
          <w:tcPr>
            <w:tcW w:w="52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ind w:left="880"/>
              <w:spacing w:after="0"/>
              <w:rPr>
                <w:sz w:val="20"/>
                <w:szCs w:val="20"/>
                <w:color w:val="auto"/>
              </w:rPr>
            </w:pPr>
            <w:r>
              <w:rPr>
                <w:rFonts w:ascii="Arial" w:cs="Arial" w:eastAsia="Arial" w:hAnsi="Arial"/>
                <w:sz w:val="18"/>
                <w:szCs w:val="18"/>
                <w:b w:val="1"/>
                <w:bCs w:val="1"/>
                <w:color w:val="auto"/>
              </w:rPr>
              <w:t>—</w:t>
            </w:r>
          </w:p>
        </w:tc>
        <w:tc>
          <w:tcPr>
            <w:tcW w:w="26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1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13.1</w:t>
            </w:r>
          </w:p>
        </w:tc>
        <w:tc>
          <w:tcPr>
            <w:tcW w:w="26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ind w:left="900"/>
              <w:spacing w:after="0"/>
              <w:rPr>
                <w:sz w:val="20"/>
                <w:szCs w:val="20"/>
                <w:color w:val="auto"/>
              </w:rPr>
            </w:pPr>
            <w:r>
              <w:rPr>
                <w:rFonts w:ascii="Arial" w:cs="Arial" w:eastAsia="Arial" w:hAnsi="Arial"/>
                <w:sz w:val="18"/>
                <w:szCs w:val="18"/>
                <w:b w:val="1"/>
                <w:bCs w:val="1"/>
                <w:color w:val="auto"/>
              </w:rPr>
              <w:t>—</w:t>
            </w:r>
          </w:p>
        </w:tc>
        <w:tc>
          <w:tcPr>
            <w:tcW w:w="24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65.5</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5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5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Derivatives</w:t>
            </w:r>
          </w:p>
        </w:tc>
        <w:tc>
          <w:tcPr>
            <w:tcW w:w="5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3540" w:type="dxa"/>
            <w:vAlign w:val="bottom"/>
          </w:tcPr>
          <w:p>
            <w:pPr>
              <w:spacing w:after="0"/>
              <w:rPr>
                <w:sz w:val="20"/>
                <w:szCs w:val="20"/>
                <w:color w:val="auto"/>
              </w:rPr>
            </w:pPr>
            <w:r>
              <w:rPr>
                <w:rFonts w:ascii="Arial" w:cs="Arial" w:eastAsia="Arial" w:hAnsi="Arial"/>
                <w:sz w:val="18"/>
                <w:szCs w:val="18"/>
                <w:color w:val="auto"/>
              </w:rPr>
              <w:t>Net derivative assets (liabilities)</w:t>
            </w:r>
          </w:p>
        </w:tc>
        <w:tc>
          <w:tcPr>
            <w:tcW w:w="5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20" w:type="dxa"/>
            <w:vAlign w:val="bottom"/>
          </w:tcPr>
          <w:p>
            <w:pPr>
              <w:ind w:left="880"/>
              <w:spacing w:after="0"/>
              <w:rPr>
                <w:sz w:val="20"/>
                <w:szCs w:val="20"/>
                <w:color w:val="auto"/>
              </w:rPr>
            </w:pPr>
            <w:r>
              <w:rPr>
                <w:rFonts w:ascii="Arial" w:cs="Arial" w:eastAsia="Arial" w:hAnsi="Arial"/>
                <w:sz w:val="18"/>
                <w:szCs w:val="18"/>
                <w:b w:val="1"/>
                <w:bCs w:val="1"/>
                <w:color w:val="auto"/>
              </w:rPr>
              <w:t>—</w:t>
            </w: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2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spacing w:after="0"/>
              <w:rPr>
                <w:sz w:val="20"/>
                <w:szCs w:val="20"/>
                <w:color w:val="auto"/>
              </w:rPr>
            </w:pPr>
          </w:p>
        </w:tc>
        <w:tc>
          <w:tcPr>
            <w:tcW w:w="1140" w:type="dxa"/>
            <w:vAlign w:val="bottom"/>
          </w:tcPr>
          <w:p>
            <w:pPr>
              <w:ind w:left="900"/>
              <w:spacing w:after="0"/>
              <w:rPr>
                <w:sz w:val="20"/>
                <w:szCs w:val="20"/>
                <w:color w:val="auto"/>
              </w:rPr>
            </w:pPr>
            <w:r>
              <w:rPr>
                <w:rFonts w:ascii="Arial" w:cs="Arial" w:eastAsia="Arial" w:hAnsi="Arial"/>
                <w:sz w:val="18"/>
                <w:szCs w:val="18"/>
                <w:b w:val="1"/>
                <w:bCs w:val="1"/>
                <w:color w:val="auto"/>
              </w:rPr>
              <w:t>—</w:t>
            </w:r>
          </w:p>
        </w:tc>
        <w:tc>
          <w:tcPr>
            <w:tcW w:w="2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8"/>
                <w:szCs w:val="18"/>
                <w:b w:val="1"/>
                <w:bCs w:val="1"/>
                <w:color w:val="auto"/>
              </w:rPr>
              <w:t>0.3</w:t>
            </w:r>
          </w:p>
        </w:tc>
        <w:tc>
          <w:tcPr>
            <w:tcW w:w="0" w:type="dxa"/>
            <w:vAlign w:val="bottom"/>
          </w:tcPr>
          <w:p>
            <w:pPr>
              <w:spacing w:after="0"/>
              <w:rPr>
                <w:sz w:val="1"/>
                <w:szCs w:val="1"/>
                <w:color w:val="auto"/>
              </w:rPr>
            </w:pPr>
          </w:p>
        </w:tc>
      </w:tr>
      <w:tr>
        <w:trPr>
          <w:trHeight w:val="360"/>
        </w:trPr>
        <w:tc>
          <w:tcPr>
            <w:tcW w:w="20" w:type="dxa"/>
            <w:vAlign w:val="bottom"/>
          </w:tcPr>
          <w:p>
            <w:pPr>
              <w:spacing w:after="0"/>
              <w:rPr>
                <w:sz w:val="24"/>
                <w:szCs w:val="24"/>
                <w:color w:val="auto"/>
              </w:rPr>
            </w:pPr>
          </w:p>
        </w:tc>
        <w:tc>
          <w:tcPr>
            <w:tcW w:w="35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700" w:type="dxa"/>
            <w:vAlign w:val="bottom"/>
            <w:tcBorders>
              <w:bottom w:val="single" w:sz="8" w:color="auto"/>
            </w:tcBorders>
            <w:gridSpan w:val="4"/>
          </w:tcPr>
          <w:p>
            <w:pPr>
              <w:jc w:val="center"/>
              <w:ind w:right="17"/>
              <w:spacing w:after="0"/>
              <w:rPr>
                <w:sz w:val="20"/>
                <w:szCs w:val="20"/>
                <w:color w:val="auto"/>
              </w:rPr>
            </w:pPr>
            <w:r>
              <w:rPr>
                <w:rFonts w:ascii="Arial" w:cs="Arial" w:eastAsia="Arial" w:hAnsi="Arial"/>
                <w:sz w:val="14"/>
                <w:szCs w:val="14"/>
                <w:b w:val="1"/>
                <w:bCs w:val="1"/>
                <w:color w:val="auto"/>
                <w:w w:val="91"/>
              </w:rPr>
              <w:t>For the three months ended June 30, 2021</w:t>
            </w:r>
          </w:p>
        </w:tc>
        <w:tc>
          <w:tcPr>
            <w:tcW w:w="24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354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120" w:type="dxa"/>
            <w:vAlign w:val="bottom"/>
          </w:tcPr>
          <w:p>
            <w:pPr>
              <w:jc w:val="center"/>
              <w:ind w:right="57"/>
              <w:spacing w:after="0" w:line="119" w:lineRule="exact"/>
              <w:rPr>
                <w:sz w:val="20"/>
                <w:szCs w:val="20"/>
                <w:color w:val="auto"/>
              </w:rPr>
            </w:pPr>
            <w:r>
              <w:rPr>
                <w:rFonts w:ascii="Arial" w:cs="Arial" w:eastAsia="Arial" w:hAnsi="Arial"/>
                <w:sz w:val="13"/>
                <w:szCs w:val="13"/>
                <w:b w:val="1"/>
                <w:bCs w:val="1"/>
                <w:color w:val="auto"/>
                <w:w w:val="98"/>
              </w:rPr>
              <w:t>Transfers out</w:t>
            </w:r>
          </w:p>
        </w:tc>
        <w:tc>
          <w:tcPr>
            <w:tcW w:w="2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420" w:type="dxa"/>
            <w:vAlign w:val="bottom"/>
            <w:gridSpan w:val="2"/>
          </w:tcPr>
          <w:p>
            <w:pPr>
              <w:jc w:val="center"/>
              <w:ind w:right="360"/>
              <w:spacing w:after="0" w:line="119" w:lineRule="exact"/>
              <w:rPr>
                <w:sz w:val="20"/>
                <w:szCs w:val="20"/>
                <w:color w:val="auto"/>
              </w:rPr>
            </w:pPr>
            <w:r>
              <w:rPr>
                <w:rFonts w:ascii="Arial" w:cs="Arial" w:eastAsia="Arial" w:hAnsi="Arial"/>
                <w:sz w:val="13"/>
                <w:szCs w:val="13"/>
                <w:b w:val="1"/>
                <w:bCs w:val="1"/>
                <w:color w:val="auto"/>
                <w:w w:val="98"/>
              </w:rPr>
              <w:t>Transfers out</w:t>
            </w:r>
          </w:p>
        </w:tc>
        <w:tc>
          <w:tcPr>
            <w:tcW w:w="140" w:type="dxa"/>
            <w:vAlign w:val="bottom"/>
          </w:tcPr>
          <w:p>
            <w:pPr>
              <w:spacing w:after="0"/>
              <w:rPr>
                <w:sz w:val="10"/>
                <w:szCs w:val="10"/>
                <w:color w:val="auto"/>
              </w:rPr>
            </w:pPr>
          </w:p>
        </w:tc>
        <w:tc>
          <w:tcPr>
            <w:tcW w:w="1140" w:type="dxa"/>
            <w:vAlign w:val="bottom"/>
          </w:tcPr>
          <w:p>
            <w:pPr>
              <w:jc w:val="center"/>
              <w:ind w:right="57"/>
              <w:spacing w:after="0" w:line="119" w:lineRule="exact"/>
              <w:rPr>
                <w:sz w:val="20"/>
                <w:szCs w:val="20"/>
                <w:color w:val="auto"/>
              </w:rPr>
            </w:pPr>
            <w:r>
              <w:rPr>
                <w:rFonts w:ascii="Arial" w:cs="Arial" w:eastAsia="Arial" w:hAnsi="Arial"/>
                <w:sz w:val="13"/>
                <w:szCs w:val="13"/>
                <w:b w:val="1"/>
                <w:bCs w:val="1"/>
                <w:color w:val="auto"/>
              </w:rPr>
              <w:t>Transfers out</w:t>
            </w:r>
          </w:p>
        </w:tc>
        <w:tc>
          <w:tcPr>
            <w:tcW w:w="2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120" w:type="dxa"/>
            <w:vAlign w:val="bottom"/>
          </w:tcPr>
          <w:p>
            <w:pPr>
              <w:jc w:val="center"/>
              <w:ind w:right="57"/>
              <w:spacing w:after="0" w:line="119" w:lineRule="exact"/>
              <w:rPr>
                <w:sz w:val="20"/>
                <w:szCs w:val="20"/>
                <w:color w:val="auto"/>
              </w:rPr>
            </w:pPr>
            <w:r>
              <w:rPr>
                <w:rFonts w:ascii="Arial" w:cs="Arial" w:eastAsia="Arial" w:hAnsi="Arial"/>
                <w:sz w:val="13"/>
                <w:szCs w:val="13"/>
                <w:b w:val="1"/>
                <w:bCs w:val="1"/>
                <w:color w:val="auto"/>
                <w:w w:val="98"/>
              </w:rPr>
              <w:t>Transfers out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20" w:type="dxa"/>
            <w:vAlign w:val="bottom"/>
          </w:tcPr>
          <w:p>
            <w:pPr>
              <w:jc w:val="center"/>
              <w:ind w:right="37"/>
              <w:spacing w:after="0" w:line="149" w:lineRule="exact"/>
              <w:rPr>
                <w:sz w:val="20"/>
                <w:szCs w:val="20"/>
                <w:color w:val="auto"/>
              </w:rPr>
            </w:pPr>
            <w:r>
              <w:rPr>
                <w:rFonts w:ascii="Arial" w:cs="Arial" w:eastAsia="Arial" w:hAnsi="Arial"/>
                <w:sz w:val="14"/>
                <w:szCs w:val="14"/>
                <w:b w:val="1"/>
                <w:bCs w:val="1"/>
                <w:color w:val="auto"/>
                <w:w w:val="93"/>
              </w:rPr>
              <w:t>of Level 1 into</w:t>
            </w: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2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3"/>
              </w:rPr>
              <w:t>of Level 2 into</w:t>
            </w:r>
          </w:p>
        </w:tc>
        <w:tc>
          <w:tcPr>
            <w:tcW w:w="140" w:type="dxa"/>
            <w:vAlign w:val="bottom"/>
          </w:tcPr>
          <w:p>
            <w:pPr>
              <w:spacing w:after="0"/>
              <w:rPr>
                <w:sz w:val="12"/>
                <w:szCs w:val="12"/>
                <w:color w:val="auto"/>
              </w:rPr>
            </w:pPr>
          </w:p>
        </w:tc>
        <w:tc>
          <w:tcPr>
            <w:tcW w:w="1140" w:type="dxa"/>
            <w:vAlign w:val="bottom"/>
          </w:tcPr>
          <w:p>
            <w:pPr>
              <w:jc w:val="center"/>
              <w:ind w:right="57"/>
              <w:spacing w:after="0" w:line="149" w:lineRule="exact"/>
              <w:rPr>
                <w:sz w:val="20"/>
                <w:szCs w:val="20"/>
                <w:color w:val="auto"/>
              </w:rPr>
            </w:pPr>
            <w:r>
              <w:rPr>
                <w:rFonts w:ascii="Arial" w:cs="Arial" w:eastAsia="Arial" w:hAnsi="Arial"/>
                <w:sz w:val="14"/>
                <w:szCs w:val="14"/>
                <w:b w:val="1"/>
                <w:bCs w:val="1"/>
                <w:color w:val="auto"/>
                <w:w w:val="93"/>
              </w:rPr>
              <w:t>of Level 3 into</w:t>
            </w: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20" w:type="dxa"/>
            <w:vAlign w:val="bottom"/>
          </w:tcPr>
          <w:p>
            <w:pPr>
              <w:jc w:val="center"/>
              <w:ind w:right="77"/>
              <w:spacing w:after="0" w:line="149" w:lineRule="exact"/>
              <w:rPr>
                <w:sz w:val="20"/>
                <w:szCs w:val="20"/>
                <w:color w:val="auto"/>
              </w:rPr>
            </w:pPr>
            <w:r>
              <w:rPr>
                <w:rFonts w:ascii="Arial" w:cs="Arial" w:eastAsia="Arial" w:hAnsi="Arial"/>
                <w:sz w:val="14"/>
                <w:szCs w:val="14"/>
                <w:b w:val="1"/>
                <w:bCs w:val="1"/>
                <w:color w:val="auto"/>
                <w:w w:val="93"/>
              </w:rPr>
              <w:t>of Level 3 into</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35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tcPr>
          <w:p>
            <w:pPr>
              <w:jc w:val="center"/>
              <w:ind w:right="37"/>
              <w:spacing w:after="0"/>
              <w:rPr>
                <w:sz w:val="20"/>
                <w:szCs w:val="20"/>
                <w:color w:val="auto"/>
              </w:rPr>
            </w:pPr>
            <w:r>
              <w:rPr>
                <w:rFonts w:ascii="Arial" w:cs="Arial" w:eastAsia="Arial" w:hAnsi="Arial"/>
                <w:sz w:val="14"/>
                <w:szCs w:val="14"/>
                <w:b w:val="1"/>
                <w:bCs w:val="1"/>
                <w:color w:val="auto"/>
                <w:w w:val="92"/>
              </w:rPr>
              <w:t>Level 3</w:t>
            </w:r>
          </w:p>
        </w:tc>
        <w:tc>
          <w:tcPr>
            <w:tcW w:w="2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1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Level 3</w:t>
            </w:r>
          </w:p>
        </w:tc>
        <w:tc>
          <w:tcPr>
            <w:tcW w:w="2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tcPr>
          <w:p>
            <w:pPr>
              <w:jc w:val="center"/>
              <w:ind w:right="57"/>
              <w:spacing w:after="0"/>
              <w:rPr>
                <w:sz w:val="20"/>
                <w:szCs w:val="20"/>
                <w:color w:val="auto"/>
              </w:rPr>
            </w:pPr>
            <w:r>
              <w:rPr>
                <w:rFonts w:ascii="Arial" w:cs="Arial" w:eastAsia="Arial" w:hAnsi="Arial"/>
                <w:sz w:val="14"/>
                <w:szCs w:val="14"/>
                <w:b w:val="1"/>
                <w:bCs w:val="1"/>
                <w:color w:val="auto"/>
                <w:w w:val="92"/>
              </w:rPr>
              <w:t>Level 1</w:t>
            </w:r>
          </w:p>
        </w:tc>
        <w:tc>
          <w:tcPr>
            <w:tcW w:w="24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tcPr>
          <w:p>
            <w:pPr>
              <w:jc w:val="center"/>
              <w:ind w:right="77"/>
              <w:spacing w:after="0"/>
              <w:rPr>
                <w:sz w:val="20"/>
                <w:szCs w:val="20"/>
                <w:color w:val="auto"/>
              </w:rPr>
            </w:pPr>
            <w:r>
              <w:rPr>
                <w:rFonts w:ascii="Arial" w:cs="Arial" w:eastAsia="Arial" w:hAnsi="Arial"/>
                <w:sz w:val="14"/>
                <w:szCs w:val="14"/>
                <w:b w:val="1"/>
                <w:bCs w:val="1"/>
                <w:color w:val="auto"/>
                <w:w w:val="92"/>
              </w:rPr>
              <w:t>Level 2</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35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700" w:type="dxa"/>
            <w:vAlign w:val="bottom"/>
            <w:gridSpan w:val="4"/>
          </w:tcPr>
          <w:p>
            <w:pPr>
              <w:jc w:val="center"/>
              <w:ind w:right="17"/>
              <w:spacing w:after="0" w:line="129" w:lineRule="exact"/>
              <w:rPr>
                <w:sz w:val="20"/>
                <w:szCs w:val="20"/>
                <w:color w:val="auto"/>
              </w:rPr>
            </w:pPr>
            <w:r>
              <w:rPr>
                <w:rFonts w:ascii="Arial" w:cs="Arial" w:eastAsia="Arial" w:hAnsi="Arial"/>
                <w:sz w:val="14"/>
                <w:szCs w:val="14"/>
                <w:i w:val="1"/>
                <w:iCs w:val="1"/>
                <w:color w:val="auto"/>
              </w:rPr>
              <w:t>(in millions)</w:t>
            </w:r>
          </w:p>
        </w:tc>
        <w:tc>
          <w:tcPr>
            <w:tcW w:w="2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5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40" w:type="dxa"/>
            <w:vAlign w:val="bottom"/>
          </w:tcPr>
          <w:p>
            <w:pPr>
              <w:spacing w:after="0"/>
              <w:rPr>
                <w:sz w:val="20"/>
                <w:szCs w:val="20"/>
                <w:color w:val="auto"/>
              </w:rPr>
            </w:pPr>
            <w:r>
              <w:rPr>
                <w:rFonts w:ascii="Arial" w:cs="Arial" w:eastAsia="Arial" w:hAnsi="Arial"/>
                <w:sz w:val="18"/>
                <w:szCs w:val="18"/>
                <w:color w:val="auto"/>
              </w:rPr>
              <w:t>Fixed maturities, available-for-sale:</w:t>
            </w:r>
          </w:p>
        </w:tc>
        <w:tc>
          <w:tcPr>
            <w:tcW w:w="5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40" w:type="dxa"/>
            <w:vAlign w:val="bottom"/>
            <w:shd w:val="clear" w:color="auto" w:fill="CCEEFF"/>
          </w:tcPr>
          <w:p>
            <w:pPr>
              <w:ind w:left="100"/>
              <w:spacing w:after="0"/>
              <w:rPr>
                <w:sz w:val="20"/>
                <w:szCs w:val="20"/>
                <w:color w:val="auto"/>
              </w:rPr>
            </w:pPr>
            <w:r>
              <w:rPr>
                <w:rFonts w:ascii="Arial" w:cs="Arial" w:eastAsia="Arial" w:hAnsi="Arial"/>
                <w:sz w:val="18"/>
                <w:szCs w:val="18"/>
                <w:color w:val="auto"/>
              </w:rPr>
              <w:t>Corporate</w:t>
            </w:r>
          </w:p>
        </w:tc>
        <w:tc>
          <w:tcPr>
            <w:tcW w:w="6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120" w:type="dxa"/>
            <w:vAlign w:val="bottom"/>
            <w:shd w:val="clear" w:color="auto" w:fill="CCEEFF"/>
          </w:tcPr>
          <w:p>
            <w:pPr>
              <w:ind w:left="880"/>
              <w:spacing w:after="0"/>
              <w:rPr>
                <w:sz w:val="20"/>
                <w:szCs w:val="20"/>
                <w:color w:val="auto"/>
              </w:rPr>
            </w:pPr>
            <w:r>
              <w:rPr>
                <w:rFonts w:ascii="Arial" w:cs="Arial" w:eastAsia="Arial" w:hAnsi="Arial"/>
                <w:sz w:val="18"/>
                <w:szCs w:val="18"/>
                <w:color w:val="auto"/>
              </w:rPr>
              <w:t>—</w:t>
            </w:r>
          </w:p>
        </w:tc>
        <w:tc>
          <w:tcPr>
            <w:tcW w:w="3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80.3</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shd w:val="clear" w:color="auto" w:fill="CCEEFF"/>
          </w:tcPr>
          <w:p>
            <w:pPr>
              <w:ind w:left="900"/>
              <w:spacing w:after="0"/>
              <w:rPr>
                <w:sz w:val="20"/>
                <w:szCs w:val="20"/>
                <w:color w:val="auto"/>
              </w:rPr>
            </w:pPr>
            <w:r>
              <w:rPr>
                <w:rFonts w:ascii="Arial" w:cs="Arial" w:eastAsia="Arial" w:hAnsi="Arial"/>
                <w:sz w:val="18"/>
                <w:szCs w:val="18"/>
                <w:color w:val="auto"/>
              </w:rPr>
              <w:t>—</w:t>
            </w:r>
          </w:p>
        </w:tc>
        <w:tc>
          <w:tcPr>
            <w:tcW w:w="4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40" w:type="dxa"/>
            <w:vAlign w:val="bottom"/>
            <w:tcBorders>
              <w:bottom w:val="single" w:sz="8" w:color="CCEEFF"/>
            </w:tcBorders>
          </w:tcPr>
          <w:p>
            <w:pPr>
              <w:ind w:left="100"/>
              <w:spacing w:after="0"/>
              <w:rPr>
                <w:sz w:val="20"/>
                <w:szCs w:val="20"/>
                <w:color w:val="auto"/>
              </w:rPr>
            </w:pPr>
            <w:r>
              <w:rPr>
                <w:rFonts w:ascii="Arial" w:cs="Arial" w:eastAsia="Arial" w:hAnsi="Arial"/>
                <w:sz w:val="18"/>
                <w:szCs w:val="18"/>
                <w:color w:val="auto"/>
              </w:rPr>
              <w:t>Collateralized debt obligations</w:t>
            </w:r>
          </w:p>
        </w:tc>
        <w:tc>
          <w:tcPr>
            <w:tcW w:w="52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ind w:left="88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36.3</w:t>
            </w:r>
          </w:p>
        </w:tc>
        <w:tc>
          <w:tcPr>
            <w:tcW w:w="26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ind w:left="90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225.4</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540" w:type="dxa"/>
            <w:vAlign w:val="bottom"/>
            <w:shd w:val="clear" w:color="auto" w:fill="CCEEFF"/>
          </w:tcPr>
          <w:p>
            <w:pPr>
              <w:spacing w:after="0"/>
              <w:rPr>
                <w:sz w:val="20"/>
                <w:szCs w:val="20"/>
                <w:color w:val="auto"/>
              </w:rPr>
            </w:pPr>
            <w:r>
              <w:rPr>
                <w:rFonts w:ascii="Arial" w:cs="Arial" w:eastAsia="Arial" w:hAnsi="Arial"/>
                <w:sz w:val="18"/>
                <w:szCs w:val="18"/>
                <w:color w:val="auto"/>
              </w:rPr>
              <w:t>Total fixed maturities, available-for-sale</w:t>
            </w:r>
          </w:p>
        </w:tc>
        <w:tc>
          <w:tcPr>
            <w:tcW w:w="5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20" w:type="dxa"/>
            <w:vAlign w:val="bottom"/>
            <w:shd w:val="clear" w:color="auto" w:fill="CCEEFF"/>
          </w:tcPr>
          <w:p>
            <w:pPr>
              <w:ind w:left="88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116.6</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shd w:val="clear" w:color="auto" w:fill="CCEEFF"/>
          </w:tcPr>
          <w:p>
            <w:pPr>
              <w:ind w:left="9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225.4</w:t>
            </w:r>
          </w:p>
        </w:tc>
        <w:tc>
          <w:tcPr>
            <w:tcW w:w="0" w:type="dxa"/>
            <w:vAlign w:val="bottom"/>
          </w:tcPr>
          <w:p>
            <w:pPr>
              <w:spacing w:after="0"/>
              <w:rPr>
                <w:sz w:val="1"/>
                <w:szCs w:val="1"/>
                <w:color w:val="auto"/>
              </w:rPr>
            </w:pPr>
          </w:p>
        </w:tc>
      </w:tr>
      <w:tr>
        <w:trPr>
          <w:trHeight w:val="378"/>
        </w:trPr>
        <w:tc>
          <w:tcPr>
            <w:tcW w:w="20" w:type="dxa"/>
            <w:vAlign w:val="bottom"/>
          </w:tcPr>
          <w:p>
            <w:pPr>
              <w:spacing w:after="0"/>
              <w:rPr>
                <w:sz w:val="24"/>
                <w:szCs w:val="24"/>
                <w:color w:val="auto"/>
              </w:rPr>
            </w:pPr>
          </w:p>
        </w:tc>
        <w:tc>
          <w:tcPr>
            <w:tcW w:w="35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70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1"/>
              </w:rPr>
              <w:t>For the six months ended June 30, 2022</w:t>
            </w:r>
          </w:p>
        </w:tc>
        <w:tc>
          <w:tcPr>
            <w:tcW w:w="24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354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120" w:type="dxa"/>
            <w:vAlign w:val="bottom"/>
          </w:tcPr>
          <w:p>
            <w:pPr>
              <w:jc w:val="center"/>
              <w:ind w:right="57"/>
              <w:spacing w:after="0" w:line="119" w:lineRule="exact"/>
              <w:rPr>
                <w:sz w:val="20"/>
                <w:szCs w:val="20"/>
                <w:color w:val="auto"/>
              </w:rPr>
            </w:pPr>
            <w:r>
              <w:rPr>
                <w:rFonts w:ascii="Arial" w:cs="Arial" w:eastAsia="Arial" w:hAnsi="Arial"/>
                <w:sz w:val="13"/>
                <w:szCs w:val="13"/>
                <w:b w:val="1"/>
                <w:bCs w:val="1"/>
                <w:color w:val="auto"/>
                <w:w w:val="98"/>
              </w:rPr>
              <w:t>Transfers out</w:t>
            </w:r>
          </w:p>
        </w:tc>
        <w:tc>
          <w:tcPr>
            <w:tcW w:w="2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420" w:type="dxa"/>
            <w:vAlign w:val="bottom"/>
            <w:gridSpan w:val="2"/>
          </w:tcPr>
          <w:p>
            <w:pPr>
              <w:jc w:val="center"/>
              <w:ind w:right="360"/>
              <w:spacing w:after="0" w:line="119" w:lineRule="exact"/>
              <w:rPr>
                <w:sz w:val="20"/>
                <w:szCs w:val="20"/>
                <w:color w:val="auto"/>
              </w:rPr>
            </w:pPr>
            <w:r>
              <w:rPr>
                <w:rFonts w:ascii="Arial" w:cs="Arial" w:eastAsia="Arial" w:hAnsi="Arial"/>
                <w:sz w:val="13"/>
                <w:szCs w:val="13"/>
                <w:b w:val="1"/>
                <w:bCs w:val="1"/>
                <w:color w:val="auto"/>
                <w:w w:val="98"/>
              </w:rPr>
              <w:t>Transfers out</w:t>
            </w:r>
          </w:p>
        </w:tc>
        <w:tc>
          <w:tcPr>
            <w:tcW w:w="140" w:type="dxa"/>
            <w:vAlign w:val="bottom"/>
          </w:tcPr>
          <w:p>
            <w:pPr>
              <w:spacing w:after="0"/>
              <w:rPr>
                <w:sz w:val="10"/>
                <w:szCs w:val="10"/>
                <w:color w:val="auto"/>
              </w:rPr>
            </w:pPr>
          </w:p>
        </w:tc>
        <w:tc>
          <w:tcPr>
            <w:tcW w:w="1140" w:type="dxa"/>
            <w:vAlign w:val="bottom"/>
          </w:tcPr>
          <w:p>
            <w:pPr>
              <w:jc w:val="center"/>
              <w:ind w:right="57"/>
              <w:spacing w:after="0" w:line="119" w:lineRule="exact"/>
              <w:rPr>
                <w:sz w:val="20"/>
                <w:szCs w:val="20"/>
                <w:color w:val="auto"/>
              </w:rPr>
            </w:pPr>
            <w:r>
              <w:rPr>
                <w:rFonts w:ascii="Arial" w:cs="Arial" w:eastAsia="Arial" w:hAnsi="Arial"/>
                <w:sz w:val="13"/>
                <w:szCs w:val="13"/>
                <w:b w:val="1"/>
                <w:bCs w:val="1"/>
                <w:color w:val="auto"/>
              </w:rPr>
              <w:t>Transfers out</w:t>
            </w:r>
          </w:p>
        </w:tc>
        <w:tc>
          <w:tcPr>
            <w:tcW w:w="2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120" w:type="dxa"/>
            <w:vAlign w:val="bottom"/>
          </w:tcPr>
          <w:p>
            <w:pPr>
              <w:jc w:val="center"/>
              <w:ind w:right="57"/>
              <w:spacing w:after="0" w:line="119" w:lineRule="exact"/>
              <w:rPr>
                <w:sz w:val="20"/>
                <w:szCs w:val="20"/>
                <w:color w:val="auto"/>
              </w:rPr>
            </w:pPr>
            <w:r>
              <w:rPr>
                <w:rFonts w:ascii="Arial" w:cs="Arial" w:eastAsia="Arial" w:hAnsi="Arial"/>
                <w:sz w:val="13"/>
                <w:szCs w:val="13"/>
                <w:b w:val="1"/>
                <w:bCs w:val="1"/>
                <w:color w:val="auto"/>
                <w:w w:val="98"/>
              </w:rPr>
              <w:t>Transfers out</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5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20" w:type="dxa"/>
            <w:vAlign w:val="bottom"/>
          </w:tcPr>
          <w:p>
            <w:pPr>
              <w:jc w:val="center"/>
              <w:ind w:right="37"/>
              <w:spacing w:after="0" w:line="149" w:lineRule="exact"/>
              <w:rPr>
                <w:sz w:val="20"/>
                <w:szCs w:val="20"/>
                <w:color w:val="auto"/>
              </w:rPr>
            </w:pPr>
            <w:r>
              <w:rPr>
                <w:rFonts w:ascii="Arial" w:cs="Arial" w:eastAsia="Arial" w:hAnsi="Arial"/>
                <w:sz w:val="14"/>
                <w:szCs w:val="14"/>
                <w:b w:val="1"/>
                <w:bCs w:val="1"/>
                <w:color w:val="auto"/>
                <w:w w:val="93"/>
              </w:rPr>
              <w:t>of Level 1 into</w:t>
            </w: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2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3"/>
              </w:rPr>
              <w:t>of Level 2 into</w:t>
            </w:r>
          </w:p>
        </w:tc>
        <w:tc>
          <w:tcPr>
            <w:tcW w:w="140" w:type="dxa"/>
            <w:vAlign w:val="bottom"/>
          </w:tcPr>
          <w:p>
            <w:pPr>
              <w:spacing w:after="0"/>
              <w:rPr>
                <w:sz w:val="12"/>
                <w:szCs w:val="12"/>
                <w:color w:val="auto"/>
              </w:rPr>
            </w:pPr>
          </w:p>
        </w:tc>
        <w:tc>
          <w:tcPr>
            <w:tcW w:w="1140" w:type="dxa"/>
            <w:vAlign w:val="bottom"/>
          </w:tcPr>
          <w:p>
            <w:pPr>
              <w:jc w:val="center"/>
              <w:ind w:right="57"/>
              <w:spacing w:after="0" w:line="149" w:lineRule="exact"/>
              <w:rPr>
                <w:sz w:val="20"/>
                <w:szCs w:val="20"/>
                <w:color w:val="auto"/>
              </w:rPr>
            </w:pPr>
            <w:r>
              <w:rPr>
                <w:rFonts w:ascii="Arial" w:cs="Arial" w:eastAsia="Arial" w:hAnsi="Arial"/>
                <w:sz w:val="14"/>
                <w:szCs w:val="14"/>
                <w:b w:val="1"/>
                <w:bCs w:val="1"/>
                <w:color w:val="auto"/>
                <w:w w:val="93"/>
              </w:rPr>
              <w:t>of Level 3 into</w:t>
            </w: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20" w:type="dxa"/>
            <w:vAlign w:val="bottom"/>
          </w:tcPr>
          <w:p>
            <w:pPr>
              <w:jc w:val="center"/>
              <w:ind w:right="77"/>
              <w:spacing w:after="0" w:line="149" w:lineRule="exact"/>
              <w:rPr>
                <w:sz w:val="20"/>
                <w:szCs w:val="20"/>
                <w:color w:val="auto"/>
              </w:rPr>
            </w:pPr>
            <w:r>
              <w:rPr>
                <w:rFonts w:ascii="Arial" w:cs="Arial" w:eastAsia="Arial" w:hAnsi="Arial"/>
                <w:sz w:val="14"/>
                <w:szCs w:val="14"/>
                <w:b w:val="1"/>
                <w:bCs w:val="1"/>
                <w:color w:val="auto"/>
                <w:w w:val="93"/>
              </w:rPr>
              <w:t>of Level 3 into</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35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tcPr>
          <w:p>
            <w:pPr>
              <w:jc w:val="center"/>
              <w:ind w:right="37"/>
              <w:spacing w:after="0"/>
              <w:rPr>
                <w:sz w:val="20"/>
                <w:szCs w:val="20"/>
                <w:color w:val="auto"/>
              </w:rPr>
            </w:pPr>
            <w:r>
              <w:rPr>
                <w:rFonts w:ascii="Arial" w:cs="Arial" w:eastAsia="Arial" w:hAnsi="Arial"/>
                <w:sz w:val="14"/>
                <w:szCs w:val="14"/>
                <w:b w:val="1"/>
                <w:bCs w:val="1"/>
                <w:color w:val="auto"/>
                <w:w w:val="92"/>
              </w:rPr>
              <w:t>Level 3</w:t>
            </w:r>
          </w:p>
        </w:tc>
        <w:tc>
          <w:tcPr>
            <w:tcW w:w="2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1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Level 3</w:t>
            </w:r>
          </w:p>
        </w:tc>
        <w:tc>
          <w:tcPr>
            <w:tcW w:w="2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tcPr>
          <w:p>
            <w:pPr>
              <w:jc w:val="center"/>
              <w:ind w:right="57"/>
              <w:spacing w:after="0"/>
              <w:rPr>
                <w:sz w:val="20"/>
                <w:szCs w:val="20"/>
                <w:color w:val="auto"/>
              </w:rPr>
            </w:pPr>
            <w:r>
              <w:rPr>
                <w:rFonts w:ascii="Arial" w:cs="Arial" w:eastAsia="Arial" w:hAnsi="Arial"/>
                <w:sz w:val="14"/>
                <w:szCs w:val="14"/>
                <w:b w:val="1"/>
                <w:bCs w:val="1"/>
                <w:color w:val="auto"/>
                <w:w w:val="92"/>
              </w:rPr>
              <w:t>Level 1</w:t>
            </w:r>
          </w:p>
        </w:tc>
        <w:tc>
          <w:tcPr>
            <w:tcW w:w="24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tcPr>
          <w:p>
            <w:pPr>
              <w:jc w:val="center"/>
              <w:ind w:right="77"/>
              <w:spacing w:after="0"/>
              <w:rPr>
                <w:sz w:val="20"/>
                <w:szCs w:val="20"/>
                <w:color w:val="auto"/>
              </w:rPr>
            </w:pPr>
            <w:r>
              <w:rPr>
                <w:rFonts w:ascii="Arial" w:cs="Arial" w:eastAsia="Arial" w:hAnsi="Arial"/>
                <w:sz w:val="14"/>
                <w:szCs w:val="14"/>
                <w:b w:val="1"/>
                <w:bCs w:val="1"/>
                <w:color w:val="auto"/>
                <w:w w:val="92"/>
              </w:rPr>
              <w:t>Level 2</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35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700" w:type="dxa"/>
            <w:vAlign w:val="bottom"/>
            <w:gridSpan w:val="4"/>
          </w:tcPr>
          <w:p>
            <w:pPr>
              <w:jc w:val="center"/>
              <w:ind w:right="17"/>
              <w:spacing w:after="0" w:line="129" w:lineRule="exact"/>
              <w:rPr>
                <w:sz w:val="20"/>
                <w:szCs w:val="20"/>
                <w:color w:val="auto"/>
              </w:rPr>
            </w:pPr>
            <w:r>
              <w:rPr>
                <w:rFonts w:ascii="Arial" w:cs="Arial" w:eastAsia="Arial" w:hAnsi="Arial"/>
                <w:sz w:val="14"/>
                <w:szCs w:val="14"/>
                <w:i w:val="1"/>
                <w:iCs w:val="1"/>
                <w:color w:val="auto"/>
              </w:rPr>
              <w:t>(in millions)</w:t>
            </w:r>
          </w:p>
        </w:tc>
        <w:tc>
          <w:tcPr>
            <w:tcW w:w="2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5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40" w:type="dxa"/>
            <w:vAlign w:val="bottom"/>
          </w:tcPr>
          <w:p>
            <w:pPr>
              <w:spacing w:after="0"/>
              <w:rPr>
                <w:sz w:val="20"/>
                <w:szCs w:val="20"/>
                <w:color w:val="auto"/>
              </w:rPr>
            </w:pPr>
            <w:r>
              <w:rPr>
                <w:rFonts w:ascii="Arial" w:cs="Arial" w:eastAsia="Arial" w:hAnsi="Arial"/>
                <w:sz w:val="18"/>
                <w:szCs w:val="18"/>
                <w:color w:val="auto"/>
              </w:rPr>
              <w:t>Fixed maturities, available-for-sale:</w:t>
            </w:r>
          </w:p>
        </w:tc>
        <w:tc>
          <w:tcPr>
            <w:tcW w:w="5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40" w:type="dxa"/>
            <w:vAlign w:val="bottom"/>
            <w:shd w:val="clear" w:color="auto" w:fill="CCEEFF"/>
          </w:tcPr>
          <w:p>
            <w:pPr>
              <w:ind w:left="100"/>
              <w:spacing w:after="0"/>
              <w:rPr>
                <w:sz w:val="20"/>
                <w:szCs w:val="20"/>
                <w:color w:val="auto"/>
              </w:rPr>
            </w:pPr>
            <w:r>
              <w:rPr>
                <w:rFonts w:ascii="Arial" w:cs="Arial" w:eastAsia="Arial" w:hAnsi="Arial"/>
                <w:sz w:val="18"/>
                <w:szCs w:val="18"/>
                <w:color w:val="auto"/>
              </w:rPr>
              <w:t>States and political subdivisions</w:t>
            </w:r>
          </w:p>
        </w:tc>
        <w:tc>
          <w:tcPr>
            <w:tcW w:w="6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w:t>
            </w:r>
          </w:p>
        </w:tc>
        <w:tc>
          <w:tcPr>
            <w:tcW w:w="1120" w:type="dxa"/>
            <w:vAlign w:val="bottom"/>
            <w:shd w:val="clear" w:color="auto" w:fill="CCEEFF"/>
          </w:tcPr>
          <w:p>
            <w:pPr>
              <w:ind w:left="880"/>
              <w:spacing w:after="0"/>
              <w:rPr>
                <w:sz w:val="20"/>
                <w:szCs w:val="20"/>
                <w:color w:val="auto"/>
              </w:rPr>
            </w:pPr>
            <w:r>
              <w:rPr>
                <w:rFonts w:ascii="Arial" w:cs="Arial" w:eastAsia="Arial" w:hAnsi="Arial"/>
                <w:sz w:val="18"/>
                <w:szCs w:val="18"/>
                <w:b w:val="1"/>
                <w:bCs w:val="1"/>
                <w:color w:val="auto"/>
              </w:rPr>
              <w:t>—</w:t>
            </w:r>
          </w:p>
        </w:tc>
        <w:tc>
          <w:tcPr>
            <w:tcW w:w="3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12.0</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140" w:type="dxa"/>
            <w:vAlign w:val="bottom"/>
            <w:shd w:val="clear" w:color="auto" w:fill="CCEEFF"/>
          </w:tcPr>
          <w:p>
            <w:pPr>
              <w:ind w:left="900"/>
              <w:spacing w:after="0"/>
              <w:rPr>
                <w:sz w:val="20"/>
                <w:szCs w:val="20"/>
                <w:color w:val="auto"/>
              </w:rPr>
            </w:pPr>
            <w:r>
              <w:rPr>
                <w:rFonts w:ascii="Arial" w:cs="Arial" w:eastAsia="Arial" w:hAnsi="Arial"/>
                <w:sz w:val="18"/>
                <w:szCs w:val="18"/>
                <w:b w:val="1"/>
                <w:bCs w:val="1"/>
                <w:color w:val="auto"/>
              </w:rPr>
              <w:t>—</w:t>
            </w:r>
          </w:p>
        </w:tc>
        <w:tc>
          <w:tcPr>
            <w:tcW w:w="4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40" w:type="dxa"/>
            <w:vAlign w:val="bottom"/>
          </w:tcPr>
          <w:p>
            <w:pPr>
              <w:ind w:left="100"/>
              <w:spacing w:after="0"/>
              <w:rPr>
                <w:sz w:val="20"/>
                <w:szCs w:val="20"/>
                <w:color w:val="auto"/>
              </w:rPr>
            </w:pPr>
            <w:r>
              <w:rPr>
                <w:rFonts w:ascii="Arial" w:cs="Arial" w:eastAsia="Arial" w:hAnsi="Arial"/>
                <w:sz w:val="18"/>
                <w:szCs w:val="18"/>
                <w:color w:val="auto"/>
              </w:rPr>
              <w:t>Corporate</w:t>
            </w:r>
          </w:p>
        </w:tc>
        <w:tc>
          <w:tcPr>
            <w:tcW w:w="5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20" w:type="dxa"/>
            <w:vAlign w:val="bottom"/>
          </w:tcPr>
          <w:p>
            <w:pPr>
              <w:ind w:left="880"/>
              <w:spacing w:after="0"/>
              <w:rPr>
                <w:sz w:val="20"/>
                <w:szCs w:val="20"/>
                <w:color w:val="auto"/>
              </w:rPr>
            </w:pPr>
            <w:r>
              <w:rPr>
                <w:rFonts w:ascii="Arial" w:cs="Arial" w:eastAsia="Arial" w:hAnsi="Arial"/>
                <w:sz w:val="18"/>
                <w:szCs w:val="18"/>
                <w:b w:val="1"/>
                <w:bCs w:val="1"/>
                <w:color w:val="auto"/>
              </w:rPr>
              <w:t>—</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Arial" w:cs="Arial" w:eastAsia="Arial" w:hAnsi="Arial"/>
                <w:sz w:val="18"/>
                <w:szCs w:val="18"/>
                <w:b w:val="1"/>
                <w:bCs w:val="1"/>
                <w:color w:val="auto"/>
              </w:rPr>
              <w:t>176.3</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tcPr>
          <w:p>
            <w:pPr>
              <w:ind w:left="900"/>
              <w:spacing w:after="0"/>
              <w:rPr>
                <w:sz w:val="20"/>
                <w:szCs w:val="20"/>
                <w:color w:val="auto"/>
              </w:rPr>
            </w:pPr>
            <w:r>
              <w:rPr>
                <w:rFonts w:ascii="Arial" w:cs="Arial" w:eastAsia="Arial" w:hAnsi="Arial"/>
                <w:sz w:val="18"/>
                <w:szCs w:val="18"/>
                <w:b w:val="1"/>
                <w:bCs w:val="1"/>
                <w:color w:val="auto"/>
              </w:rPr>
              <w:t>—</w:t>
            </w: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40" w:type="dxa"/>
            <w:vAlign w:val="bottom"/>
            <w:shd w:val="clear" w:color="auto" w:fill="CCEEFF"/>
          </w:tcPr>
          <w:p>
            <w:pPr>
              <w:ind w:left="100"/>
              <w:spacing w:after="0"/>
              <w:rPr>
                <w:sz w:val="20"/>
                <w:szCs w:val="20"/>
                <w:color w:val="auto"/>
              </w:rPr>
            </w:pPr>
            <w:r>
              <w:rPr>
                <w:rFonts w:ascii="Arial" w:cs="Arial" w:eastAsia="Arial" w:hAnsi="Arial"/>
                <w:sz w:val="18"/>
                <w:szCs w:val="18"/>
                <w:color w:val="auto"/>
              </w:rPr>
              <w:t>Commercial mortgage-backed securities</w:t>
            </w:r>
          </w:p>
        </w:tc>
        <w:tc>
          <w:tcPr>
            <w:tcW w:w="5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20" w:type="dxa"/>
            <w:vAlign w:val="bottom"/>
            <w:shd w:val="clear" w:color="auto" w:fill="CCEEFF"/>
          </w:tcPr>
          <w:p>
            <w:pPr>
              <w:ind w:left="880"/>
              <w:spacing w:after="0"/>
              <w:rPr>
                <w:sz w:val="20"/>
                <w:szCs w:val="20"/>
                <w:color w:val="auto"/>
              </w:rPr>
            </w:pPr>
            <w:r>
              <w:rPr>
                <w:rFonts w:ascii="Arial" w:cs="Arial" w:eastAsia="Arial" w:hAnsi="Arial"/>
                <w:sz w:val="18"/>
                <w:szCs w:val="18"/>
                <w:b w:val="1"/>
                <w:bCs w:val="1"/>
                <w:color w:val="auto"/>
              </w:rPr>
              <w:t>—</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w:t>
            </w:r>
          </w:p>
        </w:tc>
        <w:tc>
          <w:tcPr>
            <w:tcW w:w="140" w:type="dxa"/>
            <w:vAlign w:val="bottom"/>
            <w:shd w:val="clear" w:color="auto" w:fill="CCEEFF"/>
          </w:tcPr>
          <w:p>
            <w:pPr>
              <w:spacing w:after="0"/>
              <w:rPr>
                <w:sz w:val="18"/>
                <w:szCs w:val="18"/>
                <w:color w:val="auto"/>
              </w:rPr>
            </w:pPr>
          </w:p>
        </w:tc>
        <w:tc>
          <w:tcPr>
            <w:tcW w:w="1140" w:type="dxa"/>
            <w:vAlign w:val="bottom"/>
            <w:shd w:val="clear" w:color="auto" w:fill="CCEEFF"/>
          </w:tcPr>
          <w:p>
            <w:pPr>
              <w:ind w:left="900"/>
              <w:spacing w:after="0"/>
              <w:rPr>
                <w:sz w:val="20"/>
                <w:szCs w:val="20"/>
                <w:color w:val="auto"/>
              </w:rPr>
            </w:pPr>
            <w:r>
              <w:rPr>
                <w:rFonts w:ascii="Arial" w:cs="Arial" w:eastAsia="Arial" w:hAnsi="Arial"/>
                <w:sz w:val="18"/>
                <w:szCs w:val="18"/>
                <w:b w:val="1"/>
                <w:bCs w:val="1"/>
                <w:color w:val="auto"/>
              </w:rPr>
              <w:t>—</w:t>
            </w:r>
          </w:p>
        </w:tc>
        <w:tc>
          <w:tcPr>
            <w:tcW w:w="2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10.2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40" w:type="dxa"/>
            <w:vAlign w:val="bottom"/>
          </w:tcPr>
          <w:p>
            <w:pPr>
              <w:ind w:left="100"/>
              <w:spacing w:after="0"/>
              <w:rPr>
                <w:sz w:val="20"/>
                <w:szCs w:val="20"/>
                <w:color w:val="auto"/>
              </w:rPr>
            </w:pPr>
            <w:r>
              <w:rPr>
                <w:rFonts w:ascii="Arial" w:cs="Arial" w:eastAsia="Arial" w:hAnsi="Arial"/>
                <w:sz w:val="18"/>
                <w:szCs w:val="18"/>
                <w:color w:val="auto"/>
              </w:rPr>
              <w:t>Collateralized debt obligations</w:t>
            </w:r>
          </w:p>
        </w:tc>
        <w:tc>
          <w:tcPr>
            <w:tcW w:w="5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20" w:type="dxa"/>
            <w:vAlign w:val="bottom"/>
          </w:tcPr>
          <w:p>
            <w:pPr>
              <w:ind w:left="880"/>
              <w:spacing w:after="0"/>
              <w:rPr>
                <w:sz w:val="20"/>
                <w:szCs w:val="20"/>
                <w:color w:val="auto"/>
              </w:rPr>
            </w:pPr>
            <w:r>
              <w:rPr>
                <w:rFonts w:ascii="Arial" w:cs="Arial" w:eastAsia="Arial" w:hAnsi="Arial"/>
                <w:sz w:val="18"/>
                <w:szCs w:val="18"/>
                <w:b w:val="1"/>
                <w:bCs w:val="1"/>
                <w:color w:val="auto"/>
              </w:rPr>
              <w:t>—</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2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spacing w:after="0"/>
              <w:rPr>
                <w:sz w:val="18"/>
                <w:szCs w:val="18"/>
                <w:color w:val="auto"/>
              </w:rPr>
            </w:pPr>
          </w:p>
        </w:tc>
        <w:tc>
          <w:tcPr>
            <w:tcW w:w="1140" w:type="dxa"/>
            <w:vAlign w:val="bottom"/>
          </w:tcPr>
          <w:p>
            <w:pPr>
              <w:ind w:left="900"/>
              <w:spacing w:after="0"/>
              <w:rPr>
                <w:sz w:val="20"/>
                <w:szCs w:val="20"/>
                <w:color w:val="auto"/>
              </w:rPr>
            </w:pPr>
            <w:r>
              <w:rPr>
                <w:rFonts w:ascii="Arial" w:cs="Arial" w:eastAsia="Arial" w:hAnsi="Arial"/>
                <w:sz w:val="18"/>
                <w:szCs w:val="18"/>
                <w:b w:val="1"/>
                <w:bCs w:val="1"/>
                <w:color w:val="auto"/>
              </w:rPr>
              <w:t>—</w:t>
            </w: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Arial" w:cs="Arial" w:eastAsia="Arial" w:hAnsi="Arial"/>
                <w:sz w:val="18"/>
                <w:szCs w:val="18"/>
                <w:b w:val="1"/>
                <w:bCs w:val="1"/>
                <w:color w:val="auto"/>
              </w:rPr>
              <w:t>139.3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40" w:type="dxa"/>
            <w:vAlign w:val="bottom"/>
            <w:shd w:val="clear" w:color="auto" w:fill="CCEEFF"/>
          </w:tcPr>
          <w:p>
            <w:pPr>
              <w:ind w:left="100"/>
              <w:spacing w:after="0"/>
              <w:rPr>
                <w:sz w:val="20"/>
                <w:szCs w:val="20"/>
                <w:color w:val="auto"/>
              </w:rPr>
            </w:pPr>
            <w:r>
              <w:rPr>
                <w:rFonts w:ascii="Arial" w:cs="Arial" w:eastAsia="Arial" w:hAnsi="Arial"/>
                <w:sz w:val="18"/>
                <w:szCs w:val="18"/>
                <w:color w:val="auto"/>
              </w:rPr>
              <w:t>Other debt obligations</w:t>
            </w:r>
          </w:p>
        </w:tc>
        <w:tc>
          <w:tcPr>
            <w:tcW w:w="5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20" w:type="dxa"/>
            <w:vAlign w:val="bottom"/>
            <w:shd w:val="clear" w:color="auto" w:fill="CCEEFF"/>
          </w:tcPr>
          <w:p>
            <w:pPr>
              <w:ind w:left="880"/>
              <w:spacing w:after="0"/>
              <w:rPr>
                <w:sz w:val="20"/>
                <w:szCs w:val="20"/>
                <w:color w:val="auto"/>
              </w:rPr>
            </w:pPr>
            <w:r>
              <w:rPr>
                <w:rFonts w:ascii="Arial" w:cs="Arial" w:eastAsia="Arial" w:hAnsi="Arial"/>
                <w:sz w:val="18"/>
                <w:szCs w:val="18"/>
                <w:b w:val="1"/>
                <w:bCs w:val="1"/>
                <w:color w:val="auto"/>
              </w:rPr>
              <w:t>—</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w:t>
            </w:r>
          </w:p>
        </w:tc>
        <w:tc>
          <w:tcPr>
            <w:tcW w:w="140" w:type="dxa"/>
            <w:vAlign w:val="bottom"/>
            <w:shd w:val="clear" w:color="auto" w:fill="CCEEFF"/>
          </w:tcPr>
          <w:p>
            <w:pPr>
              <w:spacing w:after="0"/>
              <w:rPr>
                <w:sz w:val="18"/>
                <w:szCs w:val="18"/>
                <w:color w:val="auto"/>
              </w:rPr>
            </w:pPr>
          </w:p>
        </w:tc>
        <w:tc>
          <w:tcPr>
            <w:tcW w:w="1140" w:type="dxa"/>
            <w:vAlign w:val="bottom"/>
            <w:shd w:val="clear" w:color="auto" w:fill="CCEEFF"/>
          </w:tcPr>
          <w:p>
            <w:pPr>
              <w:ind w:left="900"/>
              <w:spacing w:after="0"/>
              <w:rPr>
                <w:sz w:val="20"/>
                <w:szCs w:val="20"/>
                <w:color w:val="auto"/>
              </w:rPr>
            </w:pPr>
            <w:r>
              <w:rPr>
                <w:rFonts w:ascii="Arial" w:cs="Arial" w:eastAsia="Arial" w:hAnsi="Arial"/>
                <w:sz w:val="18"/>
                <w:szCs w:val="18"/>
                <w:b w:val="1"/>
                <w:bCs w:val="1"/>
                <w:color w:val="auto"/>
              </w:rPr>
              <w:t>—</w:t>
            </w:r>
          </w:p>
        </w:tc>
        <w:tc>
          <w:tcPr>
            <w:tcW w:w="2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20.0</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3540" w:type="dxa"/>
            <w:vAlign w:val="bottom"/>
          </w:tcPr>
          <w:p>
            <w:pPr>
              <w:spacing w:after="0"/>
              <w:rPr>
                <w:sz w:val="20"/>
                <w:szCs w:val="20"/>
                <w:color w:val="auto"/>
              </w:rPr>
            </w:pPr>
            <w:r>
              <w:rPr>
                <w:rFonts w:ascii="Arial" w:cs="Arial" w:eastAsia="Arial" w:hAnsi="Arial"/>
                <w:sz w:val="18"/>
                <w:szCs w:val="18"/>
                <w:color w:val="auto"/>
              </w:rPr>
              <w:t>Total fixed maturities, available-for-sale</w:t>
            </w:r>
          </w:p>
        </w:tc>
        <w:tc>
          <w:tcPr>
            <w:tcW w:w="5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ind w:left="880"/>
              <w:spacing w:after="0"/>
              <w:rPr>
                <w:sz w:val="20"/>
                <w:szCs w:val="20"/>
                <w:color w:val="auto"/>
              </w:rPr>
            </w:pPr>
            <w:r>
              <w:rPr>
                <w:rFonts w:ascii="Arial" w:cs="Arial" w:eastAsia="Arial" w:hAnsi="Arial"/>
                <w:sz w:val="18"/>
                <w:szCs w:val="18"/>
                <w:b w:val="1"/>
                <w:bCs w:val="1"/>
                <w:color w:val="auto"/>
              </w:rPr>
              <w:t>—</w:t>
            </w:r>
          </w:p>
        </w:tc>
        <w:tc>
          <w:tcPr>
            <w:tcW w:w="2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188.3</w:t>
            </w:r>
          </w:p>
        </w:tc>
        <w:tc>
          <w:tcPr>
            <w:tcW w:w="2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ind w:left="900"/>
              <w:spacing w:after="0"/>
              <w:rPr>
                <w:sz w:val="20"/>
                <w:szCs w:val="20"/>
                <w:color w:val="auto"/>
              </w:rPr>
            </w:pPr>
            <w:r>
              <w:rPr>
                <w:rFonts w:ascii="Arial" w:cs="Arial" w:eastAsia="Arial" w:hAnsi="Arial"/>
                <w:sz w:val="18"/>
                <w:szCs w:val="18"/>
                <w:b w:val="1"/>
                <w:bCs w:val="1"/>
                <w:color w:val="auto"/>
              </w:rPr>
              <w:t>—</w:t>
            </w:r>
          </w:p>
        </w:tc>
        <w:tc>
          <w:tcPr>
            <w:tcW w:w="24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169.5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40" w:type="dxa"/>
            <w:vAlign w:val="bottom"/>
            <w:shd w:val="clear" w:color="auto" w:fill="CCEEFF"/>
          </w:tcPr>
          <w:p>
            <w:pPr>
              <w:spacing w:after="0"/>
              <w:rPr>
                <w:sz w:val="20"/>
                <w:szCs w:val="20"/>
                <w:color w:val="auto"/>
              </w:rPr>
            </w:pPr>
            <w:r>
              <w:rPr>
                <w:rFonts w:ascii="Arial" w:cs="Arial" w:eastAsia="Arial" w:hAnsi="Arial"/>
                <w:sz w:val="18"/>
                <w:szCs w:val="18"/>
                <w:color w:val="auto"/>
              </w:rPr>
              <w:t>Fixed maturities, trading</w:t>
            </w:r>
          </w:p>
        </w:tc>
        <w:tc>
          <w:tcPr>
            <w:tcW w:w="5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20" w:type="dxa"/>
            <w:vAlign w:val="bottom"/>
            <w:shd w:val="clear" w:color="auto" w:fill="CCEEFF"/>
          </w:tcPr>
          <w:p>
            <w:pPr>
              <w:ind w:left="880"/>
              <w:spacing w:after="0"/>
              <w:rPr>
                <w:sz w:val="20"/>
                <w:szCs w:val="20"/>
                <w:color w:val="auto"/>
              </w:rPr>
            </w:pPr>
            <w:r>
              <w:rPr>
                <w:rFonts w:ascii="Arial" w:cs="Arial" w:eastAsia="Arial" w:hAnsi="Arial"/>
                <w:sz w:val="18"/>
                <w:szCs w:val="18"/>
                <w:b w:val="1"/>
                <w:bCs w:val="1"/>
                <w:color w:val="auto"/>
              </w:rPr>
              <w:t>—</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29.0</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shd w:val="clear" w:color="auto" w:fill="CCEEFF"/>
          </w:tcPr>
          <w:p>
            <w:pPr>
              <w:ind w:left="900"/>
              <w:spacing w:after="0"/>
              <w:rPr>
                <w:sz w:val="20"/>
                <w:szCs w:val="20"/>
                <w:color w:val="auto"/>
              </w:rPr>
            </w:pPr>
            <w:r>
              <w:rPr>
                <w:rFonts w:ascii="Arial" w:cs="Arial" w:eastAsia="Arial" w:hAnsi="Arial"/>
                <w:sz w:val="18"/>
                <w:szCs w:val="18"/>
                <w:b w:val="1"/>
                <w:bCs w:val="1"/>
                <w:color w:val="auto"/>
              </w:rPr>
              <w:t>—</w:t>
            </w:r>
          </w:p>
        </w:tc>
        <w:tc>
          <w:tcPr>
            <w:tcW w:w="2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5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5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Derivatives</w:t>
            </w:r>
          </w:p>
        </w:tc>
        <w:tc>
          <w:tcPr>
            <w:tcW w:w="5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3540" w:type="dxa"/>
            <w:vAlign w:val="bottom"/>
          </w:tcPr>
          <w:p>
            <w:pPr>
              <w:spacing w:after="0"/>
              <w:rPr>
                <w:sz w:val="20"/>
                <w:szCs w:val="20"/>
                <w:color w:val="auto"/>
              </w:rPr>
            </w:pPr>
            <w:r>
              <w:rPr>
                <w:rFonts w:ascii="Arial" w:cs="Arial" w:eastAsia="Arial" w:hAnsi="Arial"/>
                <w:sz w:val="18"/>
                <w:szCs w:val="18"/>
                <w:color w:val="auto"/>
              </w:rPr>
              <w:t>Net derivative assets (liabilities)</w:t>
            </w:r>
          </w:p>
        </w:tc>
        <w:tc>
          <w:tcPr>
            <w:tcW w:w="5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20" w:type="dxa"/>
            <w:vAlign w:val="bottom"/>
          </w:tcPr>
          <w:p>
            <w:pPr>
              <w:ind w:left="880"/>
              <w:spacing w:after="0"/>
              <w:rPr>
                <w:sz w:val="20"/>
                <w:szCs w:val="20"/>
                <w:color w:val="auto"/>
              </w:rPr>
            </w:pPr>
            <w:r>
              <w:rPr>
                <w:rFonts w:ascii="Arial" w:cs="Arial" w:eastAsia="Arial" w:hAnsi="Arial"/>
                <w:sz w:val="18"/>
                <w:szCs w:val="18"/>
                <w:b w:val="1"/>
                <w:bCs w:val="1"/>
                <w:color w:val="auto"/>
              </w:rPr>
              <w:t>—</w:t>
            </w: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2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spacing w:after="0"/>
              <w:rPr>
                <w:sz w:val="20"/>
                <w:szCs w:val="20"/>
                <w:color w:val="auto"/>
              </w:rPr>
            </w:pPr>
          </w:p>
        </w:tc>
        <w:tc>
          <w:tcPr>
            <w:tcW w:w="1140" w:type="dxa"/>
            <w:vAlign w:val="bottom"/>
          </w:tcPr>
          <w:p>
            <w:pPr>
              <w:ind w:left="900"/>
              <w:spacing w:after="0"/>
              <w:rPr>
                <w:sz w:val="20"/>
                <w:szCs w:val="20"/>
                <w:color w:val="auto"/>
              </w:rPr>
            </w:pPr>
            <w:r>
              <w:rPr>
                <w:rFonts w:ascii="Arial" w:cs="Arial" w:eastAsia="Arial" w:hAnsi="Arial"/>
                <w:sz w:val="18"/>
                <w:szCs w:val="18"/>
                <w:b w:val="1"/>
                <w:bCs w:val="1"/>
                <w:color w:val="auto"/>
              </w:rPr>
              <w:t>—</w:t>
            </w:r>
          </w:p>
        </w:tc>
        <w:tc>
          <w:tcPr>
            <w:tcW w:w="2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8"/>
                <w:szCs w:val="18"/>
                <w:b w:val="1"/>
                <w:bCs w:val="1"/>
                <w:color w:val="auto"/>
              </w:rPr>
              <w:t>0.3</w:t>
            </w:r>
          </w:p>
        </w:tc>
        <w:tc>
          <w:tcPr>
            <w:tcW w:w="0" w:type="dxa"/>
            <w:vAlign w:val="bottom"/>
          </w:tcPr>
          <w:p>
            <w:pPr>
              <w:spacing w:after="0"/>
              <w:rPr>
                <w:sz w:val="1"/>
                <w:szCs w:val="1"/>
                <w:color w:val="auto"/>
              </w:rPr>
            </w:pPr>
          </w:p>
        </w:tc>
      </w:tr>
      <w:tr>
        <w:trPr>
          <w:trHeight w:val="846"/>
        </w:trPr>
        <w:tc>
          <w:tcPr>
            <w:tcW w:w="20" w:type="dxa"/>
            <w:vAlign w:val="bottom"/>
          </w:tcPr>
          <w:p>
            <w:pPr>
              <w:spacing w:after="0"/>
              <w:rPr>
                <w:sz w:val="24"/>
                <w:szCs w:val="24"/>
                <w:color w:val="auto"/>
              </w:rPr>
            </w:pPr>
          </w:p>
        </w:tc>
        <w:tc>
          <w:tcPr>
            <w:tcW w:w="35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20" w:type="dxa"/>
            <w:vAlign w:val="bottom"/>
          </w:tcPr>
          <w:p>
            <w:pPr>
              <w:ind w:left="660"/>
              <w:spacing w:after="0"/>
              <w:rPr>
                <w:sz w:val="20"/>
                <w:szCs w:val="20"/>
                <w:color w:val="auto"/>
              </w:rPr>
            </w:pPr>
            <w:r>
              <w:rPr>
                <w:rFonts w:ascii="Arial" w:cs="Arial" w:eastAsia="Arial" w:hAnsi="Arial"/>
                <w:sz w:val="18"/>
                <w:szCs w:val="18"/>
                <w:color w:val="auto"/>
              </w:rPr>
              <w:t>71</w:t>
            </w: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61"/>
        </w:trPr>
        <w:tc>
          <w:tcPr>
            <w:tcW w:w="20" w:type="dxa"/>
            <w:vAlign w:val="bottom"/>
          </w:tcPr>
          <w:p>
            <w:pPr>
              <w:spacing w:after="0"/>
              <w:rPr>
                <w:sz w:val="24"/>
                <w:szCs w:val="24"/>
                <w:color w:val="auto"/>
              </w:rPr>
            </w:pPr>
          </w:p>
        </w:tc>
        <w:tc>
          <w:tcPr>
            <w:tcW w:w="354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920"/>
          </w:cols>
          <w:pgMar w:left="980" w:top="665" w:right="999" w:bottom="1440" w:gutter="0" w:footer="0" w:header="0"/>
        </w:sectPr>
      </w:pPr>
    </w:p>
    <w:bookmarkStart w:id="71" w:name="page72"/>
    <w:bookmarkEnd w:id="71"/>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5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10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2660" w:type="dxa"/>
            <w:vAlign w:val="bottom"/>
            <w:tcBorders>
              <w:bottom w:val="single" w:sz="8" w:color="auto"/>
            </w:tcBorders>
            <w:gridSpan w:val="4"/>
          </w:tcPr>
          <w:p>
            <w:pPr>
              <w:jc w:val="center"/>
              <w:ind w:right="38"/>
              <w:spacing w:after="0"/>
              <w:rPr>
                <w:sz w:val="20"/>
                <w:szCs w:val="20"/>
                <w:color w:val="auto"/>
              </w:rPr>
            </w:pPr>
            <w:r>
              <w:rPr>
                <w:rFonts w:ascii="Arial" w:cs="Arial" w:eastAsia="Arial" w:hAnsi="Arial"/>
                <w:sz w:val="14"/>
                <w:szCs w:val="14"/>
                <w:b w:val="1"/>
                <w:bCs w:val="1"/>
                <w:color w:val="auto"/>
                <w:w w:val="91"/>
              </w:rPr>
              <w:t>For the six months ended June 30, 2021</w:t>
            </w:r>
          </w:p>
        </w:tc>
        <w:tc>
          <w:tcPr>
            <w:tcW w:w="2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tcPr>
          <w:p>
            <w:pPr>
              <w:spacing w:after="0"/>
              <w:rPr>
                <w:sz w:val="14"/>
                <w:szCs w:val="14"/>
                <w:color w:val="auto"/>
              </w:rPr>
            </w:pPr>
          </w:p>
        </w:tc>
      </w:tr>
      <w:tr>
        <w:trPr>
          <w:trHeight w:val="119"/>
        </w:trPr>
        <w:tc>
          <w:tcPr>
            <w:tcW w:w="350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100" w:type="dxa"/>
            <w:vAlign w:val="bottom"/>
          </w:tcPr>
          <w:p>
            <w:pPr>
              <w:jc w:val="center"/>
              <w:ind w:right="78"/>
              <w:spacing w:after="0" w:line="119" w:lineRule="exact"/>
              <w:rPr>
                <w:sz w:val="20"/>
                <w:szCs w:val="20"/>
                <w:color w:val="auto"/>
              </w:rPr>
            </w:pPr>
            <w:r>
              <w:rPr>
                <w:rFonts w:ascii="Arial" w:cs="Arial" w:eastAsia="Arial" w:hAnsi="Arial"/>
                <w:sz w:val="13"/>
                <w:szCs w:val="13"/>
                <w:b w:val="1"/>
                <w:bCs w:val="1"/>
                <w:color w:val="auto"/>
                <w:w w:val="98"/>
              </w:rPr>
              <w:t>Transfers out</w:t>
            </w:r>
          </w:p>
        </w:tc>
        <w:tc>
          <w:tcPr>
            <w:tcW w:w="2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380" w:type="dxa"/>
            <w:vAlign w:val="bottom"/>
            <w:gridSpan w:val="2"/>
          </w:tcPr>
          <w:p>
            <w:pPr>
              <w:jc w:val="center"/>
              <w:ind w:right="400"/>
              <w:spacing w:after="0" w:line="119" w:lineRule="exact"/>
              <w:rPr>
                <w:sz w:val="20"/>
                <w:szCs w:val="20"/>
                <w:color w:val="auto"/>
              </w:rPr>
            </w:pPr>
            <w:r>
              <w:rPr>
                <w:rFonts w:ascii="Arial" w:cs="Arial" w:eastAsia="Arial" w:hAnsi="Arial"/>
                <w:sz w:val="13"/>
                <w:szCs w:val="13"/>
                <w:b w:val="1"/>
                <w:bCs w:val="1"/>
                <w:color w:val="auto"/>
                <w:w w:val="98"/>
              </w:rPr>
              <w:t>Transfers out</w:t>
            </w:r>
          </w:p>
        </w:tc>
        <w:tc>
          <w:tcPr>
            <w:tcW w:w="160" w:type="dxa"/>
            <w:vAlign w:val="bottom"/>
          </w:tcPr>
          <w:p>
            <w:pPr>
              <w:spacing w:after="0"/>
              <w:rPr>
                <w:sz w:val="10"/>
                <w:szCs w:val="10"/>
                <w:color w:val="auto"/>
              </w:rPr>
            </w:pPr>
          </w:p>
        </w:tc>
        <w:tc>
          <w:tcPr>
            <w:tcW w:w="1120" w:type="dxa"/>
            <w:vAlign w:val="bottom"/>
          </w:tcPr>
          <w:p>
            <w:pPr>
              <w:jc w:val="center"/>
              <w:ind w:right="78"/>
              <w:spacing w:after="0" w:line="119" w:lineRule="exact"/>
              <w:rPr>
                <w:sz w:val="20"/>
                <w:szCs w:val="20"/>
                <w:color w:val="auto"/>
              </w:rPr>
            </w:pPr>
            <w:r>
              <w:rPr>
                <w:rFonts w:ascii="Arial" w:cs="Arial" w:eastAsia="Arial" w:hAnsi="Arial"/>
                <w:sz w:val="13"/>
                <w:szCs w:val="13"/>
                <w:b w:val="1"/>
                <w:bCs w:val="1"/>
                <w:color w:val="auto"/>
              </w:rPr>
              <w:t>Transfers out</w:t>
            </w:r>
          </w:p>
        </w:tc>
        <w:tc>
          <w:tcPr>
            <w:tcW w:w="2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120" w:type="dxa"/>
            <w:vAlign w:val="bottom"/>
          </w:tcPr>
          <w:p>
            <w:pPr>
              <w:jc w:val="center"/>
              <w:ind w:right="58"/>
              <w:spacing w:after="0" w:line="119" w:lineRule="exact"/>
              <w:rPr>
                <w:sz w:val="20"/>
                <w:szCs w:val="20"/>
                <w:color w:val="auto"/>
              </w:rPr>
            </w:pPr>
            <w:r>
              <w:rPr>
                <w:rFonts w:ascii="Arial" w:cs="Arial" w:eastAsia="Arial" w:hAnsi="Arial"/>
                <w:sz w:val="13"/>
                <w:szCs w:val="13"/>
                <w:b w:val="1"/>
                <w:bCs w:val="1"/>
                <w:color w:val="auto"/>
                <w:w w:val="98"/>
              </w:rPr>
              <w:t>Transfers out</w:t>
            </w:r>
          </w:p>
        </w:tc>
      </w:tr>
      <w:tr>
        <w:trPr>
          <w:trHeight w:val="148"/>
        </w:trPr>
        <w:tc>
          <w:tcPr>
            <w:tcW w:w="35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00" w:type="dxa"/>
            <w:vAlign w:val="bottom"/>
          </w:tcPr>
          <w:p>
            <w:pPr>
              <w:jc w:val="center"/>
              <w:ind w:right="58"/>
              <w:spacing w:after="0" w:line="149" w:lineRule="exact"/>
              <w:rPr>
                <w:sz w:val="20"/>
                <w:szCs w:val="20"/>
                <w:color w:val="auto"/>
              </w:rPr>
            </w:pPr>
            <w:r>
              <w:rPr>
                <w:rFonts w:ascii="Arial" w:cs="Arial" w:eastAsia="Arial" w:hAnsi="Arial"/>
                <w:sz w:val="14"/>
                <w:szCs w:val="14"/>
                <w:b w:val="1"/>
                <w:bCs w:val="1"/>
                <w:color w:val="auto"/>
                <w:w w:val="93"/>
              </w:rPr>
              <w:t>of Level 1 into</w:t>
            </w:r>
          </w:p>
        </w:tc>
        <w:tc>
          <w:tcPr>
            <w:tcW w:w="2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38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93"/>
              </w:rPr>
              <w:t>of Level 2 into</w:t>
            </w:r>
          </w:p>
        </w:tc>
        <w:tc>
          <w:tcPr>
            <w:tcW w:w="160" w:type="dxa"/>
            <w:vAlign w:val="bottom"/>
          </w:tcPr>
          <w:p>
            <w:pPr>
              <w:spacing w:after="0"/>
              <w:rPr>
                <w:sz w:val="12"/>
                <w:szCs w:val="12"/>
                <w:color w:val="auto"/>
              </w:rPr>
            </w:pPr>
          </w:p>
        </w:tc>
        <w:tc>
          <w:tcPr>
            <w:tcW w:w="1120" w:type="dxa"/>
            <w:vAlign w:val="bottom"/>
          </w:tcPr>
          <w:p>
            <w:pPr>
              <w:jc w:val="center"/>
              <w:ind w:right="78"/>
              <w:spacing w:after="0" w:line="149" w:lineRule="exact"/>
              <w:rPr>
                <w:sz w:val="20"/>
                <w:szCs w:val="20"/>
                <w:color w:val="auto"/>
              </w:rPr>
            </w:pPr>
            <w:r>
              <w:rPr>
                <w:rFonts w:ascii="Arial" w:cs="Arial" w:eastAsia="Arial" w:hAnsi="Arial"/>
                <w:sz w:val="14"/>
                <w:szCs w:val="14"/>
                <w:b w:val="1"/>
                <w:bCs w:val="1"/>
                <w:color w:val="auto"/>
                <w:w w:val="93"/>
              </w:rPr>
              <w:t>of Level 3 into</w:t>
            </w: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20" w:type="dxa"/>
            <w:vAlign w:val="bottom"/>
          </w:tcPr>
          <w:p>
            <w:pPr>
              <w:jc w:val="center"/>
              <w:ind w:right="78"/>
              <w:spacing w:after="0" w:line="149" w:lineRule="exact"/>
              <w:rPr>
                <w:sz w:val="20"/>
                <w:szCs w:val="20"/>
                <w:color w:val="auto"/>
              </w:rPr>
            </w:pPr>
            <w:r>
              <w:rPr>
                <w:rFonts w:ascii="Arial" w:cs="Arial" w:eastAsia="Arial" w:hAnsi="Arial"/>
                <w:sz w:val="14"/>
                <w:szCs w:val="14"/>
                <w:b w:val="1"/>
                <w:bCs w:val="1"/>
                <w:color w:val="auto"/>
                <w:w w:val="93"/>
              </w:rPr>
              <w:t>of Level 3 into</w:t>
            </w:r>
          </w:p>
        </w:tc>
      </w:tr>
      <w:tr>
        <w:trPr>
          <w:trHeight w:val="171"/>
        </w:trPr>
        <w:tc>
          <w:tcPr>
            <w:tcW w:w="35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100" w:type="dxa"/>
            <w:vAlign w:val="bottom"/>
            <w:tcBorders>
              <w:bottom w:val="single" w:sz="8" w:color="auto"/>
            </w:tcBorders>
          </w:tcPr>
          <w:p>
            <w:pPr>
              <w:jc w:val="center"/>
              <w:ind w:right="58"/>
              <w:spacing w:after="0"/>
              <w:rPr>
                <w:sz w:val="20"/>
                <w:szCs w:val="20"/>
                <w:color w:val="auto"/>
              </w:rPr>
            </w:pPr>
            <w:r>
              <w:rPr>
                <w:rFonts w:ascii="Arial" w:cs="Arial" w:eastAsia="Arial" w:hAnsi="Arial"/>
                <w:sz w:val="14"/>
                <w:szCs w:val="14"/>
                <w:b w:val="1"/>
                <w:bCs w:val="1"/>
                <w:color w:val="auto"/>
                <w:w w:val="92"/>
              </w:rPr>
              <w:t>Level 3</w:t>
            </w:r>
          </w:p>
        </w:tc>
        <w:tc>
          <w:tcPr>
            <w:tcW w:w="2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tcPr>
          <w:p>
            <w:pPr>
              <w:jc w:val="center"/>
              <w:ind w:right="41"/>
              <w:spacing w:after="0"/>
              <w:rPr>
                <w:sz w:val="20"/>
                <w:szCs w:val="20"/>
                <w:color w:val="auto"/>
              </w:rPr>
            </w:pPr>
            <w:r>
              <w:rPr>
                <w:rFonts w:ascii="Arial" w:cs="Arial" w:eastAsia="Arial" w:hAnsi="Arial"/>
                <w:sz w:val="14"/>
                <w:szCs w:val="14"/>
                <w:b w:val="1"/>
                <w:bCs w:val="1"/>
                <w:color w:val="auto"/>
                <w:w w:val="92"/>
              </w:rPr>
              <w:t>Level 3</w:t>
            </w:r>
          </w:p>
        </w:tc>
        <w:tc>
          <w:tcPr>
            <w:tcW w:w="2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tcPr>
          <w:p>
            <w:pPr>
              <w:jc w:val="center"/>
              <w:ind w:right="78"/>
              <w:spacing w:after="0"/>
              <w:rPr>
                <w:sz w:val="20"/>
                <w:szCs w:val="20"/>
                <w:color w:val="auto"/>
              </w:rPr>
            </w:pPr>
            <w:r>
              <w:rPr>
                <w:rFonts w:ascii="Arial" w:cs="Arial" w:eastAsia="Arial" w:hAnsi="Arial"/>
                <w:sz w:val="14"/>
                <w:szCs w:val="14"/>
                <w:b w:val="1"/>
                <w:bCs w:val="1"/>
                <w:color w:val="auto"/>
                <w:w w:val="92"/>
              </w:rPr>
              <w:t>Level 1</w:t>
            </w:r>
          </w:p>
        </w:tc>
        <w:tc>
          <w:tcPr>
            <w:tcW w:w="24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tcPr>
          <w:p>
            <w:pPr>
              <w:jc w:val="center"/>
              <w:ind w:right="78"/>
              <w:spacing w:after="0"/>
              <w:rPr>
                <w:sz w:val="20"/>
                <w:szCs w:val="20"/>
                <w:color w:val="auto"/>
              </w:rPr>
            </w:pPr>
            <w:r>
              <w:rPr>
                <w:rFonts w:ascii="Arial" w:cs="Arial" w:eastAsia="Arial" w:hAnsi="Arial"/>
                <w:sz w:val="14"/>
                <w:szCs w:val="14"/>
                <w:b w:val="1"/>
                <w:bCs w:val="1"/>
                <w:color w:val="auto"/>
                <w:w w:val="92"/>
              </w:rPr>
              <w:t>Level 2</w:t>
            </w:r>
          </w:p>
        </w:tc>
      </w:tr>
      <w:tr>
        <w:trPr>
          <w:trHeight w:val="128"/>
        </w:trPr>
        <w:tc>
          <w:tcPr>
            <w:tcW w:w="35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60" w:type="dxa"/>
            <w:vAlign w:val="bottom"/>
            <w:gridSpan w:val="4"/>
          </w:tcPr>
          <w:p>
            <w:pPr>
              <w:jc w:val="center"/>
              <w:ind w:right="58"/>
              <w:spacing w:after="0" w:line="129" w:lineRule="exact"/>
              <w:rPr>
                <w:sz w:val="20"/>
                <w:szCs w:val="20"/>
                <w:color w:val="auto"/>
              </w:rPr>
            </w:pPr>
            <w:r>
              <w:rPr>
                <w:rFonts w:ascii="Arial" w:cs="Arial" w:eastAsia="Arial" w:hAnsi="Arial"/>
                <w:sz w:val="14"/>
                <w:szCs w:val="14"/>
                <w:i w:val="1"/>
                <w:iCs w:val="1"/>
                <w:color w:val="auto"/>
              </w:rPr>
              <w:t>(in millions)</w:t>
            </w:r>
          </w:p>
        </w:tc>
        <w:tc>
          <w:tcPr>
            <w:tcW w:w="2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20" w:type="dxa"/>
            <w:vAlign w:val="bottom"/>
          </w:tcPr>
          <w:p>
            <w:pPr>
              <w:spacing w:after="0"/>
              <w:rPr>
                <w:sz w:val="11"/>
                <w:szCs w:val="11"/>
                <w:color w:val="auto"/>
              </w:rPr>
            </w:pPr>
          </w:p>
        </w:tc>
      </w:tr>
      <w:tr>
        <w:trPr>
          <w:trHeight w:val="216"/>
        </w:trPr>
        <w:tc>
          <w:tcPr>
            <w:tcW w:w="35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r>
      <w:tr>
        <w:trPr>
          <w:trHeight w:val="216"/>
        </w:trPr>
        <w:tc>
          <w:tcPr>
            <w:tcW w:w="3500" w:type="dxa"/>
            <w:vAlign w:val="bottom"/>
          </w:tcPr>
          <w:p>
            <w:pPr>
              <w:spacing w:after="0"/>
              <w:rPr>
                <w:sz w:val="20"/>
                <w:szCs w:val="20"/>
                <w:color w:val="auto"/>
              </w:rPr>
            </w:pPr>
            <w:r>
              <w:rPr>
                <w:rFonts w:ascii="Arial" w:cs="Arial" w:eastAsia="Arial" w:hAnsi="Arial"/>
                <w:sz w:val="18"/>
                <w:szCs w:val="18"/>
                <w:color w:val="auto"/>
              </w:rPr>
              <w:t>Fixed maturities, available-for-sale:</w:t>
            </w:r>
          </w:p>
        </w:tc>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tcPr>
          <w:p>
            <w:pPr>
              <w:spacing w:after="0"/>
              <w:rPr>
                <w:sz w:val="18"/>
                <w:szCs w:val="18"/>
                <w:color w:val="auto"/>
              </w:rPr>
            </w:pPr>
          </w:p>
        </w:tc>
      </w:tr>
      <w:tr>
        <w:trPr>
          <w:trHeight w:val="230"/>
        </w:trPr>
        <w:tc>
          <w:tcPr>
            <w:tcW w:w="3500" w:type="dxa"/>
            <w:vAlign w:val="bottom"/>
            <w:shd w:val="clear" w:color="auto" w:fill="CCEEFF"/>
          </w:tcPr>
          <w:p>
            <w:pPr>
              <w:ind w:left="120"/>
              <w:spacing w:after="0"/>
              <w:rPr>
                <w:sz w:val="20"/>
                <w:szCs w:val="20"/>
                <w:color w:val="auto"/>
              </w:rPr>
            </w:pPr>
            <w:r>
              <w:rPr>
                <w:rFonts w:ascii="Arial" w:cs="Arial" w:eastAsia="Arial" w:hAnsi="Arial"/>
                <w:sz w:val="18"/>
                <w:szCs w:val="18"/>
                <w:color w:val="auto"/>
              </w:rPr>
              <w:t>Corporate</w:t>
            </w:r>
          </w:p>
        </w:tc>
        <w:tc>
          <w:tcPr>
            <w:tcW w:w="740" w:type="dxa"/>
            <w:vAlign w:val="bottom"/>
            <w:gridSpan w:val="2"/>
            <w:shd w:val="clear" w:color="auto" w:fill="CCEEFF"/>
          </w:tcPr>
          <w:p>
            <w:pPr>
              <w:jc w:val="right"/>
              <w:ind w:right="60"/>
              <w:spacing w:after="0"/>
              <w:rPr>
                <w:sz w:val="20"/>
                <w:szCs w:val="20"/>
                <w:color w:val="auto"/>
              </w:rPr>
            </w:pPr>
            <w:r>
              <w:rPr>
                <w:rFonts w:ascii="Arial" w:cs="Arial" w:eastAsia="Arial" w:hAnsi="Arial"/>
                <w:sz w:val="20"/>
                <w:szCs w:val="20"/>
                <w:color w:val="auto"/>
              </w:rPr>
              <w:t>$</w:t>
            </w:r>
          </w:p>
        </w:tc>
        <w:tc>
          <w:tcPr>
            <w:tcW w:w="1100" w:type="dxa"/>
            <w:vAlign w:val="bottom"/>
            <w:shd w:val="clear" w:color="auto" w:fill="CCEEFF"/>
          </w:tcPr>
          <w:p>
            <w:pPr>
              <w:ind w:left="860"/>
              <w:spacing w:after="0"/>
              <w:rPr>
                <w:sz w:val="20"/>
                <w:szCs w:val="20"/>
                <w:color w:val="auto"/>
              </w:rPr>
            </w:pPr>
            <w:r>
              <w:rPr>
                <w:rFonts w:ascii="Arial" w:cs="Arial" w:eastAsia="Arial" w:hAnsi="Arial"/>
                <w:sz w:val="18"/>
                <w:szCs w:val="18"/>
                <w:color w:val="auto"/>
              </w:rPr>
              <w:t>—</w:t>
            </w:r>
          </w:p>
        </w:tc>
        <w:tc>
          <w:tcPr>
            <w:tcW w:w="400" w:type="dxa"/>
            <w:vAlign w:val="bottom"/>
            <w:gridSpan w:val="2"/>
            <w:shd w:val="clear" w:color="auto" w:fill="CCEEFF"/>
          </w:tcPr>
          <w:p>
            <w:pPr>
              <w:jc w:val="right"/>
              <w:ind w:right="40"/>
              <w:spacing w:after="0"/>
              <w:rPr>
                <w:sz w:val="20"/>
                <w:szCs w:val="20"/>
                <w:color w:val="auto"/>
              </w:rPr>
            </w:pPr>
            <w:r>
              <w:rPr>
                <w:rFonts w:ascii="Arial" w:cs="Arial" w:eastAsia="Arial" w:hAnsi="Arial"/>
                <w:sz w:val="20"/>
                <w:szCs w:val="20"/>
                <w:color w:val="auto"/>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142.5</w:t>
            </w:r>
          </w:p>
        </w:tc>
        <w:tc>
          <w:tcPr>
            <w:tcW w:w="26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20"/>
                <w:szCs w:val="20"/>
                <w:color w:val="auto"/>
                <w:w w:val="71"/>
              </w:rPr>
              <w:t>$</w:t>
            </w:r>
          </w:p>
        </w:tc>
        <w:tc>
          <w:tcPr>
            <w:tcW w:w="1120" w:type="dxa"/>
            <w:vAlign w:val="bottom"/>
            <w:shd w:val="clear" w:color="auto" w:fill="CCEEFF"/>
          </w:tcPr>
          <w:p>
            <w:pPr>
              <w:ind w:left="880"/>
              <w:spacing w:after="0"/>
              <w:rPr>
                <w:sz w:val="20"/>
                <w:szCs w:val="20"/>
                <w:color w:val="auto"/>
              </w:rPr>
            </w:pPr>
            <w:r>
              <w:rPr>
                <w:rFonts w:ascii="Arial" w:cs="Arial" w:eastAsia="Arial" w:hAnsi="Arial"/>
                <w:sz w:val="18"/>
                <w:szCs w:val="18"/>
                <w:color w:val="auto"/>
              </w:rPr>
              <w:t>—</w:t>
            </w:r>
          </w:p>
        </w:tc>
        <w:tc>
          <w:tcPr>
            <w:tcW w:w="4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16"/>
        </w:trPr>
        <w:tc>
          <w:tcPr>
            <w:tcW w:w="3500" w:type="dxa"/>
            <w:vAlign w:val="bottom"/>
          </w:tcPr>
          <w:p>
            <w:pPr>
              <w:ind w:left="120"/>
              <w:spacing w:after="0"/>
              <w:rPr>
                <w:sz w:val="20"/>
                <w:szCs w:val="20"/>
                <w:color w:val="auto"/>
              </w:rPr>
            </w:pPr>
            <w:r>
              <w:rPr>
                <w:rFonts w:ascii="Arial" w:cs="Arial" w:eastAsia="Arial" w:hAnsi="Arial"/>
                <w:sz w:val="18"/>
                <w:szCs w:val="18"/>
                <w:color w:val="auto"/>
              </w:rPr>
              <w:t>Collateralized debt obligations</w:t>
            </w:r>
          </w:p>
        </w:tc>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tcPr>
          <w:p>
            <w:pPr>
              <w:ind w:left="86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84.1</w:t>
            </w: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tcPr>
          <w:p>
            <w:pPr>
              <w:ind w:left="88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225.4</w:t>
            </w:r>
          </w:p>
        </w:tc>
      </w:tr>
      <w:tr>
        <w:trPr>
          <w:trHeight w:val="216"/>
        </w:trPr>
        <w:tc>
          <w:tcPr>
            <w:tcW w:w="3500" w:type="dxa"/>
            <w:vAlign w:val="bottom"/>
            <w:shd w:val="clear" w:color="auto" w:fill="CCEEFF"/>
          </w:tcPr>
          <w:p>
            <w:pPr>
              <w:ind w:left="120"/>
              <w:spacing w:after="0"/>
              <w:rPr>
                <w:sz w:val="20"/>
                <w:szCs w:val="20"/>
                <w:color w:val="auto"/>
              </w:rPr>
            </w:pPr>
            <w:r>
              <w:rPr>
                <w:rFonts w:ascii="Arial" w:cs="Arial" w:eastAsia="Arial" w:hAnsi="Arial"/>
                <w:sz w:val="18"/>
                <w:szCs w:val="18"/>
                <w:color w:val="auto"/>
              </w:rPr>
              <w:t>Other debt obligations</w:t>
            </w:r>
          </w:p>
        </w:tc>
        <w:tc>
          <w:tcPr>
            <w:tcW w:w="58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ind w:left="86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20.6</w:t>
            </w:r>
          </w:p>
        </w:tc>
        <w:tc>
          <w:tcPr>
            <w:tcW w:w="26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ind w:left="88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24"/>
        </w:trPr>
        <w:tc>
          <w:tcPr>
            <w:tcW w:w="3500" w:type="dxa"/>
            <w:vAlign w:val="bottom"/>
          </w:tcPr>
          <w:p>
            <w:pPr>
              <w:spacing w:after="0"/>
              <w:rPr>
                <w:sz w:val="20"/>
                <w:szCs w:val="20"/>
                <w:color w:val="auto"/>
              </w:rPr>
            </w:pPr>
            <w:r>
              <w:rPr>
                <w:rFonts w:ascii="Arial" w:cs="Arial" w:eastAsia="Arial" w:hAnsi="Arial"/>
                <w:sz w:val="18"/>
                <w:szCs w:val="18"/>
                <w:color w:val="auto"/>
              </w:rPr>
              <w:t>Total fixed maturities, available-for-sale</w:t>
            </w:r>
          </w:p>
        </w:tc>
        <w:tc>
          <w:tcPr>
            <w:tcW w:w="5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00" w:type="dxa"/>
            <w:vAlign w:val="bottom"/>
          </w:tcPr>
          <w:p>
            <w:pPr>
              <w:ind w:left="86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247.2</w:t>
            </w:r>
          </w:p>
        </w:tc>
        <w:tc>
          <w:tcPr>
            <w:tcW w:w="2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20" w:type="dxa"/>
            <w:vAlign w:val="bottom"/>
          </w:tcPr>
          <w:p>
            <w:pPr>
              <w:ind w:left="88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225.4</w:t>
            </w:r>
          </w:p>
        </w:tc>
      </w:tr>
    </w:tbl>
    <w:p>
      <w:pPr>
        <w:spacing w:after="0" w:line="187" w:lineRule="exact"/>
        <w:rPr>
          <w:sz w:val="20"/>
          <w:szCs w:val="20"/>
          <w:color w:val="auto"/>
        </w:rPr>
      </w:pPr>
    </w:p>
    <w:p>
      <w:pPr>
        <w:jc w:val="both"/>
        <w:ind w:right="120" w:firstLine="648"/>
        <w:spacing w:after="0" w:line="286" w:lineRule="auto"/>
        <w:rPr>
          <w:sz w:val="20"/>
          <w:szCs w:val="20"/>
          <w:color w:val="auto"/>
        </w:rPr>
      </w:pPr>
      <w:r>
        <w:rPr>
          <w:rFonts w:ascii="Arial" w:cs="Arial" w:eastAsia="Arial" w:hAnsi="Arial"/>
          <w:sz w:val="17"/>
          <w:szCs w:val="17"/>
          <w:color w:val="auto"/>
        </w:rPr>
        <w:t>Assets transferred into Level 3 during the three and six months ended June 30, 2022 and 2021, primarily included those assets for which we are now unable to obtain pricing from a recognized third party pricing vendor as well as assets that were previously priced using a matrix valuation approach that may no longer be relevant when applied to asset-specific situations.</w:t>
      </w:r>
    </w:p>
    <w:p>
      <w:pPr>
        <w:spacing w:after="0" w:line="165" w:lineRule="exact"/>
        <w:rPr>
          <w:sz w:val="20"/>
          <w:szCs w:val="20"/>
          <w:color w:val="auto"/>
        </w:rPr>
      </w:pPr>
    </w:p>
    <w:p>
      <w:pPr>
        <w:ind w:right="20" w:firstLine="648"/>
        <w:spacing w:after="0" w:line="263" w:lineRule="auto"/>
        <w:rPr>
          <w:sz w:val="20"/>
          <w:szCs w:val="20"/>
          <w:color w:val="auto"/>
        </w:rPr>
      </w:pPr>
      <w:r>
        <w:rPr>
          <w:rFonts w:ascii="Arial" w:cs="Arial" w:eastAsia="Arial" w:hAnsi="Arial"/>
          <w:sz w:val="18"/>
          <w:szCs w:val="18"/>
          <w:color w:val="auto"/>
        </w:rPr>
        <w:t>Assets transferred out of Level 3 during the three and six months ended June 30, 2022, primarily included those assets for which we are now able to obtain pricing from a recognized third party pricing vendor or from internal models using substantially all market observable information.</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Quantitative Information about Level 3 Fair Value Measurements</w:t>
      </w:r>
    </w:p>
    <w:p>
      <w:pPr>
        <w:spacing w:after="0" w:line="229" w:lineRule="exact"/>
        <w:rPr>
          <w:sz w:val="20"/>
          <w:szCs w:val="20"/>
          <w:color w:val="auto"/>
        </w:rPr>
      </w:pPr>
    </w:p>
    <w:p>
      <w:pPr>
        <w:ind w:right="120" w:firstLine="648"/>
        <w:spacing w:after="0" w:line="296" w:lineRule="auto"/>
        <w:rPr>
          <w:sz w:val="20"/>
          <w:szCs w:val="20"/>
          <w:color w:val="auto"/>
        </w:rPr>
      </w:pPr>
      <w:r>
        <w:rPr>
          <w:rFonts w:ascii="Arial" w:cs="Arial" w:eastAsia="Arial" w:hAnsi="Arial"/>
          <w:sz w:val="16"/>
          <w:szCs w:val="16"/>
          <w:color w:val="auto"/>
        </w:rPr>
        <w:t>The following table provides quantitative information about the significant unobservable inputs used for recurring fair value measurements categorized within Level 3, excluding assets and liabilities for which significant quantitative unobservable inputs are not developed internally, which primarily consists of those valued using broker quotes. The funds withheld payable embedded derivative is excluded from the table as the determination of its fair value incorporates the fair value of the invested assets supporting the reinsurance agreement. Refer to “Assets and liabilities measured at fair value on a recurring basis” for a complete valuation hierarchy summary.</w:t>
      </w:r>
    </w:p>
    <w:p>
      <w:pPr>
        <w:spacing w:after="0" w:line="200" w:lineRule="exact"/>
        <w:rPr>
          <w:sz w:val="20"/>
          <w:szCs w:val="20"/>
          <w:color w:val="auto"/>
        </w:rPr>
      </w:pPr>
    </w:p>
    <w:p>
      <w:pPr>
        <w:spacing w:after="0" w:line="3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540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72" w:name="page73"/>
    <w:bookmarkEnd w:id="72"/>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(Unaudited)</w:t>
      </w:r>
    </w:p>
    <w:p>
      <w:pPr>
        <w:spacing w:after="0" w:line="229" w:lineRule="exact"/>
        <w:rPr>
          <w:sz w:val="20"/>
          <w:szCs w:val="20"/>
          <w:color w:val="auto"/>
        </w:rPr>
      </w:pPr>
    </w:p>
    <w:tbl>
      <w:tblPr>
        <w:tblLayout w:type="fixed"/>
        <w:tblInd w:w="10" w:type="dxa"/>
        <w:tblCellMar>
          <w:top w:w="0" w:type="dxa"/>
          <w:left w:w="0" w:type="dxa"/>
          <w:bottom w:w="0" w:type="dxa"/>
          <w:right w:w="0" w:type="dxa"/>
        </w:tblCellMar>
      </w:tblPr>
      <w:tr>
        <w:trPr>
          <w:trHeight w:val="171"/>
        </w:trPr>
        <w:tc>
          <w:tcPr>
            <w:tcW w:w="25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16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2100" w:type="dxa"/>
            <w:vAlign w:val="bottom"/>
            <w:tcBorders>
              <w:bottom w:val="single" w:sz="8" w:color="auto"/>
            </w:tcBorders>
            <w:gridSpan w:val="3"/>
          </w:tcPr>
          <w:p>
            <w:pPr>
              <w:ind w:left="800"/>
              <w:spacing w:after="0"/>
              <w:rPr>
                <w:sz w:val="20"/>
                <w:szCs w:val="20"/>
                <w:color w:val="auto"/>
              </w:rPr>
            </w:pPr>
            <w:r>
              <w:rPr>
                <w:rFonts w:ascii="Arial" w:cs="Arial" w:eastAsia="Arial" w:hAnsi="Arial"/>
                <w:sz w:val="14"/>
                <w:szCs w:val="14"/>
                <w:b w:val="1"/>
                <w:bCs w:val="1"/>
                <w:color w:val="auto"/>
              </w:rPr>
              <w:t>June 30, 2022</w:t>
            </w:r>
          </w:p>
        </w:tc>
        <w:tc>
          <w:tcPr>
            <w:tcW w:w="118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5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60" w:type="dxa"/>
            <w:vAlign w:val="bottom"/>
          </w:tcPr>
          <w:p>
            <w:pPr>
              <w:jc w:val="center"/>
              <w:ind w:right="2"/>
              <w:spacing w:after="0" w:line="119" w:lineRule="exact"/>
              <w:rPr>
                <w:sz w:val="20"/>
                <w:szCs w:val="20"/>
                <w:color w:val="auto"/>
              </w:rPr>
            </w:pPr>
            <w:r>
              <w:rPr>
                <w:rFonts w:ascii="Arial" w:cs="Arial" w:eastAsia="Arial" w:hAnsi="Arial"/>
                <w:sz w:val="13"/>
                <w:szCs w:val="13"/>
                <w:b w:val="1"/>
                <w:bCs w:val="1"/>
                <w:color w:val="auto"/>
                <w:w w:val="92"/>
              </w:rPr>
              <w:t>Assets /</w:t>
            </w:r>
          </w:p>
        </w:tc>
        <w:tc>
          <w:tcPr>
            <w:tcW w:w="200" w:type="dxa"/>
            <w:vAlign w:val="bottom"/>
          </w:tcPr>
          <w:p>
            <w:pPr>
              <w:spacing w:after="0"/>
              <w:rPr>
                <w:sz w:val="10"/>
                <w:szCs w:val="10"/>
                <w:color w:val="auto"/>
              </w:rPr>
            </w:pPr>
          </w:p>
        </w:tc>
        <w:tc>
          <w:tcPr>
            <w:tcW w:w="11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3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11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8"/>
        </w:trPr>
        <w:tc>
          <w:tcPr>
            <w:tcW w:w="2580" w:type="dxa"/>
            <w:vAlign w:val="bottom"/>
          </w:tcPr>
          <w:p>
            <w:pPr>
              <w:spacing w:after="0"/>
              <w:rPr>
                <w:sz w:val="12"/>
                <w:szCs w:val="12"/>
                <w:color w:val="auto"/>
              </w:rPr>
            </w:pPr>
          </w:p>
        </w:tc>
        <w:tc>
          <w:tcPr>
            <w:tcW w:w="76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5"/>
              </w:rPr>
              <w:t>(liabilities)</w:t>
            </w:r>
          </w:p>
        </w:tc>
        <w:tc>
          <w:tcPr>
            <w:tcW w:w="200" w:type="dxa"/>
            <w:vAlign w:val="bottom"/>
          </w:tcPr>
          <w:p>
            <w:pPr>
              <w:spacing w:after="0"/>
              <w:rPr>
                <w:sz w:val="12"/>
                <w:szCs w:val="12"/>
                <w:color w:val="auto"/>
              </w:rPr>
            </w:pPr>
          </w:p>
        </w:tc>
        <w:tc>
          <w:tcPr>
            <w:tcW w:w="1160" w:type="dxa"/>
            <w:vAlign w:val="bottom"/>
            <w:vMerge w:val="restart"/>
          </w:tcPr>
          <w:p>
            <w:pPr>
              <w:ind w:left="280"/>
              <w:spacing w:after="0"/>
              <w:rPr>
                <w:sz w:val="20"/>
                <w:szCs w:val="20"/>
                <w:color w:val="auto"/>
              </w:rPr>
            </w:pPr>
            <w:r>
              <w:rPr>
                <w:rFonts w:ascii="Arial" w:cs="Arial" w:eastAsia="Arial" w:hAnsi="Arial"/>
                <w:sz w:val="14"/>
                <w:szCs w:val="14"/>
                <w:b w:val="1"/>
                <w:bCs w:val="1"/>
                <w:color w:val="auto"/>
              </w:rPr>
              <w:t>Valuation</w:t>
            </w:r>
          </w:p>
        </w:tc>
        <w:tc>
          <w:tcPr>
            <w:tcW w:w="200" w:type="dxa"/>
            <w:vAlign w:val="bottom"/>
          </w:tcPr>
          <w:p>
            <w:pPr>
              <w:spacing w:after="0"/>
              <w:rPr>
                <w:sz w:val="12"/>
                <w:szCs w:val="12"/>
                <w:color w:val="auto"/>
              </w:rPr>
            </w:pPr>
          </w:p>
        </w:tc>
        <w:tc>
          <w:tcPr>
            <w:tcW w:w="1540" w:type="dxa"/>
            <w:vAlign w:val="bottom"/>
            <w:gridSpan w:val="2"/>
            <w:vMerge w:val="restart"/>
          </w:tcPr>
          <w:p>
            <w:pPr>
              <w:ind w:left="240"/>
              <w:spacing w:after="0"/>
              <w:rPr>
                <w:sz w:val="20"/>
                <w:szCs w:val="20"/>
                <w:color w:val="auto"/>
              </w:rPr>
            </w:pPr>
            <w:r>
              <w:rPr>
                <w:rFonts w:ascii="Arial" w:cs="Arial" w:eastAsia="Arial" w:hAnsi="Arial"/>
                <w:sz w:val="14"/>
                <w:szCs w:val="14"/>
                <w:b w:val="1"/>
                <w:bCs w:val="1"/>
                <w:color w:val="auto"/>
              </w:rPr>
              <w:t>Unobservable</w:t>
            </w:r>
          </w:p>
        </w:tc>
        <w:tc>
          <w:tcPr>
            <w:tcW w:w="560" w:type="dxa"/>
            <w:vAlign w:val="bottom"/>
          </w:tcPr>
          <w:p>
            <w:pPr>
              <w:spacing w:after="0"/>
              <w:rPr>
                <w:sz w:val="12"/>
                <w:szCs w:val="12"/>
                <w:color w:val="auto"/>
              </w:rPr>
            </w:pPr>
          </w:p>
        </w:tc>
        <w:tc>
          <w:tcPr>
            <w:tcW w:w="1180" w:type="dxa"/>
            <w:vAlign w:val="bottom"/>
            <w:vMerge w:val="restart"/>
          </w:tcPr>
          <w:p>
            <w:pPr>
              <w:ind w:left="260"/>
              <w:spacing w:after="0"/>
              <w:rPr>
                <w:sz w:val="20"/>
                <w:szCs w:val="20"/>
                <w:color w:val="auto"/>
              </w:rPr>
            </w:pPr>
            <w:r>
              <w:rPr>
                <w:rFonts w:ascii="Arial" w:cs="Arial" w:eastAsia="Arial" w:hAnsi="Arial"/>
                <w:sz w:val="14"/>
                <w:szCs w:val="14"/>
                <w:b w:val="1"/>
                <w:bCs w:val="1"/>
                <w:color w:val="auto"/>
                <w:w w:val="96"/>
              </w:rPr>
              <w:t>Input/range of</w:t>
            </w:r>
          </w:p>
        </w:tc>
        <w:tc>
          <w:tcPr>
            <w:tcW w:w="6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80" w:type="dxa"/>
            <w:vAlign w:val="bottom"/>
            <w:gridSpan w:val="2"/>
            <w:vMerge w:val="restart"/>
          </w:tcPr>
          <w:p>
            <w:pPr>
              <w:jc w:val="right"/>
              <w:ind w:right="19"/>
              <w:spacing w:after="0"/>
              <w:rPr>
                <w:sz w:val="20"/>
                <w:szCs w:val="20"/>
                <w:color w:val="auto"/>
              </w:rPr>
            </w:pPr>
            <w:r>
              <w:rPr>
                <w:rFonts w:ascii="Arial" w:cs="Arial" w:eastAsia="Arial" w:hAnsi="Arial"/>
                <w:sz w:val="14"/>
                <w:szCs w:val="14"/>
                <w:b w:val="1"/>
                <w:bCs w:val="1"/>
                <w:color w:val="auto"/>
              </w:rPr>
              <w:t>Weighted</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580" w:type="dxa"/>
            <w:vAlign w:val="bottom"/>
          </w:tcPr>
          <w:p>
            <w:pPr>
              <w:spacing w:after="0"/>
              <w:rPr>
                <w:sz w:val="12"/>
                <w:szCs w:val="12"/>
                <w:color w:val="auto"/>
              </w:rPr>
            </w:pPr>
          </w:p>
        </w:tc>
        <w:tc>
          <w:tcPr>
            <w:tcW w:w="76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2"/>
              </w:rPr>
              <w:t>measured at</w:t>
            </w:r>
          </w:p>
        </w:tc>
        <w:tc>
          <w:tcPr>
            <w:tcW w:w="200" w:type="dxa"/>
            <w:vAlign w:val="bottom"/>
          </w:tcPr>
          <w:p>
            <w:pPr>
              <w:spacing w:after="0"/>
              <w:rPr>
                <w:sz w:val="12"/>
                <w:szCs w:val="12"/>
                <w:color w:val="auto"/>
              </w:rPr>
            </w:pPr>
          </w:p>
        </w:tc>
        <w:tc>
          <w:tcPr>
            <w:tcW w:w="1160" w:type="dxa"/>
            <w:vAlign w:val="bottom"/>
            <w:vMerge w:val="continue"/>
          </w:tcPr>
          <w:p>
            <w:pPr>
              <w:spacing w:after="0"/>
              <w:rPr>
                <w:sz w:val="12"/>
                <w:szCs w:val="12"/>
                <w:color w:val="auto"/>
              </w:rPr>
            </w:pPr>
          </w:p>
        </w:tc>
        <w:tc>
          <w:tcPr>
            <w:tcW w:w="200" w:type="dxa"/>
            <w:vAlign w:val="bottom"/>
          </w:tcPr>
          <w:p>
            <w:pPr>
              <w:spacing w:after="0"/>
              <w:rPr>
                <w:sz w:val="12"/>
                <w:szCs w:val="12"/>
                <w:color w:val="auto"/>
              </w:rPr>
            </w:pPr>
          </w:p>
        </w:tc>
        <w:tc>
          <w:tcPr>
            <w:tcW w:w="1540" w:type="dxa"/>
            <w:vAlign w:val="bottom"/>
            <w:gridSpan w:val="2"/>
            <w:vMerge w:val="continue"/>
          </w:tcPr>
          <w:p>
            <w:pPr>
              <w:spacing w:after="0"/>
              <w:rPr>
                <w:sz w:val="12"/>
                <w:szCs w:val="12"/>
                <w:color w:val="auto"/>
              </w:rPr>
            </w:pPr>
          </w:p>
        </w:tc>
        <w:tc>
          <w:tcPr>
            <w:tcW w:w="560" w:type="dxa"/>
            <w:vAlign w:val="bottom"/>
          </w:tcPr>
          <w:p>
            <w:pPr>
              <w:spacing w:after="0"/>
              <w:rPr>
                <w:sz w:val="12"/>
                <w:szCs w:val="12"/>
                <w:color w:val="auto"/>
              </w:rPr>
            </w:pPr>
          </w:p>
        </w:tc>
        <w:tc>
          <w:tcPr>
            <w:tcW w:w="1180" w:type="dxa"/>
            <w:vAlign w:val="bottom"/>
            <w:vMerge w:val="continue"/>
          </w:tcPr>
          <w:p>
            <w:pPr>
              <w:spacing w:after="0"/>
              <w:rPr>
                <w:sz w:val="12"/>
                <w:szCs w:val="12"/>
                <w:color w:val="auto"/>
              </w:rPr>
            </w:pPr>
          </w:p>
        </w:tc>
        <w:tc>
          <w:tcPr>
            <w:tcW w:w="6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80" w:type="dxa"/>
            <w:vAlign w:val="bottom"/>
            <w:gridSpan w:val="2"/>
            <w:vMerge w:val="continue"/>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Pr>
          <w:p>
            <w:pPr>
              <w:jc w:val="center"/>
              <w:ind w:right="2"/>
              <w:spacing w:after="0"/>
              <w:rPr>
                <w:sz w:val="20"/>
                <w:szCs w:val="20"/>
                <w:color w:val="auto"/>
              </w:rPr>
            </w:pPr>
            <w:r>
              <w:rPr>
                <w:rFonts w:ascii="Arial" w:cs="Arial" w:eastAsia="Arial" w:hAnsi="Arial"/>
                <w:sz w:val="14"/>
                <w:szCs w:val="14"/>
                <w:b w:val="1"/>
                <w:bCs w:val="1"/>
                <w:color w:val="auto"/>
                <w:w w:val="94"/>
              </w:rPr>
              <w:t>fair value</w:t>
            </w:r>
          </w:p>
        </w:tc>
        <w:tc>
          <w:tcPr>
            <w:tcW w:w="200" w:type="dxa"/>
            <w:vAlign w:val="bottom"/>
          </w:tcPr>
          <w:p>
            <w:pPr>
              <w:spacing w:after="0"/>
              <w:rPr>
                <w:sz w:val="14"/>
                <w:szCs w:val="14"/>
                <w:color w:val="auto"/>
              </w:rPr>
            </w:pPr>
          </w:p>
        </w:tc>
        <w:tc>
          <w:tcPr>
            <w:tcW w:w="1160" w:type="dxa"/>
            <w:vAlign w:val="bottom"/>
          </w:tcPr>
          <w:p>
            <w:pPr>
              <w:ind w:left="200"/>
              <w:spacing w:after="0"/>
              <w:rPr>
                <w:sz w:val="20"/>
                <w:szCs w:val="20"/>
                <w:color w:val="auto"/>
              </w:rPr>
            </w:pPr>
            <w:r>
              <w:rPr>
                <w:rFonts w:ascii="Arial" w:cs="Arial" w:eastAsia="Arial" w:hAnsi="Arial"/>
                <w:sz w:val="14"/>
                <w:szCs w:val="14"/>
                <w:b w:val="1"/>
                <w:bCs w:val="1"/>
                <w:color w:val="auto"/>
              </w:rPr>
              <w:t>technique(s)</w:t>
            </w:r>
          </w:p>
        </w:tc>
        <w:tc>
          <w:tcPr>
            <w:tcW w:w="200" w:type="dxa"/>
            <w:vAlign w:val="bottom"/>
          </w:tcPr>
          <w:p>
            <w:pPr>
              <w:spacing w:after="0"/>
              <w:rPr>
                <w:sz w:val="14"/>
                <w:szCs w:val="14"/>
                <w:color w:val="auto"/>
              </w:rPr>
            </w:pPr>
          </w:p>
        </w:tc>
        <w:tc>
          <w:tcPr>
            <w:tcW w:w="1540" w:type="dxa"/>
            <w:vAlign w:val="bottom"/>
            <w:gridSpan w:val="2"/>
          </w:tcPr>
          <w:p>
            <w:pPr>
              <w:ind w:left="140"/>
              <w:spacing w:after="0"/>
              <w:rPr>
                <w:sz w:val="20"/>
                <w:szCs w:val="20"/>
                <w:color w:val="auto"/>
              </w:rPr>
            </w:pPr>
            <w:r>
              <w:rPr>
                <w:rFonts w:ascii="Arial" w:cs="Arial" w:eastAsia="Arial" w:hAnsi="Arial"/>
                <w:sz w:val="14"/>
                <w:szCs w:val="14"/>
                <w:b w:val="1"/>
                <w:bCs w:val="1"/>
                <w:color w:val="auto"/>
              </w:rPr>
              <w:t>input description</w:t>
            </w:r>
          </w:p>
        </w:tc>
        <w:tc>
          <w:tcPr>
            <w:tcW w:w="560" w:type="dxa"/>
            <w:vAlign w:val="bottom"/>
          </w:tcPr>
          <w:p>
            <w:pPr>
              <w:spacing w:after="0"/>
              <w:rPr>
                <w:sz w:val="14"/>
                <w:szCs w:val="14"/>
                <w:color w:val="auto"/>
              </w:rPr>
            </w:pPr>
          </w:p>
        </w:tc>
        <w:tc>
          <w:tcPr>
            <w:tcW w:w="1180" w:type="dxa"/>
            <w:vAlign w:val="bottom"/>
          </w:tcPr>
          <w:p>
            <w:pPr>
              <w:ind w:left="520"/>
              <w:spacing w:after="0"/>
              <w:rPr>
                <w:sz w:val="20"/>
                <w:szCs w:val="20"/>
                <w:color w:val="auto"/>
              </w:rPr>
            </w:pPr>
            <w:r>
              <w:rPr>
                <w:rFonts w:ascii="Arial" w:cs="Arial" w:eastAsia="Arial" w:hAnsi="Arial"/>
                <w:sz w:val="14"/>
                <w:szCs w:val="14"/>
                <w:b w:val="1"/>
                <w:bCs w:val="1"/>
                <w:color w:val="auto"/>
              </w:rPr>
              <w:t>inputs</w:t>
            </w:r>
          </w:p>
        </w:tc>
        <w:tc>
          <w:tcPr>
            <w:tcW w:w="6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80" w:type="dxa"/>
            <w:vAlign w:val="bottom"/>
            <w:gridSpan w:val="2"/>
          </w:tcPr>
          <w:p>
            <w:pPr>
              <w:jc w:val="right"/>
              <w:ind w:right="59"/>
              <w:spacing w:after="0"/>
              <w:rPr>
                <w:sz w:val="20"/>
                <w:szCs w:val="20"/>
                <w:color w:val="auto"/>
              </w:rPr>
            </w:pPr>
            <w:r>
              <w:rPr>
                <w:rFonts w:ascii="Arial" w:cs="Arial" w:eastAsia="Arial" w:hAnsi="Arial"/>
                <w:sz w:val="14"/>
                <w:szCs w:val="14"/>
                <w:b w:val="1"/>
                <w:bCs w:val="1"/>
                <w:color w:val="auto"/>
              </w:rPr>
              <w:t>average</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580" w:type="dxa"/>
            <w:vAlign w:val="bottom"/>
          </w:tcPr>
          <w:p>
            <w:pPr>
              <w:spacing w:after="0"/>
              <w:rPr>
                <w:sz w:val="12"/>
                <w:szCs w:val="12"/>
                <w:color w:val="auto"/>
              </w:rPr>
            </w:pPr>
          </w:p>
        </w:tc>
        <w:tc>
          <w:tcPr>
            <w:tcW w:w="760" w:type="dxa"/>
            <w:vAlign w:val="bottom"/>
            <w:tcBorders>
              <w:top w:val="single" w:sz="8" w:color="auto"/>
            </w:tcBorders>
            <w:gridSpan w:val="2"/>
          </w:tcPr>
          <w:p>
            <w:pPr>
              <w:jc w:val="center"/>
              <w:spacing w:after="0" w:line="142" w:lineRule="exact"/>
              <w:rPr>
                <w:sz w:val="20"/>
                <w:szCs w:val="20"/>
                <w:color w:val="auto"/>
              </w:rPr>
            </w:pPr>
            <w:r>
              <w:rPr>
                <w:rFonts w:ascii="Arial" w:cs="Arial" w:eastAsia="Arial" w:hAnsi="Arial"/>
                <w:sz w:val="14"/>
                <w:szCs w:val="14"/>
                <w:i w:val="1"/>
                <w:iCs w:val="1"/>
                <w:color w:val="auto"/>
                <w:w w:val="98"/>
              </w:rPr>
              <w:t>(in millions)</w:t>
            </w:r>
          </w:p>
        </w:tc>
        <w:tc>
          <w:tcPr>
            <w:tcW w:w="200" w:type="dxa"/>
            <w:vAlign w:val="bottom"/>
          </w:tcPr>
          <w:p>
            <w:pPr>
              <w:spacing w:after="0"/>
              <w:rPr>
                <w:sz w:val="12"/>
                <w:szCs w:val="12"/>
                <w:color w:val="auto"/>
              </w:rPr>
            </w:pPr>
          </w:p>
        </w:tc>
        <w:tc>
          <w:tcPr>
            <w:tcW w:w="1160" w:type="dxa"/>
            <w:vAlign w:val="bottom"/>
            <w:tcBorders>
              <w:top w:val="single" w:sz="8" w:color="auto"/>
            </w:tcBorders>
          </w:tcPr>
          <w:p>
            <w:pPr>
              <w:spacing w:after="0"/>
              <w:rPr>
                <w:sz w:val="12"/>
                <w:szCs w:val="12"/>
                <w:color w:val="auto"/>
              </w:rPr>
            </w:pPr>
          </w:p>
        </w:tc>
        <w:tc>
          <w:tcPr>
            <w:tcW w:w="200" w:type="dxa"/>
            <w:vAlign w:val="bottom"/>
          </w:tcPr>
          <w:p>
            <w:pPr>
              <w:spacing w:after="0"/>
              <w:rPr>
                <w:sz w:val="12"/>
                <w:szCs w:val="12"/>
                <w:color w:val="auto"/>
              </w:rPr>
            </w:pPr>
          </w:p>
        </w:tc>
        <w:tc>
          <w:tcPr>
            <w:tcW w:w="1360" w:type="dxa"/>
            <w:vAlign w:val="bottom"/>
            <w:tcBorders>
              <w:top w:val="single" w:sz="8" w:color="auto"/>
            </w:tcBorders>
          </w:tcPr>
          <w:p>
            <w:pPr>
              <w:spacing w:after="0"/>
              <w:rPr>
                <w:sz w:val="12"/>
                <w:szCs w:val="12"/>
                <w:color w:val="auto"/>
              </w:rPr>
            </w:pPr>
          </w:p>
        </w:tc>
        <w:tc>
          <w:tcPr>
            <w:tcW w:w="180" w:type="dxa"/>
            <w:vAlign w:val="bottom"/>
          </w:tcPr>
          <w:p>
            <w:pPr>
              <w:spacing w:after="0"/>
              <w:rPr>
                <w:sz w:val="12"/>
                <w:szCs w:val="12"/>
                <w:color w:val="auto"/>
              </w:rPr>
            </w:pPr>
          </w:p>
        </w:tc>
        <w:tc>
          <w:tcPr>
            <w:tcW w:w="560" w:type="dxa"/>
            <w:vAlign w:val="bottom"/>
            <w:tcBorders>
              <w:top w:val="single" w:sz="8" w:color="auto"/>
            </w:tcBorders>
          </w:tcPr>
          <w:p>
            <w:pPr>
              <w:spacing w:after="0"/>
              <w:rPr>
                <w:sz w:val="12"/>
                <w:szCs w:val="12"/>
                <w:color w:val="auto"/>
              </w:rPr>
            </w:pPr>
          </w:p>
        </w:tc>
        <w:tc>
          <w:tcPr>
            <w:tcW w:w="1180" w:type="dxa"/>
            <w:vAlign w:val="bottom"/>
            <w:tcBorders>
              <w:top w:val="single" w:sz="8" w:color="auto"/>
            </w:tcBorders>
          </w:tcPr>
          <w:p>
            <w:pPr>
              <w:spacing w:after="0"/>
              <w:rPr>
                <w:sz w:val="12"/>
                <w:szCs w:val="12"/>
                <w:color w:val="auto"/>
              </w:rPr>
            </w:pPr>
          </w:p>
        </w:tc>
        <w:tc>
          <w:tcPr>
            <w:tcW w:w="68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480" w:type="dxa"/>
            <w:vAlign w:val="bottom"/>
            <w:tcBorders>
              <w:top w:val="single" w:sz="8" w:color="auto"/>
            </w:tcBorders>
          </w:tcPr>
          <w:p>
            <w:pPr>
              <w:spacing w:after="0"/>
              <w:rPr>
                <w:sz w:val="12"/>
                <w:szCs w:val="12"/>
                <w:color w:val="auto"/>
              </w:rPr>
            </w:pPr>
          </w:p>
        </w:tc>
        <w:tc>
          <w:tcPr>
            <w:tcW w:w="300" w:type="dxa"/>
            <w:vAlign w:val="bottom"/>
            <w:tcBorders>
              <w:top w:val="single" w:sz="8" w:color="auto"/>
            </w:tcBorders>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2580" w:type="dxa"/>
            <w:vAlign w:val="bottom"/>
            <w:tcBorders>
              <w:left w:val="single" w:sz="8" w:color="CCEEFF"/>
              <w:bottom w:val="single" w:sz="8" w:color="auto"/>
            </w:tcBorders>
            <w:shd w:val="clear" w:color="auto" w:fill="CCEEFF"/>
          </w:tcPr>
          <w:p>
            <w:pPr>
              <w:spacing w:after="0"/>
              <w:rPr>
                <w:sz w:val="20"/>
                <w:szCs w:val="20"/>
                <w:color w:val="auto"/>
              </w:rPr>
            </w:pPr>
            <w:r>
              <w:rPr>
                <w:rFonts w:ascii="Arial" w:cs="Arial" w:eastAsia="Arial" w:hAnsi="Arial"/>
                <w:sz w:val="16"/>
                <w:szCs w:val="16"/>
                <w:b w:val="1"/>
                <w:bCs w:val="1"/>
                <w:color w:val="auto"/>
              </w:rPr>
              <w:t>Assets</w:t>
            </w:r>
          </w:p>
        </w:tc>
        <w:tc>
          <w:tcPr>
            <w:tcW w:w="100" w:type="dxa"/>
            <w:vAlign w:val="bottom"/>
            <w:tcBorders>
              <w:bottom w:val="single" w:sz="8" w:color="auto"/>
            </w:tcBorders>
            <w:shd w:val="clear" w:color="auto" w:fill="CCEEFF"/>
          </w:tcPr>
          <w:p>
            <w:pPr>
              <w:spacing w:after="0"/>
              <w:rPr>
                <w:sz w:val="17"/>
                <w:szCs w:val="17"/>
                <w:color w:val="auto"/>
              </w:rPr>
            </w:pPr>
          </w:p>
        </w:tc>
        <w:tc>
          <w:tcPr>
            <w:tcW w:w="660" w:type="dxa"/>
            <w:vAlign w:val="bottom"/>
            <w:tcBorders>
              <w:bottom w:val="single" w:sz="8" w:color="auto"/>
            </w:tcBorders>
            <w:shd w:val="clear" w:color="auto" w:fill="CCEEFF"/>
          </w:tcPr>
          <w:p>
            <w:pPr>
              <w:spacing w:after="0"/>
              <w:rPr>
                <w:sz w:val="17"/>
                <w:szCs w:val="17"/>
                <w:color w:val="auto"/>
              </w:rPr>
            </w:pPr>
          </w:p>
        </w:tc>
        <w:tc>
          <w:tcPr>
            <w:tcW w:w="200" w:type="dxa"/>
            <w:vAlign w:val="bottom"/>
            <w:tcBorders>
              <w:bottom w:val="single" w:sz="8" w:color="auto"/>
              <w:right w:val="single" w:sz="8" w:color="CCEEFF"/>
            </w:tcBorders>
            <w:shd w:val="clear" w:color="auto" w:fill="CCEEFF"/>
          </w:tcPr>
          <w:p>
            <w:pPr>
              <w:spacing w:after="0"/>
              <w:rPr>
                <w:sz w:val="17"/>
                <w:szCs w:val="17"/>
                <w:color w:val="auto"/>
              </w:rPr>
            </w:pPr>
          </w:p>
        </w:tc>
        <w:tc>
          <w:tcPr>
            <w:tcW w:w="1160" w:type="dxa"/>
            <w:vAlign w:val="bottom"/>
            <w:tcBorders>
              <w:bottom w:val="single" w:sz="8" w:color="auto"/>
            </w:tcBorders>
            <w:shd w:val="clear" w:color="auto" w:fill="CCEEFF"/>
          </w:tcPr>
          <w:p>
            <w:pPr>
              <w:spacing w:after="0"/>
              <w:rPr>
                <w:sz w:val="17"/>
                <w:szCs w:val="17"/>
                <w:color w:val="auto"/>
              </w:rPr>
            </w:pPr>
          </w:p>
        </w:tc>
        <w:tc>
          <w:tcPr>
            <w:tcW w:w="200" w:type="dxa"/>
            <w:vAlign w:val="bottom"/>
            <w:tcBorders>
              <w:bottom w:val="single" w:sz="8" w:color="auto"/>
              <w:right w:val="single" w:sz="8" w:color="CCEEFF"/>
            </w:tcBorders>
            <w:shd w:val="clear" w:color="auto" w:fill="CCEEFF"/>
          </w:tcPr>
          <w:p>
            <w:pPr>
              <w:spacing w:after="0"/>
              <w:rPr>
                <w:sz w:val="17"/>
                <w:szCs w:val="17"/>
                <w:color w:val="auto"/>
              </w:rPr>
            </w:pPr>
          </w:p>
        </w:tc>
        <w:tc>
          <w:tcPr>
            <w:tcW w:w="1360" w:type="dxa"/>
            <w:vAlign w:val="bottom"/>
            <w:tcBorders>
              <w:bottom w:val="single" w:sz="8" w:color="auto"/>
            </w:tcBorders>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560" w:type="dxa"/>
            <w:vAlign w:val="bottom"/>
            <w:tcBorders>
              <w:bottom w:val="single" w:sz="8" w:color="auto"/>
            </w:tcBorders>
            <w:shd w:val="clear" w:color="auto" w:fill="CCEEFF"/>
          </w:tcPr>
          <w:p>
            <w:pPr>
              <w:spacing w:after="0"/>
              <w:rPr>
                <w:sz w:val="17"/>
                <w:szCs w:val="17"/>
                <w:color w:val="auto"/>
              </w:rPr>
            </w:pPr>
          </w:p>
        </w:tc>
        <w:tc>
          <w:tcPr>
            <w:tcW w:w="118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480" w:type="dxa"/>
            <w:vAlign w:val="bottom"/>
            <w:tcBorders>
              <w:bottom w:val="single" w:sz="8" w:color="auto"/>
            </w:tcBorders>
            <w:shd w:val="clear" w:color="auto" w:fill="CCEEFF"/>
          </w:tcPr>
          <w:p>
            <w:pPr>
              <w:spacing w:after="0"/>
              <w:rPr>
                <w:sz w:val="17"/>
                <w:szCs w:val="17"/>
                <w:color w:val="auto"/>
              </w:rPr>
            </w:pPr>
          </w:p>
        </w:tc>
        <w:tc>
          <w:tcPr>
            <w:tcW w:w="300" w:type="dxa"/>
            <w:vAlign w:val="bottom"/>
            <w:tcBorders>
              <w:bottom w:val="single" w:sz="8" w:color="auto"/>
            </w:tcBorders>
            <w:shd w:val="clear" w:color="auto" w:fill="CCEEFF"/>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2580" w:type="dxa"/>
            <w:vAlign w:val="bottom"/>
            <w:tcBorders>
              <w:left w:val="single" w:sz="8" w:color="auto"/>
              <w:bottom w:val="single" w:sz="8" w:color="auto"/>
            </w:tcBorders>
          </w:tcPr>
          <w:p>
            <w:pPr>
              <w:ind w:left="20"/>
              <w:spacing w:after="0"/>
              <w:rPr>
                <w:sz w:val="20"/>
                <w:szCs w:val="20"/>
                <w:color w:val="auto"/>
              </w:rPr>
            </w:pPr>
            <w:r>
              <w:rPr>
                <w:rFonts w:ascii="Arial" w:cs="Arial" w:eastAsia="Arial" w:hAnsi="Arial"/>
                <w:sz w:val="16"/>
                <w:szCs w:val="16"/>
                <w:color w:val="auto"/>
              </w:rPr>
              <w:t>Fixed maturities, available-for-sale:</w:t>
            </w:r>
          </w:p>
        </w:tc>
        <w:tc>
          <w:tcPr>
            <w:tcW w:w="10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1160" w:type="dxa"/>
            <w:vAlign w:val="bottom"/>
            <w:tcBorders>
              <w:bottom w:val="single" w:sz="8" w:color="auto"/>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1360" w:type="dxa"/>
            <w:vAlign w:val="bottom"/>
            <w:tcBorders>
              <w:bottom w:val="single" w:sz="8" w:color="auto"/>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560" w:type="dxa"/>
            <w:vAlign w:val="bottom"/>
            <w:tcBorders>
              <w:bottom w:val="single" w:sz="8" w:color="auto"/>
            </w:tcBorders>
          </w:tcPr>
          <w:p>
            <w:pPr>
              <w:spacing w:after="0"/>
              <w:rPr>
                <w:sz w:val="17"/>
                <w:szCs w:val="17"/>
                <w:color w:val="auto"/>
              </w:rPr>
            </w:pPr>
          </w:p>
        </w:tc>
        <w:tc>
          <w:tcPr>
            <w:tcW w:w="118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480" w:type="dxa"/>
            <w:vAlign w:val="bottom"/>
            <w:tcBorders>
              <w:bottom w:val="single" w:sz="8" w:color="auto"/>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20" w:type="dxa"/>
            <w:vAlign w:val="bottom"/>
            <w:tcBorders>
              <w:bottom w:val="single" w:sz="8" w:color="auto"/>
            </w:tcBorders>
            <w:shd w:val="clear" w:color="auto" w:fill="000000"/>
          </w:tcPr>
          <w:p>
            <w:pPr>
              <w:spacing w:after="0"/>
              <w:rPr>
                <w:sz w:val="17"/>
                <w:szCs w:val="17"/>
                <w:color w:val="auto"/>
              </w:rPr>
            </w:pPr>
          </w:p>
        </w:tc>
        <w:tc>
          <w:tcPr>
            <w:tcW w:w="0" w:type="dxa"/>
            <w:vAlign w:val="bottom"/>
          </w:tcPr>
          <w:p>
            <w:pPr>
              <w:spacing w:after="0"/>
              <w:rPr>
                <w:sz w:val="1"/>
                <w:szCs w:val="1"/>
                <w:color w:val="auto"/>
              </w:rPr>
            </w:pPr>
          </w:p>
        </w:tc>
      </w:tr>
      <w:tr>
        <w:trPr>
          <w:trHeight w:val="186"/>
        </w:trPr>
        <w:tc>
          <w:tcPr>
            <w:tcW w:w="2580" w:type="dxa"/>
            <w:vAlign w:val="bottom"/>
            <w:tcBorders>
              <w:left w:val="single" w:sz="8" w:color="auto"/>
            </w:tcBorders>
            <w:shd w:val="clear" w:color="auto" w:fill="CCEEFF"/>
          </w:tcPr>
          <w:p>
            <w:pPr>
              <w:ind w:left="120"/>
              <w:spacing w:after="0"/>
              <w:rPr>
                <w:sz w:val="20"/>
                <w:szCs w:val="20"/>
                <w:color w:val="auto"/>
              </w:rPr>
            </w:pPr>
            <w:r>
              <w:rPr>
                <w:rFonts w:ascii="Arial" w:cs="Arial" w:eastAsia="Arial" w:hAnsi="Arial"/>
                <w:sz w:val="16"/>
                <w:szCs w:val="16"/>
                <w:color w:val="auto"/>
              </w:rPr>
              <w:t>State and political subdivisions</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10.2</w:t>
            </w:r>
          </w:p>
        </w:tc>
        <w:tc>
          <w:tcPr>
            <w:tcW w:w="200" w:type="dxa"/>
            <w:vAlign w:val="bottom"/>
            <w:tcBorders>
              <w:right w:val="single" w:sz="8" w:color="auto"/>
            </w:tcBorders>
            <w:shd w:val="clear" w:color="auto" w:fill="CCEEFF"/>
          </w:tcPr>
          <w:p>
            <w:pPr>
              <w:spacing w:after="0"/>
              <w:rPr>
                <w:sz w:val="16"/>
                <w:szCs w:val="16"/>
                <w:color w:val="auto"/>
              </w:rPr>
            </w:pPr>
          </w:p>
        </w:tc>
        <w:tc>
          <w:tcPr>
            <w:tcW w:w="1160" w:type="dxa"/>
            <w:vAlign w:val="bottom"/>
            <w:shd w:val="clear" w:color="auto" w:fill="CCEEFF"/>
          </w:tcPr>
          <w:p>
            <w:pPr>
              <w:spacing w:after="0"/>
              <w:rPr>
                <w:sz w:val="20"/>
                <w:szCs w:val="20"/>
                <w:color w:val="auto"/>
              </w:rPr>
            </w:pPr>
            <w:r>
              <w:rPr>
                <w:rFonts w:ascii="Arial" w:cs="Arial" w:eastAsia="Arial" w:hAnsi="Arial"/>
                <w:sz w:val="16"/>
                <w:szCs w:val="16"/>
                <w:color w:val="auto"/>
                <w:w w:val="96"/>
              </w:rPr>
              <w:t>Discounted cash</w:t>
            </w:r>
          </w:p>
        </w:tc>
        <w:tc>
          <w:tcPr>
            <w:tcW w:w="200" w:type="dxa"/>
            <w:vAlign w:val="bottom"/>
            <w:tcBorders>
              <w:right w:val="single" w:sz="8" w:color="auto"/>
            </w:tcBorders>
            <w:shd w:val="clear" w:color="auto" w:fill="CCEEFF"/>
          </w:tcPr>
          <w:p>
            <w:pPr>
              <w:spacing w:after="0"/>
              <w:rPr>
                <w:sz w:val="16"/>
                <w:szCs w:val="16"/>
                <w:color w:val="auto"/>
              </w:rPr>
            </w:pPr>
          </w:p>
        </w:tc>
        <w:tc>
          <w:tcPr>
            <w:tcW w:w="154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Discount rate (1)</w:t>
            </w:r>
          </w:p>
        </w:tc>
        <w:tc>
          <w:tcPr>
            <w:tcW w:w="560" w:type="dxa"/>
            <w:vAlign w:val="bottom"/>
            <w:shd w:val="clear" w:color="auto" w:fill="CCEEFF"/>
          </w:tcPr>
          <w:p>
            <w:pPr>
              <w:spacing w:after="0"/>
              <w:rPr>
                <w:sz w:val="16"/>
                <w:szCs w:val="16"/>
                <w:color w:val="auto"/>
              </w:rPr>
            </w:pPr>
          </w:p>
        </w:tc>
        <w:tc>
          <w:tcPr>
            <w:tcW w:w="1180" w:type="dxa"/>
            <w:vAlign w:val="bottom"/>
            <w:shd w:val="clear" w:color="auto" w:fill="CCEEFF"/>
          </w:tcPr>
          <w:p>
            <w:pPr>
              <w:spacing w:after="0"/>
              <w:rPr>
                <w:sz w:val="16"/>
                <w:szCs w:val="16"/>
                <w:color w:val="auto"/>
              </w:rPr>
            </w:pPr>
          </w:p>
        </w:tc>
        <w:tc>
          <w:tcPr>
            <w:tcW w:w="680" w:type="dxa"/>
            <w:vAlign w:val="bottom"/>
            <w:shd w:val="clear" w:color="auto" w:fill="CCEEFF"/>
          </w:tcPr>
          <w:p>
            <w:pPr>
              <w:jc w:val="right"/>
              <w:ind w:right="59"/>
              <w:spacing w:after="0"/>
              <w:rPr>
                <w:sz w:val="20"/>
                <w:szCs w:val="20"/>
                <w:color w:val="auto"/>
              </w:rPr>
            </w:pPr>
            <w:r>
              <w:rPr>
                <w:rFonts w:ascii="Arial" w:cs="Arial" w:eastAsia="Arial" w:hAnsi="Arial"/>
                <w:sz w:val="16"/>
                <w:szCs w:val="16"/>
                <w:color w:val="auto"/>
              </w:rPr>
              <w:t>4.8 %</w:t>
            </w:r>
          </w:p>
        </w:tc>
        <w:tc>
          <w:tcPr>
            <w:tcW w:w="1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80" w:type="dxa"/>
            <w:vAlign w:val="bottom"/>
            <w:gridSpan w:val="2"/>
            <w:shd w:val="clear" w:color="auto" w:fill="CCEEFF"/>
          </w:tcPr>
          <w:p>
            <w:pPr>
              <w:jc w:val="right"/>
              <w:ind w:right="59"/>
              <w:spacing w:after="0"/>
              <w:rPr>
                <w:sz w:val="20"/>
                <w:szCs w:val="20"/>
                <w:color w:val="auto"/>
              </w:rPr>
            </w:pPr>
            <w:r>
              <w:rPr>
                <w:rFonts w:ascii="Arial" w:cs="Arial" w:eastAsia="Arial" w:hAnsi="Arial"/>
                <w:sz w:val="16"/>
                <w:szCs w:val="16"/>
                <w:color w:val="auto"/>
              </w:rPr>
              <w:t>4.8 %</w:t>
            </w:r>
          </w:p>
        </w:tc>
        <w:tc>
          <w:tcPr>
            <w:tcW w:w="20" w:type="dxa"/>
            <w:vAlign w:val="bottom"/>
            <w:shd w:val="clear" w:color="auto" w:fill="000000"/>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2580" w:type="dxa"/>
            <w:vAlign w:val="bottom"/>
            <w:tcBorders>
              <w:left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200" w:type="dxa"/>
            <w:vAlign w:val="bottom"/>
            <w:tcBorders>
              <w:right w:val="single" w:sz="8" w:color="auto"/>
            </w:tcBorders>
            <w:shd w:val="clear" w:color="auto" w:fill="CCEEFF"/>
          </w:tcPr>
          <w:p>
            <w:pPr>
              <w:spacing w:after="0"/>
              <w:rPr>
                <w:sz w:val="18"/>
                <w:szCs w:val="18"/>
                <w:color w:val="auto"/>
              </w:rPr>
            </w:pPr>
          </w:p>
        </w:tc>
        <w:tc>
          <w:tcPr>
            <w:tcW w:w="1160" w:type="dxa"/>
            <w:vAlign w:val="bottom"/>
            <w:shd w:val="clear" w:color="auto" w:fill="CCEEFF"/>
          </w:tcPr>
          <w:p>
            <w:pPr>
              <w:ind w:left="120"/>
              <w:spacing w:after="0"/>
              <w:rPr>
                <w:sz w:val="20"/>
                <w:szCs w:val="20"/>
                <w:color w:val="auto"/>
              </w:rPr>
            </w:pPr>
            <w:r>
              <w:rPr>
                <w:rFonts w:ascii="Arial" w:cs="Arial" w:eastAsia="Arial" w:hAnsi="Arial"/>
                <w:sz w:val="16"/>
                <w:szCs w:val="16"/>
                <w:color w:val="auto"/>
              </w:rPr>
              <w:t>flow</w:t>
            </w:r>
          </w:p>
        </w:tc>
        <w:tc>
          <w:tcPr>
            <w:tcW w:w="200" w:type="dxa"/>
            <w:vAlign w:val="bottom"/>
            <w:tcBorders>
              <w:right w:val="single" w:sz="8" w:color="auto"/>
            </w:tcBorders>
            <w:shd w:val="clear" w:color="auto" w:fill="CCEEFF"/>
          </w:tcPr>
          <w:p>
            <w:pPr>
              <w:spacing w:after="0"/>
              <w:rPr>
                <w:sz w:val="18"/>
                <w:szCs w:val="18"/>
                <w:color w:val="auto"/>
              </w:rPr>
            </w:pPr>
          </w:p>
        </w:tc>
        <w:tc>
          <w:tcPr>
            <w:tcW w:w="1360" w:type="dxa"/>
            <w:vAlign w:val="bottom"/>
            <w:tcBorders>
              <w:bottom w:val="single" w:sz="8" w:color="auto"/>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56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spacing w:after="0"/>
              <w:rPr>
                <w:sz w:val="18"/>
                <w:szCs w:val="18"/>
                <w:color w:val="auto"/>
              </w:rPr>
            </w:pPr>
          </w:p>
        </w:tc>
        <w:tc>
          <w:tcPr>
            <w:tcW w:w="20" w:type="dxa"/>
            <w:vAlign w:val="bottom"/>
            <w:tcBorders>
              <w:bottom w:val="single" w:sz="8" w:color="auto"/>
            </w:tcBorders>
            <w:shd w:val="clear" w:color="auto" w:fill="000000"/>
          </w:tcPr>
          <w:p>
            <w:pPr>
              <w:spacing w:after="0"/>
              <w:rPr>
                <w:sz w:val="18"/>
                <w:szCs w:val="18"/>
                <w:color w:val="auto"/>
              </w:rPr>
            </w:pPr>
          </w:p>
        </w:tc>
        <w:tc>
          <w:tcPr>
            <w:tcW w:w="0" w:type="dxa"/>
            <w:vAlign w:val="bottom"/>
          </w:tcPr>
          <w:p>
            <w:pPr>
              <w:spacing w:after="0"/>
              <w:rPr>
                <w:sz w:val="1"/>
                <w:szCs w:val="1"/>
                <w:color w:val="auto"/>
              </w:rPr>
            </w:pPr>
          </w:p>
        </w:tc>
      </w:tr>
      <w:tr>
        <w:trPr>
          <w:trHeight w:val="199"/>
        </w:trPr>
        <w:tc>
          <w:tcPr>
            <w:tcW w:w="2580" w:type="dxa"/>
            <w:vAlign w:val="bottom"/>
            <w:tcBorders>
              <w:left w:val="single" w:sz="8" w:color="auto"/>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spacing w:after="0"/>
              <w:rPr>
                <w:sz w:val="17"/>
                <w:szCs w:val="17"/>
                <w:color w:val="auto"/>
              </w:rPr>
            </w:pPr>
          </w:p>
        </w:tc>
        <w:tc>
          <w:tcPr>
            <w:tcW w:w="200" w:type="dxa"/>
            <w:vAlign w:val="bottom"/>
            <w:tcBorders>
              <w:bottom w:val="single" w:sz="8" w:color="auto"/>
              <w:right w:val="single" w:sz="8" w:color="auto"/>
            </w:tcBorders>
          </w:tcPr>
          <w:p>
            <w:pPr>
              <w:spacing w:after="0"/>
              <w:rPr>
                <w:sz w:val="17"/>
                <w:szCs w:val="17"/>
                <w:color w:val="auto"/>
              </w:rPr>
            </w:pPr>
          </w:p>
        </w:tc>
        <w:tc>
          <w:tcPr>
            <w:tcW w:w="1160" w:type="dxa"/>
            <w:vAlign w:val="bottom"/>
            <w:tcBorders>
              <w:bottom w:val="single" w:sz="8" w:color="auto"/>
            </w:tcBorders>
          </w:tcPr>
          <w:p>
            <w:pPr>
              <w:spacing w:after="0"/>
              <w:rPr>
                <w:sz w:val="17"/>
                <w:szCs w:val="17"/>
                <w:color w:val="auto"/>
              </w:rPr>
            </w:pPr>
          </w:p>
        </w:tc>
        <w:tc>
          <w:tcPr>
            <w:tcW w:w="200" w:type="dxa"/>
            <w:vAlign w:val="bottom"/>
            <w:tcBorders>
              <w:bottom w:val="single" w:sz="8" w:color="auto"/>
              <w:right w:val="single" w:sz="8" w:color="auto"/>
            </w:tcBorders>
          </w:tcPr>
          <w:p>
            <w:pPr>
              <w:spacing w:after="0"/>
              <w:rPr>
                <w:sz w:val="17"/>
                <w:szCs w:val="17"/>
                <w:color w:val="auto"/>
              </w:rPr>
            </w:pPr>
          </w:p>
        </w:tc>
        <w:tc>
          <w:tcPr>
            <w:tcW w:w="1540" w:type="dxa"/>
            <w:vAlign w:val="bottom"/>
            <w:tcBorders>
              <w:bottom w:val="single" w:sz="8" w:color="auto"/>
            </w:tcBorders>
            <w:gridSpan w:val="2"/>
          </w:tcPr>
          <w:p>
            <w:pPr>
              <w:spacing w:after="0"/>
              <w:rPr>
                <w:sz w:val="20"/>
                <w:szCs w:val="20"/>
                <w:color w:val="auto"/>
              </w:rPr>
            </w:pPr>
            <w:r>
              <w:rPr>
                <w:rFonts w:ascii="Arial" w:cs="Arial" w:eastAsia="Arial" w:hAnsi="Arial"/>
                <w:sz w:val="16"/>
                <w:szCs w:val="16"/>
                <w:color w:val="auto"/>
              </w:rPr>
              <w:t>Illiquidity premium</w:t>
            </w:r>
          </w:p>
        </w:tc>
        <w:tc>
          <w:tcPr>
            <w:tcW w:w="1740" w:type="dxa"/>
            <w:vAlign w:val="bottom"/>
            <w:tcBorders>
              <w:bottom w:val="single" w:sz="8" w:color="auto"/>
            </w:tcBorders>
            <w:gridSpan w:val="2"/>
          </w:tcPr>
          <w:p>
            <w:pPr>
              <w:jc w:val="right"/>
              <w:spacing w:after="0"/>
              <w:rPr>
                <w:sz w:val="20"/>
                <w:szCs w:val="20"/>
                <w:color w:val="auto"/>
              </w:rPr>
            </w:pPr>
            <w:r>
              <w:rPr>
                <w:rFonts w:ascii="Arial" w:cs="Arial" w:eastAsia="Arial" w:hAnsi="Arial"/>
                <w:sz w:val="16"/>
                <w:szCs w:val="16"/>
                <w:color w:val="auto"/>
              </w:rPr>
              <w:t>25 basis points (“bps”)</w:t>
            </w:r>
          </w:p>
        </w:tc>
        <w:tc>
          <w:tcPr>
            <w:tcW w:w="68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gridSpan w:val="2"/>
          </w:tcPr>
          <w:p>
            <w:pPr>
              <w:jc w:val="right"/>
              <w:spacing w:after="0"/>
              <w:rPr>
                <w:sz w:val="20"/>
                <w:szCs w:val="20"/>
                <w:color w:val="auto"/>
              </w:rPr>
            </w:pPr>
            <w:r>
              <w:rPr>
                <w:rFonts w:ascii="Arial" w:cs="Arial" w:eastAsia="Arial" w:hAnsi="Arial"/>
                <w:sz w:val="16"/>
                <w:szCs w:val="16"/>
                <w:color w:val="auto"/>
              </w:rPr>
              <w:t>25 bps</w:t>
            </w:r>
          </w:p>
        </w:tc>
        <w:tc>
          <w:tcPr>
            <w:tcW w:w="20" w:type="dxa"/>
            <w:vAlign w:val="bottom"/>
            <w:tcBorders>
              <w:bottom w:val="single" w:sz="8" w:color="auto"/>
            </w:tcBorders>
            <w:shd w:val="clear" w:color="auto" w:fill="000000"/>
          </w:tcPr>
          <w:p>
            <w:pPr>
              <w:spacing w:after="0"/>
              <w:rPr>
                <w:sz w:val="17"/>
                <w:szCs w:val="17"/>
                <w:color w:val="auto"/>
              </w:rPr>
            </w:pPr>
          </w:p>
        </w:tc>
        <w:tc>
          <w:tcPr>
            <w:tcW w:w="0" w:type="dxa"/>
            <w:vAlign w:val="bottom"/>
          </w:tcPr>
          <w:p>
            <w:pPr>
              <w:spacing w:after="0"/>
              <w:rPr>
                <w:sz w:val="1"/>
                <w:szCs w:val="1"/>
                <w:color w:val="auto"/>
              </w:rPr>
            </w:pPr>
          </w:p>
        </w:tc>
      </w:tr>
      <w:tr>
        <w:trPr>
          <w:trHeight w:val="186"/>
        </w:trPr>
        <w:tc>
          <w:tcPr>
            <w:tcW w:w="2580" w:type="dxa"/>
            <w:vAlign w:val="bottom"/>
            <w:tcBorders>
              <w:left w:val="single" w:sz="8" w:color="auto"/>
            </w:tcBorders>
            <w:shd w:val="clear" w:color="auto" w:fill="CCEEFF"/>
          </w:tcPr>
          <w:p>
            <w:pPr>
              <w:ind w:left="120"/>
              <w:spacing w:after="0"/>
              <w:rPr>
                <w:sz w:val="20"/>
                <w:szCs w:val="20"/>
                <w:color w:val="auto"/>
              </w:rPr>
            </w:pPr>
            <w:r>
              <w:rPr>
                <w:rFonts w:ascii="Arial" w:cs="Arial" w:eastAsia="Arial" w:hAnsi="Arial"/>
                <w:sz w:val="16"/>
                <w:szCs w:val="16"/>
                <w:color w:val="auto"/>
              </w:rPr>
              <w:t>Corporate</w:t>
            </w:r>
          </w:p>
        </w:tc>
        <w:tc>
          <w:tcPr>
            <w:tcW w:w="100" w:type="dxa"/>
            <w:vAlign w:val="bottom"/>
            <w:shd w:val="clear" w:color="auto" w:fill="CCEEFF"/>
          </w:tcPr>
          <w:p>
            <w:pPr>
              <w:spacing w:after="0"/>
              <w:rPr>
                <w:sz w:val="16"/>
                <w:szCs w:val="16"/>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1,243.7</w:t>
            </w:r>
          </w:p>
        </w:tc>
        <w:tc>
          <w:tcPr>
            <w:tcW w:w="200" w:type="dxa"/>
            <w:vAlign w:val="bottom"/>
            <w:tcBorders>
              <w:right w:val="single" w:sz="8" w:color="auto"/>
            </w:tcBorders>
            <w:shd w:val="clear" w:color="auto" w:fill="CCEEFF"/>
          </w:tcPr>
          <w:p>
            <w:pPr>
              <w:spacing w:after="0"/>
              <w:rPr>
                <w:sz w:val="16"/>
                <w:szCs w:val="16"/>
                <w:color w:val="auto"/>
              </w:rPr>
            </w:pPr>
          </w:p>
        </w:tc>
        <w:tc>
          <w:tcPr>
            <w:tcW w:w="1160" w:type="dxa"/>
            <w:vAlign w:val="bottom"/>
            <w:shd w:val="clear" w:color="auto" w:fill="CCEEFF"/>
          </w:tcPr>
          <w:p>
            <w:pPr>
              <w:spacing w:after="0"/>
              <w:rPr>
                <w:sz w:val="20"/>
                <w:szCs w:val="20"/>
                <w:color w:val="auto"/>
              </w:rPr>
            </w:pPr>
            <w:r>
              <w:rPr>
                <w:rFonts w:ascii="Arial" w:cs="Arial" w:eastAsia="Arial" w:hAnsi="Arial"/>
                <w:sz w:val="16"/>
                <w:szCs w:val="16"/>
                <w:color w:val="auto"/>
                <w:w w:val="96"/>
              </w:rPr>
              <w:t>Discounted cash</w:t>
            </w:r>
          </w:p>
        </w:tc>
        <w:tc>
          <w:tcPr>
            <w:tcW w:w="200" w:type="dxa"/>
            <w:vAlign w:val="bottom"/>
            <w:tcBorders>
              <w:right w:val="single" w:sz="8" w:color="auto"/>
            </w:tcBorders>
            <w:shd w:val="clear" w:color="auto" w:fill="CCEEFF"/>
          </w:tcPr>
          <w:p>
            <w:pPr>
              <w:spacing w:after="0"/>
              <w:rPr>
                <w:sz w:val="16"/>
                <w:szCs w:val="16"/>
                <w:color w:val="auto"/>
              </w:rPr>
            </w:pPr>
          </w:p>
        </w:tc>
        <w:tc>
          <w:tcPr>
            <w:tcW w:w="154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Discount rate (1)</w:t>
            </w:r>
          </w:p>
        </w:tc>
        <w:tc>
          <w:tcPr>
            <w:tcW w:w="1740" w:type="dxa"/>
            <w:vAlign w:val="bottom"/>
            <w:gridSpan w:val="2"/>
            <w:shd w:val="clear" w:color="auto" w:fill="CCEEFF"/>
          </w:tcPr>
          <w:p>
            <w:pPr>
              <w:jc w:val="right"/>
              <w:ind w:right="1020"/>
              <w:spacing w:after="0"/>
              <w:rPr>
                <w:sz w:val="20"/>
                <w:szCs w:val="20"/>
                <w:color w:val="auto"/>
              </w:rPr>
            </w:pPr>
            <w:r>
              <w:rPr>
                <w:rFonts w:ascii="Arial" w:cs="Arial" w:eastAsia="Arial" w:hAnsi="Arial"/>
                <w:sz w:val="16"/>
                <w:szCs w:val="16"/>
                <w:color w:val="auto"/>
              </w:rPr>
              <w:t>4.8 % -</w:t>
            </w:r>
          </w:p>
        </w:tc>
        <w:tc>
          <w:tcPr>
            <w:tcW w:w="680" w:type="dxa"/>
            <w:vAlign w:val="bottom"/>
            <w:shd w:val="clear" w:color="auto" w:fill="CCEEFF"/>
          </w:tcPr>
          <w:p>
            <w:pPr>
              <w:jc w:val="right"/>
              <w:ind w:right="59"/>
              <w:spacing w:after="0"/>
              <w:rPr>
                <w:sz w:val="20"/>
                <w:szCs w:val="20"/>
                <w:color w:val="auto"/>
              </w:rPr>
            </w:pPr>
            <w:r>
              <w:rPr>
                <w:rFonts w:ascii="Arial" w:cs="Arial" w:eastAsia="Arial" w:hAnsi="Arial"/>
                <w:sz w:val="16"/>
                <w:szCs w:val="16"/>
                <w:color w:val="auto"/>
              </w:rPr>
              <w:t>14.4 %</w:t>
            </w:r>
          </w:p>
        </w:tc>
        <w:tc>
          <w:tcPr>
            <w:tcW w:w="1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80" w:type="dxa"/>
            <w:vAlign w:val="bottom"/>
            <w:gridSpan w:val="2"/>
            <w:shd w:val="clear" w:color="auto" w:fill="CCEEFF"/>
          </w:tcPr>
          <w:p>
            <w:pPr>
              <w:jc w:val="right"/>
              <w:ind w:right="59"/>
              <w:spacing w:after="0"/>
              <w:rPr>
                <w:sz w:val="20"/>
                <w:szCs w:val="20"/>
                <w:color w:val="auto"/>
              </w:rPr>
            </w:pPr>
            <w:r>
              <w:rPr>
                <w:rFonts w:ascii="Arial" w:cs="Arial" w:eastAsia="Arial" w:hAnsi="Arial"/>
                <w:sz w:val="16"/>
                <w:szCs w:val="16"/>
                <w:color w:val="auto"/>
              </w:rPr>
              <w:t>8.6 %</w:t>
            </w:r>
          </w:p>
        </w:tc>
        <w:tc>
          <w:tcPr>
            <w:tcW w:w="20" w:type="dxa"/>
            <w:vAlign w:val="bottom"/>
            <w:shd w:val="clear" w:color="auto" w:fill="000000"/>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2580" w:type="dxa"/>
            <w:vAlign w:val="bottom"/>
            <w:tcBorders>
              <w:left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200" w:type="dxa"/>
            <w:vAlign w:val="bottom"/>
            <w:tcBorders>
              <w:right w:val="single" w:sz="8" w:color="auto"/>
            </w:tcBorders>
            <w:shd w:val="clear" w:color="auto" w:fill="CCEEFF"/>
          </w:tcPr>
          <w:p>
            <w:pPr>
              <w:spacing w:after="0"/>
              <w:rPr>
                <w:sz w:val="18"/>
                <w:szCs w:val="18"/>
                <w:color w:val="auto"/>
              </w:rPr>
            </w:pPr>
          </w:p>
        </w:tc>
        <w:tc>
          <w:tcPr>
            <w:tcW w:w="1160" w:type="dxa"/>
            <w:vAlign w:val="bottom"/>
            <w:shd w:val="clear" w:color="auto" w:fill="CCEEFF"/>
          </w:tcPr>
          <w:p>
            <w:pPr>
              <w:ind w:left="120"/>
              <w:spacing w:after="0"/>
              <w:rPr>
                <w:sz w:val="20"/>
                <w:szCs w:val="20"/>
                <w:color w:val="auto"/>
              </w:rPr>
            </w:pPr>
            <w:r>
              <w:rPr>
                <w:rFonts w:ascii="Arial" w:cs="Arial" w:eastAsia="Arial" w:hAnsi="Arial"/>
                <w:sz w:val="16"/>
                <w:szCs w:val="16"/>
                <w:color w:val="auto"/>
              </w:rPr>
              <w:t>flow</w:t>
            </w:r>
          </w:p>
        </w:tc>
        <w:tc>
          <w:tcPr>
            <w:tcW w:w="200" w:type="dxa"/>
            <w:vAlign w:val="bottom"/>
            <w:tcBorders>
              <w:right w:val="single" w:sz="8" w:color="auto"/>
            </w:tcBorders>
            <w:shd w:val="clear" w:color="auto" w:fill="CCEEFF"/>
          </w:tcPr>
          <w:p>
            <w:pPr>
              <w:spacing w:after="0"/>
              <w:rPr>
                <w:sz w:val="18"/>
                <w:szCs w:val="18"/>
                <w:color w:val="auto"/>
              </w:rPr>
            </w:pPr>
          </w:p>
        </w:tc>
        <w:tc>
          <w:tcPr>
            <w:tcW w:w="1360" w:type="dxa"/>
            <w:vAlign w:val="bottom"/>
            <w:tcBorders>
              <w:bottom w:val="single" w:sz="8" w:color="auto"/>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56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spacing w:after="0"/>
              <w:rPr>
                <w:sz w:val="18"/>
                <w:szCs w:val="18"/>
                <w:color w:val="auto"/>
              </w:rPr>
            </w:pPr>
          </w:p>
        </w:tc>
        <w:tc>
          <w:tcPr>
            <w:tcW w:w="20" w:type="dxa"/>
            <w:vAlign w:val="bottom"/>
            <w:tcBorders>
              <w:bottom w:val="single" w:sz="8" w:color="auto"/>
            </w:tcBorders>
            <w:shd w:val="clear" w:color="auto" w:fill="000000"/>
          </w:tcPr>
          <w:p>
            <w:pPr>
              <w:spacing w:after="0"/>
              <w:rPr>
                <w:sz w:val="18"/>
                <w:szCs w:val="18"/>
                <w:color w:val="auto"/>
              </w:rPr>
            </w:pPr>
          </w:p>
        </w:tc>
        <w:tc>
          <w:tcPr>
            <w:tcW w:w="0" w:type="dxa"/>
            <w:vAlign w:val="bottom"/>
          </w:tcPr>
          <w:p>
            <w:pPr>
              <w:spacing w:after="0"/>
              <w:rPr>
                <w:sz w:val="1"/>
                <w:szCs w:val="1"/>
                <w:color w:val="auto"/>
              </w:rPr>
            </w:pPr>
          </w:p>
        </w:tc>
      </w:tr>
      <w:tr>
        <w:trPr>
          <w:trHeight w:val="199"/>
        </w:trPr>
        <w:tc>
          <w:tcPr>
            <w:tcW w:w="2580" w:type="dxa"/>
            <w:vAlign w:val="bottom"/>
            <w:tcBorders>
              <w:left w:val="single" w:sz="8" w:color="auto"/>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spacing w:after="0"/>
              <w:rPr>
                <w:sz w:val="17"/>
                <w:szCs w:val="17"/>
                <w:color w:val="auto"/>
              </w:rPr>
            </w:pPr>
          </w:p>
        </w:tc>
        <w:tc>
          <w:tcPr>
            <w:tcW w:w="200" w:type="dxa"/>
            <w:vAlign w:val="bottom"/>
            <w:tcBorders>
              <w:bottom w:val="single" w:sz="8" w:color="auto"/>
              <w:right w:val="single" w:sz="8" w:color="auto"/>
            </w:tcBorders>
          </w:tcPr>
          <w:p>
            <w:pPr>
              <w:spacing w:after="0"/>
              <w:rPr>
                <w:sz w:val="17"/>
                <w:szCs w:val="17"/>
                <w:color w:val="auto"/>
              </w:rPr>
            </w:pPr>
          </w:p>
        </w:tc>
        <w:tc>
          <w:tcPr>
            <w:tcW w:w="1160" w:type="dxa"/>
            <w:vAlign w:val="bottom"/>
            <w:tcBorders>
              <w:bottom w:val="single" w:sz="8" w:color="auto"/>
            </w:tcBorders>
          </w:tcPr>
          <w:p>
            <w:pPr>
              <w:spacing w:after="0"/>
              <w:rPr>
                <w:sz w:val="17"/>
                <w:szCs w:val="17"/>
                <w:color w:val="auto"/>
              </w:rPr>
            </w:pPr>
          </w:p>
        </w:tc>
        <w:tc>
          <w:tcPr>
            <w:tcW w:w="200" w:type="dxa"/>
            <w:vAlign w:val="bottom"/>
            <w:tcBorders>
              <w:bottom w:val="single" w:sz="8" w:color="auto"/>
              <w:right w:val="single" w:sz="8" w:color="auto"/>
            </w:tcBorders>
          </w:tcPr>
          <w:p>
            <w:pPr>
              <w:spacing w:after="0"/>
              <w:rPr>
                <w:sz w:val="17"/>
                <w:szCs w:val="17"/>
                <w:color w:val="auto"/>
              </w:rPr>
            </w:pPr>
          </w:p>
        </w:tc>
        <w:tc>
          <w:tcPr>
            <w:tcW w:w="1540" w:type="dxa"/>
            <w:vAlign w:val="bottom"/>
            <w:tcBorders>
              <w:bottom w:val="single" w:sz="8" w:color="auto"/>
            </w:tcBorders>
            <w:gridSpan w:val="2"/>
          </w:tcPr>
          <w:p>
            <w:pPr>
              <w:spacing w:after="0"/>
              <w:rPr>
                <w:sz w:val="20"/>
                <w:szCs w:val="20"/>
                <w:color w:val="auto"/>
              </w:rPr>
            </w:pPr>
            <w:r>
              <w:rPr>
                <w:rFonts w:ascii="Arial" w:cs="Arial" w:eastAsia="Arial" w:hAnsi="Arial"/>
                <w:sz w:val="16"/>
                <w:szCs w:val="16"/>
                <w:color w:val="auto"/>
              </w:rPr>
              <w:t>Illiquidity premium</w:t>
            </w:r>
          </w:p>
        </w:tc>
        <w:tc>
          <w:tcPr>
            <w:tcW w:w="1740" w:type="dxa"/>
            <w:vAlign w:val="bottom"/>
            <w:tcBorders>
              <w:bottom w:val="single" w:sz="8" w:color="auto"/>
            </w:tcBorders>
            <w:gridSpan w:val="2"/>
          </w:tcPr>
          <w:p>
            <w:pPr>
              <w:jc w:val="right"/>
              <w:ind w:right="1000"/>
              <w:spacing w:after="0"/>
              <w:rPr>
                <w:sz w:val="20"/>
                <w:szCs w:val="20"/>
                <w:color w:val="auto"/>
              </w:rPr>
            </w:pPr>
            <w:r>
              <w:rPr>
                <w:rFonts w:ascii="Arial" w:cs="Arial" w:eastAsia="Arial" w:hAnsi="Arial"/>
                <w:sz w:val="16"/>
                <w:szCs w:val="16"/>
                <w:color w:val="auto"/>
              </w:rPr>
              <w:t>30 bps-</w:t>
            </w: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441 bps</w:t>
            </w:r>
          </w:p>
        </w:tc>
        <w:tc>
          <w:tcPr>
            <w:tcW w:w="120" w:type="dxa"/>
            <w:vAlign w:val="bottom"/>
            <w:tcBorders>
              <w:bottom w:val="single" w:sz="8" w:color="auto"/>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gridSpan w:val="2"/>
          </w:tcPr>
          <w:p>
            <w:pPr>
              <w:jc w:val="right"/>
              <w:spacing w:after="0"/>
              <w:rPr>
                <w:sz w:val="20"/>
                <w:szCs w:val="20"/>
                <w:color w:val="auto"/>
              </w:rPr>
            </w:pPr>
            <w:r>
              <w:rPr>
                <w:rFonts w:ascii="Arial" w:cs="Arial" w:eastAsia="Arial" w:hAnsi="Arial"/>
                <w:sz w:val="16"/>
                <w:szCs w:val="16"/>
                <w:color w:val="auto"/>
              </w:rPr>
              <w:t>48 bps</w:t>
            </w:r>
          </w:p>
        </w:tc>
        <w:tc>
          <w:tcPr>
            <w:tcW w:w="20" w:type="dxa"/>
            <w:vAlign w:val="bottom"/>
            <w:tcBorders>
              <w:bottom w:val="single" w:sz="8" w:color="auto"/>
            </w:tcBorders>
            <w:shd w:val="clear" w:color="auto" w:fill="000000"/>
          </w:tcPr>
          <w:p>
            <w:pPr>
              <w:spacing w:after="0"/>
              <w:rPr>
                <w:sz w:val="17"/>
                <w:szCs w:val="17"/>
                <w:color w:val="auto"/>
              </w:rPr>
            </w:pPr>
          </w:p>
        </w:tc>
        <w:tc>
          <w:tcPr>
            <w:tcW w:w="0" w:type="dxa"/>
            <w:vAlign w:val="bottom"/>
          </w:tcPr>
          <w:p>
            <w:pPr>
              <w:spacing w:after="0"/>
              <w:rPr>
                <w:sz w:val="1"/>
                <w:szCs w:val="1"/>
                <w:color w:val="auto"/>
              </w:rPr>
            </w:pPr>
          </w:p>
        </w:tc>
      </w:tr>
      <w:tr>
        <w:trPr>
          <w:trHeight w:val="186"/>
        </w:trPr>
        <w:tc>
          <w:tcPr>
            <w:tcW w:w="2580" w:type="dxa"/>
            <w:vAlign w:val="bottom"/>
            <w:tcBorders>
              <w:left w:val="single" w:sz="8" w:color="auto"/>
            </w:tcBorders>
            <w:shd w:val="clear" w:color="auto" w:fill="CCEEFF"/>
          </w:tcPr>
          <w:p>
            <w:pPr>
              <w:ind w:left="120"/>
              <w:spacing w:after="0"/>
              <w:rPr>
                <w:sz w:val="20"/>
                <w:szCs w:val="20"/>
                <w:color w:val="auto"/>
              </w:rPr>
            </w:pPr>
            <w:r>
              <w:rPr>
                <w:rFonts w:ascii="Arial" w:cs="Arial" w:eastAsia="Arial" w:hAnsi="Arial"/>
                <w:sz w:val="16"/>
                <w:szCs w:val="16"/>
                <w:color w:val="auto"/>
              </w:rPr>
              <w:t>Other debt obligations</w:t>
            </w:r>
          </w:p>
        </w:tc>
        <w:tc>
          <w:tcPr>
            <w:tcW w:w="100" w:type="dxa"/>
            <w:vAlign w:val="bottom"/>
            <w:shd w:val="clear" w:color="auto" w:fill="CCEEFF"/>
          </w:tcPr>
          <w:p>
            <w:pPr>
              <w:spacing w:after="0"/>
              <w:rPr>
                <w:sz w:val="16"/>
                <w:szCs w:val="16"/>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20.8</w:t>
            </w:r>
          </w:p>
        </w:tc>
        <w:tc>
          <w:tcPr>
            <w:tcW w:w="200" w:type="dxa"/>
            <w:vAlign w:val="bottom"/>
            <w:tcBorders>
              <w:right w:val="single" w:sz="8" w:color="auto"/>
            </w:tcBorders>
            <w:shd w:val="clear" w:color="auto" w:fill="CCEEFF"/>
          </w:tcPr>
          <w:p>
            <w:pPr>
              <w:spacing w:after="0"/>
              <w:rPr>
                <w:sz w:val="16"/>
                <w:szCs w:val="16"/>
                <w:color w:val="auto"/>
              </w:rPr>
            </w:pPr>
          </w:p>
        </w:tc>
        <w:tc>
          <w:tcPr>
            <w:tcW w:w="1160" w:type="dxa"/>
            <w:vAlign w:val="bottom"/>
            <w:shd w:val="clear" w:color="auto" w:fill="CCEEFF"/>
          </w:tcPr>
          <w:p>
            <w:pPr>
              <w:spacing w:after="0"/>
              <w:rPr>
                <w:sz w:val="20"/>
                <w:szCs w:val="20"/>
                <w:color w:val="auto"/>
              </w:rPr>
            </w:pPr>
            <w:r>
              <w:rPr>
                <w:rFonts w:ascii="Arial" w:cs="Arial" w:eastAsia="Arial" w:hAnsi="Arial"/>
                <w:sz w:val="16"/>
                <w:szCs w:val="16"/>
                <w:color w:val="auto"/>
                <w:w w:val="96"/>
              </w:rPr>
              <w:t>Discounted cash</w:t>
            </w:r>
          </w:p>
        </w:tc>
        <w:tc>
          <w:tcPr>
            <w:tcW w:w="200" w:type="dxa"/>
            <w:vAlign w:val="bottom"/>
            <w:tcBorders>
              <w:right w:val="single" w:sz="8" w:color="auto"/>
            </w:tcBorders>
            <w:shd w:val="clear" w:color="auto" w:fill="CCEEFF"/>
          </w:tcPr>
          <w:p>
            <w:pPr>
              <w:spacing w:after="0"/>
              <w:rPr>
                <w:sz w:val="16"/>
                <w:szCs w:val="16"/>
                <w:color w:val="auto"/>
              </w:rPr>
            </w:pPr>
          </w:p>
        </w:tc>
        <w:tc>
          <w:tcPr>
            <w:tcW w:w="154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Discount rate (1)</w:t>
            </w:r>
          </w:p>
        </w:tc>
        <w:tc>
          <w:tcPr>
            <w:tcW w:w="5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5.6 %</w:t>
            </w:r>
          </w:p>
        </w:tc>
        <w:tc>
          <w:tcPr>
            <w:tcW w:w="1180" w:type="dxa"/>
            <w:vAlign w:val="bottom"/>
            <w:shd w:val="clear" w:color="auto" w:fill="CCEEFF"/>
          </w:tcPr>
          <w:p>
            <w:pPr>
              <w:ind w:left="80"/>
              <w:spacing w:after="0"/>
              <w:rPr>
                <w:sz w:val="20"/>
                <w:szCs w:val="20"/>
                <w:color w:val="auto"/>
              </w:rPr>
            </w:pPr>
            <w:r>
              <w:rPr>
                <w:rFonts w:ascii="Arial" w:cs="Arial" w:eastAsia="Arial" w:hAnsi="Arial"/>
                <w:sz w:val="16"/>
                <w:szCs w:val="16"/>
                <w:color w:val="auto"/>
              </w:rPr>
              <w:t>-</w:t>
            </w:r>
          </w:p>
        </w:tc>
        <w:tc>
          <w:tcPr>
            <w:tcW w:w="680" w:type="dxa"/>
            <w:vAlign w:val="bottom"/>
            <w:shd w:val="clear" w:color="auto" w:fill="CCEEFF"/>
          </w:tcPr>
          <w:p>
            <w:pPr>
              <w:jc w:val="right"/>
              <w:ind w:right="59"/>
              <w:spacing w:after="0"/>
              <w:rPr>
                <w:sz w:val="20"/>
                <w:szCs w:val="20"/>
                <w:color w:val="auto"/>
              </w:rPr>
            </w:pPr>
            <w:r>
              <w:rPr>
                <w:rFonts w:ascii="Arial" w:cs="Arial" w:eastAsia="Arial" w:hAnsi="Arial"/>
                <w:sz w:val="16"/>
                <w:szCs w:val="16"/>
                <w:color w:val="auto"/>
              </w:rPr>
              <w:t>10.0 %</w:t>
            </w:r>
          </w:p>
        </w:tc>
        <w:tc>
          <w:tcPr>
            <w:tcW w:w="1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80" w:type="dxa"/>
            <w:vAlign w:val="bottom"/>
            <w:gridSpan w:val="2"/>
            <w:shd w:val="clear" w:color="auto" w:fill="CCEEFF"/>
          </w:tcPr>
          <w:p>
            <w:pPr>
              <w:jc w:val="right"/>
              <w:ind w:right="59"/>
              <w:spacing w:after="0"/>
              <w:rPr>
                <w:sz w:val="20"/>
                <w:szCs w:val="20"/>
                <w:color w:val="auto"/>
              </w:rPr>
            </w:pPr>
            <w:r>
              <w:rPr>
                <w:rFonts w:ascii="Arial" w:cs="Arial" w:eastAsia="Arial" w:hAnsi="Arial"/>
                <w:sz w:val="16"/>
                <w:szCs w:val="16"/>
                <w:color w:val="auto"/>
              </w:rPr>
              <w:t>5.8 %</w:t>
            </w:r>
          </w:p>
        </w:tc>
        <w:tc>
          <w:tcPr>
            <w:tcW w:w="20" w:type="dxa"/>
            <w:vAlign w:val="bottom"/>
            <w:shd w:val="clear" w:color="auto" w:fill="000000"/>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2580" w:type="dxa"/>
            <w:vAlign w:val="bottom"/>
            <w:tcBorders>
              <w:left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200" w:type="dxa"/>
            <w:vAlign w:val="bottom"/>
            <w:tcBorders>
              <w:right w:val="single" w:sz="8" w:color="auto"/>
            </w:tcBorders>
            <w:shd w:val="clear" w:color="auto" w:fill="CCEEFF"/>
          </w:tcPr>
          <w:p>
            <w:pPr>
              <w:spacing w:after="0"/>
              <w:rPr>
                <w:sz w:val="18"/>
                <w:szCs w:val="18"/>
                <w:color w:val="auto"/>
              </w:rPr>
            </w:pPr>
          </w:p>
        </w:tc>
        <w:tc>
          <w:tcPr>
            <w:tcW w:w="1160" w:type="dxa"/>
            <w:vAlign w:val="bottom"/>
            <w:shd w:val="clear" w:color="auto" w:fill="CCEEFF"/>
          </w:tcPr>
          <w:p>
            <w:pPr>
              <w:ind w:left="120"/>
              <w:spacing w:after="0"/>
              <w:rPr>
                <w:sz w:val="20"/>
                <w:szCs w:val="20"/>
                <w:color w:val="auto"/>
              </w:rPr>
            </w:pPr>
            <w:r>
              <w:rPr>
                <w:rFonts w:ascii="Arial" w:cs="Arial" w:eastAsia="Arial" w:hAnsi="Arial"/>
                <w:sz w:val="16"/>
                <w:szCs w:val="16"/>
                <w:color w:val="auto"/>
              </w:rPr>
              <w:t>flow</w:t>
            </w:r>
          </w:p>
        </w:tc>
        <w:tc>
          <w:tcPr>
            <w:tcW w:w="200" w:type="dxa"/>
            <w:vAlign w:val="bottom"/>
            <w:tcBorders>
              <w:right w:val="single" w:sz="8" w:color="auto"/>
            </w:tcBorders>
            <w:shd w:val="clear" w:color="auto" w:fill="CCEEFF"/>
          </w:tcPr>
          <w:p>
            <w:pPr>
              <w:spacing w:after="0"/>
              <w:rPr>
                <w:sz w:val="18"/>
                <w:szCs w:val="18"/>
                <w:color w:val="auto"/>
              </w:rPr>
            </w:pPr>
          </w:p>
        </w:tc>
        <w:tc>
          <w:tcPr>
            <w:tcW w:w="1360" w:type="dxa"/>
            <w:vAlign w:val="bottom"/>
            <w:tcBorders>
              <w:bottom w:val="single" w:sz="8" w:color="auto"/>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56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spacing w:after="0"/>
              <w:rPr>
                <w:sz w:val="18"/>
                <w:szCs w:val="18"/>
                <w:color w:val="auto"/>
              </w:rPr>
            </w:pPr>
          </w:p>
        </w:tc>
        <w:tc>
          <w:tcPr>
            <w:tcW w:w="20" w:type="dxa"/>
            <w:vAlign w:val="bottom"/>
            <w:tcBorders>
              <w:bottom w:val="single" w:sz="8" w:color="auto"/>
            </w:tcBorders>
            <w:shd w:val="clear" w:color="auto" w:fill="000000"/>
          </w:tcPr>
          <w:p>
            <w:pPr>
              <w:spacing w:after="0"/>
              <w:rPr>
                <w:sz w:val="18"/>
                <w:szCs w:val="18"/>
                <w:color w:val="auto"/>
              </w:rPr>
            </w:pPr>
          </w:p>
        </w:tc>
        <w:tc>
          <w:tcPr>
            <w:tcW w:w="0" w:type="dxa"/>
            <w:vAlign w:val="bottom"/>
          </w:tcPr>
          <w:p>
            <w:pPr>
              <w:spacing w:after="0"/>
              <w:rPr>
                <w:sz w:val="1"/>
                <w:szCs w:val="1"/>
                <w:color w:val="auto"/>
              </w:rPr>
            </w:pPr>
          </w:p>
        </w:tc>
      </w:tr>
      <w:tr>
        <w:trPr>
          <w:trHeight w:val="199"/>
        </w:trPr>
        <w:tc>
          <w:tcPr>
            <w:tcW w:w="2580" w:type="dxa"/>
            <w:vAlign w:val="bottom"/>
            <w:tcBorders>
              <w:left w:val="single" w:sz="8" w:color="auto"/>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spacing w:after="0"/>
              <w:rPr>
                <w:sz w:val="17"/>
                <w:szCs w:val="17"/>
                <w:color w:val="auto"/>
              </w:rPr>
            </w:pPr>
          </w:p>
        </w:tc>
        <w:tc>
          <w:tcPr>
            <w:tcW w:w="200" w:type="dxa"/>
            <w:vAlign w:val="bottom"/>
            <w:tcBorders>
              <w:bottom w:val="single" w:sz="8" w:color="auto"/>
              <w:right w:val="single" w:sz="8" w:color="auto"/>
            </w:tcBorders>
          </w:tcPr>
          <w:p>
            <w:pPr>
              <w:spacing w:after="0"/>
              <w:rPr>
                <w:sz w:val="17"/>
                <w:szCs w:val="17"/>
                <w:color w:val="auto"/>
              </w:rPr>
            </w:pPr>
          </w:p>
        </w:tc>
        <w:tc>
          <w:tcPr>
            <w:tcW w:w="1160" w:type="dxa"/>
            <w:vAlign w:val="bottom"/>
            <w:tcBorders>
              <w:bottom w:val="single" w:sz="8" w:color="auto"/>
            </w:tcBorders>
          </w:tcPr>
          <w:p>
            <w:pPr>
              <w:spacing w:after="0"/>
              <w:rPr>
                <w:sz w:val="17"/>
                <w:szCs w:val="17"/>
                <w:color w:val="auto"/>
              </w:rPr>
            </w:pPr>
          </w:p>
        </w:tc>
        <w:tc>
          <w:tcPr>
            <w:tcW w:w="200" w:type="dxa"/>
            <w:vAlign w:val="bottom"/>
            <w:tcBorders>
              <w:bottom w:val="single" w:sz="8" w:color="auto"/>
              <w:right w:val="single" w:sz="8" w:color="auto"/>
            </w:tcBorders>
          </w:tcPr>
          <w:p>
            <w:pPr>
              <w:spacing w:after="0"/>
              <w:rPr>
                <w:sz w:val="17"/>
                <w:szCs w:val="17"/>
                <w:color w:val="auto"/>
              </w:rPr>
            </w:pPr>
          </w:p>
        </w:tc>
        <w:tc>
          <w:tcPr>
            <w:tcW w:w="1540" w:type="dxa"/>
            <w:vAlign w:val="bottom"/>
            <w:tcBorders>
              <w:bottom w:val="single" w:sz="8" w:color="auto"/>
            </w:tcBorders>
            <w:gridSpan w:val="2"/>
          </w:tcPr>
          <w:p>
            <w:pPr>
              <w:spacing w:after="0"/>
              <w:rPr>
                <w:sz w:val="20"/>
                <w:szCs w:val="20"/>
                <w:color w:val="auto"/>
              </w:rPr>
            </w:pPr>
            <w:r>
              <w:rPr>
                <w:rFonts w:ascii="Arial" w:cs="Arial" w:eastAsia="Arial" w:hAnsi="Arial"/>
                <w:sz w:val="16"/>
                <w:szCs w:val="16"/>
                <w:color w:val="auto"/>
              </w:rPr>
              <w:t>Illiquidity premium</w:t>
            </w:r>
          </w:p>
        </w:tc>
        <w:tc>
          <w:tcPr>
            <w:tcW w:w="1740" w:type="dxa"/>
            <w:vAlign w:val="bottom"/>
            <w:tcBorders>
              <w:bottom w:val="single" w:sz="8" w:color="auto"/>
            </w:tcBorders>
            <w:gridSpan w:val="2"/>
          </w:tcPr>
          <w:p>
            <w:pPr>
              <w:jc w:val="right"/>
              <w:ind w:right="1000"/>
              <w:spacing w:after="0"/>
              <w:rPr>
                <w:sz w:val="20"/>
                <w:szCs w:val="20"/>
                <w:color w:val="auto"/>
              </w:rPr>
            </w:pPr>
            <w:r>
              <w:rPr>
                <w:rFonts w:ascii="Arial" w:cs="Arial" w:eastAsia="Arial" w:hAnsi="Arial"/>
                <w:sz w:val="16"/>
                <w:szCs w:val="16"/>
                <w:color w:val="auto"/>
              </w:rPr>
              <w:t>225 bps-</w:t>
            </w: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500 bps</w:t>
            </w:r>
          </w:p>
        </w:tc>
        <w:tc>
          <w:tcPr>
            <w:tcW w:w="120" w:type="dxa"/>
            <w:vAlign w:val="bottom"/>
            <w:tcBorders>
              <w:bottom w:val="single" w:sz="8" w:color="auto"/>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gridSpan w:val="2"/>
          </w:tcPr>
          <w:p>
            <w:pPr>
              <w:jc w:val="right"/>
              <w:spacing w:after="0"/>
              <w:rPr>
                <w:sz w:val="20"/>
                <w:szCs w:val="20"/>
                <w:color w:val="auto"/>
              </w:rPr>
            </w:pPr>
            <w:r>
              <w:rPr>
                <w:rFonts w:ascii="Arial" w:cs="Arial" w:eastAsia="Arial" w:hAnsi="Arial"/>
                <w:sz w:val="16"/>
                <w:szCs w:val="16"/>
                <w:color w:val="auto"/>
              </w:rPr>
              <w:t>239 bps</w:t>
            </w:r>
          </w:p>
        </w:tc>
        <w:tc>
          <w:tcPr>
            <w:tcW w:w="20" w:type="dxa"/>
            <w:vAlign w:val="bottom"/>
            <w:tcBorders>
              <w:bottom w:val="single" w:sz="8" w:color="auto"/>
            </w:tcBorders>
            <w:shd w:val="clear" w:color="auto" w:fill="000000"/>
          </w:tcPr>
          <w:p>
            <w:pPr>
              <w:spacing w:after="0"/>
              <w:rPr>
                <w:sz w:val="17"/>
                <w:szCs w:val="17"/>
                <w:color w:val="auto"/>
              </w:rPr>
            </w:pPr>
          </w:p>
        </w:tc>
        <w:tc>
          <w:tcPr>
            <w:tcW w:w="0" w:type="dxa"/>
            <w:vAlign w:val="bottom"/>
          </w:tcPr>
          <w:p>
            <w:pPr>
              <w:spacing w:after="0"/>
              <w:rPr>
                <w:sz w:val="1"/>
                <w:szCs w:val="1"/>
                <w:color w:val="auto"/>
              </w:rPr>
            </w:pPr>
          </w:p>
        </w:tc>
      </w:tr>
      <w:tr>
        <w:trPr>
          <w:trHeight w:val="186"/>
        </w:trPr>
        <w:tc>
          <w:tcPr>
            <w:tcW w:w="2580" w:type="dxa"/>
            <w:vAlign w:val="bottom"/>
            <w:tcBorders>
              <w:left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Fixed maturities, trading</w:t>
            </w:r>
          </w:p>
        </w:tc>
        <w:tc>
          <w:tcPr>
            <w:tcW w:w="100" w:type="dxa"/>
            <w:vAlign w:val="bottom"/>
            <w:shd w:val="clear" w:color="auto" w:fill="CCEEFF"/>
          </w:tcPr>
          <w:p>
            <w:pPr>
              <w:spacing w:after="0"/>
              <w:rPr>
                <w:sz w:val="16"/>
                <w:szCs w:val="16"/>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85.7</w:t>
            </w:r>
          </w:p>
        </w:tc>
        <w:tc>
          <w:tcPr>
            <w:tcW w:w="200" w:type="dxa"/>
            <w:vAlign w:val="bottom"/>
            <w:tcBorders>
              <w:right w:val="single" w:sz="8" w:color="auto"/>
            </w:tcBorders>
            <w:shd w:val="clear" w:color="auto" w:fill="CCEEFF"/>
          </w:tcPr>
          <w:p>
            <w:pPr>
              <w:spacing w:after="0"/>
              <w:rPr>
                <w:sz w:val="16"/>
                <w:szCs w:val="16"/>
                <w:color w:val="auto"/>
              </w:rPr>
            </w:pPr>
          </w:p>
        </w:tc>
        <w:tc>
          <w:tcPr>
            <w:tcW w:w="1160" w:type="dxa"/>
            <w:vAlign w:val="bottom"/>
            <w:shd w:val="clear" w:color="auto" w:fill="CCEEFF"/>
          </w:tcPr>
          <w:p>
            <w:pPr>
              <w:spacing w:after="0"/>
              <w:rPr>
                <w:sz w:val="20"/>
                <w:szCs w:val="20"/>
                <w:color w:val="auto"/>
              </w:rPr>
            </w:pPr>
            <w:r>
              <w:rPr>
                <w:rFonts w:ascii="Arial" w:cs="Arial" w:eastAsia="Arial" w:hAnsi="Arial"/>
                <w:sz w:val="16"/>
                <w:szCs w:val="16"/>
                <w:color w:val="auto"/>
                <w:w w:val="96"/>
              </w:rPr>
              <w:t>Discounted cash</w:t>
            </w:r>
          </w:p>
        </w:tc>
        <w:tc>
          <w:tcPr>
            <w:tcW w:w="200" w:type="dxa"/>
            <w:vAlign w:val="bottom"/>
            <w:tcBorders>
              <w:right w:val="single" w:sz="8" w:color="auto"/>
            </w:tcBorders>
            <w:shd w:val="clear" w:color="auto" w:fill="CCEEFF"/>
          </w:tcPr>
          <w:p>
            <w:pPr>
              <w:spacing w:after="0"/>
              <w:rPr>
                <w:sz w:val="16"/>
                <w:szCs w:val="16"/>
                <w:color w:val="auto"/>
              </w:rPr>
            </w:pPr>
          </w:p>
        </w:tc>
        <w:tc>
          <w:tcPr>
            <w:tcW w:w="154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Discount rate (1)</w:t>
            </w:r>
          </w:p>
        </w:tc>
        <w:tc>
          <w:tcPr>
            <w:tcW w:w="5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6.5 %</w:t>
            </w:r>
          </w:p>
        </w:tc>
        <w:tc>
          <w:tcPr>
            <w:tcW w:w="1180" w:type="dxa"/>
            <w:vAlign w:val="bottom"/>
            <w:shd w:val="clear" w:color="auto" w:fill="CCEEFF"/>
          </w:tcPr>
          <w:p>
            <w:pPr>
              <w:ind w:left="80"/>
              <w:spacing w:after="0"/>
              <w:rPr>
                <w:sz w:val="20"/>
                <w:szCs w:val="20"/>
                <w:color w:val="auto"/>
              </w:rPr>
            </w:pPr>
            <w:r>
              <w:rPr>
                <w:rFonts w:ascii="Arial" w:cs="Arial" w:eastAsia="Arial" w:hAnsi="Arial"/>
                <w:sz w:val="16"/>
                <w:szCs w:val="16"/>
                <w:color w:val="auto"/>
              </w:rPr>
              <w:t>-</w:t>
            </w:r>
          </w:p>
        </w:tc>
        <w:tc>
          <w:tcPr>
            <w:tcW w:w="680" w:type="dxa"/>
            <w:vAlign w:val="bottom"/>
            <w:shd w:val="clear" w:color="auto" w:fill="CCEEFF"/>
          </w:tcPr>
          <w:p>
            <w:pPr>
              <w:jc w:val="right"/>
              <w:ind w:right="59"/>
              <w:spacing w:after="0"/>
              <w:rPr>
                <w:sz w:val="20"/>
                <w:szCs w:val="20"/>
                <w:color w:val="auto"/>
              </w:rPr>
            </w:pPr>
            <w:r>
              <w:rPr>
                <w:rFonts w:ascii="Arial" w:cs="Arial" w:eastAsia="Arial" w:hAnsi="Arial"/>
                <w:sz w:val="16"/>
                <w:szCs w:val="16"/>
                <w:color w:val="auto"/>
              </w:rPr>
              <w:t>11.9 %</w:t>
            </w:r>
          </w:p>
        </w:tc>
        <w:tc>
          <w:tcPr>
            <w:tcW w:w="1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80" w:type="dxa"/>
            <w:vAlign w:val="bottom"/>
            <w:gridSpan w:val="2"/>
            <w:shd w:val="clear" w:color="auto" w:fill="CCEEFF"/>
          </w:tcPr>
          <w:p>
            <w:pPr>
              <w:jc w:val="right"/>
              <w:ind w:right="59"/>
              <w:spacing w:after="0"/>
              <w:rPr>
                <w:sz w:val="20"/>
                <w:szCs w:val="20"/>
                <w:color w:val="auto"/>
              </w:rPr>
            </w:pPr>
            <w:r>
              <w:rPr>
                <w:rFonts w:ascii="Arial" w:cs="Arial" w:eastAsia="Arial" w:hAnsi="Arial"/>
                <w:sz w:val="16"/>
                <w:szCs w:val="16"/>
                <w:color w:val="auto"/>
              </w:rPr>
              <w:t>9.0 %</w:t>
            </w:r>
          </w:p>
        </w:tc>
        <w:tc>
          <w:tcPr>
            <w:tcW w:w="20" w:type="dxa"/>
            <w:vAlign w:val="bottom"/>
            <w:shd w:val="clear" w:color="auto" w:fill="000000"/>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2580" w:type="dxa"/>
            <w:vAlign w:val="bottom"/>
            <w:tcBorders>
              <w:left w:val="single" w:sz="8" w:color="auto"/>
              <w:bottom w:val="single" w:sz="8" w:color="auto"/>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spacing w:after="0"/>
              <w:rPr>
                <w:sz w:val="18"/>
                <w:szCs w:val="18"/>
                <w:color w:val="auto"/>
              </w:rPr>
            </w:pPr>
          </w:p>
        </w:tc>
        <w:tc>
          <w:tcPr>
            <w:tcW w:w="200" w:type="dxa"/>
            <w:vAlign w:val="bottom"/>
            <w:tcBorders>
              <w:bottom w:val="single" w:sz="8" w:color="auto"/>
              <w:right w:val="single" w:sz="8" w:color="auto"/>
            </w:tcBorders>
            <w:shd w:val="clear" w:color="auto" w:fill="CCEEFF"/>
          </w:tcPr>
          <w:p>
            <w:pPr>
              <w:spacing w:after="0"/>
              <w:rPr>
                <w:sz w:val="18"/>
                <w:szCs w:val="18"/>
                <w:color w:val="auto"/>
              </w:rPr>
            </w:pPr>
          </w:p>
        </w:tc>
        <w:tc>
          <w:tcPr>
            <w:tcW w:w="1160" w:type="dxa"/>
            <w:vAlign w:val="bottom"/>
            <w:tcBorders>
              <w:bottom w:val="single" w:sz="8" w:color="auto"/>
            </w:tcBorders>
            <w:shd w:val="clear" w:color="auto" w:fill="CCEEFF"/>
          </w:tcPr>
          <w:p>
            <w:pPr>
              <w:ind w:left="120"/>
              <w:spacing w:after="0"/>
              <w:rPr>
                <w:sz w:val="20"/>
                <w:szCs w:val="20"/>
                <w:color w:val="auto"/>
              </w:rPr>
            </w:pPr>
            <w:r>
              <w:rPr>
                <w:rFonts w:ascii="Arial" w:cs="Arial" w:eastAsia="Arial" w:hAnsi="Arial"/>
                <w:sz w:val="16"/>
                <w:szCs w:val="16"/>
                <w:color w:val="auto"/>
              </w:rPr>
              <w:t>flow</w:t>
            </w:r>
          </w:p>
        </w:tc>
        <w:tc>
          <w:tcPr>
            <w:tcW w:w="200" w:type="dxa"/>
            <w:vAlign w:val="bottom"/>
            <w:tcBorders>
              <w:bottom w:val="single" w:sz="8" w:color="auto"/>
              <w:right w:val="single" w:sz="8" w:color="auto"/>
            </w:tcBorders>
            <w:shd w:val="clear" w:color="auto" w:fill="CCEEFF"/>
          </w:tcPr>
          <w:p>
            <w:pPr>
              <w:spacing w:after="0"/>
              <w:rPr>
                <w:sz w:val="18"/>
                <w:szCs w:val="18"/>
                <w:color w:val="auto"/>
              </w:rPr>
            </w:pPr>
          </w:p>
        </w:tc>
        <w:tc>
          <w:tcPr>
            <w:tcW w:w="1360" w:type="dxa"/>
            <w:vAlign w:val="bottom"/>
            <w:tcBorders>
              <w:bottom w:val="single" w:sz="8" w:color="auto"/>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56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spacing w:after="0"/>
              <w:rPr>
                <w:sz w:val="18"/>
                <w:szCs w:val="18"/>
                <w:color w:val="auto"/>
              </w:rPr>
            </w:pPr>
          </w:p>
        </w:tc>
        <w:tc>
          <w:tcPr>
            <w:tcW w:w="20" w:type="dxa"/>
            <w:vAlign w:val="bottom"/>
            <w:tcBorders>
              <w:bottom w:val="single" w:sz="8" w:color="auto"/>
            </w:tcBorders>
            <w:shd w:val="clear" w:color="auto" w:fill="000000"/>
          </w:tcPr>
          <w:p>
            <w:pPr>
              <w:spacing w:after="0"/>
              <w:rPr>
                <w:sz w:val="18"/>
                <w:szCs w:val="18"/>
                <w:color w:val="auto"/>
              </w:rPr>
            </w:pPr>
          </w:p>
        </w:tc>
        <w:tc>
          <w:tcPr>
            <w:tcW w:w="0" w:type="dxa"/>
            <w:vAlign w:val="bottom"/>
          </w:tcPr>
          <w:p>
            <w:pPr>
              <w:spacing w:after="0"/>
              <w:rPr>
                <w:sz w:val="1"/>
                <w:szCs w:val="1"/>
                <w:color w:val="auto"/>
              </w:rPr>
            </w:pPr>
          </w:p>
        </w:tc>
      </w:tr>
      <w:tr>
        <w:trPr>
          <w:trHeight w:val="189"/>
        </w:trPr>
        <w:tc>
          <w:tcPr>
            <w:tcW w:w="2580" w:type="dxa"/>
            <w:vAlign w:val="bottom"/>
            <w:tcBorders>
              <w:left w:val="single" w:sz="8" w:color="auto"/>
            </w:tcBorders>
          </w:tcPr>
          <w:p>
            <w:pPr>
              <w:ind w:left="20"/>
              <w:spacing w:after="0"/>
              <w:rPr>
                <w:sz w:val="20"/>
                <w:szCs w:val="20"/>
                <w:color w:val="auto"/>
              </w:rPr>
            </w:pPr>
            <w:r>
              <w:rPr>
                <w:rFonts w:ascii="Arial" w:cs="Arial" w:eastAsia="Arial" w:hAnsi="Arial"/>
                <w:sz w:val="16"/>
                <w:szCs w:val="16"/>
                <w:color w:val="auto"/>
              </w:rPr>
              <w:t>Separate account assets</w:t>
            </w:r>
          </w:p>
        </w:tc>
        <w:tc>
          <w:tcPr>
            <w:tcW w:w="100" w:type="dxa"/>
            <w:vAlign w:val="bottom"/>
          </w:tcPr>
          <w:p>
            <w:pPr>
              <w:spacing w:after="0"/>
              <w:rPr>
                <w:sz w:val="16"/>
                <w:szCs w:val="16"/>
                <w:color w:val="auto"/>
              </w:rPr>
            </w:pPr>
          </w:p>
        </w:tc>
        <w:tc>
          <w:tcPr>
            <w:tcW w:w="660" w:type="dxa"/>
            <w:vAlign w:val="bottom"/>
          </w:tcPr>
          <w:p>
            <w:pPr>
              <w:jc w:val="right"/>
              <w:spacing w:after="0"/>
              <w:rPr>
                <w:sz w:val="20"/>
                <w:szCs w:val="20"/>
                <w:color w:val="auto"/>
              </w:rPr>
            </w:pPr>
            <w:r>
              <w:rPr>
                <w:rFonts w:ascii="Arial" w:cs="Arial" w:eastAsia="Arial" w:hAnsi="Arial"/>
                <w:sz w:val="16"/>
                <w:szCs w:val="16"/>
                <w:b w:val="1"/>
                <w:bCs w:val="1"/>
                <w:color w:val="auto"/>
              </w:rPr>
              <w:t>1,059.0</w:t>
            </w:r>
          </w:p>
        </w:tc>
        <w:tc>
          <w:tcPr>
            <w:tcW w:w="200" w:type="dxa"/>
            <w:vAlign w:val="bottom"/>
            <w:tcBorders>
              <w:right w:val="single" w:sz="8" w:color="auto"/>
            </w:tcBorders>
          </w:tcPr>
          <w:p>
            <w:pPr>
              <w:spacing w:after="0"/>
              <w:rPr>
                <w:sz w:val="16"/>
                <w:szCs w:val="16"/>
                <w:color w:val="auto"/>
              </w:rPr>
            </w:pPr>
          </w:p>
        </w:tc>
        <w:tc>
          <w:tcPr>
            <w:tcW w:w="1160" w:type="dxa"/>
            <w:vAlign w:val="bottom"/>
          </w:tcPr>
          <w:p>
            <w:pPr>
              <w:spacing w:after="0"/>
              <w:rPr>
                <w:sz w:val="20"/>
                <w:szCs w:val="20"/>
                <w:color w:val="auto"/>
              </w:rPr>
            </w:pPr>
            <w:r>
              <w:rPr>
                <w:rFonts w:ascii="Arial" w:cs="Arial" w:eastAsia="Arial" w:hAnsi="Arial"/>
                <w:sz w:val="16"/>
                <w:szCs w:val="16"/>
                <w:color w:val="auto"/>
                <w:w w:val="96"/>
              </w:rPr>
              <w:t>Discounted cash</w:t>
            </w:r>
          </w:p>
        </w:tc>
        <w:tc>
          <w:tcPr>
            <w:tcW w:w="200" w:type="dxa"/>
            <w:vAlign w:val="bottom"/>
            <w:tcBorders>
              <w:right w:val="single" w:sz="8" w:color="auto"/>
            </w:tcBorders>
          </w:tcPr>
          <w:p>
            <w:pPr>
              <w:spacing w:after="0"/>
              <w:rPr>
                <w:sz w:val="16"/>
                <w:szCs w:val="16"/>
                <w:color w:val="auto"/>
              </w:rPr>
            </w:pPr>
          </w:p>
        </w:tc>
        <w:tc>
          <w:tcPr>
            <w:tcW w:w="1540" w:type="dxa"/>
            <w:vAlign w:val="bottom"/>
            <w:gridSpan w:val="2"/>
          </w:tcPr>
          <w:p>
            <w:pPr>
              <w:spacing w:after="0"/>
              <w:rPr>
                <w:sz w:val="20"/>
                <w:szCs w:val="20"/>
                <w:color w:val="auto"/>
              </w:rPr>
            </w:pPr>
            <w:r>
              <w:rPr>
                <w:rFonts w:ascii="Arial" w:cs="Arial" w:eastAsia="Arial" w:hAnsi="Arial"/>
                <w:sz w:val="16"/>
                <w:szCs w:val="16"/>
                <w:color w:val="auto"/>
              </w:rPr>
              <w:t>Discount rate (1)</w:t>
            </w:r>
          </w:p>
        </w:tc>
        <w:tc>
          <w:tcPr>
            <w:tcW w:w="56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680" w:type="dxa"/>
            <w:vAlign w:val="bottom"/>
          </w:tcPr>
          <w:p>
            <w:pPr>
              <w:jc w:val="right"/>
              <w:ind w:right="59"/>
              <w:spacing w:after="0"/>
              <w:rPr>
                <w:sz w:val="20"/>
                <w:szCs w:val="20"/>
                <w:color w:val="auto"/>
              </w:rPr>
            </w:pPr>
            <w:r>
              <w:rPr>
                <w:rFonts w:ascii="Arial" w:cs="Arial" w:eastAsia="Arial" w:hAnsi="Arial"/>
                <w:sz w:val="16"/>
                <w:szCs w:val="16"/>
                <w:color w:val="auto"/>
              </w:rPr>
              <w:t>3.8 %</w:t>
            </w: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80" w:type="dxa"/>
            <w:vAlign w:val="bottom"/>
            <w:gridSpan w:val="2"/>
          </w:tcPr>
          <w:p>
            <w:pPr>
              <w:jc w:val="right"/>
              <w:ind w:right="59"/>
              <w:spacing w:after="0"/>
              <w:rPr>
                <w:sz w:val="20"/>
                <w:szCs w:val="20"/>
                <w:color w:val="auto"/>
              </w:rPr>
            </w:pPr>
            <w:r>
              <w:rPr>
                <w:rFonts w:ascii="Arial" w:cs="Arial" w:eastAsia="Arial" w:hAnsi="Arial"/>
                <w:sz w:val="16"/>
                <w:szCs w:val="16"/>
                <w:color w:val="auto"/>
              </w:rPr>
              <w:t>3.8 %</w:t>
            </w:r>
          </w:p>
        </w:tc>
        <w:tc>
          <w:tcPr>
            <w:tcW w:w="20" w:type="dxa"/>
            <w:vAlign w:val="bottom"/>
            <w:shd w:val="clear" w:color="auto" w:fill="000000"/>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2580" w:type="dxa"/>
            <w:vAlign w:val="bottom"/>
            <w:tcBorders>
              <w:lef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00" w:type="dxa"/>
            <w:vAlign w:val="bottom"/>
            <w:tcBorders>
              <w:right w:val="single" w:sz="8" w:color="auto"/>
            </w:tcBorders>
          </w:tcPr>
          <w:p>
            <w:pPr>
              <w:spacing w:after="0"/>
              <w:rPr>
                <w:sz w:val="17"/>
                <w:szCs w:val="17"/>
                <w:color w:val="auto"/>
              </w:rPr>
            </w:pPr>
          </w:p>
        </w:tc>
        <w:tc>
          <w:tcPr>
            <w:tcW w:w="1160" w:type="dxa"/>
            <w:vAlign w:val="bottom"/>
          </w:tcPr>
          <w:p>
            <w:pPr>
              <w:ind w:left="120"/>
              <w:spacing w:after="0"/>
              <w:rPr>
                <w:sz w:val="20"/>
                <w:szCs w:val="20"/>
                <w:color w:val="auto"/>
              </w:rPr>
            </w:pPr>
            <w:r>
              <w:rPr>
                <w:rFonts w:ascii="Arial" w:cs="Arial" w:eastAsia="Arial" w:hAnsi="Arial"/>
                <w:sz w:val="16"/>
                <w:szCs w:val="16"/>
                <w:color w:val="auto"/>
                <w:w w:val="92"/>
              </w:rPr>
              <w:t>flow - mortgage</w:t>
            </w:r>
          </w:p>
        </w:tc>
        <w:tc>
          <w:tcPr>
            <w:tcW w:w="200" w:type="dxa"/>
            <w:vAlign w:val="bottom"/>
            <w:tcBorders>
              <w:right w:val="single" w:sz="8" w:color="auto"/>
            </w:tcBorders>
          </w:tcPr>
          <w:p>
            <w:pPr>
              <w:spacing w:after="0"/>
              <w:rPr>
                <w:sz w:val="17"/>
                <w:szCs w:val="17"/>
                <w:color w:val="auto"/>
              </w:rPr>
            </w:pPr>
          </w:p>
        </w:tc>
        <w:tc>
          <w:tcPr>
            <w:tcW w:w="13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0" w:type="dxa"/>
            <w:vAlign w:val="bottom"/>
            <w:shd w:val="clear" w:color="auto" w:fill="000000"/>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2580" w:type="dxa"/>
            <w:vAlign w:val="bottom"/>
            <w:tcBorders>
              <w:left w:val="single" w:sz="8" w:color="auto"/>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660" w:type="dxa"/>
            <w:vAlign w:val="bottom"/>
            <w:tcBorders>
              <w:bottom w:val="single" w:sz="8" w:color="CCEEFF"/>
            </w:tcBorders>
          </w:tcPr>
          <w:p>
            <w:pPr>
              <w:spacing w:after="0"/>
              <w:rPr>
                <w:sz w:val="18"/>
                <w:szCs w:val="18"/>
                <w:color w:val="auto"/>
              </w:rPr>
            </w:pPr>
          </w:p>
        </w:tc>
        <w:tc>
          <w:tcPr>
            <w:tcW w:w="200" w:type="dxa"/>
            <w:vAlign w:val="bottom"/>
            <w:tcBorders>
              <w:bottom w:val="single" w:sz="8" w:color="CCEEFF"/>
              <w:right w:val="single" w:sz="8" w:color="auto"/>
            </w:tcBorders>
          </w:tcPr>
          <w:p>
            <w:pPr>
              <w:spacing w:after="0"/>
              <w:rPr>
                <w:sz w:val="18"/>
                <w:szCs w:val="18"/>
                <w:color w:val="auto"/>
              </w:rPr>
            </w:pPr>
          </w:p>
        </w:tc>
        <w:tc>
          <w:tcPr>
            <w:tcW w:w="1160" w:type="dxa"/>
            <w:vAlign w:val="bottom"/>
            <w:tcBorders>
              <w:bottom w:val="single" w:sz="8" w:color="CCEEFF"/>
            </w:tcBorders>
          </w:tcPr>
          <w:p>
            <w:pPr>
              <w:ind w:left="120"/>
              <w:spacing w:after="0"/>
              <w:rPr>
                <w:sz w:val="20"/>
                <w:szCs w:val="20"/>
                <w:color w:val="auto"/>
              </w:rPr>
            </w:pPr>
            <w:r>
              <w:rPr>
                <w:rFonts w:ascii="Arial" w:cs="Arial" w:eastAsia="Arial" w:hAnsi="Arial"/>
                <w:sz w:val="16"/>
                <w:szCs w:val="16"/>
                <w:color w:val="auto"/>
              </w:rPr>
              <w:t>loans</w:t>
            </w:r>
          </w:p>
        </w:tc>
        <w:tc>
          <w:tcPr>
            <w:tcW w:w="200" w:type="dxa"/>
            <w:vAlign w:val="bottom"/>
            <w:tcBorders>
              <w:bottom w:val="single" w:sz="8" w:color="CCEEFF"/>
              <w:right w:val="single" w:sz="8" w:color="auto"/>
            </w:tcBorders>
          </w:tcPr>
          <w:p>
            <w:pPr>
              <w:spacing w:after="0"/>
              <w:rPr>
                <w:sz w:val="18"/>
                <w:szCs w:val="18"/>
                <w:color w:val="auto"/>
              </w:rPr>
            </w:pPr>
          </w:p>
        </w:tc>
        <w:tc>
          <w:tcPr>
            <w:tcW w:w="1360" w:type="dxa"/>
            <w:vAlign w:val="bottom"/>
            <w:tcBorders>
              <w:bottom w:val="single" w:sz="8" w:color="auto"/>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56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480" w:type="dxa"/>
            <w:vAlign w:val="bottom"/>
            <w:tcBorders>
              <w:bottom w:val="single" w:sz="8" w:color="auto"/>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shd w:val="clear" w:color="auto" w:fill="000000"/>
          </w:tcPr>
          <w:p>
            <w:pPr>
              <w:spacing w:after="0"/>
              <w:rPr>
                <w:sz w:val="18"/>
                <w:szCs w:val="18"/>
                <w:color w:val="auto"/>
              </w:rPr>
            </w:pPr>
          </w:p>
        </w:tc>
        <w:tc>
          <w:tcPr>
            <w:tcW w:w="0" w:type="dxa"/>
            <w:vAlign w:val="bottom"/>
          </w:tcPr>
          <w:p>
            <w:pPr>
              <w:spacing w:after="0"/>
              <w:rPr>
                <w:sz w:val="1"/>
                <w:szCs w:val="1"/>
                <w:color w:val="auto"/>
              </w:rPr>
            </w:pPr>
          </w:p>
        </w:tc>
      </w:tr>
      <w:tr>
        <w:trPr>
          <w:trHeight w:val="199"/>
        </w:trPr>
        <w:tc>
          <w:tcPr>
            <w:tcW w:w="2580" w:type="dxa"/>
            <w:vAlign w:val="bottom"/>
            <w:tcBorders>
              <w:left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200" w:type="dxa"/>
            <w:vAlign w:val="bottom"/>
            <w:tcBorders>
              <w:right w:val="single" w:sz="8" w:color="auto"/>
            </w:tcBorders>
            <w:shd w:val="clear" w:color="auto" w:fill="CCEEFF"/>
          </w:tcPr>
          <w:p>
            <w:pPr>
              <w:spacing w:after="0"/>
              <w:rPr>
                <w:sz w:val="17"/>
                <w:szCs w:val="17"/>
                <w:color w:val="auto"/>
              </w:rPr>
            </w:pPr>
          </w:p>
        </w:tc>
        <w:tc>
          <w:tcPr>
            <w:tcW w:w="1160" w:type="dxa"/>
            <w:vAlign w:val="bottom"/>
            <w:tcBorders>
              <w:bottom w:val="single" w:sz="8" w:color="auto"/>
            </w:tcBorders>
            <w:shd w:val="clear" w:color="auto" w:fill="CCEEFF"/>
          </w:tcPr>
          <w:p>
            <w:pPr>
              <w:spacing w:after="0"/>
              <w:rPr>
                <w:sz w:val="17"/>
                <w:szCs w:val="17"/>
                <w:color w:val="auto"/>
              </w:rPr>
            </w:pPr>
          </w:p>
        </w:tc>
        <w:tc>
          <w:tcPr>
            <w:tcW w:w="200" w:type="dxa"/>
            <w:vAlign w:val="bottom"/>
            <w:tcBorders>
              <w:bottom w:val="single" w:sz="8" w:color="auto"/>
              <w:right w:val="single" w:sz="8" w:color="auto"/>
            </w:tcBorders>
            <w:shd w:val="clear" w:color="auto" w:fill="CCEEFF"/>
          </w:tcPr>
          <w:p>
            <w:pPr>
              <w:spacing w:after="0"/>
              <w:rPr>
                <w:sz w:val="17"/>
                <w:szCs w:val="17"/>
                <w:color w:val="auto"/>
              </w:rPr>
            </w:pPr>
          </w:p>
        </w:tc>
        <w:tc>
          <w:tcPr>
            <w:tcW w:w="1540" w:type="dxa"/>
            <w:vAlign w:val="bottom"/>
            <w:tcBorders>
              <w:bottom w:val="single" w:sz="8" w:color="auto"/>
            </w:tcBorders>
            <w:gridSpan w:val="2"/>
            <w:shd w:val="clear" w:color="auto" w:fill="CCEEFF"/>
          </w:tcPr>
          <w:p>
            <w:pPr>
              <w:spacing w:after="0"/>
              <w:rPr>
                <w:sz w:val="20"/>
                <w:szCs w:val="20"/>
                <w:color w:val="auto"/>
              </w:rPr>
            </w:pPr>
            <w:r>
              <w:rPr>
                <w:rFonts w:ascii="Arial" w:cs="Arial" w:eastAsia="Arial" w:hAnsi="Arial"/>
                <w:sz w:val="16"/>
                <w:szCs w:val="16"/>
                <w:color w:val="auto"/>
              </w:rPr>
              <w:t>Credit spread rate</w:t>
            </w:r>
          </w:p>
        </w:tc>
        <w:tc>
          <w:tcPr>
            <w:tcW w:w="560" w:type="dxa"/>
            <w:vAlign w:val="bottom"/>
            <w:tcBorders>
              <w:bottom w:val="single" w:sz="8" w:color="auto"/>
            </w:tcBorders>
            <w:shd w:val="clear" w:color="auto" w:fill="CCEEFF"/>
          </w:tcPr>
          <w:p>
            <w:pPr>
              <w:spacing w:after="0"/>
              <w:rPr>
                <w:sz w:val="17"/>
                <w:szCs w:val="17"/>
                <w:color w:val="auto"/>
              </w:rPr>
            </w:pPr>
          </w:p>
        </w:tc>
        <w:tc>
          <w:tcPr>
            <w:tcW w:w="118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169 bps</w:t>
            </w:r>
          </w:p>
        </w:tc>
        <w:tc>
          <w:tcPr>
            <w:tcW w:w="120" w:type="dxa"/>
            <w:vAlign w:val="bottom"/>
            <w:tcBorders>
              <w:bottom w:val="single" w:sz="8" w:color="auto"/>
            </w:tcBorders>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78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6"/>
                <w:szCs w:val="16"/>
                <w:color w:val="auto"/>
              </w:rPr>
              <w:t>169 bps</w:t>
            </w:r>
          </w:p>
        </w:tc>
        <w:tc>
          <w:tcPr>
            <w:tcW w:w="20" w:type="dxa"/>
            <w:vAlign w:val="bottom"/>
            <w:tcBorders>
              <w:bottom w:val="single" w:sz="8" w:color="auto"/>
            </w:tcBorders>
            <w:shd w:val="clear" w:color="auto" w:fill="000000"/>
          </w:tcPr>
          <w:p>
            <w:pPr>
              <w:spacing w:after="0"/>
              <w:rPr>
                <w:sz w:val="17"/>
                <w:szCs w:val="17"/>
                <w:color w:val="auto"/>
              </w:rPr>
            </w:pPr>
          </w:p>
        </w:tc>
        <w:tc>
          <w:tcPr>
            <w:tcW w:w="0" w:type="dxa"/>
            <w:vAlign w:val="bottom"/>
          </w:tcPr>
          <w:p>
            <w:pPr>
              <w:spacing w:after="0"/>
              <w:rPr>
                <w:sz w:val="1"/>
                <w:szCs w:val="1"/>
                <w:color w:val="auto"/>
              </w:rPr>
            </w:pPr>
          </w:p>
        </w:tc>
      </w:tr>
      <w:tr>
        <w:trPr>
          <w:trHeight w:val="186"/>
        </w:trPr>
        <w:tc>
          <w:tcPr>
            <w:tcW w:w="2580" w:type="dxa"/>
            <w:vAlign w:val="bottom"/>
            <w:tcBorders>
              <w:lef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200" w:type="dxa"/>
            <w:vAlign w:val="bottom"/>
            <w:tcBorders>
              <w:right w:val="single" w:sz="8" w:color="auto"/>
            </w:tcBorders>
          </w:tcPr>
          <w:p>
            <w:pPr>
              <w:spacing w:after="0"/>
              <w:rPr>
                <w:sz w:val="16"/>
                <w:szCs w:val="16"/>
                <w:color w:val="auto"/>
              </w:rPr>
            </w:pPr>
          </w:p>
        </w:tc>
        <w:tc>
          <w:tcPr>
            <w:tcW w:w="1160" w:type="dxa"/>
            <w:vAlign w:val="bottom"/>
          </w:tcPr>
          <w:p>
            <w:pPr>
              <w:spacing w:after="0"/>
              <w:rPr>
                <w:sz w:val="20"/>
                <w:szCs w:val="20"/>
                <w:color w:val="auto"/>
              </w:rPr>
            </w:pPr>
            <w:r>
              <w:rPr>
                <w:rFonts w:ascii="Arial" w:cs="Arial" w:eastAsia="Arial" w:hAnsi="Arial"/>
                <w:sz w:val="16"/>
                <w:szCs w:val="16"/>
                <w:color w:val="auto"/>
                <w:w w:val="96"/>
              </w:rPr>
              <w:t>Discounted cash</w:t>
            </w:r>
          </w:p>
        </w:tc>
        <w:tc>
          <w:tcPr>
            <w:tcW w:w="200" w:type="dxa"/>
            <w:vAlign w:val="bottom"/>
            <w:tcBorders>
              <w:right w:val="single" w:sz="8" w:color="auto"/>
            </w:tcBorders>
          </w:tcPr>
          <w:p>
            <w:pPr>
              <w:spacing w:after="0"/>
              <w:rPr>
                <w:sz w:val="16"/>
                <w:szCs w:val="16"/>
                <w:color w:val="auto"/>
              </w:rPr>
            </w:pPr>
          </w:p>
        </w:tc>
        <w:tc>
          <w:tcPr>
            <w:tcW w:w="1540" w:type="dxa"/>
            <w:vAlign w:val="bottom"/>
            <w:gridSpan w:val="2"/>
          </w:tcPr>
          <w:p>
            <w:pPr>
              <w:spacing w:after="0"/>
              <w:rPr>
                <w:sz w:val="20"/>
                <w:szCs w:val="20"/>
                <w:color w:val="auto"/>
              </w:rPr>
            </w:pPr>
            <w:r>
              <w:rPr>
                <w:rFonts w:ascii="Arial" w:cs="Arial" w:eastAsia="Arial" w:hAnsi="Arial"/>
                <w:sz w:val="16"/>
                <w:szCs w:val="16"/>
                <w:color w:val="auto"/>
              </w:rPr>
              <w:t>Discount rate (1)</w:t>
            </w:r>
          </w:p>
        </w:tc>
        <w:tc>
          <w:tcPr>
            <w:tcW w:w="560" w:type="dxa"/>
            <w:vAlign w:val="bottom"/>
          </w:tcPr>
          <w:p>
            <w:pPr>
              <w:jc w:val="right"/>
              <w:spacing w:after="0"/>
              <w:rPr>
                <w:sz w:val="20"/>
                <w:szCs w:val="20"/>
                <w:color w:val="auto"/>
              </w:rPr>
            </w:pPr>
            <w:r>
              <w:rPr>
                <w:rFonts w:ascii="Arial" w:cs="Arial" w:eastAsia="Arial" w:hAnsi="Arial"/>
                <w:sz w:val="16"/>
                <w:szCs w:val="16"/>
                <w:color w:val="auto"/>
              </w:rPr>
              <w:t>5.5 %</w:t>
            </w:r>
          </w:p>
        </w:tc>
        <w:tc>
          <w:tcPr>
            <w:tcW w:w="1180" w:type="dxa"/>
            <w:vAlign w:val="bottom"/>
          </w:tcPr>
          <w:p>
            <w:pPr>
              <w:ind w:left="80"/>
              <w:spacing w:after="0"/>
              <w:rPr>
                <w:sz w:val="20"/>
                <w:szCs w:val="20"/>
                <w:color w:val="auto"/>
              </w:rPr>
            </w:pPr>
            <w:r>
              <w:rPr>
                <w:rFonts w:ascii="Arial" w:cs="Arial" w:eastAsia="Arial" w:hAnsi="Arial"/>
                <w:sz w:val="16"/>
                <w:szCs w:val="16"/>
                <w:color w:val="auto"/>
              </w:rPr>
              <w:t>-</w:t>
            </w:r>
          </w:p>
        </w:tc>
        <w:tc>
          <w:tcPr>
            <w:tcW w:w="680" w:type="dxa"/>
            <w:vAlign w:val="bottom"/>
          </w:tcPr>
          <w:p>
            <w:pPr>
              <w:jc w:val="right"/>
              <w:ind w:right="59"/>
              <w:spacing w:after="0"/>
              <w:rPr>
                <w:sz w:val="20"/>
                <w:szCs w:val="20"/>
                <w:color w:val="auto"/>
              </w:rPr>
            </w:pPr>
            <w:r>
              <w:rPr>
                <w:rFonts w:ascii="Arial" w:cs="Arial" w:eastAsia="Arial" w:hAnsi="Arial"/>
                <w:sz w:val="16"/>
                <w:szCs w:val="16"/>
                <w:color w:val="auto"/>
              </w:rPr>
              <w:t>10.0 %</w:t>
            </w: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80" w:type="dxa"/>
            <w:vAlign w:val="bottom"/>
            <w:gridSpan w:val="2"/>
          </w:tcPr>
          <w:p>
            <w:pPr>
              <w:jc w:val="right"/>
              <w:ind w:right="59"/>
              <w:spacing w:after="0"/>
              <w:rPr>
                <w:sz w:val="20"/>
                <w:szCs w:val="20"/>
                <w:color w:val="auto"/>
              </w:rPr>
            </w:pPr>
            <w:r>
              <w:rPr>
                <w:rFonts w:ascii="Arial" w:cs="Arial" w:eastAsia="Arial" w:hAnsi="Arial"/>
                <w:sz w:val="16"/>
                <w:szCs w:val="16"/>
                <w:color w:val="auto"/>
              </w:rPr>
              <w:t>6.6 %</w:t>
            </w:r>
          </w:p>
        </w:tc>
        <w:tc>
          <w:tcPr>
            <w:tcW w:w="20" w:type="dxa"/>
            <w:vAlign w:val="bottom"/>
            <w:shd w:val="clear" w:color="auto" w:fill="000000"/>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2580" w:type="dxa"/>
            <w:vAlign w:val="bottom"/>
            <w:tcBorders>
              <w:lef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00" w:type="dxa"/>
            <w:vAlign w:val="bottom"/>
            <w:tcBorders>
              <w:right w:val="single" w:sz="8" w:color="auto"/>
            </w:tcBorders>
          </w:tcPr>
          <w:p>
            <w:pPr>
              <w:spacing w:after="0"/>
              <w:rPr>
                <w:sz w:val="17"/>
                <w:szCs w:val="17"/>
                <w:color w:val="auto"/>
              </w:rPr>
            </w:pPr>
          </w:p>
        </w:tc>
        <w:tc>
          <w:tcPr>
            <w:tcW w:w="1160" w:type="dxa"/>
            <w:vAlign w:val="bottom"/>
          </w:tcPr>
          <w:p>
            <w:pPr>
              <w:ind w:left="120"/>
              <w:spacing w:after="0"/>
              <w:rPr>
                <w:sz w:val="20"/>
                <w:szCs w:val="20"/>
                <w:color w:val="auto"/>
              </w:rPr>
            </w:pPr>
            <w:r>
              <w:rPr>
                <w:rFonts w:ascii="Arial" w:cs="Arial" w:eastAsia="Arial" w:hAnsi="Arial"/>
                <w:sz w:val="16"/>
                <w:szCs w:val="16"/>
                <w:color w:val="auto"/>
              </w:rPr>
              <w:t>flow - real</w:t>
            </w:r>
          </w:p>
        </w:tc>
        <w:tc>
          <w:tcPr>
            <w:tcW w:w="200" w:type="dxa"/>
            <w:vAlign w:val="bottom"/>
            <w:tcBorders>
              <w:right w:val="single" w:sz="8" w:color="auto"/>
            </w:tcBorders>
          </w:tcPr>
          <w:p>
            <w:pPr>
              <w:spacing w:after="0"/>
              <w:rPr>
                <w:sz w:val="17"/>
                <w:szCs w:val="17"/>
                <w:color w:val="auto"/>
              </w:rPr>
            </w:pPr>
          </w:p>
        </w:tc>
        <w:tc>
          <w:tcPr>
            <w:tcW w:w="13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0" w:type="dxa"/>
            <w:vAlign w:val="bottom"/>
            <w:shd w:val="clear" w:color="auto" w:fill="000000"/>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2580" w:type="dxa"/>
            <w:vAlign w:val="bottom"/>
            <w:tcBorders>
              <w:left w:val="single" w:sz="8" w:color="auto"/>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660" w:type="dxa"/>
            <w:vAlign w:val="bottom"/>
            <w:tcBorders>
              <w:bottom w:val="single" w:sz="8" w:color="CCEEFF"/>
            </w:tcBorders>
          </w:tcPr>
          <w:p>
            <w:pPr>
              <w:spacing w:after="0"/>
              <w:rPr>
                <w:sz w:val="18"/>
                <w:szCs w:val="18"/>
                <w:color w:val="auto"/>
              </w:rPr>
            </w:pPr>
          </w:p>
        </w:tc>
        <w:tc>
          <w:tcPr>
            <w:tcW w:w="200" w:type="dxa"/>
            <w:vAlign w:val="bottom"/>
            <w:tcBorders>
              <w:bottom w:val="single" w:sz="8" w:color="CCEEFF"/>
              <w:right w:val="single" w:sz="8" w:color="auto"/>
            </w:tcBorders>
          </w:tcPr>
          <w:p>
            <w:pPr>
              <w:spacing w:after="0"/>
              <w:rPr>
                <w:sz w:val="18"/>
                <w:szCs w:val="18"/>
                <w:color w:val="auto"/>
              </w:rPr>
            </w:pPr>
          </w:p>
        </w:tc>
        <w:tc>
          <w:tcPr>
            <w:tcW w:w="1160" w:type="dxa"/>
            <w:vAlign w:val="bottom"/>
            <w:tcBorders>
              <w:bottom w:val="single" w:sz="8" w:color="CCEEFF"/>
            </w:tcBorders>
          </w:tcPr>
          <w:p>
            <w:pPr>
              <w:ind w:left="120"/>
              <w:spacing w:after="0"/>
              <w:rPr>
                <w:sz w:val="20"/>
                <w:szCs w:val="20"/>
                <w:color w:val="auto"/>
              </w:rPr>
            </w:pPr>
            <w:r>
              <w:rPr>
                <w:rFonts w:ascii="Arial" w:cs="Arial" w:eastAsia="Arial" w:hAnsi="Arial"/>
                <w:sz w:val="16"/>
                <w:szCs w:val="16"/>
                <w:color w:val="auto"/>
              </w:rPr>
              <w:t>estate</w:t>
            </w:r>
          </w:p>
        </w:tc>
        <w:tc>
          <w:tcPr>
            <w:tcW w:w="200" w:type="dxa"/>
            <w:vAlign w:val="bottom"/>
            <w:tcBorders>
              <w:bottom w:val="single" w:sz="8" w:color="CCEEFF"/>
              <w:right w:val="single" w:sz="8" w:color="auto"/>
            </w:tcBorders>
          </w:tcPr>
          <w:p>
            <w:pPr>
              <w:spacing w:after="0"/>
              <w:rPr>
                <w:sz w:val="18"/>
                <w:szCs w:val="18"/>
                <w:color w:val="auto"/>
              </w:rPr>
            </w:pPr>
          </w:p>
        </w:tc>
        <w:tc>
          <w:tcPr>
            <w:tcW w:w="1360" w:type="dxa"/>
            <w:vAlign w:val="bottom"/>
            <w:tcBorders>
              <w:bottom w:val="single" w:sz="8" w:color="auto"/>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56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480" w:type="dxa"/>
            <w:vAlign w:val="bottom"/>
            <w:tcBorders>
              <w:bottom w:val="single" w:sz="8" w:color="auto"/>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shd w:val="clear" w:color="auto" w:fill="000000"/>
          </w:tcPr>
          <w:p>
            <w:pPr>
              <w:spacing w:after="0"/>
              <w:rPr>
                <w:sz w:val="18"/>
                <w:szCs w:val="18"/>
                <w:color w:val="auto"/>
              </w:rPr>
            </w:pPr>
          </w:p>
        </w:tc>
        <w:tc>
          <w:tcPr>
            <w:tcW w:w="0" w:type="dxa"/>
            <w:vAlign w:val="bottom"/>
          </w:tcPr>
          <w:p>
            <w:pPr>
              <w:spacing w:after="0"/>
              <w:rPr>
                <w:sz w:val="1"/>
                <w:szCs w:val="1"/>
                <w:color w:val="auto"/>
              </w:rPr>
            </w:pPr>
          </w:p>
        </w:tc>
      </w:tr>
      <w:tr>
        <w:trPr>
          <w:trHeight w:val="189"/>
        </w:trPr>
        <w:tc>
          <w:tcPr>
            <w:tcW w:w="2580" w:type="dxa"/>
            <w:vAlign w:val="bottom"/>
            <w:tcBorders>
              <w:left w:val="single" w:sz="8" w:color="auto"/>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200" w:type="dxa"/>
            <w:vAlign w:val="bottom"/>
            <w:tcBorders>
              <w:right w:val="single" w:sz="8" w:color="auto"/>
            </w:tcBorders>
            <w:shd w:val="clear" w:color="auto" w:fill="CCEEFF"/>
          </w:tcPr>
          <w:p>
            <w:pPr>
              <w:spacing w:after="0"/>
              <w:rPr>
                <w:sz w:val="16"/>
                <w:szCs w:val="16"/>
                <w:color w:val="auto"/>
              </w:rPr>
            </w:pPr>
          </w:p>
        </w:tc>
        <w:tc>
          <w:tcPr>
            <w:tcW w:w="1160" w:type="dxa"/>
            <w:vAlign w:val="bottom"/>
            <w:shd w:val="clear" w:color="auto" w:fill="CCEEFF"/>
          </w:tcPr>
          <w:p>
            <w:pPr>
              <w:spacing w:after="0"/>
              <w:rPr>
                <w:sz w:val="16"/>
                <w:szCs w:val="16"/>
                <w:color w:val="auto"/>
              </w:rPr>
            </w:pPr>
          </w:p>
        </w:tc>
        <w:tc>
          <w:tcPr>
            <w:tcW w:w="200" w:type="dxa"/>
            <w:vAlign w:val="bottom"/>
            <w:tcBorders>
              <w:right w:val="single" w:sz="8" w:color="auto"/>
            </w:tcBorders>
            <w:shd w:val="clear" w:color="auto" w:fill="CCEEFF"/>
          </w:tcPr>
          <w:p>
            <w:pPr>
              <w:spacing w:after="0"/>
              <w:rPr>
                <w:sz w:val="16"/>
                <w:szCs w:val="16"/>
                <w:color w:val="auto"/>
              </w:rPr>
            </w:pPr>
          </w:p>
        </w:tc>
        <w:tc>
          <w:tcPr>
            <w:tcW w:w="154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Terminal</w:t>
            </w:r>
          </w:p>
        </w:tc>
        <w:tc>
          <w:tcPr>
            <w:tcW w:w="5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4.3 %</w:t>
            </w:r>
          </w:p>
        </w:tc>
        <w:tc>
          <w:tcPr>
            <w:tcW w:w="1180" w:type="dxa"/>
            <w:vAlign w:val="bottom"/>
            <w:shd w:val="clear" w:color="auto" w:fill="CCEEFF"/>
          </w:tcPr>
          <w:p>
            <w:pPr>
              <w:ind w:left="80"/>
              <w:spacing w:after="0"/>
              <w:rPr>
                <w:sz w:val="20"/>
                <w:szCs w:val="20"/>
                <w:color w:val="auto"/>
              </w:rPr>
            </w:pPr>
            <w:r>
              <w:rPr>
                <w:rFonts w:ascii="Arial" w:cs="Arial" w:eastAsia="Arial" w:hAnsi="Arial"/>
                <w:sz w:val="16"/>
                <w:szCs w:val="16"/>
                <w:color w:val="auto"/>
              </w:rPr>
              <w:t>-</w:t>
            </w:r>
          </w:p>
        </w:tc>
        <w:tc>
          <w:tcPr>
            <w:tcW w:w="680" w:type="dxa"/>
            <w:vAlign w:val="bottom"/>
            <w:shd w:val="clear" w:color="auto" w:fill="CCEEFF"/>
          </w:tcPr>
          <w:p>
            <w:pPr>
              <w:jc w:val="right"/>
              <w:ind w:right="59"/>
              <w:spacing w:after="0"/>
              <w:rPr>
                <w:sz w:val="20"/>
                <w:szCs w:val="20"/>
                <w:color w:val="auto"/>
              </w:rPr>
            </w:pPr>
            <w:r>
              <w:rPr>
                <w:rFonts w:ascii="Arial" w:cs="Arial" w:eastAsia="Arial" w:hAnsi="Arial"/>
                <w:sz w:val="16"/>
                <w:szCs w:val="16"/>
                <w:color w:val="auto"/>
              </w:rPr>
              <w:t>9.3 %</w:t>
            </w:r>
          </w:p>
        </w:tc>
        <w:tc>
          <w:tcPr>
            <w:tcW w:w="1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80" w:type="dxa"/>
            <w:vAlign w:val="bottom"/>
            <w:gridSpan w:val="2"/>
            <w:shd w:val="clear" w:color="auto" w:fill="CCEEFF"/>
          </w:tcPr>
          <w:p>
            <w:pPr>
              <w:jc w:val="right"/>
              <w:ind w:right="59"/>
              <w:spacing w:after="0"/>
              <w:rPr>
                <w:sz w:val="20"/>
                <w:szCs w:val="20"/>
                <w:color w:val="auto"/>
              </w:rPr>
            </w:pPr>
            <w:r>
              <w:rPr>
                <w:rFonts w:ascii="Arial" w:cs="Arial" w:eastAsia="Arial" w:hAnsi="Arial"/>
                <w:sz w:val="16"/>
                <w:szCs w:val="16"/>
                <w:color w:val="auto"/>
              </w:rPr>
              <w:t>5.5 %</w:t>
            </w:r>
          </w:p>
        </w:tc>
        <w:tc>
          <w:tcPr>
            <w:tcW w:w="20" w:type="dxa"/>
            <w:vAlign w:val="bottom"/>
            <w:shd w:val="clear" w:color="auto" w:fill="000000"/>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2580" w:type="dxa"/>
            <w:vAlign w:val="bottom"/>
            <w:tcBorders>
              <w:left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200" w:type="dxa"/>
            <w:vAlign w:val="bottom"/>
            <w:tcBorders>
              <w:right w:val="single" w:sz="8" w:color="auto"/>
            </w:tcBorders>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200" w:type="dxa"/>
            <w:vAlign w:val="bottom"/>
            <w:tcBorders>
              <w:right w:val="single" w:sz="8" w:color="auto"/>
            </w:tcBorders>
            <w:shd w:val="clear" w:color="auto" w:fill="CCEEFF"/>
          </w:tcPr>
          <w:p>
            <w:pPr>
              <w:spacing w:after="0"/>
              <w:rPr>
                <w:sz w:val="18"/>
                <w:szCs w:val="18"/>
                <w:color w:val="auto"/>
              </w:rPr>
            </w:pPr>
          </w:p>
        </w:tc>
        <w:tc>
          <w:tcPr>
            <w:tcW w:w="1540" w:type="dxa"/>
            <w:vAlign w:val="bottom"/>
            <w:tcBorders>
              <w:bottom w:val="single" w:sz="8" w:color="auto"/>
            </w:tcBorders>
            <w:gridSpan w:val="2"/>
            <w:shd w:val="clear" w:color="auto" w:fill="CCEEFF"/>
          </w:tcPr>
          <w:p>
            <w:pPr>
              <w:ind w:left="120"/>
              <w:spacing w:after="0"/>
              <w:rPr>
                <w:sz w:val="20"/>
                <w:szCs w:val="20"/>
                <w:color w:val="auto"/>
              </w:rPr>
            </w:pPr>
            <w:r>
              <w:rPr>
                <w:rFonts w:ascii="Arial" w:cs="Arial" w:eastAsia="Arial" w:hAnsi="Arial"/>
                <w:sz w:val="16"/>
                <w:szCs w:val="16"/>
                <w:color w:val="auto"/>
              </w:rPr>
              <w:t>capitalization rate</w:t>
            </w:r>
          </w:p>
        </w:tc>
        <w:tc>
          <w:tcPr>
            <w:tcW w:w="56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spacing w:after="0"/>
              <w:rPr>
                <w:sz w:val="18"/>
                <w:szCs w:val="18"/>
                <w:color w:val="auto"/>
              </w:rPr>
            </w:pPr>
          </w:p>
        </w:tc>
        <w:tc>
          <w:tcPr>
            <w:tcW w:w="20" w:type="dxa"/>
            <w:vAlign w:val="bottom"/>
            <w:tcBorders>
              <w:bottom w:val="single" w:sz="8" w:color="auto"/>
            </w:tcBorders>
            <w:shd w:val="clear" w:color="auto" w:fill="000000"/>
          </w:tcPr>
          <w:p>
            <w:pPr>
              <w:spacing w:after="0"/>
              <w:rPr>
                <w:sz w:val="18"/>
                <w:szCs w:val="18"/>
                <w:color w:val="auto"/>
              </w:rPr>
            </w:pPr>
          </w:p>
        </w:tc>
        <w:tc>
          <w:tcPr>
            <w:tcW w:w="0" w:type="dxa"/>
            <w:vAlign w:val="bottom"/>
          </w:tcPr>
          <w:p>
            <w:pPr>
              <w:spacing w:after="0"/>
              <w:rPr>
                <w:sz w:val="1"/>
                <w:szCs w:val="1"/>
                <w:color w:val="auto"/>
              </w:rPr>
            </w:pPr>
          </w:p>
        </w:tc>
      </w:tr>
      <w:tr>
        <w:trPr>
          <w:trHeight w:val="189"/>
        </w:trPr>
        <w:tc>
          <w:tcPr>
            <w:tcW w:w="2580" w:type="dxa"/>
            <w:vAlign w:val="bottom"/>
            <w:tcBorders>
              <w:lef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200" w:type="dxa"/>
            <w:vAlign w:val="bottom"/>
            <w:tcBorders>
              <w:right w:val="single" w:sz="8" w:color="auto"/>
            </w:tcBorders>
          </w:tcPr>
          <w:p>
            <w:pPr>
              <w:spacing w:after="0"/>
              <w:rPr>
                <w:sz w:val="16"/>
                <w:szCs w:val="16"/>
                <w:color w:val="auto"/>
              </w:rPr>
            </w:pPr>
          </w:p>
        </w:tc>
        <w:tc>
          <w:tcPr>
            <w:tcW w:w="1160" w:type="dxa"/>
            <w:vAlign w:val="bottom"/>
          </w:tcPr>
          <w:p>
            <w:pPr>
              <w:spacing w:after="0"/>
              <w:rPr>
                <w:sz w:val="16"/>
                <w:szCs w:val="16"/>
                <w:color w:val="auto"/>
              </w:rPr>
            </w:pPr>
          </w:p>
        </w:tc>
        <w:tc>
          <w:tcPr>
            <w:tcW w:w="200" w:type="dxa"/>
            <w:vAlign w:val="bottom"/>
            <w:tcBorders>
              <w:right w:val="single" w:sz="8" w:color="auto"/>
            </w:tcBorders>
          </w:tcPr>
          <w:p>
            <w:pPr>
              <w:spacing w:after="0"/>
              <w:rPr>
                <w:sz w:val="16"/>
                <w:szCs w:val="16"/>
                <w:color w:val="auto"/>
              </w:rPr>
            </w:pPr>
          </w:p>
        </w:tc>
        <w:tc>
          <w:tcPr>
            <w:tcW w:w="1540" w:type="dxa"/>
            <w:vAlign w:val="bottom"/>
            <w:gridSpan w:val="2"/>
          </w:tcPr>
          <w:p>
            <w:pPr>
              <w:spacing w:after="0"/>
              <w:rPr>
                <w:sz w:val="20"/>
                <w:szCs w:val="20"/>
                <w:color w:val="auto"/>
              </w:rPr>
            </w:pPr>
            <w:r>
              <w:rPr>
                <w:rFonts w:ascii="Arial" w:cs="Arial" w:eastAsia="Arial" w:hAnsi="Arial"/>
                <w:sz w:val="16"/>
                <w:szCs w:val="16"/>
                <w:color w:val="auto"/>
              </w:rPr>
              <w:t>Average market rent</w:t>
            </w:r>
          </w:p>
        </w:tc>
        <w:tc>
          <w:tcPr>
            <w:tcW w:w="560" w:type="dxa"/>
            <w:vAlign w:val="bottom"/>
          </w:tcPr>
          <w:p>
            <w:pPr>
              <w:jc w:val="right"/>
              <w:spacing w:after="0"/>
              <w:rPr>
                <w:sz w:val="20"/>
                <w:szCs w:val="20"/>
                <w:color w:val="auto"/>
              </w:rPr>
            </w:pPr>
            <w:r>
              <w:rPr>
                <w:rFonts w:ascii="Arial" w:cs="Arial" w:eastAsia="Arial" w:hAnsi="Arial"/>
                <w:sz w:val="16"/>
                <w:szCs w:val="16"/>
                <w:color w:val="auto"/>
              </w:rPr>
              <w:t>1.6 %</w:t>
            </w:r>
          </w:p>
        </w:tc>
        <w:tc>
          <w:tcPr>
            <w:tcW w:w="1180" w:type="dxa"/>
            <w:vAlign w:val="bottom"/>
          </w:tcPr>
          <w:p>
            <w:pPr>
              <w:ind w:left="80"/>
              <w:spacing w:after="0"/>
              <w:rPr>
                <w:sz w:val="20"/>
                <w:szCs w:val="20"/>
                <w:color w:val="auto"/>
              </w:rPr>
            </w:pPr>
            <w:r>
              <w:rPr>
                <w:rFonts w:ascii="Arial" w:cs="Arial" w:eastAsia="Arial" w:hAnsi="Arial"/>
                <w:sz w:val="16"/>
                <w:szCs w:val="16"/>
                <w:color w:val="auto"/>
              </w:rPr>
              <w:t>-</w:t>
            </w:r>
          </w:p>
        </w:tc>
        <w:tc>
          <w:tcPr>
            <w:tcW w:w="680" w:type="dxa"/>
            <w:vAlign w:val="bottom"/>
          </w:tcPr>
          <w:p>
            <w:pPr>
              <w:jc w:val="right"/>
              <w:ind w:right="59"/>
              <w:spacing w:after="0"/>
              <w:rPr>
                <w:sz w:val="20"/>
                <w:szCs w:val="20"/>
                <w:color w:val="auto"/>
              </w:rPr>
            </w:pPr>
            <w:r>
              <w:rPr>
                <w:rFonts w:ascii="Arial" w:cs="Arial" w:eastAsia="Arial" w:hAnsi="Arial"/>
                <w:sz w:val="16"/>
                <w:szCs w:val="16"/>
                <w:color w:val="auto"/>
              </w:rPr>
              <w:t>4.3 %</w:t>
            </w: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80" w:type="dxa"/>
            <w:vAlign w:val="bottom"/>
            <w:gridSpan w:val="2"/>
          </w:tcPr>
          <w:p>
            <w:pPr>
              <w:jc w:val="right"/>
              <w:ind w:right="59"/>
              <w:spacing w:after="0"/>
              <w:rPr>
                <w:sz w:val="20"/>
                <w:szCs w:val="20"/>
                <w:color w:val="auto"/>
              </w:rPr>
            </w:pPr>
            <w:r>
              <w:rPr>
                <w:rFonts w:ascii="Arial" w:cs="Arial" w:eastAsia="Arial" w:hAnsi="Arial"/>
                <w:sz w:val="16"/>
                <w:szCs w:val="16"/>
                <w:color w:val="auto"/>
              </w:rPr>
              <w:t>3.0 %</w:t>
            </w:r>
          </w:p>
        </w:tc>
        <w:tc>
          <w:tcPr>
            <w:tcW w:w="20" w:type="dxa"/>
            <w:vAlign w:val="bottom"/>
            <w:shd w:val="clear" w:color="auto" w:fill="000000"/>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2580" w:type="dxa"/>
            <w:vAlign w:val="bottom"/>
            <w:tcBorders>
              <w:left w:val="single" w:sz="8" w:color="auto"/>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660" w:type="dxa"/>
            <w:vAlign w:val="bottom"/>
            <w:tcBorders>
              <w:bottom w:val="single" w:sz="8" w:color="CCEEFF"/>
            </w:tcBorders>
          </w:tcPr>
          <w:p>
            <w:pPr>
              <w:spacing w:after="0"/>
              <w:rPr>
                <w:sz w:val="18"/>
                <w:szCs w:val="18"/>
                <w:color w:val="auto"/>
              </w:rPr>
            </w:pPr>
          </w:p>
        </w:tc>
        <w:tc>
          <w:tcPr>
            <w:tcW w:w="200" w:type="dxa"/>
            <w:vAlign w:val="bottom"/>
            <w:tcBorders>
              <w:bottom w:val="single" w:sz="8" w:color="CCEEFF"/>
              <w:right w:val="single" w:sz="8" w:color="auto"/>
            </w:tcBorders>
          </w:tcPr>
          <w:p>
            <w:pPr>
              <w:spacing w:after="0"/>
              <w:rPr>
                <w:sz w:val="18"/>
                <w:szCs w:val="18"/>
                <w:color w:val="auto"/>
              </w:rPr>
            </w:pPr>
          </w:p>
        </w:tc>
        <w:tc>
          <w:tcPr>
            <w:tcW w:w="1160" w:type="dxa"/>
            <w:vAlign w:val="bottom"/>
            <w:tcBorders>
              <w:bottom w:val="single" w:sz="8" w:color="auto"/>
            </w:tcBorders>
          </w:tcPr>
          <w:p>
            <w:pPr>
              <w:spacing w:after="0"/>
              <w:rPr>
                <w:sz w:val="18"/>
                <w:szCs w:val="18"/>
                <w:color w:val="auto"/>
              </w:rPr>
            </w:pPr>
          </w:p>
        </w:tc>
        <w:tc>
          <w:tcPr>
            <w:tcW w:w="200" w:type="dxa"/>
            <w:vAlign w:val="bottom"/>
            <w:tcBorders>
              <w:bottom w:val="single" w:sz="8" w:color="auto"/>
              <w:right w:val="single" w:sz="8" w:color="auto"/>
            </w:tcBorders>
          </w:tcPr>
          <w:p>
            <w:pPr>
              <w:spacing w:after="0"/>
              <w:rPr>
                <w:sz w:val="18"/>
                <w:szCs w:val="18"/>
                <w:color w:val="auto"/>
              </w:rPr>
            </w:pPr>
          </w:p>
        </w:tc>
        <w:tc>
          <w:tcPr>
            <w:tcW w:w="1540" w:type="dxa"/>
            <w:vAlign w:val="bottom"/>
            <w:tcBorders>
              <w:bottom w:val="single" w:sz="8" w:color="auto"/>
            </w:tcBorders>
            <w:gridSpan w:val="2"/>
          </w:tcPr>
          <w:p>
            <w:pPr>
              <w:ind w:left="120"/>
              <w:spacing w:after="0"/>
              <w:rPr>
                <w:sz w:val="20"/>
                <w:szCs w:val="20"/>
                <w:color w:val="auto"/>
              </w:rPr>
            </w:pPr>
            <w:r>
              <w:rPr>
                <w:rFonts w:ascii="Arial" w:cs="Arial" w:eastAsia="Arial" w:hAnsi="Arial"/>
                <w:sz w:val="16"/>
                <w:szCs w:val="16"/>
                <w:color w:val="auto"/>
              </w:rPr>
              <w:t>growth rate</w:t>
            </w:r>
          </w:p>
        </w:tc>
        <w:tc>
          <w:tcPr>
            <w:tcW w:w="56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480" w:type="dxa"/>
            <w:vAlign w:val="bottom"/>
            <w:tcBorders>
              <w:bottom w:val="single" w:sz="8" w:color="auto"/>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shd w:val="clear" w:color="auto" w:fill="000000"/>
          </w:tcPr>
          <w:p>
            <w:pPr>
              <w:spacing w:after="0"/>
              <w:rPr>
                <w:sz w:val="18"/>
                <w:szCs w:val="18"/>
                <w:color w:val="auto"/>
              </w:rPr>
            </w:pPr>
          </w:p>
        </w:tc>
        <w:tc>
          <w:tcPr>
            <w:tcW w:w="0" w:type="dxa"/>
            <w:vAlign w:val="bottom"/>
          </w:tcPr>
          <w:p>
            <w:pPr>
              <w:spacing w:after="0"/>
              <w:rPr>
                <w:sz w:val="1"/>
                <w:szCs w:val="1"/>
                <w:color w:val="auto"/>
              </w:rPr>
            </w:pPr>
          </w:p>
        </w:tc>
      </w:tr>
      <w:tr>
        <w:trPr>
          <w:trHeight w:val="189"/>
        </w:trPr>
        <w:tc>
          <w:tcPr>
            <w:tcW w:w="2580" w:type="dxa"/>
            <w:vAlign w:val="bottom"/>
            <w:tcBorders>
              <w:left w:val="single" w:sz="8" w:color="auto"/>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200" w:type="dxa"/>
            <w:vAlign w:val="bottom"/>
            <w:tcBorders>
              <w:right w:val="single" w:sz="8" w:color="auto"/>
            </w:tcBorders>
            <w:shd w:val="clear" w:color="auto" w:fill="CCEEFF"/>
          </w:tcPr>
          <w:p>
            <w:pPr>
              <w:spacing w:after="0"/>
              <w:rPr>
                <w:sz w:val="16"/>
                <w:szCs w:val="16"/>
                <w:color w:val="auto"/>
              </w:rPr>
            </w:pPr>
          </w:p>
        </w:tc>
        <w:tc>
          <w:tcPr>
            <w:tcW w:w="1160" w:type="dxa"/>
            <w:vAlign w:val="bottom"/>
            <w:shd w:val="clear" w:color="auto" w:fill="CCEEFF"/>
          </w:tcPr>
          <w:p>
            <w:pPr>
              <w:spacing w:after="0"/>
              <w:rPr>
                <w:sz w:val="20"/>
                <w:szCs w:val="20"/>
                <w:color w:val="auto"/>
              </w:rPr>
            </w:pPr>
            <w:r>
              <w:rPr>
                <w:rFonts w:ascii="Arial" w:cs="Arial" w:eastAsia="Arial" w:hAnsi="Arial"/>
                <w:sz w:val="16"/>
                <w:szCs w:val="16"/>
                <w:color w:val="auto"/>
                <w:w w:val="96"/>
              </w:rPr>
              <w:t>Discounted cash</w:t>
            </w:r>
          </w:p>
        </w:tc>
        <w:tc>
          <w:tcPr>
            <w:tcW w:w="200" w:type="dxa"/>
            <w:vAlign w:val="bottom"/>
            <w:tcBorders>
              <w:right w:val="single" w:sz="8" w:color="auto"/>
            </w:tcBorders>
            <w:shd w:val="clear" w:color="auto" w:fill="CCEEFF"/>
          </w:tcPr>
          <w:p>
            <w:pPr>
              <w:spacing w:after="0"/>
              <w:rPr>
                <w:sz w:val="16"/>
                <w:szCs w:val="16"/>
                <w:color w:val="auto"/>
              </w:rPr>
            </w:pPr>
          </w:p>
        </w:tc>
        <w:tc>
          <w:tcPr>
            <w:tcW w:w="154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Loan to value</w:t>
            </w:r>
          </w:p>
        </w:tc>
        <w:tc>
          <w:tcPr>
            <w:tcW w:w="5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6"/>
              </w:rPr>
              <w:t>40.5 %</w:t>
            </w:r>
          </w:p>
        </w:tc>
        <w:tc>
          <w:tcPr>
            <w:tcW w:w="1180" w:type="dxa"/>
            <w:vAlign w:val="bottom"/>
            <w:shd w:val="clear" w:color="auto" w:fill="CCEEFF"/>
          </w:tcPr>
          <w:p>
            <w:pPr>
              <w:ind w:left="80"/>
              <w:spacing w:after="0"/>
              <w:rPr>
                <w:sz w:val="20"/>
                <w:szCs w:val="20"/>
                <w:color w:val="auto"/>
              </w:rPr>
            </w:pPr>
            <w:r>
              <w:rPr>
                <w:rFonts w:ascii="Arial" w:cs="Arial" w:eastAsia="Arial" w:hAnsi="Arial"/>
                <w:sz w:val="16"/>
                <w:szCs w:val="16"/>
                <w:color w:val="auto"/>
              </w:rPr>
              <w:t>-</w:t>
            </w:r>
          </w:p>
        </w:tc>
        <w:tc>
          <w:tcPr>
            <w:tcW w:w="680" w:type="dxa"/>
            <w:vAlign w:val="bottom"/>
            <w:shd w:val="clear" w:color="auto" w:fill="CCEEFF"/>
          </w:tcPr>
          <w:p>
            <w:pPr>
              <w:jc w:val="right"/>
              <w:ind w:right="59"/>
              <w:spacing w:after="0"/>
              <w:rPr>
                <w:sz w:val="20"/>
                <w:szCs w:val="20"/>
                <w:color w:val="auto"/>
              </w:rPr>
            </w:pPr>
            <w:r>
              <w:rPr>
                <w:rFonts w:ascii="Arial" w:cs="Arial" w:eastAsia="Arial" w:hAnsi="Arial"/>
                <w:sz w:val="16"/>
                <w:szCs w:val="16"/>
                <w:color w:val="auto"/>
              </w:rPr>
              <w:t>57.4 %</w:t>
            </w:r>
          </w:p>
        </w:tc>
        <w:tc>
          <w:tcPr>
            <w:tcW w:w="1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80" w:type="dxa"/>
            <w:vAlign w:val="bottom"/>
            <w:gridSpan w:val="2"/>
            <w:shd w:val="clear" w:color="auto" w:fill="CCEEFF"/>
          </w:tcPr>
          <w:p>
            <w:pPr>
              <w:jc w:val="right"/>
              <w:ind w:right="59"/>
              <w:spacing w:after="0"/>
              <w:rPr>
                <w:sz w:val="20"/>
                <w:szCs w:val="20"/>
                <w:color w:val="auto"/>
              </w:rPr>
            </w:pPr>
            <w:r>
              <w:rPr>
                <w:rFonts w:ascii="Arial" w:cs="Arial" w:eastAsia="Arial" w:hAnsi="Arial"/>
                <w:sz w:val="16"/>
                <w:szCs w:val="16"/>
                <w:color w:val="auto"/>
              </w:rPr>
              <w:t>45.1 %</w:t>
            </w:r>
          </w:p>
        </w:tc>
        <w:tc>
          <w:tcPr>
            <w:tcW w:w="20" w:type="dxa"/>
            <w:vAlign w:val="bottom"/>
            <w:shd w:val="clear" w:color="auto" w:fill="000000"/>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2580" w:type="dxa"/>
            <w:vAlign w:val="bottom"/>
            <w:tcBorders>
              <w:left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200" w:type="dxa"/>
            <w:vAlign w:val="bottom"/>
            <w:tcBorders>
              <w:right w:val="single" w:sz="8" w:color="auto"/>
            </w:tcBorders>
            <w:shd w:val="clear" w:color="auto" w:fill="CCEEFF"/>
          </w:tcPr>
          <w:p>
            <w:pPr>
              <w:spacing w:after="0"/>
              <w:rPr>
                <w:sz w:val="17"/>
                <w:szCs w:val="17"/>
                <w:color w:val="auto"/>
              </w:rPr>
            </w:pPr>
          </w:p>
        </w:tc>
        <w:tc>
          <w:tcPr>
            <w:tcW w:w="1160" w:type="dxa"/>
            <w:vAlign w:val="bottom"/>
            <w:shd w:val="clear" w:color="auto" w:fill="CCEEFF"/>
          </w:tcPr>
          <w:p>
            <w:pPr>
              <w:ind w:left="120"/>
              <w:spacing w:after="0"/>
              <w:rPr>
                <w:sz w:val="20"/>
                <w:szCs w:val="20"/>
                <w:color w:val="auto"/>
              </w:rPr>
            </w:pPr>
            <w:r>
              <w:rPr>
                <w:rFonts w:ascii="Arial" w:cs="Arial" w:eastAsia="Arial" w:hAnsi="Arial"/>
                <w:sz w:val="16"/>
                <w:szCs w:val="16"/>
                <w:color w:val="auto"/>
              </w:rPr>
              <w:t>flow - real</w:t>
            </w:r>
          </w:p>
        </w:tc>
        <w:tc>
          <w:tcPr>
            <w:tcW w:w="200" w:type="dxa"/>
            <w:vAlign w:val="bottom"/>
            <w:tcBorders>
              <w:right w:val="single" w:sz="8" w:color="auto"/>
            </w:tcBorders>
            <w:shd w:val="clear" w:color="auto" w:fill="CCEEFF"/>
          </w:tcPr>
          <w:p>
            <w:pPr>
              <w:spacing w:after="0"/>
              <w:rPr>
                <w:sz w:val="17"/>
                <w:szCs w:val="17"/>
                <w:color w:val="auto"/>
              </w:rPr>
            </w:pPr>
          </w:p>
        </w:tc>
        <w:tc>
          <w:tcPr>
            <w:tcW w:w="13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0" w:type="dxa"/>
            <w:vAlign w:val="bottom"/>
            <w:shd w:val="clear" w:color="auto" w:fill="000000"/>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2580" w:type="dxa"/>
            <w:vAlign w:val="bottom"/>
            <w:tcBorders>
              <w:left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200" w:type="dxa"/>
            <w:vAlign w:val="bottom"/>
            <w:tcBorders>
              <w:right w:val="single" w:sz="8" w:color="auto"/>
            </w:tcBorders>
            <w:shd w:val="clear" w:color="auto" w:fill="CCEEFF"/>
          </w:tcPr>
          <w:p>
            <w:pPr>
              <w:spacing w:after="0"/>
              <w:rPr>
                <w:sz w:val="18"/>
                <w:szCs w:val="18"/>
                <w:color w:val="auto"/>
              </w:rPr>
            </w:pPr>
          </w:p>
        </w:tc>
        <w:tc>
          <w:tcPr>
            <w:tcW w:w="1160" w:type="dxa"/>
            <w:vAlign w:val="bottom"/>
            <w:shd w:val="clear" w:color="auto" w:fill="CCEEFF"/>
          </w:tcPr>
          <w:p>
            <w:pPr>
              <w:ind w:left="120"/>
              <w:spacing w:after="0"/>
              <w:rPr>
                <w:sz w:val="20"/>
                <w:szCs w:val="20"/>
                <w:color w:val="auto"/>
              </w:rPr>
            </w:pPr>
            <w:r>
              <w:rPr>
                <w:rFonts w:ascii="Arial" w:cs="Arial" w:eastAsia="Arial" w:hAnsi="Arial"/>
                <w:sz w:val="16"/>
                <w:szCs w:val="16"/>
                <w:color w:val="auto"/>
              </w:rPr>
              <w:t>estate debt</w:t>
            </w:r>
          </w:p>
        </w:tc>
        <w:tc>
          <w:tcPr>
            <w:tcW w:w="200" w:type="dxa"/>
            <w:vAlign w:val="bottom"/>
            <w:tcBorders>
              <w:right w:val="single" w:sz="8" w:color="auto"/>
            </w:tcBorders>
            <w:shd w:val="clear" w:color="auto" w:fill="CCEEFF"/>
          </w:tcPr>
          <w:p>
            <w:pPr>
              <w:spacing w:after="0"/>
              <w:rPr>
                <w:sz w:val="18"/>
                <w:szCs w:val="18"/>
                <w:color w:val="auto"/>
              </w:rPr>
            </w:pPr>
          </w:p>
        </w:tc>
        <w:tc>
          <w:tcPr>
            <w:tcW w:w="1360" w:type="dxa"/>
            <w:vAlign w:val="bottom"/>
            <w:tcBorders>
              <w:bottom w:val="single" w:sz="8" w:color="auto"/>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56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spacing w:after="0"/>
              <w:rPr>
                <w:sz w:val="18"/>
                <w:szCs w:val="18"/>
                <w:color w:val="auto"/>
              </w:rPr>
            </w:pPr>
          </w:p>
        </w:tc>
        <w:tc>
          <w:tcPr>
            <w:tcW w:w="20" w:type="dxa"/>
            <w:vAlign w:val="bottom"/>
            <w:tcBorders>
              <w:bottom w:val="single" w:sz="8" w:color="auto"/>
            </w:tcBorders>
            <w:shd w:val="clear" w:color="auto" w:fill="000000"/>
          </w:tcPr>
          <w:p>
            <w:pPr>
              <w:spacing w:after="0"/>
              <w:rPr>
                <w:sz w:val="18"/>
                <w:szCs w:val="18"/>
                <w:color w:val="auto"/>
              </w:rPr>
            </w:pPr>
          </w:p>
        </w:tc>
        <w:tc>
          <w:tcPr>
            <w:tcW w:w="0" w:type="dxa"/>
            <w:vAlign w:val="bottom"/>
          </w:tcPr>
          <w:p>
            <w:pPr>
              <w:spacing w:after="0"/>
              <w:rPr>
                <w:sz w:val="1"/>
                <w:szCs w:val="1"/>
                <w:color w:val="auto"/>
              </w:rPr>
            </w:pPr>
          </w:p>
        </w:tc>
      </w:tr>
      <w:tr>
        <w:trPr>
          <w:trHeight w:val="199"/>
        </w:trPr>
        <w:tc>
          <w:tcPr>
            <w:tcW w:w="2580" w:type="dxa"/>
            <w:vAlign w:val="bottom"/>
            <w:tcBorders>
              <w:left w:val="single" w:sz="8" w:color="auto"/>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spacing w:after="0"/>
              <w:rPr>
                <w:sz w:val="17"/>
                <w:szCs w:val="17"/>
                <w:color w:val="auto"/>
              </w:rPr>
            </w:pPr>
          </w:p>
        </w:tc>
        <w:tc>
          <w:tcPr>
            <w:tcW w:w="200" w:type="dxa"/>
            <w:vAlign w:val="bottom"/>
            <w:tcBorders>
              <w:bottom w:val="single" w:sz="8" w:color="auto"/>
              <w:right w:val="single" w:sz="8" w:color="auto"/>
            </w:tcBorders>
          </w:tcPr>
          <w:p>
            <w:pPr>
              <w:spacing w:after="0"/>
              <w:rPr>
                <w:sz w:val="17"/>
                <w:szCs w:val="17"/>
                <w:color w:val="auto"/>
              </w:rPr>
            </w:pPr>
          </w:p>
        </w:tc>
        <w:tc>
          <w:tcPr>
            <w:tcW w:w="1160" w:type="dxa"/>
            <w:vAlign w:val="bottom"/>
            <w:tcBorders>
              <w:bottom w:val="single" w:sz="8" w:color="auto"/>
            </w:tcBorders>
          </w:tcPr>
          <w:p>
            <w:pPr>
              <w:spacing w:after="0"/>
              <w:rPr>
                <w:sz w:val="17"/>
                <w:szCs w:val="17"/>
                <w:color w:val="auto"/>
              </w:rPr>
            </w:pPr>
          </w:p>
        </w:tc>
        <w:tc>
          <w:tcPr>
            <w:tcW w:w="200" w:type="dxa"/>
            <w:vAlign w:val="bottom"/>
            <w:tcBorders>
              <w:bottom w:val="single" w:sz="8" w:color="auto"/>
              <w:right w:val="single" w:sz="8" w:color="auto"/>
            </w:tcBorders>
          </w:tcPr>
          <w:p>
            <w:pPr>
              <w:spacing w:after="0"/>
              <w:rPr>
                <w:sz w:val="17"/>
                <w:szCs w:val="17"/>
                <w:color w:val="auto"/>
              </w:rPr>
            </w:pPr>
          </w:p>
        </w:tc>
        <w:tc>
          <w:tcPr>
            <w:tcW w:w="1540" w:type="dxa"/>
            <w:vAlign w:val="bottom"/>
            <w:tcBorders>
              <w:bottom w:val="single" w:sz="8" w:color="auto"/>
            </w:tcBorders>
            <w:gridSpan w:val="2"/>
          </w:tcPr>
          <w:p>
            <w:pPr>
              <w:spacing w:after="0"/>
              <w:rPr>
                <w:sz w:val="20"/>
                <w:szCs w:val="20"/>
                <w:color w:val="auto"/>
              </w:rPr>
            </w:pPr>
            <w:r>
              <w:rPr>
                <w:rFonts w:ascii="Arial" w:cs="Arial" w:eastAsia="Arial" w:hAnsi="Arial"/>
                <w:sz w:val="16"/>
                <w:szCs w:val="16"/>
                <w:color w:val="auto"/>
              </w:rPr>
              <w:t>Market interest rate</w:t>
            </w: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2.5 %</w:t>
            </w:r>
          </w:p>
        </w:tc>
        <w:tc>
          <w:tcPr>
            <w:tcW w:w="1180" w:type="dxa"/>
            <w:vAlign w:val="bottom"/>
            <w:tcBorders>
              <w:bottom w:val="single" w:sz="8" w:color="auto"/>
            </w:tcBorders>
          </w:tcPr>
          <w:p>
            <w:pPr>
              <w:ind w:left="80"/>
              <w:spacing w:after="0"/>
              <w:rPr>
                <w:sz w:val="20"/>
                <w:szCs w:val="20"/>
                <w:color w:val="auto"/>
              </w:rPr>
            </w:pPr>
            <w:r>
              <w:rPr>
                <w:rFonts w:ascii="Arial" w:cs="Arial" w:eastAsia="Arial" w:hAnsi="Arial"/>
                <w:sz w:val="16"/>
                <w:szCs w:val="16"/>
                <w:color w:val="auto"/>
              </w:rPr>
              <w:t>-</w:t>
            </w:r>
          </w:p>
        </w:tc>
        <w:tc>
          <w:tcPr>
            <w:tcW w:w="68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4.8 %</w:t>
            </w:r>
          </w:p>
        </w:tc>
        <w:tc>
          <w:tcPr>
            <w:tcW w:w="120" w:type="dxa"/>
            <w:vAlign w:val="bottom"/>
            <w:tcBorders>
              <w:bottom w:val="single" w:sz="8" w:color="auto"/>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gridSpan w:val="2"/>
          </w:tcPr>
          <w:p>
            <w:pPr>
              <w:jc w:val="right"/>
              <w:ind w:right="59"/>
              <w:spacing w:after="0"/>
              <w:rPr>
                <w:sz w:val="20"/>
                <w:szCs w:val="20"/>
                <w:color w:val="auto"/>
              </w:rPr>
            </w:pPr>
            <w:r>
              <w:rPr>
                <w:rFonts w:ascii="Arial" w:cs="Arial" w:eastAsia="Arial" w:hAnsi="Arial"/>
                <w:sz w:val="16"/>
                <w:szCs w:val="16"/>
                <w:color w:val="auto"/>
              </w:rPr>
              <w:t>3.6 %</w:t>
            </w:r>
          </w:p>
        </w:tc>
        <w:tc>
          <w:tcPr>
            <w:tcW w:w="20" w:type="dxa"/>
            <w:vAlign w:val="bottom"/>
            <w:tcBorders>
              <w:bottom w:val="single" w:sz="8" w:color="auto"/>
            </w:tcBorders>
            <w:shd w:val="clear" w:color="auto" w:fill="000000"/>
          </w:tcPr>
          <w:p>
            <w:pPr>
              <w:spacing w:after="0"/>
              <w:rPr>
                <w:sz w:val="17"/>
                <w:szCs w:val="17"/>
                <w:color w:val="auto"/>
              </w:rPr>
            </w:pPr>
          </w:p>
        </w:tc>
        <w:tc>
          <w:tcPr>
            <w:tcW w:w="0" w:type="dxa"/>
            <w:vAlign w:val="bottom"/>
          </w:tcPr>
          <w:p>
            <w:pPr>
              <w:spacing w:after="0"/>
              <w:rPr>
                <w:sz w:val="1"/>
                <w:szCs w:val="1"/>
                <w:color w:val="auto"/>
              </w:rPr>
            </w:pPr>
          </w:p>
        </w:tc>
      </w:tr>
      <w:tr>
        <w:trPr>
          <w:trHeight w:val="409"/>
        </w:trPr>
        <w:tc>
          <w:tcPr>
            <w:tcW w:w="2580" w:type="dxa"/>
            <w:vAlign w:val="bottom"/>
            <w:tcBorders>
              <w:bottom w:val="single" w:sz="8" w:color="auto"/>
            </w:tcBorders>
          </w:tcPr>
          <w:p>
            <w:pPr>
              <w:spacing w:after="0"/>
              <w:rPr>
                <w:sz w:val="20"/>
                <w:szCs w:val="20"/>
                <w:color w:val="auto"/>
              </w:rPr>
            </w:pPr>
            <w:r>
              <w:rPr>
                <w:rFonts w:ascii="Arial" w:cs="Arial" w:eastAsia="Arial" w:hAnsi="Arial"/>
                <w:sz w:val="16"/>
                <w:szCs w:val="16"/>
                <w:b w:val="1"/>
                <w:bCs w:val="1"/>
                <w:color w:val="auto"/>
              </w:rPr>
              <w:t>Liabilities</w:t>
            </w:r>
          </w:p>
        </w:tc>
        <w:tc>
          <w:tcPr>
            <w:tcW w:w="10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36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9"/>
        </w:trPr>
        <w:tc>
          <w:tcPr>
            <w:tcW w:w="2580" w:type="dxa"/>
            <w:vAlign w:val="bottom"/>
            <w:tcBorders>
              <w:left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Investment and universal life</w:t>
            </w:r>
          </w:p>
        </w:tc>
        <w:tc>
          <w:tcPr>
            <w:tcW w:w="100" w:type="dxa"/>
            <w:vAlign w:val="bottom"/>
            <w:shd w:val="clear" w:color="auto" w:fill="CCEEFF"/>
          </w:tcPr>
          <w:p>
            <w:pPr>
              <w:spacing w:after="0"/>
              <w:rPr>
                <w:sz w:val="16"/>
                <w:szCs w:val="16"/>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(75.5)</w:t>
            </w:r>
          </w:p>
        </w:tc>
        <w:tc>
          <w:tcPr>
            <w:tcW w:w="200" w:type="dxa"/>
            <w:vAlign w:val="bottom"/>
            <w:tcBorders>
              <w:right w:val="single" w:sz="8" w:color="auto"/>
            </w:tcBorders>
            <w:shd w:val="clear" w:color="auto" w:fill="CCEEFF"/>
          </w:tcPr>
          <w:p>
            <w:pPr>
              <w:spacing w:after="0"/>
              <w:rPr>
                <w:sz w:val="16"/>
                <w:szCs w:val="16"/>
                <w:color w:val="auto"/>
              </w:rPr>
            </w:pPr>
          </w:p>
        </w:tc>
        <w:tc>
          <w:tcPr>
            <w:tcW w:w="1160" w:type="dxa"/>
            <w:vAlign w:val="bottom"/>
            <w:shd w:val="clear" w:color="auto" w:fill="CCEEFF"/>
          </w:tcPr>
          <w:p>
            <w:pPr>
              <w:spacing w:after="0"/>
              <w:rPr>
                <w:sz w:val="20"/>
                <w:szCs w:val="20"/>
                <w:color w:val="auto"/>
              </w:rPr>
            </w:pPr>
            <w:r>
              <w:rPr>
                <w:rFonts w:ascii="Arial" w:cs="Arial" w:eastAsia="Arial" w:hAnsi="Arial"/>
                <w:sz w:val="16"/>
                <w:szCs w:val="16"/>
                <w:color w:val="auto"/>
                <w:w w:val="96"/>
              </w:rPr>
              <w:t>Discounted cash</w:t>
            </w:r>
          </w:p>
        </w:tc>
        <w:tc>
          <w:tcPr>
            <w:tcW w:w="200" w:type="dxa"/>
            <w:vAlign w:val="bottom"/>
            <w:tcBorders>
              <w:right w:val="single" w:sz="8" w:color="auto"/>
            </w:tcBorders>
            <w:shd w:val="clear" w:color="auto" w:fill="CCEEFF"/>
          </w:tcPr>
          <w:p>
            <w:pPr>
              <w:spacing w:after="0"/>
              <w:rPr>
                <w:sz w:val="16"/>
                <w:szCs w:val="16"/>
                <w:color w:val="auto"/>
              </w:rPr>
            </w:pPr>
          </w:p>
        </w:tc>
        <w:tc>
          <w:tcPr>
            <w:tcW w:w="154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Long duration</w:t>
            </w:r>
          </w:p>
        </w:tc>
        <w:tc>
          <w:tcPr>
            <w:tcW w:w="5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2.1 %</w:t>
            </w:r>
          </w:p>
        </w:tc>
        <w:tc>
          <w:tcPr>
            <w:tcW w:w="1180" w:type="dxa"/>
            <w:vAlign w:val="bottom"/>
            <w:shd w:val="clear" w:color="auto" w:fill="CCEEFF"/>
          </w:tcPr>
          <w:p>
            <w:pPr>
              <w:ind w:left="60"/>
              <w:spacing w:after="0"/>
              <w:rPr>
                <w:sz w:val="20"/>
                <w:szCs w:val="20"/>
                <w:color w:val="auto"/>
              </w:rPr>
            </w:pPr>
            <w:r>
              <w:rPr>
                <w:rFonts w:ascii="Arial" w:cs="Arial" w:eastAsia="Arial" w:hAnsi="Arial"/>
                <w:sz w:val="16"/>
                <w:szCs w:val="16"/>
                <w:color w:val="auto"/>
              </w:rPr>
              <w:t>-</w:t>
            </w:r>
          </w:p>
        </w:tc>
        <w:tc>
          <w:tcPr>
            <w:tcW w:w="68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rPr>
              <w:t>3.4 %</w:t>
            </w:r>
          </w:p>
        </w:tc>
        <w:tc>
          <w:tcPr>
            <w:tcW w:w="28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(3)</w:t>
            </w:r>
          </w:p>
        </w:tc>
        <w:tc>
          <w:tcPr>
            <w:tcW w:w="4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2.6</w:t>
            </w:r>
          </w:p>
        </w:tc>
        <w:tc>
          <w:tcPr>
            <w:tcW w:w="30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20" w:type="dxa"/>
            <w:vAlign w:val="bottom"/>
            <w:shd w:val="clear" w:color="auto" w:fill="000000"/>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2580" w:type="dxa"/>
            <w:vAlign w:val="bottom"/>
            <w:tcBorders>
              <w:left w:val="single" w:sz="8" w:color="auto"/>
            </w:tcBorders>
            <w:shd w:val="clear" w:color="auto" w:fill="CCEEFF"/>
          </w:tcPr>
          <w:p>
            <w:pPr>
              <w:ind w:left="160"/>
              <w:spacing w:after="0"/>
              <w:rPr>
                <w:sz w:val="20"/>
                <w:szCs w:val="20"/>
                <w:color w:val="auto"/>
              </w:rPr>
            </w:pPr>
            <w:r>
              <w:rPr>
                <w:rFonts w:ascii="Arial" w:cs="Arial" w:eastAsia="Arial" w:hAnsi="Arial"/>
                <w:sz w:val="16"/>
                <w:szCs w:val="16"/>
                <w:color w:val="auto"/>
              </w:rPr>
              <w:t>contracts (6)</w:t>
            </w: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200" w:type="dxa"/>
            <w:vAlign w:val="bottom"/>
            <w:tcBorders>
              <w:right w:val="single" w:sz="8" w:color="auto"/>
            </w:tcBorders>
            <w:shd w:val="clear" w:color="auto" w:fill="CCEEFF"/>
          </w:tcPr>
          <w:p>
            <w:pPr>
              <w:spacing w:after="0"/>
              <w:rPr>
                <w:sz w:val="18"/>
                <w:szCs w:val="18"/>
                <w:color w:val="auto"/>
              </w:rPr>
            </w:pPr>
          </w:p>
        </w:tc>
        <w:tc>
          <w:tcPr>
            <w:tcW w:w="1160" w:type="dxa"/>
            <w:vAlign w:val="bottom"/>
            <w:shd w:val="clear" w:color="auto" w:fill="CCEEFF"/>
          </w:tcPr>
          <w:p>
            <w:pPr>
              <w:ind w:left="60"/>
              <w:spacing w:after="0"/>
              <w:rPr>
                <w:sz w:val="20"/>
                <w:szCs w:val="20"/>
                <w:color w:val="auto"/>
              </w:rPr>
            </w:pPr>
            <w:r>
              <w:rPr>
                <w:rFonts w:ascii="Arial" w:cs="Arial" w:eastAsia="Arial" w:hAnsi="Arial"/>
                <w:sz w:val="16"/>
                <w:szCs w:val="16"/>
                <w:color w:val="auto"/>
              </w:rPr>
              <w:t>flow</w:t>
            </w:r>
          </w:p>
        </w:tc>
        <w:tc>
          <w:tcPr>
            <w:tcW w:w="200" w:type="dxa"/>
            <w:vAlign w:val="bottom"/>
            <w:tcBorders>
              <w:right w:val="single" w:sz="8" w:color="auto"/>
            </w:tcBorders>
            <w:shd w:val="clear" w:color="auto" w:fill="CCEEFF"/>
          </w:tcPr>
          <w:p>
            <w:pPr>
              <w:spacing w:after="0"/>
              <w:rPr>
                <w:sz w:val="18"/>
                <w:szCs w:val="18"/>
                <w:color w:val="auto"/>
              </w:rPr>
            </w:pPr>
          </w:p>
        </w:tc>
        <w:tc>
          <w:tcPr>
            <w:tcW w:w="1540" w:type="dxa"/>
            <w:vAlign w:val="bottom"/>
            <w:tcBorders>
              <w:bottom w:val="single" w:sz="8" w:color="auto"/>
            </w:tcBorders>
            <w:gridSpan w:val="2"/>
            <w:shd w:val="clear" w:color="auto" w:fill="CCEEFF"/>
          </w:tcPr>
          <w:p>
            <w:pPr>
              <w:ind w:left="80"/>
              <w:spacing w:after="0"/>
              <w:rPr>
                <w:sz w:val="20"/>
                <w:szCs w:val="20"/>
                <w:color w:val="auto"/>
              </w:rPr>
            </w:pPr>
            <w:r>
              <w:rPr>
                <w:rFonts w:ascii="Arial" w:cs="Arial" w:eastAsia="Arial" w:hAnsi="Arial"/>
                <w:sz w:val="16"/>
                <w:szCs w:val="16"/>
                <w:color w:val="auto"/>
              </w:rPr>
              <w:t>interest rate</w:t>
            </w:r>
          </w:p>
        </w:tc>
        <w:tc>
          <w:tcPr>
            <w:tcW w:w="56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spacing w:after="0"/>
              <w:rPr>
                <w:sz w:val="18"/>
                <w:szCs w:val="18"/>
                <w:color w:val="auto"/>
              </w:rPr>
            </w:pPr>
          </w:p>
        </w:tc>
        <w:tc>
          <w:tcPr>
            <w:tcW w:w="20" w:type="dxa"/>
            <w:vAlign w:val="bottom"/>
            <w:tcBorders>
              <w:bottom w:val="single" w:sz="8" w:color="auto"/>
            </w:tcBorders>
            <w:shd w:val="clear" w:color="auto" w:fill="000000"/>
          </w:tcPr>
          <w:p>
            <w:pPr>
              <w:spacing w:after="0"/>
              <w:rPr>
                <w:sz w:val="18"/>
                <w:szCs w:val="18"/>
                <w:color w:val="auto"/>
              </w:rPr>
            </w:pPr>
          </w:p>
        </w:tc>
        <w:tc>
          <w:tcPr>
            <w:tcW w:w="0" w:type="dxa"/>
            <w:vAlign w:val="bottom"/>
          </w:tcPr>
          <w:p>
            <w:pPr>
              <w:spacing w:after="0"/>
              <w:rPr>
                <w:sz w:val="1"/>
                <w:szCs w:val="1"/>
                <w:color w:val="auto"/>
              </w:rPr>
            </w:pPr>
          </w:p>
        </w:tc>
      </w:tr>
      <w:tr>
        <w:trPr>
          <w:trHeight w:val="189"/>
        </w:trPr>
        <w:tc>
          <w:tcPr>
            <w:tcW w:w="2580" w:type="dxa"/>
            <w:vAlign w:val="bottom"/>
            <w:tcBorders>
              <w:lef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200" w:type="dxa"/>
            <w:vAlign w:val="bottom"/>
            <w:tcBorders>
              <w:right w:val="single" w:sz="8" w:color="auto"/>
            </w:tcBorders>
          </w:tcPr>
          <w:p>
            <w:pPr>
              <w:spacing w:after="0"/>
              <w:rPr>
                <w:sz w:val="16"/>
                <w:szCs w:val="16"/>
                <w:color w:val="auto"/>
              </w:rPr>
            </w:pPr>
          </w:p>
        </w:tc>
        <w:tc>
          <w:tcPr>
            <w:tcW w:w="1160" w:type="dxa"/>
            <w:vAlign w:val="bottom"/>
          </w:tcPr>
          <w:p>
            <w:pPr>
              <w:spacing w:after="0"/>
              <w:rPr>
                <w:sz w:val="16"/>
                <w:szCs w:val="16"/>
                <w:color w:val="auto"/>
              </w:rPr>
            </w:pPr>
          </w:p>
        </w:tc>
        <w:tc>
          <w:tcPr>
            <w:tcW w:w="200" w:type="dxa"/>
            <w:vAlign w:val="bottom"/>
            <w:tcBorders>
              <w:right w:val="single" w:sz="8" w:color="auto"/>
            </w:tcBorders>
          </w:tcPr>
          <w:p>
            <w:pPr>
              <w:spacing w:after="0"/>
              <w:rPr>
                <w:sz w:val="16"/>
                <w:szCs w:val="16"/>
                <w:color w:val="auto"/>
              </w:rPr>
            </w:pPr>
          </w:p>
        </w:tc>
        <w:tc>
          <w:tcPr>
            <w:tcW w:w="1540" w:type="dxa"/>
            <w:vAlign w:val="bottom"/>
            <w:gridSpan w:val="2"/>
          </w:tcPr>
          <w:p>
            <w:pPr>
              <w:spacing w:after="0"/>
              <w:rPr>
                <w:sz w:val="20"/>
                <w:szCs w:val="20"/>
                <w:color w:val="auto"/>
              </w:rPr>
            </w:pPr>
            <w:r>
              <w:rPr>
                <w:rFonts w:ascii="Arial" w:cs="Arial" w:eastAsia="Arial" w:hAnsi="Arial"/>
                <w:sz w:val="16"/>
                <w:szCs w:val="16"/>
                <w:color w:val="auto"/>
              </w:rPr>
              <w:t>Long-term equity</w:t>
            </w:r>
          </w:p>
        </w:tc>
        <w:tc>
          <w:tcPr>
            <w:tcW w:w="560" w:type="dxa"/>
            <w:vAlign w:val="bottom"/>
          </w:tcPr>
          <w:p>
            <w:pPr>
              <w:jc w:val="right"/>
              <w:spacing w:after="0"/>
              <w:rPr>
                <w:sz w:val="20"/>
                <w:szCs w:val="20"/>
                <w:color w:val="auto"/>
              </w:rPr>
            </w:pPr>
            <w:r>
              <w:rPr>
                <w:rFonts w:ascii="Arial" w:cs="Arial" w:eastAsia="Arial" w:hAnsi="Arial"/>
                <w:sz w:val="16"/>
                <w:szCs w:val="16"/>
                <w:color w:val="auto"/>
                <w:w w:val="96"/>
              </w:rPr>
              <w:t>18.0 %</w:t>
            </w:r>
          </w:p>
        </w:tc>
        <w:tc>
          <w:tcPr>
            <w:tcW w:w="1180" w:type="dxa"/>
            <w:vAlign w:val="bottom"/>
          </w:tcPr>
          <w:p>
            <w:pPr>
              <w:ind w:left="60"/>
              <w:spacing w:after="0"/>
              <w:rPr>
                <w:sz w:val="20"/>
                <w:szCs w:val="20"/>
                <w:color w:val="auto"/>
              </w:rPr>
            </w:pPr>
            <w:r>
              <w:rPr>
                <w:rFonts w:ascii="Arial" w:cs="Arial" w:eastAsia="Arial" w:hAnsi="Arial"/>
                <w:sz w:val="16"/>
                <w:szCs w:val="16"/>
                <w:color w:val="auto"/>
              </w:rPr>
              <w:t>-</w:t>
            </w:r>
          </w:p>
        </w:tc>
        <w:tc>
          <w:tcPr>
            <w:tcW w:w="680" w:type="dxa"/>
            <w:vAlign w:val="bottom"/>
          </w:tcPr>
          <w:p>
            <w:pPr>
              <w:jc w:val="right"/>
              <w:ind w:right="119"/>
              <w:spacing w:after="0"/>
              <w:rPr>
                <w:sz w:val="20"/>
                <w:szCs w:val="20"/>
                <w:color w:val="auto"/>
              </w:rPr>
            </w:pPr>
            <w:r>
              <w:rPr>
                <w:rFonts w:ascii="Arial" w:cs="Arial" w:eastAsia="Arial" w:hAnsi="Arial"/>
                <w:sz w:val="16"/>
                <w:szCs w:val="16"/>
                <w:color w:val="auto"/>
                <w:w w:val="92"/>
              </w:rPr>
              <w:t>48.5 %</w:t>
            </w: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480" w:type="dxa"/>
            <w:vAlign w:val="bottom"/>
          </w:tcPr>
          <w:p>
            <w:pPr>
              <w:jc w:val="right"/>
              <w:spacing w:after="0"/>
              <w:rPr>
                <w:sz w:val="20"/>
                <w:szCs w:val="20"/>
                <w:color w:val="auto"/>
              </w:rPr>
            </w:pPr>
            <w:r>
              <w:rPr>
                <w:rFonts w:ascii="Arial" w:cs="Arial" w:eastAsia="Arial" w:hAnsi="Arial"/>
                <w:sz w:val="16"/>
                <w:szCs w:val="16"/>
                <w:color w:val="auto"/>
              </w:rPr>
              <w:t>21.0</w:t>
            </w:r>
          </w:p>
        </w:tc>
        <w:tc>
          <w:tcPr>
            <w:tcW w:w="30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20" w:type="dxa"/>
            <w:vAlign w:val="bottom"/>
            <w:shd w:val="clear" w:color="auto" w:fill="000000"/>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2580" w:type="dxa"/>
            <w:vAlign w:val="bottom"/>
            <w:tcBorders>
              <w:left w:val="single" w:sz="8" w:color="auto"/>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660" w:type="dxa"/>
            <w:vAlign w:val="bottom"/>
            <w:tcBorders>
              <w:bottom w:val="single" w:sz="8" w:color="CCEEFF"/>
            </w:tcBorders>
          </w:tcPr>
          <w:p>
            <w:pPr>
              <w:spacing w:after="0"/>
              <w:rPr>
                <w:sz w:val="18"/>
                <w:szCs w:val="18"/>
                <w:color w:val="auto"/>
              </w:rPr>
            </w:pPr>
          </w:p>
        </w:tc>
        <w:tc>
          <w:tcPr>
            <w:tcW w:w="200" w:type="dxa"/>
            <w:vAlign w:val="bottom"/>
            <w:tcBorders>
              <w:bottom w:val="single" w:sz="8" w:color="CCEEFF"/>
              <w:right w:val="single" w:sz="8" w:color="auto"/>
            </w:tcBorders>
          </w:tcPr>
          <w:p>
            <w:pPr>
              <w:spacing w:after="0"/>
              <w:rPr>
                <w:sz w:val="18"/>
                <w:szCs w:val="18"/>
                <w:color w:val="auto"/>
              </w:rPr>
            </w:pPr>
          </w:p>
        </w:tc>
        <w:tc>
          <w:tcPr>
            <w:tcW w:w="1160" w:type="dxa"/>
            <w:vAlign w:val="bottom"/>
            <w:tcBorders>
              <w:bottom w:val="single" w:sz="8" w:color="CCEEFF"/>
            </w:tcBorders>
          </w:tcPr>
          <w:p>
            <w:pPr>
              <w:spacing w:after="0"/>
              <w:rPr>
                <w:sz w:val="18"/>
                <w:szCs w:val="18"/>
                <w:color w:val="auto"/>
              </w:rPr>
            </w:pPr>
          </w:p>
        </w:tc>
        <w:tc>
          <w:tcPr>
            <w:tcW w:w="200" w:type="dxa"/>
            <w:vAlign w:val="bottom"/>
            <w:tcBorders>
              <w:bottom w:val="single" w:sz="8" w:color="CCEEFF"/>
              <w:right w:val="single" w:sz="8" w:color="auto"/>
            </w:tcBorders>
          </w:tcPr>
          <w:p>
            <w:pPr>
              <w:spacing w:after="0"/>
              <w:rPr>
                <w:sz w:val="18"/>
                <w:szCs w:val="18"/>
                <w:color w:val="auto"/>
              </w:rPr>
            </w:pPr>
          </w:p>
        </w:tc>
        <w:tc>
          <w:tcPr>
            <w:tcW w:w="1540" w:type="dxa"/>
            <w:vAlign w:val="bottom"/>
            <w:tcBorders>
              <w:bottom w:val="single" w:sz="8" w:color="auto"/>
            </w:tcBorders>
            <w:gridSpan w:val="2"/>
          </w:tcPr>
          <w:p>
            <w:pPr>
              <w:ind w:left="80"/>
              <w:spacing w:after="0"/>
              <w:rPr>
                <w:sz w:val="20"/>
                <w:szCs w:val="20"/>
                <w:color w:val="auto"/>
              </w:rPr>
            </w:pPr>
            <w:r>
              <w:rPr>
                <w:rFonts w:ascii="Arial" w:cs="Arial" w:eastAsia="Arial" w:hAnsi="Arial"/>
                <w:sz w:val="16"/>
                <w:szCs w:val="16"/>
                <w:color w:val="auto"/>
              </w:rPr>
              <w:t>market volatility</w:t>
            </w:r>
          </w:p>
        </w:tc>
        <w:tc>
          <w:tcPr>
            <w:tcW w:w="56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480" w:type="dxa"/>
            <w:vAlign w:val="bottom"/>
            <w:tcBorders>
              <w:bottom w:val="single" w:sz="8" w:color="auto"/>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shd w:val="clear" w:color="auto" w:fill="000000"/>
          </w:tcPr>
          <w:p>
            <w:pPr>
              <w:spacing w:after="0"/>
              <w:rPr>
                <w:sz w:val="18"/>
                <w:szCs w:val="18"/>
                <w:color w:val="auto"/>
              </w:rPr>
            </w:pPr>
          </w:p>
        </w:tc>
        <w:tc>
          <w:tcPr>
            <w:tcW w:w="0" w:type="dxa"/>
            <w:vAlign w:val="bottom"/>
          </w:tcPr>
          <w:p>
            <w:pPr>
              <w:spacing w:after="0"/>
              <w:rPr>
                <w:sz w:val="1"/>
                <w:szCs w:val="1"/>
                <w:color w:val="auto"/>
              </w:rPr>
            </w:pPr>
          </w:p>
        </w:tc>
      </w:tr>
      <w:tr>
        <w:trPr>
          <w:trHeight w:val="199"/>
        </w:trPr>
        <w:tc>
          <w:tcPr>
            <w:tcW w:w="2580" w:type="dxa"/>
            <w:vAlign w:val="bottom"/>
            <w:tcBorders>
              <w:left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200" w:type="dxa"/>
            <w:vAlign w:val="bottom"/>
            <w:tcBorders>
              <w:right w:val="single" w:sz="8" w:color="auto"/>
            </w:tcBorders>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200" w:type="dxa"/>
            <w:vAlign w:val="bottom"/>
            <w:tcBorders>
              <w:right w:val="single" w:sz="8" w:color="auto"/>
            </w:tcBorders>
            <w:shd w:val="clear" w:color="auto" w:fill="CCEEFF"/>
          </w:tcPr>
          <w:p>
            <w:pPr>
              <w:spacing w:after="0"/>
              <w:rPr>
                <w:sz w:val="17"/>
                <w:szCs w:val="17"/>
                <w:color w:val="auto"/>
              </w:rPr>
            </w:pPr>
          </w:p>
        </w:tc>
        <w:tc>
          <w:tcPr>
            <w:tcW w:w="1540" w:type="dxa"/>
            <w:vAlign w:val="bottom"/>
            <w:tcBorders>
              <w:bottom w:val="single" w:sz="8" w:color="auto"/>
            </w:tcBorders>
            <w:gridSpan w:val="2"/>
            <w:shd w:val="clear" w:color="auto" w:fill="CCEEFF"/>
          </w:tcPr>
          <w:p>
            <w:pPr>
              <w:spacing w:after="0"/>
              <w:rPr>
                <w:sz w:val="20"/>
                <w:szCs w:val="20"/>
                <w:color w:val="auto"/>
              </w:rPr>
            </w:pPr>
            <w:r>
              <w:rPr>
                <w:rFonts w:ascii="Arial" w:cs="Arial" w:eastAsia="Arial" w:hAnsi="Arial"/>
                <w:sz w:val="16"/>
                <w:szCs w:val="16"/>
                <w:color w:val="auto"/>
              </w:rPr>
              <w:t>Nonperformance risk</w:t>
            </w: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0.7 %</w:t>
            </w:r>
          </w:p>
        </w:tc>
        <w:tc>
          <w:tcPr>
            <w:tcW w:w="1180" w:type="dxa"/>
            <w:vAlign w:val="bottom"/>
            <w:tcBorders>
              <w:bottom w:val="single" w:sz="8" w:color="auto"/>
            </w:tcBorders>
            <w:shd w:val="clear" w:color="auto" w:fill="CCEEFF"/>
          </w:tcPr>
          <w:p>
            <w:pPr>
              <w:ind w:left="60"/>
              <w:spacing w:after="0"/>
              <w:rPr>
                <w:sz w:val="20"/>
                <w:szCs w:val="20"/>
                <w:color w:val="auto"/>
              </w:rPr>
            </w:pPr>
            <w:r>
              <w:rPr>
                <w:rFonts w:ascii="Arial" w:cs="Arial" w:eastAsia="Arial" w:hAnsi="Arial"/>
                <w:sz w:val="16"/>
                <w:szCs w:val="16"/>
                <w:color w:val="auto"/>
              </w:rPr>
              <w:t>-</w:t>
            </w:r>
          </w:p>
        </w:tc>
        <w:tc>
          <w:tcPr>
            <w:tcW w:w="680" w:type="dxa"/>
            <w:vAlign w:val="bottom"/>
            <w:tcBorders>
              <w:bottom w:val="single" w:sz="8" w:color="auto"/>
            </w:tcBorders>
            <w:shd w:val="clear" w:color="auto" w:fill="CCEEFF"/>
          </w:tcPr>
          <w:p>
            <w:pPr>
              <w:jc w:val="right"/>
              <w:ind w:right="119"/>
              <w:spacing w:after="0"/>
              <w:rPr>
                <w:sz w:val="20"/>
                <w:szCs w:val="20"/>
                <w:color w:val="auto"/>
              </w:rPr>
            </w:pPr>
            <w:r>
              <w:rPr>
                <w:rFonts w:ascii="Arial" w:cs="Arial" w:eastAsia="Arial" w:hAnsi="Arial"/>
                <w:sz w:val="16"/>
                <w:szCs w:val="16"/>
                <w:color w:val="auto"/>
              </w:rPr>
              <w:t>2.0 %</w:t>
            </w:r>
          </w:p>
        </w:tc>
        <w:tc>
          <w:tcPr>
            <w:tcW w:w="120" w:type="dxa"/>
            <w:vAlign w:val="bottom"/>
            <w:tcBorders>
              <w:bottom w:val="single" w:sz="8" w:color="auto"/>
            </w:tcBorders>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1.4</w:t>
            </w:r>
          </w:p>
        </w:tc>
        <w:tc>
          <w:tcPr>
            <w:tcW w:w="30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20" w:type="dxa"/>
            <w:vAlign w:val="bottom"/>
            <w:tcBorders>
              <w:bottom w:val="single" w:sz="8" w:color="auto"/>
            </w:tcBorders>
            <w:shd w:val="clear" w:color="auto" w:fill="000000"/>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2580" w:type="dxa"/>
            <w:vAlign w:val="bottom"/>
            <w:tcBorders>
              <w:left w:val="single" w:sz="8" w:color="auto"/>
              <w:bottom w:val="single" w:sz="8" w:color="CCEEFF"/>
            </w:tcBorders>
          </w:tcPr>
          <w:p>
            <w:pPr>
              <w:spacing w:after="0"/>
              <w:rPr>
                <w:sz w:val="17"/>
                <w:szCs w:val="17"/>
                <w:color w:val="auto"/>
              </w:rPr>
            </w:pPr>
          </w:p>
        </w:tc>
        <w:tc>
          <w:tcPr>
            <w:tcW w:w="100" w:type="dxa"/>
            <w:vAlign w:val="bottom"/>
            <w:tcBorders>
              <w:bottom w:val="single" w:sz="8" w:color="CCEEFF"/>
            </w:tcBorders>
          </w:tcPr>
          <w:p>
            <w:pPr>
              <w:spacing w:after="0"/>
              <w:rPr>
                <w:sz w:val="17"/>
                <w:szCs w:val="17"/>
                <w:color w:val="auto"/>
              </w:rPr>
            </w:pPr>
          </w:p>
        </w:tc>
        <w:tc>
          <w:tcPr>
            <w:tcW w:w="660" w:type="dxa"/>
            <w:vAlign w:val="bottom"/>
            <w:tcBorders>
              <w:bottom w:val="single" w:sz="8" w:color="CCEEFF"/>
            </w:tcBorders>
          </w:tcPr>
          <w:p>
            <w:pPr>
              <w:spacing w:after="0"/>
              <w:rPr>
                <w:sz w:val="17"/>
                <w:szCs w:val="17"/>
                <w:color w:val="auto"/>
              </w:rPr>
            </w:pPr>
          </w:p>
        </w:tc>
        <w:tc>
          <w:tcPr>
            <w:tcW w:w="200" w:type="dxa"/>
            <w:vAlign w:val="bottom"/>
            <w:tcBorders>
              <w:bottom w:val="single" w:sz="8" w:color="CCEEFF"/>
              <w:right w:val="single" w:sz="8" w:color="auto"/>
            </w:tcBorders>
          </w:tcPr>
          <w:p>
            <w:pPr>
              <w:spacing w:after="0"/>
              <w:rPr>
                <w:sz w:val="17"/>
                <w:szCs w:val="17"/>
                <w:color w:val="auto"/>
              </w:rPr>
            </w:pPr>
          </w:p>
        </w:tc>
        <w:tc>
          <w:tcPr>
            <w:tcW w:w="1160" w:type="dxa"/>
            <w:vAlign w:val="bottom"/>
            <w:tcBorders>
              <w:bottom w:val="single" w:sz="8" w:color="CCEEFF"/>
            </w:tcBorders>
          </w:tcPr>
          <w:p>
            <w:pPr>
              <w:spacing w:after="0"/>
              <w:rPr>
                <w:sz w:val="17"/>
                <w:szCs w:val="17"/>
                <w:color w:val="auto"/>
              </w:rPr>
            </w:pPr>
          </w:p>
        </w:tc>
        <w:tc>
          <w:tcPr>
            <w:tcW w:w="200" w:type="dxa"/>
            <w:vAlign w:val="bottom"/>
            <w:tcBorders>
              <w:bottom w:val="single" w:sz="8" w:color="CCEEFF"/>
              <w:right w:val="single" w:sz="8" w:color="auto"/>
            </w:tcBorders>
          </w:tcPr>
          <w:p>
            <w:pPr>
              <w:spacing w:after="0"/>
              <w:rPr>
                <w:sz w:val="17"/>
                <w:szCs w:val="17"/>
                <w:color w:val="auto"/>
              </w:rPr>
            </w:pPr>
          </w:p>
        </w:tc>
        <w:tc>
          <w:tcPr>
            <w:tcW w:w="1540" w:type="dxa"/>
            <w:vAlign w:val="bottom"/>
            <w:tcBorders>
              <w:bottom w:val="single" w:sz="8" w:color="auto"/>
            </w:tcBorders>
            <w:gridSpan w:val="2"/>
          </w:tcPr>
          <w:p>
            <w:pPr>
              <w:spacing w:after="0"/>
              <w:rPr>
                <w:sz w:val="20"/>
                <w:szCs w:val="20"/>
                <w:color w:val="auto"/>
              </w:rPr>
            </w:pPr>
            <w:r>
              <w:rPr>
                <w:rFonts w:ascii="Arial" w:cs="Arial" w:eastAsia="Arial" w:hAnsi="Arial"/>
                <w:sz w:val="16"/>
                <w:szCs w:val="16"/>
                <w:color w:val="auto"/>
              </w:rPr>
              <w:t>Utilization rate</w:t>
            </w:r>
          </w:p>
        </w:tc>
        <w:tc>
          <w:tcPr>
            <w:tcW w:w="560" w:type="dxa"/>
            <w:vAlign w:val="bottom"/>
            <w:tcBorders>
              <w:bottom w:val="single" w:sz="8" w:color="auto"/>
            </w:tcBorders>
          </w:tcPr>
          <w:p>
            <w:pPr>
              <w:spacing w:after="0"/>
              <w:rPr>
                <w:sz w:val="17"/>
                <w:szCs w:val="17"/>
                <w:color w:val="auto"/>
              </w:rPr>
            </w:pPr>
          </w:p>
        </w:tc>
        <w:tc>
          <w:tcPr>
            <w:tcW w:w="1180" w:type="dxa"/>
            <w:vAlign w:val="bottom"/>
            <w:tcBorders>
              <w:bottom w:val="single" w:sz="8" w:color="auto"/>
            </w:tcBorders>
          </w:tcPr>
          <w:p>
            <w:pPr>
              <w:ind w:left="80"/>
              <w:spacing w:after="0"/>
              <w:rPr>
                <w:sz w:val="20"/>
                <w:szCs w:val="20"/>
                <w:color w:val="auto"/>
              </w:rPr>
            </w:pPr>
            <w:r>
              <w:rPr>
                <w:rFonts w:ascii="Arial" w:cs="Arial" w:eastAsia="Arial" w:hAnsi="Arial"/>
                <w:sz w:val="16"/>
                <w:szCs w:val="16"/>
                <w:color w:val="auto"/>
              </w:rPr>
              <w:t>See note (4)</w:t>
            </w:r>
          </w:p>
        </w:tc>
        <w:tc>
          <w:tcPr>
            <w:tcW w:w="68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480" w:type="dxa"/>
            <w:vAlign w:val="bottom"/>
            <w:tcBorders>
              <w:bottom w:val="single" w:sz="8" w:color="auto"/>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20" w:type="dxa"/>
            <w:vAlign w:val="bottom"/>
            <w:tcBorders>
              <w:bottom w:val="single" w:sz="8" w:color="auto"/>
            </w:tcBorders>
            <w:shd w:val="clear" w:color="auto" w:fill="000000"/>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2580" w:type="dxa"/>
            <w:vAlign w:val="bottom"/>
            <w:tcBorders>
              <w:left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200" w:type="dxa"/>
            <w:vAlign w:val="bottom"/>
            <w:tcBorders>
              <w:right w:val="single" w:sz="8" w:color="auto"/>
            </w:tcBorders>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200" w:type="dxa"/>
            <w:vAlign w:val="bottom"/>
            <w:tcBorders>
              <w:right w:val="single" w:sz="8" w:color="auto"/>
            </w:tcBorders>
            <w:shd w:val="clear" w:color="auto" w:fill="CCEEFF"/>
          </w:tcPr>
          <w:p>
            <w:pPr>
              <w:spacing w:after="0"/>
              <w:rPr>
                <w:sz w:val="17"/>
                <w:szCs w:val="17"/>
                <w:color w:val="auto"/>
              </w:rPr>
            </w:pPr>
          </w:p>
        </w:tc>
        <w:tc>
          <w:tcPr>
            <w:tcW w:w="1540" w:type="dxa"/>
            <w:vAlign w:val="bottom"/>
            <w:tcBorders>
              <w:bottom w:val="single" w:sz="8" w:color="auto"/>
            </w:tcBorders>
            <w:gridSpan w:val="2"/>
            <w:shd w:val="clear" w:color="auto" w:fill="CCEEFF"/>
          </w:tcPr>
          <w:p>
            <w:pPr>
              <w:spacing w:after="0"/>
              <w:rPr>
                <w:sz w:val="20"/>
                <w:szCs w:val="20"/>
                <w:color w:val="auto"/>
              </w:rPr>
            </w:pPr>
            <w:r>
              <w:rPr>
                <w:rFonts w:ascii="Arial" w:cs="Arial" w:eastAsia="Arial" w:hAnsi="Arial"/>
                <w:sz w:val="16"/>
                <w:szCs w:val="16"/>
                <w:color w:val="auto"/>
              </w:rPr>
              <w:t>Lapse rate</w:t>
            </w: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0.0 %</w:t>
            </w:r>
          </w:p>
        </w:tc>
        <w:tc>
          <w:tcPr>
            <w:tcW w:w="1180" w:type="dxa"/>
            <w:vAlign w:val="bottom"/>
            <w:tcBorders>
              <w:bottom w:val="single" w:sz="8" w:color="auto"/>
            </w:tcBorders>
            <w:shd w:val="clear" w:color="auto" w:fill="CCEEFF"/>
          </w:tcPr>
          <w:p>
            <w:pPr>
              <w:ind w:left="60"/>
              <w:spacing w:after="0"/>
              <w:rPr>
                <w:sz w:val="20"/>
                <w:szCs w:val="20"/>
                <w:color w:val="auto"/>
              </w:rPr>
            </w:pPr>
            <w:r>
              <w:rPr>
                <w:rFonts w:ascii="Arial" w:cs="Arial" w:eastAsia="Arial" w:hAnsi="Arial"/>
                <w:sz w:val="16"/>
                <w:szCs w:val="16"/>
                <w:color w:val="auto"/>
              </w:rPr>
              <w:t>-</w:t>
            </w:r>
          </w:p>
        </w:tc>
        <w:tc>
          <w:tcPr>
            <w:tcW w:w="680" w:type="dxa"/>
            <w:vAlign w:val="bottom"/>
            <w:tcBorders>
              <w:bottom w:val="single" w:sz="8" w:color="auto"/>
            </w:tcBorders>
            <w:shd w:val="clear" w:color="auto" w:fill="CCEEFF"/>
          </w:tcPr>
          <w:p>
            <w:pPr>
              <w:jc w:val="right"/>
              <w:ind w:right="119"/>
              <w:spacing w:after="0"/>
              <w:rPr>
                <w:sz w:val="20"/>
                <w:szCs w:val="20"/>
                <w:color w:val="auto"/>
              </w:rPr>
            </w:pPr>
            <w:r>
              <w:rPr>
                <w:rFonts w:ascii="Arial" w:cs="Arial" w:eastAsia="Arial" w:hAnsi="Arial"/>
                <w:sz w:val="16"/>
                <w:szCs w:val="16"/>
                <w:color w:val="auto"/>
                <w:w w:val="92"/>
              </w:rPr>
              <w:t>17.0 %</w:t>
            </w:r>
          </w:p>
        </w:tc>
        <w:tc>
          <w:tcPr>
            <w:tcW w:w="120" w:type="dxa"/>
            <w:vAlign w:val="bottom"/>
            <w:tcBorders>
              <w:bottom w:val="single" w:sz="8" w:color="auto"/>
            </w:tcBorders>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10.2</w:t>
            </w:r>
          </w:p>
        </w:tc>
        <w:tc>
          <w:tcPr>
            <w:tcW w:w="30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20" w:type="dxa"/>
            <w:vAlign w:val="bottom"/>
            <w:tcBorders>
              <w:bottom w:val="single" w:sz="8" w:color="auto"/>
            </w:tcBorders>
            <w:shd w:val="clear" w:color="auto" w:fill="000000"/>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2580" w:type="dxa"/>
            <w:vAlign w:val="bottom"/>
            <w:tcBorders>
              <w:left w:val="single" w:sz="8" w:color="auto"/>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spacing w:after="0"/>
              <w:rPr>
                <w:sz w:val="17"/>
                <w:szCs w:val="17"/>
                <w:color w:val="auto"/>
              </w:rPr>
            </w:pPr>
          </w:p>
        </w:tc>
        <w:tc>
          <w:tcPr>
            <w:tcW w:w="200" w:type="dxa"/>
            <w:vAlign w:val="bottom"/>
            <w:tcBorders>
              <w:bottom w:val="single" w:sz="8" w:color="auto"/>
              <w:right w:val="single" w:sz="8" w:color="auto"/>
            </w:tcBorders>
          </w:tcPr>
          <w:p>
            <w:pPr>
              <w:spacing w:after="0"/>
              <w:rPr>
                <w:sz w:val="17"/>
                <w:szCs w:val="17"/>
                <w:color w:val="auto"/>
              </w:rPr>
            </w:pPr>
          </w:p>
        </w:tc>
        <w:tc>
          <w:tcPr>
            <w:tcW w:w="1160" w:type="dxa"/>
            <w:vAlign w:val="bottom"/>
            <w:tcBorders>
              <w:bottom w:val="single" w:sz="8" w:color="auto"/>
            </w:tcBorders>
          </w:tcPr>
          <w:p>
            <w:pPr>
              <w:spacing w:after="0"/>
              <w:rPr>
                <w:sz w:val="17"/>
                <w:szCs w:val="17"/>
                <w:color w:val="auto"/>
              </w:rPr>
            </w:pPr>
          </w:p>
        </w:tc>
        <w:tc>
          <w:tcPr>
            <w:tcW w:w="200" w:type="dxa"/>
            <w:vAlign w:val="bottom"/>
            <w:tcBorders>
              <w:bottom w:val="single" w:sz="8" w:color="auto"/>
              <w:right w:val="single" w:sz="8" w:color="auto"/>
            </w:tcBorders>
          </w:tcPr>
          <w:p>
            <w:pPr>
              <w:spacing w:after="0"/>
              <w:rPr>
                <w:sz w:val="17"/>
                <w:szCs w:val="17"/>
                <w:color w:val="auto"/>
              </w:rPr>
            </w:pPr>
          </w:p>
        </w:tc>
        <w:tc>
          <w:tcPr>
            <w:tcW w:w="1540" w:type="dxa"/>
            <w:vAlign w:val="bottom"/>
            <w:tcBorders>
              <w:bottom w:val="single" w:sz="8" w:color="auto"/>
            </w:tcBorders>
            <w:gridSpan w:val="2"/>
          </w:tcPr>
          <w:p>
            <w:pPr>
              <w:spacing w:after="0"/>
              <w:rPr>
                <w:sz w:val="20"/>
                <w:szCs w:val="20"/>
                <w:color w:val="auto"/>
              </w:rPr>
            </w:pPr>
            <w:r>
              <w:rPr>
                <w:rFonts w:ascii="Arial" w:cs="Arial" w:eastAsia="Arial" w:hAnsi="Arial"/>
                <w:sz w:val="16"/>
                <w:szCs w:val="16"/>
                <w:color w:val="auto"/>
              </w:rPr>
              <w:t>Mortality rate</w:t>
            </w:r>
          </w:p>
        </w:tc>
        <w:tc>
          <w:tcPr>
            <w:tcW w:w="560" w:type="dxa"/>
            <w:vAlign w:val="bottom"/>
            <w:tcBorders>
              <w:bottom w:val="single" w:sz="8" w:color="auto"/>
            </w:tcBorders>
          </w:tcPr>
          <w:p>
            <w:pPr>
              <w:spacing w:after="0"/>
              <w:rPr>
                <w:sz w:val="17"/>
                <w:szCs w:val="17"/>
                <w:color w:val="auto"/>
              </w:rPr>
            </w:pPr>
          </w:p>
        </w:tc>
        <w:tc>
          <w:tcPr>
            <w:tcW w:w="1180" w:type="dxa"/>
            <w:vAlign w:val="bottom"/>
            <w:tcBorders>
              <w:bottom w:val="single" w:sz="8" w:color="auto"/>
            </w:tcBorders>
          </w:tcPr>
          <w:p>
            <w:pPr>
              <w:ind w:left="80"/>
              <w:spacing w:after="0"/>
              <w:rPr>
                <w:sz w:val="20"/>
                <w:szCs w:val="20"/>
                <w:color w:val="auto"/>
              </w:rPr>
            </w:pPr>
            <w:r>
              <w:rPr>
                <w:rFonts w:ascii="Arial" w:cs="Arial" w:eastAsia="Arial" w:hAnsi="Arial"/>
                <w:sz w:val="16"/>
                <w:szCs w:val="16"/>
                <w:color w:val="auto"/>
              </w:rPr>
              <w:t>See note (5)</w:t>
            </w:r>
          </w:p>
        </w:tc>
        <w:tc>
          <w:tcPr>
            <w:tcW w:w="68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480" w:type="dxa"/>
            <w:vAlign w:val="bottom"/>
            <w:tcBorders>
              <w:bottom w:val="single" w:sz="8" w:color="auto"/>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20" w:type="dxa"/>
            <w:vAlign w:val="bottom"/>
            <w:tcBorders>
              <w:bottom w:val="single" w:sz="8" w:color="auto"/>
            </w:tcBorders>
            <w:shd w:val="clear" w:color="auto" w:fill="000000"/>
          </w:tcPr>
          <w:p>
            <w:pPr>
              <w:spacing w:after="0"/>
              <w:rPr>
                <w:sz w:val="17"/>
                <w:szCs w:val="17"/>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603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940"/>
          </w:cols>
          <w:pgMar w:left="980" w:top="665" w:right="979" w:bottom="1440" w:gutter="0" w:footer="0" w:header="0"/>
        </w:sectPr>
      </w:pPr>
    </w:p>
    <w:bookmarkStart w:id="73" w:name="page74"/>
    <w:bookmarkEnd w:id="73"/>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(Unaudited)</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2520" w:type="dxa"/>
            <w:vAlign w:val="bottom"/>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2400" w:type="dxa"/>
            <w:vAlign w:val="bottom"/>
            <w:tcBorders>
              <w:bottom w:val="single" w:sz="8" w:color="auto"/>
            </w:tcBorders>
            <w:gridSpan w:val="3"/>
          </w:tcPr>
          <w:p>
            <w:pPr>
              <w:jc w:val="right"/>
              <w:ind w:right="319"/>
              <w:spacing w:after="0"/>
              <w:rPr>
                <w:sz w:val="20"/>
                <w:szCs w:val="20"/>
                <w:color w:val="auto"/>
              </w:rPr>
            </w:pPr>
            <w:r>
              <w:rPr>
                <w:rFonts w:ascii="Arial" w:cs="Arial" w:eastAsia="Arial" w:hAnsi="Arial"/>
                <w:sz w:val="14"/>
                <w:szCs w:val="14"/>
                <w:b w:val="1"/>
                <w:bCs w:val="1"/>
                <w:color w:val="auto"/>
              </w:rPr>
              <w:t>December 31, 2021</w:t>
            </w:r>
          </w:p>
        </w:tc>
        <w:tc>
          <w:tcPr>
            <w:tcW w:w="18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50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2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2520" w:type="dxa"/>
            <w:vAlign w:val="bottom"/>
          </w:tcPr>
          <w:p>
            <w:pPr>
              <w:spacing w:after="0"/>
              <w:rPr>
                <w:sz w:val="10"/>
                <w:szCs w:val="10"/>
                <w:color w:val="auto"/>
              </w:rPr>
            </w:pPr>
          </w:p>
        </w:tc>
        <w:tc>
          <w:tcPr>
            <w:tcW w:w="920" w:type="dxa"/>
            <w:vAlign w:val="bottom"/>
            <w:gridSpan w:val="2"/>
          </w:tcPr>
          <w:p>
            <w:pPr>
              <w:jc w:val="center"/>
              <w:ind w:right="180"/>
              <w:spacing w:after="0" w:line="119" w:lineRule="exact"/>
              <w:rPr>
                <w:sz w:val="20"/>
                <w:szCs w:val="20"/>
                <w:color w:val="auto"/>
              </w:rPr>
            </w:pPr>
            <w:r>
              <w:rPr>
                <w:rFonts w:ascii="Arial" w:cs="Arial" w:eastAsia="Arial" w:hAnsi="Arial"/>
                <w:sz w:val="13"/>
                <w:szCs w:val="13"/>
                <w:b w:val="1"/>
                <w:bCs w:val="1"/>
                <w:color w:val="auto"/>
                <w:w w:val="92"/>
              </w:rPr>
              <w:t>Assets /</w:t>
            </w:r>
          </w:p>
        </w:tc>
        <w:tc>
          <w:tcPr>
            <w:tcW w:w="10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7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50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520" w:type="dxa"/>
            <w:vAlign w:val="bottom"/>
          </w:tcPr>
          <w:p>
            <w:pPr>
              <w:spacing w:after="0"/>
              <w:rPr>
                <w:sz w:val="12"/>
                <w:szCs w:val="12"/>
                <w:color w:val="auto"/>
              </w:rPr>
            </w:pPr>
          </w:p>
        </w:tc>
        <w:tc>
          <w:tcPr>
            <w:tcW w:w="92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5"/>
              </w:rPr>
              <w:t>(liabilities)</w:t>
            </w:r>
          </w:p>
        </w:tc>
        <w:tc>
          <w:tcPr>
            <w:tcW w:w="1220" w:type="dxa"/>
            <w:vAlign w:val="bottom"/>
            <w:gridSpan w:val="2"/>
            <w:vMerge w:val="restart"/>
          </w:tcPr>
          <w:p>
            <w:pPr>
              <w:ind w:left="180"/>
              <w:spacing w:after="0"/>
              <w:rPr>
                <w:sz w:val="20"/>
                <w:szCs w:val="20"/>
                <w:color w:val="auto"/>
              </w:rPr>
            </w:pPr>
            <w:r>
              <w:rPr>
                <w:rFonts w:ascii="Arial" w:cs="Arial" w:eastAsia="Arial" w:hAnsi="Arial"/>
                <w:sz w:val="14"/>
                <w:szCs w:val="14"/>
                <w:b w:val="1"/>
                <w:bCs w:val="1"/>
                <w:color w:val="auto"/>
              </w:rPr>
              <w:t>Valuation</w:t>
            </w:r>
          </w:p>
        </w:tc>
        <w:tc>
          <w:tcPr>
            <w:tcW w:w="188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0"/>
              </w:rPr>
              <w:t>Unobservable</w:t>
            </w:r>
          </w:p>
        </w:tc>
        <w:tc>
          <w:tcPr>
            <w:tcW w:w="5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70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Input/range of</w:t>
            </w:r>
          </w:p>
        </w:tc>
        <w:tc>
          <w:tcPr>
            <w:tcW w:w="180" w:type="dxa"/>
            <w:vAlign w:val="bottom"/>
          </w:tcPr>
          <w:p>
            <w:pPr>
              <w:spacing w:after="0"/>
              <w:rPr>
                <w:sz w:val="12"/>
                <w:szCs w:val="12"/>
                <w:color w:val="auto"/>
              </w:rPr>
            </w:pPr>
          </w:p>
        </w:tc>
        <w:tc>
          <w:tcPr>
            <w:tcW w:w="780" w:type="dxa"/>
            <w:vAlign w:val="bottom"/>
            <w:gridSpan w:val="2"/>
            <w:vMerge w:val="restart"/>
          </w:tcPr>
          <w:p>
            <w:pPr>
              <w:jc w:val="right"/>
              <w:ind w:right="100"/>
              <w:spacing w:after="0"/>
              <w:rPr>
                <w:sz w:val="20"/>
                <w:szCs w:val="20"/>
                <w:color w:val="auto"/>
              </w:rPr>
            </w:pPr>
            <w:r>
              <w:rPr>
                <w:rFonts w:ascii="Arial" w:cs="Arial" w:eastAsia="Arial" w:hAnsi="Arial"/>
                <w:sz w:val="14"/>
                <w:szCs w:val="14"/>
                <w:b w:val="1"/>
                <w:bCs w:val="1"/>
                <w:color w:val="auto"/>
              </w:rPr>
              <w:t>Weighted</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2520" w:type="dxa"/>
            <w:vAlign w:val="bottom"/>
          </w:tcPr>
          <w:p>
            <w:pPr>
              <w:spacing w:after="0"/>
              <w:rPr>
                <w:sz w:val="16"/>
                <w:szCs w:val="16"/>
                <w:color w:val="auto"/>
              </w:rPr>
            </w:pPr>
          </w:p>
        </w:tc>
        <w:tc>
          <w:tcPr>
            <w:tcW w:w="92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9"/>
              </w:rPr>
              <w:t>measured at</w:t>
            </w:r>
          </w:p>
        </w:tc>
        <w:tc>
          <w:tcPr>
            <w:tcW w:w="1220" w:type="dxa"/>
            <w:vAlign w:val="bottom"/>
            <w:gridSpan w:val="2"/>
            <w:vMerge w:val="continue"/>
          </w:tcPr>
          <w:p>
            <w:pPr>
              <w:spacing w:after="0"/>
              <w:rPr>
                <w:sz w:val="16"/>
                <w:szCs w:val="16"/>
                <w:color w:val="auto"/>
              </w:rPr>
            </w:pPr>
          </w:p>
        </w:tc>
        <w:tc>
          <w:tcPr>
            <w:tcW w:w="1880" w:type="dxa"/>
            <w:vAlign w:val="bottom"/>
            <w:gridSpan w:val="2"/>
            <w:vMerge w:val="continue"/>
          </w:tcPr>
          <w:p>
            <w:pPr>
              <w:spacing w:after="0"/>
              <w:rPr>
                <w:sz w:val="16"/>
                <w:szCs w:val="16"/>
                <w:color w:val="auto"/>
              </w:rPr>
            </w:pPr>
          </w:p>
        </w:tc>
        <w:tc>
          <w:tcPr>
            <w:tcW w:w="5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70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780" w:type="dxa"/>
            <w:vAlign w:val="bottom"/>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8"/>
        </w:trPr>
        <w:tc>
          <w:tcPr>
            <w:tcW w:w="20" w:type="dxa"/>
            <w:vAlign w:val="bottom"/>
          </w:tcPr>
          <w:p>
            <w:pPr>
              <w:spacing w:after="0"/>
              <w:rPr>
                <w:sz w:val="16"/>
                <w:szCs w:val="16"/>
                <w:color w:val="auto"/>
              </w:rPr>
            </w:pPr>
          </w:p>
        </w:tc>
        <w:tc>
          <w:tcPr>
            <w:tcW w:w="2520" w:type="dxa"/>
            <w:vAlign w:val="bottom"/>
          </w:tcPr>
          <w:p>
            <w:pPr>
              <w:spacing w:after="0"/>
              <w:rPr>
                <w:sz w:val="16"/>
                <w:szCs w:val="16"/>
                <w:color w:val="auto"/>
              </w:rPr>
            </w:pPr>
          </w:p>
        </w:tc>
        <w:tc>
          <w:tcPr>
            <w:tcW w:w="92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94"/>
              </w:rPr>
              <w:t>fair value</w:t>
            </w:r>
          </w:p>
        </w:tc>
        <w:tc>
          <w:tcPr>
            <w:tcW w:w="1220" w:type="dxa"/>
            <w:vAlign w:val="bottom"/>
            <w:gridSpan w:val="2"/>
          </w:tcPr>
          <w:p>
            <w:pPr>
              <w:ind w:left="100"/>
              <w:spacing w:after="0"/>
              <w:rPr>
                <w:sz w:val="20"/>
                <w:szCs w:val="20"/>
                <w:color w:val="auto"/>
              </w:rPr>
            </w:pPr>
            <w:r>
              <w:rPr>
                <w:rFonts w:ascii="Arial" w:cs="Arial" w:eastAsia="Arial" w:hAnsi="Arial"/>
                <w:sz w:val="14"/>
                <w:szCs w:val="14"/>
                <w:b w:val="1"/>
                <w:bCs w:val="1"/>
                <w:color w:val="auto"/>
              </w:rPr>
              <w:t>technique(s)</w:t>
            </w:r>
          </w:p>
        </w:tc>
        <w:tc>
          <w:tcPr>
            <w:tcW w:w="18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1"/>
              </w:rPr>
              <w:t>input description</w:t>
            </w:r>
          </w:p>
        </w:tc>
        <w:tc>
          <w:tcPr>
            <w:tcW w:w="5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500" w:type="dxa"/>
            <w:vAlign w:val="bottom"/>
          </w:tcPr>
          <w:p>
            <w:pPr>
              <w:jc w:val="right"/>
              <w:ind w:right="919"/>
              <w:spacing w:after="0"/>
              <w:rPr>
                <w:sz w:val="20"/>
                <w:szCs w:val="20"/>
                <w:color w:val="auto"/>
              </w:rPr>
            </w:pPr>
            <w:r>
              <w:rPr>
                <w:rFonts w:ascii="Arial" w:cs="Arial" w:eastAsia="Arial" w:hAnsi="Arial"/>
                <w:sz w:val="14"/>
                <w:szCs w:val="14"/>
                <w:b w:val="1"/>
                <w:bCs w:val="1"/>
                <w:color w:val="auto"/>
              </w:rPr>
              <w:t>inputs</w:t>
            </w:r>
          </w:p>
        </w:tc>
        <w:tc>
          <w:tcPr>
            <w:tcW w:w="180" w:type="dxa"/>
            <w:vAlign w:val="bottom"/>
          </w:tcPr>
          <w:p>
            <w:pPr>
              <w:spacing w:after="0"/>
              <w:rPr>
                <w:sz w:val="16"/>
                <w:szCs w:val="16"/>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4"/>
                <w:szCs w:val="14"/>
                <w:b w:val="1"/>
                <w:bCs w:val="1"/>
                <w:color w:val="auto"/>
              </w:rPr>
              <w:t>average</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520" w:type="dxa"/>
            <w:vAlign w:val="bottom"/>
          </w:tcPr>
          <w:p>
            <w:pPr>
              <w:spacing w:after="0"/>
              <w:rPr>
                <w:sz w:val="12"/>
                <w:szCs w:val="12"/>
                <w:color w:val="auto"/>
              </w:rPr>
            </w:pPr>
          </w:p>
        </w:tc>
        <w:tc>
          <w:tcPr>
            <w:tcW w:w="74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i w:val="1"/>
                <w:iCs w:val="1"/>
                <w:color w:val="auto"/>
                <w:w w:val="98"/>
              </w:rPr>
              <w:t>(in millions)</w:t>
            </w:r>
          </w:p>
        </w:tc>
        <w:tc>
          <w:tcPr>
            <w:tcW w:w="180" w:type="dxa"/>
            <w:vAlign w:val="bottom"/>
          </w:tcPr>
          <w:p>
            <w:pPr>
              <w:spacing w:after="0"/>
              <w:rPr>
                <w:sz w:val="12"/>
                <w:szCs w:val="12"/>
                <w:color w:val="auto"/>
              </w:rPr>
            </w:pPr>
          </w:p>
        </w:tc>
        <w:tc>
          <w:tcPr>
            <w:tcW w:w="1000" w:type="dxa"/>
            <w:vAlign w:val="bottom"/>
            <w:tcBorders>
              <w:top w:val="single" w:sz="8" w:color="auto"/>
            </w:tcBorders>
          </w:tcPr>
          <w:p>
            <w:pPr>
              <w:spacing w:after="0"/>
              <w:rPr>
                <w:sz w:val="12"/>
                <w:szCs w:val="12"/>
                <w:color w:val="auto"/>
              </w:rPr>
            </w:pPr>
          </w:p>
        </w:tc>
        <w:tc>
          <w:tcPr>
            <w:tcW w:w="220" w:type="dxa"/>
            <w:vAlign w:val="bottom"/>
          </w:tcPr>
          <w:p>
            <w:pPr>
              <w:spacing w:after="0"/>
              <w:rPr>
                <w:sz w:val="12"/>
                <w:szCs w:val="12"/>
                <w:color w:val="auto"/>
              </w:rPr>
            </w:pPr>
          </w:p>
        </w:tc>
        <w:tc>
          <w:tcPr>
            <w:tcW w:w="1740" w:type="dxa"/>
            <w:vAlign w:val="bottom"/>
            <w:tcBorders>
              <w:top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520" w:type="dxa"/>
            <w:vAlign w:val="bottom"/>
            <w:tcBorders>
              <w:top w:val="single" w:sz="8" w:color="auto"/>
            </w:tcBorders>
          </w:tcPr>
          <w:p>
            <w:pPr>
              <w:spacing w:after="0"/>
              <w:rPr>
                <w:sz w:val="12"/>
                <w:szCs w:val="12"/>
                <w:color w:val="auto"/>
              </w:rPr>
            </w:pPr>
          </w:p>
        </w:tc>
        <w:tc>
          <w:tcPr>
            <w:tcW w:w="18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1500" w:type="dxa"/>
            <w:vAlign w:val="bottom"/>
            <w:tcBorders>
              <w:top w:val="single" w:sz="8" w:color="auto"/>
            </w:tcBorders>
          </w:tcPr>
          <w:p>
            <w:pPr>
              <w:spacing w:after="0"/>
              <w:rPr>
                <w:sz w:val="12"/>
                <w:szCs w:val="12"/>
                <w:color w:val="auto"/>
              </w:rPr>
            </w:pPr>
          </w:p>
        </w:tc>
        <w:tc>
          <w:tcPr>
            <w:tcW w:w="180" w:type="dxa"/>
            <w:vAlign w:val="bottom"/>
          </w:tcPr>
          <w:p>
            <w:pPr>
              <w:spacing w:after="0"/>
              <w:rPr>
                <w:sz w:val="12"/>
                <w:szCs w:val="12"/>
                <w:color w:val="auto"/>
              </w:rPr>
            </w:pPr>
          </w:p>
        </w:tc>
        <w:tc>
          <w:tcPr>
            <w:tcW w:w="520" w:type="dxa"/>
            <w:vAlign w:val="bottom"/>
            <w:tcBorders>
              <w:top w:val="single" w:sz="8" w:color="auto"/>
            </w:tcBorders>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20" w:type="dxa"/>
            <w:vAlign w:val="bottom"/>
            <w:tcBorders>
              <w:bottom w:val="single" w:sz="8" w:color="auto"/>
            </w:tcBorders>
          </w:tcPr>
          <w:p>
            <w:pPr>
              <w:spacing w:after="0"/>
              <w:rPr>
                <w:sz w:val="17"/>
                <w:szCs w:val="17"/>
                <w:color w:val="auto"/>
              </w:rPr>
            </w:pPr>
          </w:p>
        </w:tc>
        <w:tc>
          <w:tcPr>
            <w:tcW w:w="2520" w:type="dxa"/>
            <w:vAlign w:val="bottom"/>
            <w:tcBorders>
              <w:left w:val="single" w:sz="8" w:color="CCEEFF"/>
              <w:bottom w:val="single" w:sz="8" w:color="auto"/>
            </w:tcBorders>
            <w:shd w:val="clear" w:color="auto" w:fill="CCEEFF"/>
          </w:tcPr>
          <w:p>
            <w:pPr>
              <w:spacing w:after="0"/>
              <w:rPr>
                <w:sz w:val="20"/>
                <w:szCs w:val="20"/>
                <w:color w:val="auto"/>
              </w:rPr>
            </w:pPr>
            <w:r>
              <w:rPr>
                <w:rFonts w:ascii="Arial" w:cs="Arial" w:eastAsia="Arial" w:hAnsi="Arial"/>
                <w:sz w:val="16"/>
                <w:szCs w:val="16"/>
                <w:b w:val="1"/>
                <w:bCs w:val="1"/>
                <w:color w:val="auto"/>
              </w:rPr>
              <w:t>Assets</w:t>
            </w:r>
          </w:p>
        </w:tc>
        <w:tc>
          <w:tcPr>
            <w:tcW w:w="740" w:type="dxa"/>
            <w:vAlign w:val="bottom"/>
            <w:tcBorders>
              <w:bottom w:val="single" w:sz="8" w:color="auto"/>
            </w:tcBorders>
            <w:shd w:val="clear" w:color="auto" w:fill="CCEEFF"/>
          </w:tcPr>
          <w:p>
            <w:pPr>
              <w:spacing w:after="0"/>
              <w:rPr>
                <w:sz w:val="17"/>
                <w:szCs w:val="17"/>
                <w:color w:val="auto"/>
              </w:rPr>
            </w:pPr>
          </w:p>
        </w:tc>
        <w:tc>
          <w:tcPr>
            <w:tcW w:w="180" w:type="dxa"/>
            <w:vAlign w:val="bottom"/>
            <w:tcBorders>
              <w:bottom w:val="single" w:sz="8" w:color="auto"/>
              <w:right w:val="single" w:sz="8" w:color="CCEEFF"/>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spacing w:after="0"/>
              <w:rPr>
                <w:sz w:val="17"/>
                <w:szCs w:val="17"/>
                <w:color w:val="auto"/>
              </w:rPr>
            </w:pPr>
          </w:p>
        </w:tc>
        <w:tc>
          <w:tcPr>
            <w:tcW w:w="220" w:type="dxa"/>
            <w:vAlign w:val="bottom"/>
            <w:tcBorders>
              <w:bottom w:val="single" w:sz="8" w:color="auto"/>
              <w:right w:val="single" w:sz="8" w:color="CCEEFF"/>
            </w:tcBorders>
            <w:shd w:val="clear" w:color="auto" w:fill="CCEEFF"/>
          </w:tcPr>
          <w:p>
            <w:pPr>
              <w:spacing w:after="0"/>
              <w:rPr>
                <w:sz w:val="17"/>
                <w:szCs w:val="17"/>
                <w:color w:val="auto"/>
              </w:rPr>
            </w:pPr>
          </w:p>
        </w:tc>
        <w:tc>
          <w:tcPr>
            <w:tcW w:w="1740" w:type="dxa"/>
            <w:vAlign w:val="bottom"/>
            <w:tcBorders>
              <w:bottom w:val="single" w:sz="8" w:color="auto"/>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520" w:type="dxa"/>
            <w:vAlign w:val="bottom"/>
            <w:tcBorders>
              <w:bottom w:val="single" w:sz="8" w:color="auto"/>
            </w:tcBorders>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1500" w:type="dxa"/>
            <w:vAlign w:val="bottom"/>
            <w:tcBorders>
              <w:bottom w:val="single" w:sz="8" w:color="auto"/>
            </w:tcBorders>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520" w:type="dxa"/>
            <w:vAlign w:val="bottom"/>
            <w:tcBorders>
              <w:bottom w:val="single" w:sz="8" w:color="auto"/>
            </w:tcBorders>
            <w:shd w:val="clear" w:color="auto" w:fill="CCEEFF"/>
          </w:tcPr>
          <w:p>
            <w:pPr>
              <w:spacing w:after="0"/>
              <w:rPr>
                <w:sz w:val="17"/>
                <w:szCs w:val="17"/>
                <w:color w:val="auto"/>
              </w:rPr>
            </w:pPr>
          </w:p>
        </w:tc>
        <w:tc>
          <w:tcPr>
            <w:tcW w:w="260" w:type="dxa"/>
            <w:vAlign w:val="bottom"/>
            <w:tcBorders>
              <w:bottom w:val="single" w:sz="8" w:color="auto"/>
              <w:right w:val="single" w:sz="8" w:color="CCEEFF"/>
            </w:tcBorders>
            <w:shd w:val="clear" w:color="auto" w:fill="CCEEFF"/>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20" w:type="dxa"/>
            <w:vAlign w:val="bottom"/>
            <w:tcBorders>
              <w:bottom w:val="single" w:sz="8" w:color="auto"/>
            </w:tcBorders>
            <w:shd w:val="clear" w:color="auto" w:fill="000000"/>
          </w:tcPr>
          <w:p>
            <w:pPr>
              <w:spacing w:after="0"/>
              <w:rPr>
                <w:sz w:val="17"/>
                <w:szCs w:val="17"/>
                <w:color w:val="auto"/>
              </w:rPr>
            </w:pPr>
          </w:p>
        </w:tc>
        <w:tc>
          <w:tcPr>
            <w:tcW w:w="2520" w:type="dxa"/>
            <w:vAlign w:val="bottom"/>
            <w:tcBorders>
              <w:left w:val="single" w:sz="8" w:color="auto"/>
              <w:bottom w:val="single" w:sz="8" w:color="auto"/>
            </w:tcBorders>
          </w:tcPr>
          <w:p>
            <w:pPr>
              <w:spacing w:after="0"/>
              <w:rPr>
                <w:sz w:val="20"/>
                <w:szCs w:val="20"/>
                <w:color w:val="auto"/>
              </w:rPr>
            </w:pPr>
            <w:r>
              <w:rPr>
                <w:rFonts w:ascii="Arial" w:cs="Arial" w:eastAsia="Arial" w:hAnsi="Arial"/>
                <w:sz w:val="16"/>
                <w:szCs w:val="16"/>
                <w:color w:val="auto"/>
              </w:rPr>
              <w:t>Fixed maturities, available-for-sale:</w:t>
            </w:r>
          </w:p>
        </w:tc>
        <w:tc>
          <w:tcPr>
            <w:tcW w:w="740" w:type="dxa"/>
            <w:vAlign w:val="bottom"/>
            <w:tcBorders>
              <w:bottom w:val="single" w:sz="8" w:color="auto"/>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74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520" w:type="dxa"/>
            <w:vAlign w:val="bottom"/>
            <w:tcBorders>
              <w:bottom w:val="single" w:sz="8" w:color="auto"/>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1500" w:type="dxa"/>
            <w:vAlign w:val="bottom"/>
            <w:tcBorders>
              <w:bottom w:val="single" w:sz="8" w:color="auto"/>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520" w:type="dxa"/>
            <w:vAlign w:val="bottom"/>
            <w:tcBorders>
              <w:bottom w:val="single" w:sz="8" w:color="auto"/>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20" w:type="dxa"/>
            <w:vAlign w:val="bottom"/>
            <w:tcBorders>
              <w:bottom w:val="single" w:sz="8" w:color="auto"/>
            </w:tcBorders>
            <w:shd w:val="clear" w:color="auto" w:fill="000000"/>
          </w:tcPr>
          <w:p>
            <w:pPr>
              <w:spacing w:after="0"/>
              <w:rPr>
                <w:sz w:val="17"/>
                <w:szCs w:val="17"/>
                <w:color w:val="auto"/>
              </w:rPr>
            </w:pPr>
          </w:p>
        </w:tc>
        <w:tc>
          <w:tcPr>
            <w:tcW w:w="0" w:type="dxa"/>
            <w:vAlign w:val="bottom"/>
          </w:tcPr>
          <w:p>
            <w:pPr>
              <w:spacing w:after="0"/>
              <w:rPr>
                <w:sz w:val="1"/>
                <w:szCs w:val="1"/>
                <w:color w:val="auto"/>
              </w:rPr>
            </w:pPr>
          </w:p>
        </w:tc>
      </w:tr>
      <w:tr>
        <w:trPr>
          <w:trHeight w:val="186"/>
        </w:trPr>
        <w:tc>
          <w:tcPr>
            <w:tcW w:w="20" w:type="dxa"/>
            <w:vAlign w:val="bottom"/>
            <w:shd w:val="clear" w:color="auto" w:fill="000000"/>
          </w:tcPr>
          <w:p>
            <w:pPr>
              <w:spacing w:after="0"/>
              <w:rPr>
                <w:sz w:val="16"/>
                <w:szCs w:val="16"/>
                <w:color w:val="auto"/>
              </w:rPr>
            </w:pPr>
          </w:p>
        </w:tc>
        <w:tc>
          <w:tcPr>
            <w:tcW w:w="2520" w:type="dxa"/>
            <w:vAlign w:val="bottom"/>
            <w:tcBorders>
              <w:left w:val="single" w:sz="8" w:color="auto"/>
            </w:tcBorders>
            <w:shd w:val="clear" w:color="auto" w:fill="CCEEFF"/>
          </w:tcPr>
          <w:p>
            <w:pPr>
              <w:ind w:left="100"/>
              <w:spacing w:after="0"/>
              <w:rPr>
                <w:sz w:val="20"/>
                <w:szCs w:val="20"/>
                <w:color w:val="auto"/>
              </w:rPr>
            </w:pPr>
            <w:r>
              <w:rPr>
                <w:rFonts w:ascii="Arial" w:cs="Arial" w:eastAsia="Arial" w:hAnsi="Arial"/>
                <w:sz w:val="16"/>
                <w:szCs w:val="16"/>
                <w:color w:val="auto"/>
              </w:rPr>
              <w:t>Corporate</w:t>
            </w:r>
          </w:p>
        </w:tc>
        <w:tc>
          <w:tcPr>
            <w:tcW w:w="740" w:type="dxa"/>
            <w:vAlign w:val="bottom"/>
            <w:shd w:val="clear" w:color="auto" w:fill="CCEEFF"/>
          </w:tcPr>
          <w:p>
            <w:pPr>
              <w:jc w:val="right"/>
              <w:ind w:right="3"/>
              <w:spacing w:after="0"/>
              <w:rPr>
                <w:sz w:val="20"/>
                <w:szCs w:val="20"/>
                <w:color w:val="auto"/>
              </w:rPr>
            </w:pPr>
            <w:r>
              <w:rPr>
                <w:rFonts w:ascii="Arial" w:cs="Arial" w:eastAsia="Arial" w:hAnsi="Arial"/>
                <w:sz w:val="16"/>
                <w:szCs w:val="16"/>
                <w:b w:val="1"/>
                <w:bCs w:val="1"/>
                <w:color w:val="auto"/>
              </w:rPr>
              <w:t xml:space="preserve">$   </w:t>
            </w:r>
            <w:r>
              <w:rPr>
                <w:rFonts w:ascii="Arial" w:cs="Arial" w:eastAsia="Arial" w:hAnsi="Arial"/>
                <w:sz w:val="16"/>
                <w:szCs w:val="16"/>
                <w:color w:val="auto"/>
              </w:rPr>
              <w:t>829.9</w:t>
            </w:r>
          </w:p>
        </w:tc>
        <w:tc>
          <w:tcPr>
            <w:tcW w:w="180" w:type="dxa"/>
            <w:vAlign w:val="bottom"/>
            <w:tcBorders>
              <w:right w:val="single" w:sz="8" w:color="auto"/>
            </w:tcBorders>
            <w:shd w:val="clear" w:color="auto" w:fill="CCEEFF"/>
          </w:tcPr>
          <w:p>
            <w:pPr>
              <w:spacing w:after="0"/>
              <w:rPr>
                <w:sz w:val="16"/>
                <w:szCs w:val="16"/>
                <w:color w:val="auto"/>
              </w:rPr>
            </w:pPr>
          </w:p>
        </w:tc>
        <w:tc>
          <w:tcPr>
            <w:tcW w:w="1220" w:type="dxa"/>
            <w:vAlign w:val="bottom"/>
            <w:tcBorders>
              <w:right w:val="single" w:sz="8" w:color="auto"/>
            </w:tcBorders>
            <w:gridSpan w:val="2"/>
            <w:shd w:val="clear" w:color="auto" w:fill="CCEEFF"/>
          </w:tcPr>
          <w:p>
            <w:pPr>
              <w:spacing w:after="0"/>
              <w:rPr>
                <w:sz w:val="20"/>
                <w:szCs w:val="20"/>
                <w:color w:val="auto"/>
              </w:rPr>
            </w:pPr>
            <w:r>
              <w:rPr>
                <w:rFonts w:ascii="Arial" w:cs="Arial" w:eastAsia="Arial" w:hAnsi="Arial"/>
                <w:sz w:val="16"/>
                <w:szCs w:val="16"/>
                <w:color w:val="auto"/>
              </w:rPr>
              <w:t>Discounted</w:t>
            </w:r>
          </w:p>
        </w:tc>
        <w:tc>
          <w:tcPr>
            <w:tcW w:w="188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Discount rate (1)</w:t>
            </w: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0.9 %</w:t>
            </w: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CEEFF"/>
          </w:tcPr>
          <w:p>
            <w:pPr>
              <w:spacing w:after="0"/>
              <w:rPr>
                <w:sz w:val="16"/>
                <w:szCs w:val="16"/>
                <w:color w:val="auto"/>
              </w:rPr>
            </w:pPr>
          </w:p>
        </w:tc>
        <w:tc>
          <w:tcPr>
            <w:tcW w:w="150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15.5 %</w:t>
            </w:r>
          </w:p>
        </w:tc>
        <w:tc>
          <w:tcPr>
            <w:tcW w:w="960" w:type="dxa"/>
            <w:vAlign w:val="bottom"/>
            <w:tcBorders>
              <w:right w:val="single" w:sz="8" w:color="CCEEFF"/>
            </w:tcBorders>
            <w:gridSpan w:val="3"/>
            <w:shd w:val="clear" w:color="auto" w:fill="CCEEFF"/>
          </w:tcPr>
          <w:p>
            <w:pPr>
              <w:jc w:val="right"/>
              <w:ind w:right="120"/>
              <w:spacing w:after="0"/>
              <w:rPr>
                <w:sz w:val="20"/>
                <w:szCs w:val="20"/>
                <w:color w:val="auto"/>
              </w:rPr>
            </w:pPr>
            <w:r>
              <w:rPr>
                <w:rFonts w:ascii="Arial" w:cs="Arial" w:eastAsia="Arial" w:hAnsi="Arial"/>
                <w:sz w:val="16"/>
                <w:szCs w:val="16"/>
                <w:color w:val="auto"/>
              </w:rPr>
              <w:t>6.8 %</w:t>
            </w:r>
          </w:p>
        </w:tc>
        <w:tc>
          <w:tcPr>
            <w:tcW w:w="20" w:type="dxa"/>
            <w:vAlign w:val="bottom"/>
            <w:shd w:val="clear" w:color="auto" w:fill="000000"/>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20" w:type="dxa"/>
            <w:vAlign w:val="bottom"/>
            <w:tcBorders>
              <w:bottom w:val="single" w:sz="8" w:color="auto"/>
            </w:tcBorders>
            <w:shd w:val="clear" w:color="auto" w:fill="000000"/>
          </w:tcPr>
          <w:p>
            <w:pPr>
              <w:spacing w:after="0"/>
              <w:rPr>
                <w:sz w:val="18"/>
                <w:szCs w:val="18"/>
                <w:color w:val="auto"/>
              </w:rPr>
            </w:pPr>
          </w:p>
        </w:tc>
        <w:tc>
          <w:tcPr>
            <w:tcW w:w="2520" w:type="dxa"/>
            <w:vAlign w:val="bottom"/>
            <w:tcBorders>
              <w:left w:val="single" w:sz="8" w:color="auto"/>
            </w:tcBorders>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80" w:type="dxa"/>
            <w:vAlign w:val="bottom"/>
            <w:tcBorders>
              <w:right w:val="single" w:sz="8" w:color="auto"/>
            </w:tcBorders>
            <w:shd w:val="clear" w:color="auto" w:fill="CCEEFF"/>
          </w:tcPr>
          <w:p>
            <w:pPr>
              <w:spacing w:after="0"/>
              <w:rPr>
                <w:sz w:val="18"/>
                <w:szCs w:val="18"/>
                <w:color w:val="auto"/>
              </w:rPr>
            </w:pPr>
          </w:p>
        </w:tc>
        <w:tc>
          <w:tcPr>
            <w:tcW w:w="1220" w:type="dxa"/>
            <w:vAlign w:val="bottom"/>
            <w:tcBorders>
              <w:right w:val="single" w:sz="8" w:color="auto"/>
            </w:tcBorders>
            <w:gridSpan w:val="2"/>
            <w:shd w:val="clear" w:color="auto" w:fill="CCEEFF"/>
          </w:tcPr>
          <w:p>
            <w:pPr>
              <w:ind w:left="120"/>
              <w:spacing w:after="0"/>
              <w:rPr>
                <w:sz w:val="20"/>
                <w:szCs w:val="20"/>
                <w:color w:val="auto"/>
              </w:rPr>
            </w:pPr>
            <w:r>
              <w:rPr>
                <w:rFonts w:ascii="Arial" w:cs="Arial" w:eastAsia="Arial" w:hAnsi="Arial"/>
                <w:sz w:val="16"/>
                <w:szCs w:val="16"/>
                <w:color w:val="auto"/>
              </w:rPr>
              <w:t>cash flow</w:t>
            </w:r>
          </w:p>
        </w:tc>
        <w:tc>
          <w:tcPr>
            <w:tcW w:w="1740" w:type="dxa"/>
            <w:vAlign w:val="bottom"/>
            <w:tcBorders>
              <w:bottom w:val="single" w:sz="8" w:color="auto"/>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520" w:type="dxa"/>
            <w:vAlign w:val="bottom"/>
            <w:tcBorders>
              <w:bottom w:val="single" w:sz="8" w:color="auto"/>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1500" w:type="dxa"/>
            <w:vAlign w:val="bottom"/>
            <w:tcBorders>
              <w:bottom w:val="single" w:sz="8" w:color="auto"/>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520" w:type="dxa"/>
            <w:vAlign w:val="bottom"/>
            <w:tcBorders>
              <w:bottom w:val="single" w:sz="8" w:color="auto"/>
            </w:tcBorders>
            <w:shd w:val="clear" w:color="auto" w:fill="CCEEFF"/>
          </w:tcPr>
          <w:p>
            <w:pPr>
              <w:spacing w:after="0"/>
              <w:rPr>
                <w:sz w:val="18"/>
                <w:szCs w:val="18"/>
                <w:color w:val="auto"/>
              </w:rPr>
            </w:pPr>
          </w:p>
        </w:tc>
        <w:tc>
          <w:tcPr>
            <w:tcW w:w="260" w:type="dxa"/>
            <w:vAlign w:val="bottom"/>
            <w:tcBorders>
              <w:bottom w:val="single" w:sz="8" w:color="auto"/>
              <w:right w:val="single" w:sz="8" w:color="CCEEFF"/>
            </w:tcBorders>
            <w:shd w:val="clear" w:color="auto" w:fill="CCEEFF"/>
          </w:tcPr>
          <w:p>
            <w:pPr>
              <w:spacing w:after="0"/>
              <w:rPr>
                <w:sz w:val="18"/>
                <w:szCs w:val="18"/>
                <w:color w:val="auto"/>
              </w:rPr>
            </w:pPr>
          </w:p>
        </w:tc>
        <w:tc>
          <w:tcPr>
            <w:tcW w:w="20" w:type="dxa"/>
            <w:vAlign w:val="bottom"/>
            <w:tcBorders>
              <w:bottom w:val="single" w:sz="8" w:color="auto"/>
            </w:tcBorders>
            <w:shd w:val="clear" w:color="auto" w:fill="000000"/>
          </w:tcPr>
          <w:p>
            <w:pPr>
              <w:spacing w:after="0"/>
              <w:rPr>
                <w:sz w:val="18"/>
                <w:szCs w:val="18"/>
                <w:color w:val="auto"/>
              </w:rPr>
            </w:pPr>
          </w:p>
        </w:tc>
        <w:tc>
          <w:tcPr>
            <w:tcW w:w="0" w:type="dxa"/>
            <w:vAlign w:val="bottom"/>
          </w:tcPr>
          <w:p>
            <w:pPr>
              <w:spacing w:after="0"/>
              <w:rPr>
                <w:sz w:val="1"/>
                <w:szCs w:val="1"/>
                <w:color w:val="auto"/>
              </w:rPr>
            </w:pPr>
          </w:p>
        </w:tc>
      </w:tr>
      <w:tr>
        <w:trPr>
          <w:trHeight w:val="199"/>
        </w:trPr>
        <w:tc>
          <w:tcPr>
            <w:tcW w:w="20" w:type="dxa"/>
            <w:vAlign w:val="bottom"/>
            <w:tcBorders>
              <w:bottom w:val="single" w:sz="8" w:color="auto"/>
            </w:tcBorders>
            <w:shd w:val="clear" w:color="auto" w:fill="000000"/>
          </w:tcPr>
          <w:p>
            <w:pPr>
              <w:spacing w:after="0"/>
              <w:rPr>
                <w:sz w:val="17"/>
                <w:szCs w:val="17"/>
                <w:color w:val="auto"/>
              </w:rPr>
            </w:pPr>
          </w:p>
        </w:tc>
        <w:tc>
          <w:tcPr>
            <w:tcW w:w="2520" w:type="dxa"/>
            <w:vAlign w:val="bottom"/>
            <w:tcBorders>
              <w:left w:val="single" w:sz="8" w:color="auto"/>
              <w:bottom w:val="single" w:sz="8" w:color="CCEEFF"/>
            </w:tcBorders>
          </w:tcPr>
          <w:p>
            <w:pPr>
              <w:spacing w:after="0"/>
              <w:rPr>
                <w:sz w:val="17"/>
                <w:szCs w:val="17"/>
                <w:color w:val="auto"/>
              </w:rPr>
            </w:pPr>
          </w:p>
        </w:tc>
        <w:tc>
          <w:tcPr>
            <w:tcW w:w="740" w:type="dxa"/>
            <w:vAlign w:val="bottom"/>
            <w:tcBorders>
              <w:bottom w:val="single" w:sz="8" w:color="CCEEFF"/>
            </w:tcBorders>
          </w:tcPr>
          <w:p>
            <w:pPr>
              <w:spacing w:after="0"/>
              <w:rPr>
                <w:sz w:val="17"/>
                <w:szCs w:val="17"/>
                <w:color w:val="auto"/>
              </w:rPr>
            </w:pPr>
          </w:p>
        </w:tc>
        <w:tc>
          <w:tcPr>
            <w:tcW w:w="180" w:type="dxa"/>
            <w:vAlign w:val="bottom"/>
            <w:tcBorders>
              <w:bottom w:val="single" w:sz="8" w:color="CCEEFF"/>
              <w:right w:val="single" w:sz="8" w:color="auto"/>
            </w:tcBorders>
          </w:tcPr>
          <w:p>
            <w:pPr>
              <w:spacing w:after="0"/>
              <w:rPr>
                <w:sz w:val="17"/>
                <w:szCs w:val="17"/>
                <w:color w:val="auto"/>
              </w:rPr>
            </w:pPr>
          </w:p>
        </w:tc>
        <w:tc>
          <w:tcPr>
            <w:tcW w:w="1000" w:type="dxa"/>
            <w:vAlign w:val="bottom"/>
            <w:tcBorders>
              <w:bottom w:val="single" w:sz="8" w:color="auto"/>
            </w:tcBorders>
          </w:tcPr>
          <w:p>
            <w:pPr>
              <w:spacing w:after="0"/>
              <w:rPr>
                <w:sz w:val="17"/>
                <w:szCs w:val="17"/>
                <w:color w:val="auto"/>
              </w:rPr>
            </w:pPr>
          </w:p>
        </w:tc>
        <w:tc>
          <w:tcPr>
            <w:tcW w:w="220" w:type="dxa"/>
            <w:vAlign w:val="bottom"/>
            <w:tcBorders>
              <w:bottom w:val="single" w:sz="8" w:color="auto"/>
              <w:right w:val="single" w:sz="8" w:color="auto"/>
            </w:tcBorders>
          </w:tcPr>
          <w:p>
            <w:pPr>
              <w:spacing w:after="0"/>
              <w:rPr>
                <w:sz w:val="17"/>
                <w:szCs w:val="17"/>
                <w:color w:val="auto"/>
              </w:rPr>
            </w:pPr>
          </w:p>
        </w:tc>
        <w:tc>
          <w:tcPr>
            <w:tcW w:w="1880" w:type="dxa"/>
            <w:vAlign w:val="bottom"/>
            <w:tcBorders>
              <w:bottom w:val="single" w:sz="8" w:color="auto"/>
            </w:tcBorders>
            <w:gridSpan w:val="2"/>
          </w:tcPr>
          <w:p>
            <w:pPr>
              <w:spacing w:after="0"/>
              <w:rPr>
                <w:sz w:val="20"/>
                <w:szCs w:val="20"/>
                <w:color w:val="auto"/>
              </w:rPr>
            </w:pPr>
            <w:r>
              <w:rPr>
                <w:rFonts w:ascii="Arial" w:cs="Arial" w:eastAsia="Arial" w:hAnsi="Arial"/>
                <w:sz w:val="16"/>
                <w:szCs w:val="16"/>
                <w:color w:val="auto"/>
              </w:rPr>
              <w:t>Illiquidity premium</w:t>
            </w:r>
          </w:p>
        </w:tc>
        <w:tc>
          <w:tcPr>
            <w:tcW w:w="700" w:type="dxa"/>
            <w:vAlign w:val="bottom"/>
            <w:tcBorders>
              <w:bottom w:val="single" w:sz="8" w:color="auto"/>
            </w:tcBorders>
            <w:gridSpan w:val="2"/>
          </w:tcPr>
          <w:p>
            <w:pPr>
              <w:jc w:val="right"/>
              <w:spacing w:after="0"/>
              <w:rPr>
                <w:sz w:val="20"/>
                <w:szCs w:val="20"/>
                <w:color w:val="auto"/>
              </w:rPr>
            </w:pPr>
            <w:r>
              <w:rPr>
                <w:rFonts w:ascii="Arial" w:cs="Arial" w:eastAsia="Arial" w:hAnsi="Arial"/>
                <w:sz w:val="16"/>
                <w:szCs w:val="16"/>
                <w:color w:val="auto"/>
              </w:rPr>
              <w:t>0 bps-</w:t>
            </w:r>
          </w:p>
        </w:tc>
        <w:tc>
          <w:tcPr>
            <w:tcW w:w="200" w:type="dxa"/>
            <w:vAlign w:val="bottom"/>
            <w:tcBorders>
              <w:bottom w:val="single" w:sz="8" w:color="auto"/>
            </w:tcBorders>
          </w:tcPr>
          <w:p>
            <w:pPr>
              <w:spacing w:after="0"/>
              <w:rPr>
                <w:sz w:val="17"/>
                <w:szCs w:val="17"/>
                <w:color w:val="auto"/>
              </w:rPr>
            </w:pPr>
          </w:p>
        </w:tc>
        <w:tc>
          <w:tcPr>
            <w:tcW w:w="150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70 bps</w:t>
            </w:r>
          </w:p>
        </w:tc>
        <w:tc>
          <w:tcPr>
            <w:tcW w:w="18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gridSpan w:val="2"/>
          </w:tcPr>
          <w:p>
            <w:pPr>
              <w:jc w:val="right"/>
              <w:ind w:right="40"/>
              <w:spacing w:after="0"/>
              <w:rPr>
                <w:sz w:val="20"/>
                <w:szCs w:val="20"/>
                <w:color w:val="auto"/>
              </w:rPr>
            </w:pPr>
            <w:r>
              <w:rPr>
                <w:rFonts w:ascii="Arial" w:cs="Arial" w:eastAsia="Arial" w:hAnsi="Arial"/>
                <w:sz w:val="16"/>
                <w:szCs w:val="16"/>
                <w:color w:val="auto"/>
              </w:rPr>
              <w:t>6 bps</w:t>
            </w:r>
          </w:p>
        </w:tc>
        <w:tc>
          <w:tcPr>
            <w:tcW w:w="20" w:type="dxa"/>
            <w:vAlign w:val="bottom"/>
            <w:tcBorders>
              <w:bottom w:val="single" w:sz="8" w:color="auto"/>
            </w:tcBorders>
            <w:shd w:val="clear" w:color="auto" w:fill="000000"/>
          </w:tcPr>
          <w:p>
            <w:pPr>
              <w:spacing w:after="0"/>
              <w:rPr>
                <w:sz w:val="17"/>
                <w:szCs w:val="17"/>
                <w:color w:val="auto"/>
              </w:rPr>
            </w:pPr>
          </w:p>
        </w:tc>
        <w:tc>
          <w:tcPr>
            <w:tcW w:w="0" w:type="dxa"/>
            <w:vAlign w:val="bottom"/>
          </w:tcPr>
          <w:p>
            <w:pPr>
              <w:spacing w:after="0"/>
              <w:rPr>
                <w:sz w:val="1"/>
                <w:szCs w:val="1"/>
                <w:color w:val="auto"/>
              </w:rPr>
            </w:pPr>
          </w:p>
        </w:tc>
      </w:tr>
      <w:tr>
        <w:trPr>
          <w:trHeight w:val="186"/>
        </w:trPr>
        <w:tc>
          <w:tcPr>
            <w:tcW w:w="20" w:type="dxa"/>
            <w:vAlign w:val="bottom"/>
            <w:shd w:val="clear" w:color="auto" w:fill="000000"/>
          </w:tcPr>
          <w:p>
            <w:pPr>
              <w:spacing w:after="0"/>
              <w:rPr>
                <w:sz w:val="16"/>
                <w:szCs w:val="16"/>
                <w:color w:val="auto"/>
              </w:rPr>
            </w:pPr>
          </w:p>
        </w:tc>
        <w:tc>
          <w:tcPr>
            <w:tcW w:w="2520" w:type="dxa"/>
            <w:vAlign w:val="bottom"/>
            <w:tcBorders>
              <w:left w:val="single" w:sz="8" w:color="auto"/>
            </w:tcBorders>
            <w:shd w:val="clear" w:color="auto" w:fill="CCEEFF"/>
          </w:tcPr>
          <w:p>
            <w:pPr>
              <w:spacing w:after="0"/>
              <w:rPr>
                <w:sz w:val="16"/>
                <w:szCs w:val="16"/>
                <w:color w:val="auto"/>
              </w:rPr>
            </w:pPr>
          </w:p>
        </w:tc>
        <w:tc>
          <w:tcPr>
            <w:tcW w:w="740" w:type="dxa"/>
            <w:vAlign w:val="bottom"/>
            <w:shd w:val="clear" w:color="auto" w:fill="CCEEFF"/>
          </w:tcPr>
          <w:p>
            <w:pPr>
              <w:spacing w:after="0"/>
              <w:rPr>
                <w:sz w:val="16"/>
                <w:szCs w:val="16"/>
                <w:color w:val="auto"/>
              </w:rPr>
            </w:pPr>
          </w:p>
        </w:tc>
        <w:tc>
          <w:tcPr>
            <w:tcW w:w="180" w:type="dxa"/>
            <w:vAlign w:val="bottom"/>
            <w:tcBorders>
              <w:right w:val="single" w:sz="8" w:color="auto"/>
            </w:tcBorders>
            <w:shd w:val="clear" w:color="auto" w:fill="CCEEFF"/>
          </w:tcPr>
          <w:p>
            <w:pPr>
              <w:spacing w:after="0"/>
              <w:rPr>
                <w:sz w:val="16"/>
                <w:szCs w:val="16"/>
                <w:color w:val="auto"/>
              </w:rPr>
            </w:pPr>
          </w:p>
        </w:tc>
        <w:tc>
          <w:tcPr>
            <w:tcW w:w="1220" w:type="dxa"/>
            <w:vAlign w:val="bottom"/>
            <w:tcBorders>
              <w:right w:val="single" w:sz="8" w:color="auto"/>
            </w:tcBorders>
            <w:gridSpan w:val="2"/>
            <w:shd w:val="clear" w:color="auto" w:fill="CCEEFF"/>
          </w:tcPr>
          <w:p>
            <w:pPr>
              <w:spacing w:after="0"/>
              <w:rPr>
                <w:sz w:val="20"/>
                <w:szCs w:val="20"/>
                <w:color w:val="auto"/>
              </w:rPr>
            </w:pPr>
            <w:r>
              <w:rPr>
                <w:rFonts w:ascii="Arial" w:cs="Arial" w:eastAsia="Arial" w:hAnsi="Arial"/>
                <w:sz w:val="16"/>
                <w:szCs w:val="16"/>
                <w:color w:val="auto"/>
              </w:rPr>
              <w:t>Market</w:t>
            </w:r>
          </w:p>
        </w:tc>
        <w:tc>
          <w:tcPr>
            <w:tcW w:w="188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Potential loss severity</w:t>
            </w:r>
          </w:p>
        </w:tc>
        <w:tc>
          <w:tcPr>
            <w:tcW w:w="5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50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39.4 %</w:t>
            </w:r>
          </w:p>
        </w:tc>
        <w:tc>
          <w:tcPr>
            <w:tcW w:w="960" w:type="dxa"/>
            <w:vAlign w:val="bottom"/>
            <w:tcBorders>
              <w:right w:val="single" w:sz="8" w:color="CCEEFF"/>
            </w:tcBorders>
            <w:gridSpan w:val="3"/>
            <w:shd w:val="clear" w:color="auto" w:fill="CCEEFF"/>
          </w:tcPr>
          <w:p>
            <w:pPr>
              <w:jc w:val="right"/>
              <w:ind w:right="120"/>
              <w:spacing w:after="0"/>
              <w:rPr>
                <w:sz w:val="20"/>
                <w:szCs w:val="20"/>
                <w:color w:val="auto"/>
              </w:rPr>
            </w:pPr>
            <w:r>
              <w:rPr>
                <w:rFonts w:ascii="Arial" w:cs="Arial" w:eastAsia="Arial" w:hAnsi="Arial"/>
                <w:sz w:val="16"/>
                <w:szCs w:val="16"/>
                <w:color w:val="auto"/>
              </w:rPr>
              <w:t>39.4 %</w:t>
            </w:r>
          </w:p>
        </w:tc>
        <w:tc>
          <w:tcPr>
            <w:tcW w:w="20" w:type="dxa"/>
            <w:vAlign w:val="bottom"/>
            <w:shd w:val="clear" w:color="auto" w:fill="000000"/>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20" w:type="dxa"/>
            <w:vAlign w:val="bottom"/>
            <w:tcBorders>
              <w:bottom w:val="single" w:sz="8" w:color="auto"/>
            </w:tcBorders>
            <w:shd w:val="clear" w:color="auto" w:fill="000000"/>
          </w:tcPr>
          <w:p>
            <w:pPr>
              <w:spacing w:after="0"/>
              <w:rPr>
                <w:sz w:val="18"/>
                <w:szCs w:val="18"/>
                <w:color w:val="auto"/>
              </w:rPr>
            </w:pPr>
          </w:p>
        </w:tc>
        <w:tc>
          <w:tcPr>
            <w:tcW w:w="2520" w:type="dxa"/>
            <w:vAlign w:val="bottom"/>
            <w:tcBorders>
              <w:left w:val="single" w:sz="8" w:color="auto"/>
            </w:tcBorders>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80" w:type="dxa"/>
            <w:vAlign w:val="bottom"/>
            <w:tcBorders>
              <w:right w:val="single" w:sz="8" w:color="auto"/>
            </w:tcBorders>
            <w:shd w:val="clear" w:color="auto" w:fill="CCEEFF"/>
          </w:tcPr>
          <w:p>
            <w:pPr>
              <w:spacing w:after="0"/>
              <w:rPr>
                <w:sz w:val="18"/>
                <w:szCs w:val="18"/>
                <w:color w:val="auto"/>
              </w:rPr>
            </w:pPr>
          </w:p>
        </w:tc>
        <w:tc>
          <w:tcPr>
            <w:tcW w:w="1220" w:type="dxa"/>
            <w:vAlign w:val="bottom"/>
            <w:tcBorders>
              <w:right w:val="single" w:sz="8" w:color="auto"/>
            </w:tcBorders>
            <w:gridSpan w:val="2"/>
            <w:shd w:val="clear" w:color="auto" w:fill="CCEEFF"/>
          </w:tcPr>
          <w:p>
            <w:pPr>
              <w:ind w:left="120"/>
              <w:spacing w:after="0"/>
              <w:rPr>
                <w:sz w:val="20"/>
                <w:szCs w:val="20"/>
                <w:color w:val="auto"/>
              </w:rPr>
            </w:pPr>
            <w:r>
              <w:rPr>
                <w:rFonts w:ascii="Arial" w:cs="Arial" w:eastAsia="Arial" w:hAnsi="Arial"/>
                <w:sz w:val="16"/>
                <w:szCs w:val="16"/>
                <w:color w:val="auto"/>
              </w:rPr>
              <w:t>comparables</w:t>
            </w:r>
          </w:p>
        </w:tc>
        <w:tc>
          <w:tcPr>
            <w:tcW w:w="1740" w:type="dxa"/>
            <w:vAlign w:val="bottom"/>
            <w:tcBorders>
              <w:bottom w:val="single" w:sz="8" w:color="auto"/>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520" w:type="dxa"/>
            <w:vAlign w:val="bottom"/>
            <w:tcBorders>
              <w:bottom w:val="single" w:sz="8" w:color="auto"/>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1500" w:type="dxa"/>
            <w:vAlign w:val="bottom"/>
            <w:tcBorders>
              <w:bottom w:val="single" w:sz="8" w:color="auto"/>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520" w:type="dxa"/>
            <w:vAlign w:val="bottom"/>
            <w:tcBorders>
              <w:bottom w:val="single" w:sz="8" w:color="auto"/>
            </w:tcBorders>
            <w:shd w:val="clear" w:color="auto" w:fill="CCEEFF"/>
          </w:tcPr>
          <w:p>
            <w:pPr>
              <w:spacing w:after="0"/>
              <w:rPr>
                <w:sz w:val="18"/>
                <w:szCs w:val="18"/>
                <w:color w:val="auto"/>
              </w:rPr>
            </w:pPr>
          </w:p>
        </w:tc>
        <w:tc>
          <w:tcPr>
            <w:tcW w:w="260" w:type="dxa"/>
            <w:vAlign w:val="bottom"/>
            <w:tcBorders>
              <w:bottom w:val="single" w:sz="8" w:color="auto"/>
              <w:right w:val="single" w:sz="8" w:color="CCEEFF"/>
            </w:tcBorders>
            <w:shd w:val="clear" w:color="auto" w:fill="CCEEFF"/>
          </w:tcPr>
          <w:p>
            <w:pPr>
              <w:spacing w:after="0"/>
              <w:rPr>
                <w:sz w:val="18"/>
                <w:szCs w:val="18"/>
                <w:color w:val="auto"/>
              </w:rPr>
            </w:pPr>
          </w:p>
        </w:tc>
        <w:tc>
          <w:tcPr>
            <w:tcW w:w="20" w:type="dxa"/>
            <w:vAlign w:val="bottom"/>
            <w:tcBorders>
              <w:bottom w:val="single" w:sz="8" w:color="auto"/>
            </w:tcBorders>
            <w:shd w:val="clear" w:color="auto" w:fill="000000"/>
          </w:tcPr>
          <w:p>
            <w:pPr>
              <w:spacing w:after="0"/>
              <w:rPr>
                <w:sz w:val="18"/>
                <w:szCs w:val="18"/>
                <w:color w:val="auto"/>
              </w:rPr>
            </w:pPr>
          </w:p>
        </w:tc>
        <w:tc>
          <w:tcPr>
            <w:tcW w:w="0" w:type="dxa"/>
            <w:vAlign w:val="bottom"/>
          </w:tcPr>
          <w:p>
            <w:pPr>
              <w:spacing w:after="0"/>
              <w:rPr>
                <w:sz w:val="1"/>
                <w:szCs w:val="1"/>
                <w:color w:val="auto"/>
              </w:rPr>
            </w:pPr>
          </w:p>
        </w:tc>
      </w:tr>
      <w:tr>
        <w:trPr>
          <w:trHeight w:val="199"/>
        </w:trPr>
        <w:tc>
          <w:tcPr>
            <w:tcW w:w="20" w:type="dxa"/>
            <w:vAlign w:val="bottom"/>
            <w:tcBorders>
              <w:bottom w:val="single" w:sz="8" w:color="auto"/>
            </w:tcBorders>
            <w:shd w:val="clear" w:color="auto" w:fill="000000"/>
          </w:tcPr>
          <w:p>
            <w:pPr>
              <w:spacing w:after="0"/>
              <w:rPr>
                <w:sz w:val="17"/>
                <w:szCs w:val="17"/>
                <w:color w:val="auto"/>
              </w:rPr>
            </w:pPr>
          </w:p>
        </w:tc>
        <w:tc>
          <w:tcPr>
            <w:tcW w:w="2520" w:type="dxa"/>
            <w:vAlign w:val="bottom"/>
            <w:tcBorders>
              <w:left w:val="single" w:sz="8" w:color="auto"/>
              <w:bottom w:val="single" w:sz="8" w:color="auto"/>
            </w:tcBorders>
          </w:tcPr>
          <w:p>
            <w:pPr>
              <w:spacing w:after="0"/>
              <w:rPr>
                <w:sz w:val="17"/>
                <w:szCs w:val="17"/>
                <w:color w:val="auto"/>
              </w:rPr>
            </w:pPr>
          </w:p>
        </w:tc>
        <w:tc>
          <w:tcPr>
            <w:tcW w:w="740" w:type="dxa"/>
            <w:vAlign w:val="bottom"/>
            <w:tcBorders>
              <w:bottom w:val="single" w:sz="8" w:color="auto"/>
            </w:tcBorders>
          </w:tcPr>
          <w:p>
            <w:pPr>
              <w:spacing w:after="0"/>
              <w:rPr>
                <w:sz w:val="17"/>
                <w:szCs w:val="17"/>
                <w:color w:val="auto"/>
              </w:rPr>
            </w:pPr>
          </w:p>
        </w:tc>
        <w:tc>
          <w:tcPr>
            <w:tcW w:w="180" w:type="dxa"/>
            <w:vAlign w:val="bottom"/>
            <w:tcBorders>
              <w:bottom w:val="single" w:sz="8" w:color="auto"/>
              <w:right w:val="single" w:sz="8" w:color="auto"/>
            </w:tcBorders>
          </w:tcPr>
          <w:p>
            <w:pPr>
              <w:spacing w:after="0"/>
              <w:rPr>
                <w:sz w:val="17"/>
                <w:szCs w:val="17"/>
                <w:color w:val="auto"/>
              </w:rPr>
            </w:pPr>
          </w:p>
        </w:tc>
        <w:tc>
          <w:tcPr>
            <w:tcW w:w="1000" w:type="dxa"/>
            <w:vAlign w:val="bottom"/>
            <w:tcBorders>
              <w:bottom w:val="single" w:sz="8" w:color="auto"/>
            </w:tcBorders>
          </w:tcPr>
          <w:p>
            <w:pPr>
              <w:spacing w:after="0"/>
              <w:rPr>
                <w:sz w:val="17"/>
                <w:szCs w:val="17"/>
                <w:color w:val="auto"/>
              </w:rPr>
            </w:pPr>
          </w:p>
        </w:tc>
        <w:tc>
          <w:tcPr>
            <w:tcW w:w="220" w:type="dxa"/>
            <w:vAlign w:val="bottom"/>
            <w:tcBorders>
              <w:bottom w:val="single" w:sz="8" w:color="auto"/>
              <w:right w:val="single" w:sz="8" w:color="auto"/>
            </w:tcBorders>
          </w:tcPr>
          <w:p>
            <w:pPr>
              <w:spacing w:after="0"/>
              <w:rPr>
                <w:sz w:val="17"/>
                <w:szCs w:val="17"/>
                <w:color w:val="auto"/>
              </w:rPr>
            </w:pPr>
          </w:p>
        </w:tc>
        <w:tc>
          <w:tcPr>
            <w:tcW w:w="1880" w:type="dxa"/>
            <w:vAlign w:val="bottom"/>
            <w:tcBorders>
              <w:bottom w:val="single" w:sz="8" w:color="auto"/>
            </w:tcBorders>
            <w:gridSpan w:val="2"/>
          </w:tcPr>
          <w:p>
            <w:pPr>
              <w:spacing w:after="0"/>
              <w:rPr>
                <w:sz w:val="20"/>
                <w:szCs w:val="20"/>
                <w:color w:val="auto"/>
              </w:rPr>
            </w:pPr>
            <w:r>
              <w:rPr>
                <w:rFonts w:ascii="Arial" w:cs="Arial" w:eastAsia="Arial" w:hAnsi="Arial"/>
                <w:sz w:val="16"/>
                <w:szCs w:val="16"/>
                <w:color w:val="auto"/>
              </w:rPr>
              <w:t>Probability of default</w:t>
            </w:r>
          </w:p>
        </w:tc>
        <w:tc>
          <w:tcPr>
            <w:tcW w:w="520" w:type="dxa"/>
            <w:vAlign w:val="bottom"/>
            <w:tcBorders>
              <w:bottom w:val="single" w:sz="8" w:color="auto"/>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1500" w:type="dxa"/>
            <w:vAlign w:val="bottom"/>
            <w:tcBorders>
              <w:bottom w:val="single" w:sz="8" w:color="auto"/>
            </w:tcBorders>
          </w:tcPr>
          <w:p>
            <w:pPr>
              <w:jc w:val="right"/>
              <w:ind w:right="139"/>
              <w:spacing w:after="0"/>
              <w:rPr>
                <w:sz w:val="20"/>
                <w:szCs w:val="20"/>
                <w:color w:val="auto"/>
              </w:rPr>
            </w:pPr>
            <w:r>
              <w:rPr>
                <w:rFonts w:ascii="Arial" w:cs="Arial" w:eastAsia="Arial" w:hAnsi="Arial"/>
                <w:sz w:val="16"/>
                <w:szCs w:val="16"/>
                <w:color w:val="auto"/>
              </w:rPr>
              <w:t>100.0 %</w:t>
            </w:r>
          </w:p>
        </w:tc>
        <w:tc>
          <w:tcPr>
            <w:tcW w:w="960" w:type="dxa"/>
            <w:vAlign w:val="bottom"/>
            <w:tcBorders>
              <w:bottom w:val="single" w:sz="8" w:color="auto"/>
            </w:tcBorders>
            <w:gridSpan w:val="3"/>
          </w:tcPr>
          <w:p>
            <w:pPr>
              <w:jc w:val="right"/>
              <w:ind w:right="120"/>
              <w:spacing w:after="0"/>
              <w:rPr>
                <w:sz w:val="20"/>
                <w:szCs w:val="20"/>
                <w:color w:val="auto"/>
              </w:rPr>
            </w:pPr>
            <w:r>
              <w:rPr>
                <w:rFonts w:ascii="Arial" w:cs="Arial" w:eastAsia="Arial" w:hAnsi="Arial"/>
                <w:sz w:val="16"/>
                <w:szCs w:val="16"/>
                <w:color w:val="auto"/>
              </w:rPr>
              <w:t>100.0 %</w:t>
            </w:r>
          </w:p>
        </w:tc>
        <w:tc>
          <w:tcPr>
            <w:tcW w:w="20" w:type="dxa"/>
            <w:vAlign w:val="bottom"/>
            <w:tcBorders>
              <w:bottom w:val="single" w:sz="8" w:color="auto"/>
            </w:tcBorders>
            <w:shd w:val="clear" w:color="auto" w:fill="000000"/>
          </w:tcPr>
          <w:p>
            <w:pPr>
              <w:spacing w:after="0"/>
              <w:rPr>
                <w:sz w:val="17"/>
                <w:szCs w:val="17"/>
                <w:color w:val="auto"/>
              </w:rPr>
            </w:pPr>
          </w:p>
        </w:tc>
        <w:tc>
          <w:tcPr>
            <w:tcW w:w="0" w:type="dxa"/>
            <w:vAlign w:val="bottom"/>
          </w:tcPr>
          <w:p>
            <w:pPr>
              <w:spacing w:after="0"/>
              <w:rPr>
                <w:sz w:val="1"/>
                <w:szCs w:val="1"/>
                <w:color w:val="auto"/>
              </w:rPr>
            </w:pPr>
          </w:p>
        </w:tc>
      </w:tr>
      <w:tr>
        <w:trPr>
          <w:trHeight w:val="186"/>
        </w:trPr>
        <w:tc>
          <w:tcPr>
            <w:tcW w:w="20" w:type="dxa"/>
            <w:vAlign w:val="bottom"/>
            <w:shd w:val="clear" w:color="auto" w:fill="000000"/>
          </w:tcPr>
          <w:p>
            <w:pPr>
              <w:spacing w:after="0"/>
              <w:rPr>
                <w:sz w:val="16"/>
                <w:szCs w:val="16"/>
                <w:color w:val="auto"/>
              </w:rPr>
            </w:pPr>
          </w:p>
        </w:tc>
        <w:tc>
          <w:tcPr>
            <w:tcW w:w="2520" w:type="dxa"/>
            <w:vAlign w:val="bottom"/>
            <w:tcBorders>
              <w:left w:val="single" w:sz="8" w:color="auto"/>
            </w:tcBorders>
            <w:shd w:val="clear" w:color="auto" w:fill="CCEEFF"/>
          </w:tcPr>
          <w:p>
            <w:pPr>
              <w:ind w:left="100"/>
              <w:spacing w:after="0"/>
              <w:rPr>
                <w:sz w:val="20"/>
                <w:szCs w:val="20"/>
                <w:color w:val="auto"/>
              </w:rPr>
            </w:pPr>
            <w:r>
              <w:rPr>
                <w:rFonts w:ascii="Arial" w:cs="Arial" w:eastAsia="Arial" w:hAnsi="Arial"/>
                <w:sz w:val="16"/>
                <w:szCs w:val="16"/>
                <w:color w:val="auto"/>
              </w:rPr>
              <w:t>Commercial mortgage-backed</w:t>
            </w:r>
          </w:p>
        </w:tc>
        <w:tc>
          <w:tcPr>
            <w:tcW w:w="740" w:type="dxa"/>
            <w:vAlign w:val="bottom"/>
            <w:shd w:val="clear" w:color="auto" w:fill="CCEEFF"/>
          </w:tcPr>
          <w:p>
            <w:pPr>
              <w:jc w:val="right"/>
              <w:ind w:right="3"/>
              <w:spacing w:after="0"/>
              <w:rPr>
                <w:sz w:val="20"/>
                <w:szCs w:val="20"/>
                <w:color w:val="auto"/>
              </w:rPr>
            </w:pPr>
            <w:r>
              <w:rPr>
                <w:rFonts w:ascii="Arial" w:cs="Arial" w:eastAsia="Arial" w:hAnsi="Arial"/>
                <w:sz w:val="16"/>
                <w:szCs w:val="16"/>
                <w:color w:val="auto"/>
              </w:rPr>
              <w:t>3.5</w:t>
            </w:r>
          </w:p>
        </w:tc>
        <w:tc>
          <w:tcPr>
            <w:tcW w:w="180" w:type="dxa"/>
            <w:vAlign w:val="bottom"/>
            <w:tcBorders>
              <w:right w:val="single" w:sz="8" w:color="auto"/>
            </w:tcBorders>
            <w:shd w:val="clear" w:color="auto" w:fill="CCEEFF"/>
          </w:tcPr>
          <w:p>
            <w:pPr>
              <w:spacing w:after="0"/>
              <w:rPr>
                <w:sz w:val="16"/>
                <w:szCs w:val="16"/>
                <w:color w:val="auto"/>
              </w:rPr>
            </w:pPr>
          </w:p>
        </w:tc>
        <w:tc>
          <w:tcPr>
            <w:tcW w:w="1220" w:type="dxa"/>
            <w:vAlign w:val="bottom"/>
            <w:tcBorders>
              <w:right w:val="single" w:sz="8" w:color="auto"/>
            </w:tcBorders>
            <w:gridSpan w:val="2"/>
            <w:shd w:val="clear" w:color="auto" w:fill="CCEEFF"/>
          </w:tcPr>
          <w:p>
            <w:pPr>
              <w:spacing w:after="0"/>
              <w:rPr>
                <w:sz w:val="20"/>
                <w:szCs w:val="20"/>
                <w:color w:val="auto"/>
              </w:rPr>
            </w:pPr>
            <w:r>
              <w:rPr>
                <w:rFonts w:ascii="Arial" w:cs="Arial" w:eastAsia="Arial" w:hAnsi="Arial"/>
                <w:sz w:val="16"/>
                <w:szCs w:val="16"/>
                <w:color w:val="auto"/>
              </w:rPr>
              <w:t>Discounted</w:t>
            </w:r>
          </w:p>
        </w:tc>
        <w:tc>
          <w:tcPr>
            <w:tcW w:w="188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Discount rate (1)</w:t>
            </w:r>
          </w:p>
        </w:tc>
        <w:tc>
          <w:tcPr>
            <w:tcW w:w="5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50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3.7 %</w:t>
            </w:r>
          </w:p>
        </w:tc>
        <w:tc>
          <w:tcPr>
            <w:tcW w:w="960" w:type="dxa"/>
            <w:vAlign w:val="bottom"/>
            <w:tcBorders>
              <w:right w:val="single" w:sz="8" w:color="CCEEFF"/>
            </w:tcBorders>
            <w:gridSpan w:val="3"/>
            <w:shd w:val="clear" w:color="auto" w:fill="CCEEFF"/>
          </w:tcPr>
          <w:p>
            <w:pPr>
              <w:jc w:val="right"/>
              <w:ind w:right="120"/>
              <w:spacing w:after="0"/>
              <w:rPr>
                <w:sz w:val="20"/>
                <w:szCs w:val="20"/>
                <w:color w:val="auto"/>
              </w:rPr>
            </w:pPr>
            <w:r>
              <w:rPr>
                <w:rFonts w:ascii="Arial" w:cs="Arial" w:eastAsia="Arial" w:hAnsi="Arial"/>
                <w:sz w:val="16"/>
                <w:szCs w:val="16"/>
                <w:color w:val="auto"/>
              </w:rPr>
              <w:t>3.7 %</w:t>
            </w:r>
          </w:p>
        </w:tc>
        <w:tc>
          <w:tcPr>
            <w:tcW w:w="20" w:type="dxa"/>
            <w:vAlign w:val="bottom"/>
            <w:shd w:val="clear" w:color="auto" w:fill="000000"/>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20" w:type="dxa"/>
            <w:vAlign w:val="bottom"/>
            <w:tcBorders>
              <w:bottom w:val="single" w:sz="8" w:color="auto"/>
            </w:tcBorders>
            <w:shd w:val="clear" w:color="auto" w:fill="000000"/>
          </w:tcPr>
          <w:p>
            <w:pPr>
              <w:spacing w:after="0"/>
              <w:rPr>
                <w:sz w:val="18"/>
                <w:szCs w:val="18"/>
                <w:color w:val="auto"/>
              </w:rPr>
            </w:pPr>
          </w:p>
        </w:tc>
        <w:tc>
          <w:tcPr>
            <w:tcW w:w="2520" w:type="dxa"/>
            <w:vAlign w:val="bottom"/>
            <w:tcBorders>
              <w:left w:val="single" w:sz="8" w:color="auto"/>
              <w:bottom w:val="single" w:sz="8" w:color="auto"/>
            </w:tcBorders>
            <w:shd w:val="clear" w:color="auto" w:fill="CCEEFF"/>
          </w:tcPr>
          <w:p>
            <w:pPr>
              <w:ind w:left="240"/>
              <w:spacing w:after="0"/>
              <w:rPr>
                <w:sz w:val="20"/>
                <w:szCs w:val="20"/>
                <w:color w:val="auto"/>
              </w:rPr>
            </w:pPr>
            <w:r>
              <w:rPr>
                <w:rFonts w:ascii="Arial" w:cs="Arial" w:eastAsia="Arial" w:hAnsi="Arial"/>
                <w:sz w:val="16"/>
                <w:szCs w:val="16"/>
                <w:color w:val="auto"/>
              </w:rPr>
              <w:t>securities</w:t>
            </w:r>
          </w:p>
        </w:tc>
        <w:tc>
          <w:tcPr>
            <w:tcW w:w="740" w:type="dxa"/>
            <w:vAlign w:val="bottom"/>
            <w:tcBorders>
              <w:bottom w:val="single" w:sz="8" w:color="auto"/>
            </w:tcBorders>
            <w:shd w:val="clear" w:color="auto" w:fill="CCEEFF"/>
          </w:tcPr>
          <w:p>
            <w:pPr>
              <w:spacing w:after="0"/>
              <w:rPr>
                <w:sz w:val="18"/>
                <w:szCs w:val="18"/>
                <w:color w:val="auto"/>
              </w:rPr>
            </w:pPr>
          </w:p>
        </w:tc>
        <w:tc>
          <w:tcPr>
            <w:tcW w:w="180" w:type="dxa"/>
            <w:vAlign w:val="bottom"/>
            <w:tcBorders>
              <w:bottom w:val="single" w:sz="8" w:color="auto"/>
              <w:right w:val="single" w:sz="8" w:color="auto"/>
            </w:tcBorders>
            <w:shd w:val="clear" w:color="auto" w:fill="CCEEFF"/>
          </w:tcPr>
          <w:p>
            <w:pPr>
              <w:spacing w:after="0"/>
              <w:rPr>
                <w:sz w:val="18"/>
                <w:szCs w:val="18"/>
                <w:color w:val="auto"/>
              </w:rPr>
            </w:pPr>
          </w:p>
        </w:tc>
        <w:tc>
          <w:tcPr>
            <w:tcW w:w="1220" w:type="dxa"/>
            <w:vAlign w:val="bottom"/>
            <w:tcBorders>
              <w:bottom w:val="single" w:sz="8" w:color="auto"/>
              <w:right w:val="single" w:sz="8" w:color="auto"/>
            </w:tcBorders>
            <w:gridSpan w:val="2"/>
            <w:shd w:val="clear" w:color="auto" w:fill="CCEEFF"/>
          </w:tcPr>
          <w:p>
            <w:pPr>
              <w:ind w:left="120"/>
              <w:spacing w:after="0"/>
              <w:rPr>
                <w:sz w:val="20"/>
                <w:szCs w:val="20"/>
                <w:color w:val="auto"/>
              </w:rPr>
            </w:pPr>
            <w:r>
              <w:rPr>
                <w:rFonts w:ascii="Arial" w:cs="Arial" w:eastAsia="Arial" w:hAnsi="Arial"/>
                <w:sz w:val="16"/>
                <w:szCs w:val="16"/>
                <w:color w:val="auto"/>
              </w:rPr>
              <w:t>cash flow</w:t>
            </w:r>
          </w:p>
        </w:tc>
        <w:tc>
          <w:tcPr>
            <w:tcW w:w="1740" w:type="dxa"/>
            <w:vAlign w:val="bottom"/>
            <w:tcBorders>
              <w:bottom w:val="single" w:sz="8" w:color="auto"/>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520" w:type="dxa"/>
            <w:vAlign w:val="bottom"/>
            <w:tcBorders>
              <w:bottom w:val="single" w:sz="8" w:color="auto"/>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1500" w:type="dxa"/>
            <w:vAlign w:val="bottom"/>
            <w:tcBorders>
              <w:bottom w:val="single" w:sz="8" w:color="auto"/>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520" w:type="dxa"/>
            <w:vAlign w:val="bottom"/>
            <w:tcBorders>
              <w:bottom w:val="single" w:sz="8" w:color="auto"/>
            </w:tcBorders>
            <w:shd w:val="clear" w:color="auto" w:fill="CCEEFF"/>
          </w:tcPr>
          <w:p>
            <w:pPr>
              <w:spacing w:after="0"/>
              <w:rPr>
                <w:sz w:val="18"/>
                <w:szCs w:val="18"/>
                <w:color w:val="auto"/>
              </w:rPr>
            </w:pPr>
          </w:p>
        </w:tc>
        <w:tc>
          <w:tcPr>
            <w:tcW w:w="260" w:type="dxa"/>
            <w:vAlign w:val="bottom"/>
            <w:tcBorders>
              <w:bottom w:val="single" w:sz="8" w:color="auto"/>
              <w:right w:val="single" w:sz="8" w:color="CCEEFF"/>
            </w:tcBorders>
            <w:shd w:val="clear" w:color="auto" w:fill="CCEEFF"/>
          </w:tcPr>
          <w:p>
            <w:pPr>
              <w:spacing w:after="0"/>
              <w:rPr>
                <w:sz w:val="18"/>
                <w:szCs w:val="18"/>
                <w:color w:val="auto"/>
              </w:rPr>
            </w:pPr>
          </w:p>
        </w:tc>
        <w:tc>
          <w:tcPr>
            <w:tcW w:w="20" w:type="dxa"/>
            <w:vAlign w:val="bottom"/>
            <w:tcBorders>
              <w:bottom w:val="single" w:sz="8" w:color="auto"/>
            </w:tcBorders>
            <w:shd w:val="clear" w:color="auto" w:fill="000000"/>
          </w:tcPr>
          <w:p>
            <w:pPr>
              <w:spacing w:after="0"/>
              <w:rPr>
                <w:sz w:val="18"/>
                <w:szCs w:val="18"/>
                <w:color w:val="auto"/>
              </w:rPr>
            </w:pPr>
          </w:p>
        </w:tc>
        <w:tc>
          <w:tcPr>
            <w:tcW w:w="0" w:type="dxa"/>
            <w:vAlign w:val="bottom"/>
          </w:tcPr>
          <w:p>
            <w:pPr>
              <w:spacing w:after="0"/>
              <w:rPr>
                <w:sz w:val="1"/>
                <w:szCs w:val="1"/>
                <w:color w:val="auto"/>
              </w:rPr>
            </w:pPr>
          </w:p>
        </w:tc>
      </w:tr>
      <w:tr>
        <w:trPr>
          <w:trHeight w:val="189"/>
        </w:trPr>
        <w:tc>
          <w:tcPr>
            <w:tcW w:w="20" w:type="dxa"/>
            <w:vAlign w:val="bottom"/>
            <w:shd w:val="clear" w:color="auto" w:fill="000000"/>
          </w:tcPr>
          <w:p>
            <w:pPr>
              <w:spacing w:after="0"/>
              <w:rPr>
                <w:sz w:val="16"/>
                <w:szCs w:val="16"/>
                <w:color w:val="auto"/>
              </w:rPr>
            </w:pPr>
          </w:p>
        </w:tc>
        <w:tc>
          <w:tcPr>
            <w:tcW w:w="2520" w:type="dxa"/>
            <w:vAlign w:val="bottom"/>
            <w:tcBorders>
              <w:left w:val="single" w:sz="8" w:color="auto"/>
            </w:tcBorders>
          </w:tcPr>
          <w:p>
            <w:pPr>
              <w:ind w:left="100"/>
              <w:spacing w:after="0"/>
              <w:rPr>
                <w:sz w:val="20"/>
                <w:szCs w:val="20"/>
                <w:color w:val="auto"/>
              </w:rPr>
            </w:pPr>
            <w:r>
              <w:rPr>
                <w:rFonts w:ascii="Arial" w:cs="Arial" w:eastAsia="Arial" w:hAnsi="Arial"/>
                <w:sz w:val="16"/>
                <w:szCs w:val="16"/>
                <w:color w:val="auto"/>
              </w:rPr>
              <w:t>Collateralized debt obligations</w:t>
            </w:r>
          </w:p>
        </w:tc>
        <w:tc>
          <w:tcPr>
            <w:tcW w:w="740" w:type="dxa"/>
            <w:vAlign w:val="bottom"/>
          </w:tcPr>
          <w:p>
            <w:pPr>
              <w:jc w:val="right"/>
              <w:ind w:right="3"/>
              <w:spacing w:after="0"/>
              <w:rPr>
                <w:sz w:val="20"/>
                <w:szCs w:val="20"/>
                <w:color w:val="auto"/>
              </w:rPr>
            </w:pPr>
            <w:r>
              <w:rPr>
                <w:rFonts w:ascii="Arial" w:cs="Arial" w:eastAsia="Arial" w:hAnsi="Arial"/>
                <w:sz w:val="16"/>
                <w:szCs w:val="16"/>
                <w:color w:val="auto"/>
              </w:rPr>
              <w:t>45.9</w:t>
            </w:r>
          </w:p>
        </w:tc>
        <w:tc>
          <w:tcPr>
            <w:tcW w:w="180" w:type="dxa"/>
            <w:vAlign w:val="bottom"/>
            <w:tcBorders>
              <w:right w:val="single" w:sz="8" w:color="auto"/>
            </w:tcBorders>
          </w:tcPr>
          <w:p>
            <w:pPr>
              <w:spacing w:after="0"/>
              <w:rPr>
                <w:sz w:val="16"/>
                <w:szCs w:val="16"/>
                <w:color w:val="auto"/>
              </w:rPr>
            </w:pPr>
          </w:p>
        </w:tc>
        <w:tc>
          <w:tcPr>
            <w:tcW w:w="1220" w:type="dxa"/>
            <w:vAlign w:val="bottom"/>
            <w:tcBorders>
              <w:right w:val="single" w:sz="8" w:color="auto"/>
            </w:tcBorders>
            <w:gridSpan w:val="2"/>
          </w:tcPr>
          <w:p>
            <w:pPr>
              <w:spacing w:after="0"/>
              <w:rPr>
                <w:sz w:val="20"/>
                <w:szCs w:val="20"/>
                <w:color w:val="auto"/>
              </w:rPr>
            </w:pPr>
            <w:r>
              <w:rPr>
                <w:rFonts w:ascii="Arial" w:cs="Arial" w:eastAsia="Arial" w:hAnsi="Arial"/>
                <w:sz w:val="16"/>
                <w:szCs w:val="16"/>
                <w:color w:val="auto"/>
              </w:rPr>
              <w:t>Discounted</w:t>
            </w:r>
          </w:p>
        </w:tc>
        <w:tc>
          <w:tcPr>
            <w:tcW w:w="1880" w:type="dxa"/>
            <w:vAlign w:val="bottom"/>
            <w:gridSpan w:val="2"/>
          </w:tcPr>
          <w:p>
            <w:pPr>
              <w:spacing w:after="0"/>
              <w:rPr>
                <w:sz w:val="20"/>
                <w:szCs w:val="20"/>
                <w:color w:val="auto"/>
              </w:rPr>
            </w:pPr>
            <w:r>
              <w:rPr>
                <w:rFonts w:ascii="Arial" w:cs="Arial" w:eastAsia="Arial" w:hAnsi="Arial"/>
                <w:sz w:val="16"/>
                <w:szCs w:val="16"/>
                <w:color w:val="auto"/>
              </w:rPr>
              <w:t>Discount rate (1)</w:t>
            </w:r>
          </w:p>
        </w:tc>
        <w:tc>
          <w:tcPr>
            <w:tcW w:w="520" w:type="dxa"/>
            <w:vAlign w:val="bottom"/>
          </w:tcPr>
          <w:p>
            <w:pPr>
              <w:jc w:val="right"/>
              <w:spacing w:after="0"/>
              <w:rPr>
                <w:sz w:val="20"/>
                <w:szCs w:val="20"/>
                <w:color w:val="auto"/>
              </w:rPr>
            </w:pPr>
            <w:r>
              <w:rPr>
                <w:rFonts w:ascii="Arial" w:cs="Arial" w:eastAsia="Arial" w:hAnsi="Arial"/>
                <w:sz w:val="16"/>
                <w:szCs w:val="16"/>
                <w:color w:val="auto"/>
              </w:rPr>
              <w:t>3.0 %</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6"/>
                <w:szCs w:val="16"/>
                <w:color w:val="auto"/>
              </w:rPr>
            </w:pPr>
          </w:p>
        </w:tc>
        <w:tc>
          <w:tcPr>
            <w:tcW w:w="1500" w:type="dxa"/>
            <w:vAlign w:val="bottom"/>
          </w:tcPr>
          <w:p>
            <w:pPr>
              <w:jc w:val="right"/>
              <w:ind w:right="139"/>
              <w:spacing w:after="0"/>
              <w:rPr>
                <w:sz w:val="20"/>
                <w:szCs w:val="20"/>
                <w:color w:val="auto"/>
              </w:rPr>
            </w:pPr>
            <w:r>
              <w:rPr>
                <w:rFonts w:ascii="Arial" w:cs="Arial" w:eastAsia="Arial" w:hAnsi="Arial"/>
                <w:sz w:val="16"/>
                <w:szCs w:val="16"/>
                <w:color w:val="auto"/>
              </w:rPr>
              <w:t>5.3 %</w:t>
            </w:r>
          </w:p>
        </w:tc>
        <w:tc>
          <w:tcPr>
            <w:tcW w:w="960" w:type="dxa"/>
            <w:vAlign w:val="bottom"/>
            <w:gridSpan w:val="3"/>
          </w:tcPr>
          <w:p>
            <w:pPr>
              <w:jc w:val="right"/>
              <w:ind w:right="120"/>
              <w:spacing w:after="0"/>
              <w:rPr>
                <w:sz w:val="20"/>
                <w:szCs w:val="20"/>
                <w:color w:val="auto"/>
              </w:rPr>
            </w:pPr>
            <w:r>
              <w:rPr>
                <w:rFonts w:ascii="Arial" w:cs="Arial" w:eastAsia="Arial" w:hAnsi="Arial"/>
                <w:sz w:val="16"/>
                <w:szCs w:val="16"/>
                <w:color w:val="auto"/>
              </w:rPr>
              <w:t>4.0 %</w:t>
            </w:r>
          </w:p>
        </w:tc>
        <w:tc>
          <w:tcPr>
            <w:tcW w:w="20" w:type="dxa"/>
            <w:vAlign w:val="bottom"/>
            <w:shd w:val="clear" w:color="auto" w:fill="000000"/>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20" w:type="dxa"/>
            <w:vAlign w:val="bottom"/>
            <w:tcBorders>
              <w:bottom w:val="single" w:sz="8" w:color="auto"/>
            </w:tcBorders>
            <w:shd w:val="clear" w:color="auto" w:fill="000000"/>
          </w:tcPr>
          <w:p>
            <w:pPr>
              <w:spacing w:after="0"/>
              <w:rPr>
                <w:sz w:val="18"/>
                <w:szCs w:val="18"/>
                <w:color w:val="auto"/>
              </w:rPr>
            </w:pPr>
          </w:p>
        </w:tc>
        <w:tc>
          <w:tcPr>
            <w:tcW w:w="2520" w:type="dxa"/>
            <w:vAlign w:val="bottom"/>
            <w:tcBorders>
              <w:left w:val="single" w:sz="8" w:color="auto"/>
              <w:bottom w:val="single" w:sz="8" w:color="CCEEFF"/>
            </w:tcBorders>
          </w:tcPr>
          <w:p>
            <w:pPr>
              <w:spacing w:after="0"/>
              <w:rPr>
                <w:sz w:val="18"/>
                <w:szCs w:val="18"/>
                <w:color w:val="auto"/>
              </w:rPr>
            </w:pPr>
          </w:p>
        </w:tc>
        <w:tc>
          <w:tcPr>
            <w:tcW w:w="740" w:type="dxa"/>
            <w:vAlign w:val="bottom"/>
            <w:tcBorders>
              <w:bottom w:val="single" w:sz="8" w:color="CCEEFF"/>
            </w:tcBorders>
          </w:tcPr>
          <w:p>
            <w:pPr>
              <w:spacing w:after="0"/>
              <w:rPr>
                <w:sz w:val="18"/>
                <w:szCs w:val="18"/>
                <w:color w:val="auto"/>
              </w:rPr>
            </w:pPr>
          </w:p>
        </w:tc>
        <w:tc>
          <w:tcPr>
            <w:tcW w:w="180" w:type="dxa"/>
            <w:vAlign w:val="bottom"/>
            <w:tcBorders>
              <w:bottom w:val="single" w:sz="8" w:color="CCEEFF"/>
              <w:right w:val="single" w:sz="8" w:color="auto"/>
            </w:tcBorders>
          </w:tcPr>
          <w:p>
            <w:pPr>
              <w:spacing w:after="0"/>
              <w:rPr>
                <w:sz w:val="18"/>
                <w:szCs w:val="18"/>
                <w:color w:val="auto"/>
              </w:rPr>
            </w:pPr>
          </w:p>
        </w:tc>
        <w:tc>
          <w:tcPr>
            <w:tcW w:w="1220" w:type="dxa"/>
            <w:vAlign w:val="bottom"/>
            <w:tcBorders>
              <w:bottom w:val="single" w:sz="8" w:color="CCEEFF"/>
              <w:right w:val="single" w:sz="8" w:color="auto"/>
            </w:tcBorders>
            <w:gridSpan w:val="2"/>
          </w:tcPr>
          <w:p>
            <w:pPr>
              <w:ind w:left="120"/>
              <w:spacing w:after="0"/>
              <w:rPr>
                <w:sz w:val="20"/>
                <w:szCs w:val="20"/>
                <w:color w:val="auto"/>
              </w:rPr>
            </w:pPr>
            <w:r>
              <w:rPr>
                <w:rFonts w:ascii="Arial" w:cs="Arial" w:eastAsia="Arial" w:hAnsi="Arial"/>
                <w:sz w:val="16"/>
                <w:szCs w:val="16"/>
                <w:color w:val="auto"/>
              </w:rPr>
              <w:t>cash flow</w:t>
            </w:r>
          </w:p>
        </w:tc>
        <w:tc>
          <w:tcPr>
            <w:tcW w:w="1740" w:type="dxa"/>
            <w:vAlign w:val="bottom"/>
            <w:tcBorders>
              <w:bottom w:val="single" w:sz="8" w:color="auto"/>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500" w:type="dxa"/>
            <w:vAlign w:val="bottom"/>
            <w:tcBorders>
              <w:bottom w:val="single" w:sz="8" w:color="auto"/>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shd w:val="clear" w:color="auto" w:fill="000000"/>
          </w:tcPr>
          <w:p>
            <w:pPr>
              <w:spacing w:after="0"/>
              <w:rPr>
                <w:sz w:val="18"/>
                <w:szCs w:val="18"/>
                <w:color w:val="auto"/>
              </w:rPr>
            </w:pPr>
          </w:p>
        </w:tc>
        <w:tc>
          <w:tcPr>
            <w:tcW w:w="0" w:type="dxa"/>
            <w:vAlign w:val="bottom"/>
          </w:tcPr>
          <w:p>
            <w:pPr>
              <w:spacing w:after="0"/>
              <w:rPr>
                <w:sz w:val="1"/>
                <w:szCs w:val="1"/>
                <w:color w:val="auto"/>
              </w:rPr>
            </w:pPr>
          </w:p>
        </w:tc>
      </w:tr>
      <w:tr>
        <w:trPr>
          <w:trHeight w:val="199"/>
        </w:trPr>
        <w:tc>
          <w:tcPr>
            <w:tcW w:w="20" w:type="dxa"/>
            <w:vAlign w:val="bottom"/>
            <w:tcBorders>
              <w:bottom w:val="single" w:sz="8" w:color="auto"/>
            </w:tcBorders>
            <w:shd w:val="clear" w:color="auto" w:fill="000000"/>
          </w:tcPr>
          <w:p>
            <w:pPr>
              <w:spacing w:after="0"/>
              <w:rPr>
                <w:sz w:val="17"/>
                <w:szCs w:val="17"/>
                <w:color w:val="auto"/>
              </w:rPr>
            </w:pPr>
          </w:p>
        </w:tc>
        <w:tc>
          <w:tcPr>
            <w:tcW w:w="2520" w:type="dxa"/>
            <w:vAlign w:val="bottom"/>
            <w:tcBorders>
              <w:left w:val="single" w:sz="8" w:color="auto"/>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spacing w:after="0"/>
              <w:rPr>
                <w:sz w:val="17"/>
                <w:szCs w:val="17"/>
                <w:color w:val="auto"/>
              </w:rPr>
            </w:pPr>
          </w:p>
        </w:tc>
        <w:tc>
          <w:tcPr>
            <w:tcW w:w="180" w:type="dxa"/>
            <w:vAlign w:val="bottom"/>
            <w:tcBorders>
              <w:bottom w:val="single" w:sz="8" w:color="auto"/>
              <w:right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spacing w:after="0"/>
              <w:rPr>
                <w:sz w:val="17"/>
                <w:szCs w:val="17"/>
                <w:color w:val="auto"/>
              </w:rPr>
            </w:pPr>
          </w:p>
        </w:tc>
        <w:tc>
          <w:tcPr>
            <w:tcW w:w="220" w:type="dxa"/>
            <w:vAlign w:val="bottom"/>
            <w:tcBorders>
              <w:bottom w:val="single" w:sz="8" w:color="auto"/>
              <w:right w:val="single" w:sz="8" w:color="auto"/>
            </w:tcBorders>
            <w:shd w:val="clear" w:color="auto" w:fill="CCEEFF"/>
          </w:tcPr>
          <w:p>
            <w:pPr>
              <w:spacing w:after="0"/>
              <w:rPr>
                <w:sz w:val="17"/>
                <w:szCs w:val="17"/>
                <w:color w:val="auto"/>
              </w:rPr>
            </w:pPr>
          </w:p>
        </w:tc>
        <w:tc>
          <w:tcPr>
            <w:tcW w:w="1880" w:type="dxa"/>
            <w:vAlign w:val="bottom"/>
            <w:tcBorders>
              <w:bottom w:val="single" w:sz="8" w:color="auto"/>
            </w:tcBorders>
            <w:gridSpan w:val="2"/>
            <w:shd w:val="clear" w:color="auto" w:fill="CCEEFF"/>
          </w:tcPr>
          <w:p>
            <w:pPr>
              <w:spacing w:after="0"/>
              <w:rPr>
                <w:sz w:val="20"/>
                <w:szCs w:val="20"/>
                <w:color w:val="auto"/>
              </w:rPr>
            </w:pPr>
            <w:r>
              <w:rPr>
                <w:rFonts w:ascii="Arial" w:cs="Arial" w:eastAsia="Arial" w:hAnsi="Arial"/>
                <w:sz w:val="16"/>
                <w:szCs w:val="16"/>
                <w:color w:val="auto"/>
              </w:rPr>
              <w:t>Illiquidity premium</w:t>
            </w:r>
          </w:p>
        </w:tc>
        <w:tc>
          <w:tcPr>
            <w:tcW w:w="70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6"/>
                <w:szCs w:val="16"/>
                <w:color w:val="auto"/>
              </w:rPr>
              <w:t>0 bps-</w:t>
            </w:r>
          </w:p>
        </w:tc>
        <w:tc>
          <w:tcPr>
            <w:tcW w:w="200" w:type="dxa"/>
            <w:vAlign w:val="bottom"/>
            <w:tcBorders>
              <w:bottom w:val="single" w:sz="8" w:color="auto"/>
            </w:tcBorders>
            <w:shd w:val="clear" w:color="auto" w:fill="CCEEFF"/>
          </w:tcPr>
          <w:p>
            <w:pPr>
              <w:spacing w:after="0"/>
              <w:rPr>
                <w:sz w:val="17"/>
                <w:szCs w:val="17"/>
                <w:color w:val="auto"/>
              </w:rPr>
            </w:pPr>
          </w:p>
        </w:tc>
        <w:tc>
          <w:tcPr>
            <w:tcW w:w="150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rPr>
              <w:t>385 bps</w:t>
            </w:r>
          </w:p>
        </w:tc>
        <w:tc>
          <w:tcPr>
            <w:tcW w:w="180" w:type="dxa"/>
            <w:vAlign w:val="bottom"/>
            <w:tcBorders>
              <w:bottom w:val="single" w:sz="8" w:color="auto"/>
            </w:tcBorders>
            <w:shd w:val="clear" w:color="auto" w:fill="CCEEFF"/>
          </w:tcPr>
          <w:p>
            <w:pPr>
              <w:spacing w:after="0"/>
              <w:rPr>
                <w:sz w:val="17"/>
                <w:szCs w:val="17"/>
                <w:color w:val="auto"/>
              </w:rPr>
            </w:pPr>
          </w:p>
        </w:tc>
        <w:tc>
          <w:tcPr>
            <w:tcW w:w="780" w:type="dxa"/>
            <w:vAlign w:val="bottom"/>
            <w:tcBorders>
              <w:bottom w:val="single" w:sz="8" w:color="auto"/>
              <w:right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255 bps</w:t>
            </w:r>
          </w:p>
        </w:tc>
        <w:tc>
          <w:tcPr>
            <w:tcW w:w="20" w:type="dxa"/>
            <w:vAlign w:val="bottom"/>
            <w:tcBorders>
              <w:bottom w:val="single" w:sz="8" w:color="auto"/>
            </w:tcBorders>
            <w:shd w:val="clear" w:color="auto" w:fill="000000"/>
          </w:tcPr>
          <w:p>
            <w:pPr>
              <w:spacing w:after="0"/>
              <w:rPr>
                <w:sz w:val="17"/>
                <w:szCs w:val="17"/>
                <w:color w:val="auto"/>
              </w:rPr>
            </w:pPr>
          </w:p>
        </w:tc>
        <w:tc>
          <w:tcPr>
            <w:tcW w:w="0" w:type="dxa"/>
            <w:vAlign w:val="bottom"/>
          </w:tcPr>
          <w:p>
            <w:pPr>
              <w:spacing w:after="0"/>
              <w:rPr>
                <w:sz w:val="1"/>
                <w:szCs w:val="1"/>
                <w:color w:val="auto"/>
              </w:rPr>
            </w:pPr>
          </w:p>
        </w:tc>
      </w:tr>
      <w:tr>
        <w:trPr>
          <w:trHeight w:val="186"/>
        </w:trPr>
        <w:tc>
          <w:tcPr>
            <w:tcW w:w="20" w:type="dxa"/>
            <w:vAlign w:val="bottom"/>
            <w:shd w:val="clear" w:color="auto" w:fill="000000"/>
          </w:tcPr>
          <w:p>
            <w:pPr>
              <w:spacing w:after="0"/>
              <w:rPr>
                <w:sz w:val="16"/>
                <w:szCs w:val="16"/>
                <w:color w:val="auto"/>
              </w:rPr>
            </w:pPr>
          </w:p>
        </w:tc>
        <w:tc>
          <w:tcPr>
            <w:tcW w:w="2520" w:type="dxa"/>
            <w:vAlign w:val="bottom"/>
            <w:tcBorders>
              <w:left w:val="single" w:sz="8" w:color="auto"/>
            </w:tcBorders>
          </w:tcPr>
          <w:p>
            <w:pPr>
              <w:ind w:left="100"/>
              <w:spacing w:after="0"/>
              <w:rPr>
                <w:sz w:val="20"/>
                <w:szCs w:val="20"/>
                <w:color w:val="auto"/>
              </w:rPr>
            </w:pPr>
            <w:r>
              <w:rPr>
                <w:rFonts w:ascii="Arial" w:cs="Arial" w:eastAsia="Arial" w:hAnsi="Arial"/>
                <w:sz w:val="16"/>
                <w:szCs w:val="16"/>
                <w:color w:val="auto"/>
              </w:rPr>
              <w:t>Other debt obligations</w:t>
            </w:r>
          </w:p>
        </w:tc>
        <w:tc>
          <w:tcPr>
            <w:tcW w:w="740" w:type="dxa"/>
            <w:vAlign w:val="bottom"/>
          </w:tcPr>
          <w:p>
            <w:pPr>
              <w:jc w:val="right"/>
              <w:ind w:right="3"/>
              <w:spacing w:after="0"/>
              <w:rPr>
                <w:sz w:val="20"/>
                <w:szCs w:val="20"/>
                <w:color w:val="auto"/>
              </w:rPr>
            </w:pPr>
            <w:r>
              <w:rPr>
                <w:rFonts w:ascii="Arial" w:cs="Arial" w:eastAsia="Arial" w:hAnsi="Arial"/>
                <w:sz w:val="16"/>
                <w:szCs w:val="16"/>
                <w:color w:val="auto"/>
              </w:rPr>
              <w:t>22.1</w:t>
            </w:r>
          </w:p>
        </w:tc>
        <w:tc>
          <w:tcPr>
            <w:tcW w:w="180" w:type="dxa"/>
            <w:vAlign w:val="bottom"/>
            <w:tcBorders>
              <w:right w:val="single" w:sz="8" w:color="auto"/>
            </w:tcBorders>
          </w:tcPr>
          <w:p>
            <w:pPr>
              <w:spacing w:after="0"/>
              <w:rPr>
                <w:sz w:val="16"/>
                <w:szCs w:val="16"/>
                <w:color w:val="auto"/>
              </w:rPr>
            </w:pPr>
          </w:p>
        </w:tc>
        <w:tc>
          <w:tcPr>
            <w:tcW w:w="1220" w:type="dxa"/>
            <w:vAlign w:val="bottom"/>
            <w:tcBorders>
              <w:right w:val="single" w:sz="8" w:color="auto"/>
            </w:tcBorders>
            <w:gridSpan w:val="2"/>
          </w:tcPr>
          <w:p>
            <w:pPr>
              <w:spacing w:after="0"/>
              <w:rPr>
                <w:sz w:val="20"/>
                <w:szCs w:val="20"/>
                <w:color w:val="auto"/>
              </w:rPr>
            </w:pPr>
            <w:r>
              <w:rPr>
                <w:rFonts w:ascii="Arial" w:cs="Arial" w:eastAsia="Arial" w:hAnsi="Arial"/>
                <w:sz w:val="16"/>
                <w:szCs w:val="16"/>
                <w:color w:val="auto"/>
              </w:rPr>
              <w:t>Discounted</w:t>
            </w:r>
          </w:p>
        </w:tc>
        <w:tc>
          <w:tcPr>
            <w:tcW w:w="1880" w:type="dxa"/>
            <w:vAlign w:val="bottom"/>
            <w:gridSpan w:val="2"/>
          </w:tcPr>
          <w:p>
            <w:pPr>
              <w:spacing w:after="0"/>
              <w:rPr>
                <w:sz w:val="20"/>
                <w:szCs w:val="20"/>
                <w:color w:val="auto"/>
              </w:rPr>
            </w:pPr>
            <w:r>
              <w:rPr>
                <w:rFonts w:ascii="Arial" w:cs="Arial" w:eastAsia="Arial" w:hAnsi="Arial"/>
                <w:sz w:val="16"/>
                <w:szCs w:val="16"/>
                <w:color w:val="auto"/>
              </w:rPr>
              <w:t>Discount rate (1)</w:t>
            </w:r>
          </w:p>
        </w:tc>
        <w:tc>
          <w:tcPr>
            <w:tcW w:w="520" w:type="dxa"/>
            <w:vAlign w:val="bottom"/>
          </w:tcPr>
          <w:p>
            <w:pPr>
              <w:jc w:val="right"/>
              <w:spacing w:after="0"/>
              <w:rPr>
                <w:sz w:val="20"/>
                <w:szCs w:val="20"/>
                <w:color w:val="auto"/>
              </w:rPr>
            </w:pPr>
            <w:r>
              <w:rPr>
                <w:rFonts w:ascii="Arial" w:cs="Arial" w:eastAsia="Arial" w:hAnsi="Arial"/>
                <w:sz w:val="16"/>
                <w:szCs w:val="16"/>
                <w:color w:val="auto"/>
              </w:rPr>
              <w:t>3.0 %</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6"/>
                <w:szCs w:val="16"/>
                <w:color w:val="auto"/>
              </w:rPr>
            </w:pPr>
          </w:p>
        </w:tc>
        <w:tc>
          <w:tcPr>
            <w:tcW w:w="1500" w:type="dxa"/>
            <w:vAlign w:val="bottom"/>
          </w:tcPr>
          <w:p>
            <w:pPr>
              <w:jc w:val="right"/>
              <w:ind w:right="139"/>
              <w:spacing w:after="0"/>
              <w:rPr>
                <w:sz w:val="20"/>
                <w:szCs w:val="20"/>
                <w:color w:val="auto"/>
              </w:rPr>
            </w:pPr>
            <w:r>
              <w:rPr>
                <w:rFonts w:ascii="Arial" w:cs="Arial" w:eastAsia="Arial" w:hAnsi="Arial"/>
                <w:sz w:val="16"/>
                <w:szCs w:val="16"/>
                <w:color w:val="auto"/>
              </w:rPr>
              <w:t>10.0 %</w:t>
            </w:r>
          </w:p>
        </w:tc>
        <w:tc>
          <w:tcPr>
            <w:tcW w:w="960" w:type="dxa"/>
            <w:vAlign w:val="bottom"/>
            <w:gridSpan w:val="3"/>
          </w:tcPr>
          <w:p>
            <w:pPr>
              <w:jc w:val="right"/>
              <w:ind w:right="120"/>
              <w:spacing w:after="0"/>
              <w:rPr>
                <w:sz w:val="20"/>
                <w:szCs w:val="20"/>
                <w:color w:val="auto"/>
              </w:rPr>
            </w:pPr>
            <w:r>
              <w:rPr>
                <w:rFonts w:ascii="Arial" w:cs="Arial" w:eastAsia="Arial" w:hAnsi="Arial"/>
                <w:sz w:val="16"/>
                <w:szCs w:val="16"/>
                <w:color w:val="auto"/>
              </w:rPr>
              <w:t>3.3 %</w:t>
            </w:r>
          </w:p>
        </w:tc>
        <w:tc>
          <w:tcPr>
            <w:tcW w:w="20" w:type="dxa"/>
            <w:vAlign w:val="bottom"/>
            <w:shd w:val="clear" w:color="auto" w:fill="000000"/>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20" w:type="dxa"/>
            <w:vAlign w:val="bottom"/>
            <w:tcBorders>
              <w:bottom w:val="single" w:sz="8" w:color="auto"/>
            </w:tcBorders>
            <w:shd w:val="clear" w:color="auto" w:fill="000000"/>
          </w:tcPr>
          <w:p>
            <w:pPr>
              <w:spacing w:after="0"/>
              <w:rPr>
                <w:sz w:val="18"/>
                <w:szCs w:val="18"/>
                <w:color w:val="auto"/>
              </w:rPr>
            </w:pPr>
          </w:p>
        </w:tc>
        <w:tc>
          <w:tcPr>
            <w:tcW w:w="2520" w:type="dxa"/>
            <w:vAlign w:val="bottom"/>
            <w:tcBorders>
              <w:left w:val="single" w:sz="8" w:color="auto"/>
              <w:bottom w:val="single" w:sz="8" w:color="CCEEFF"/>
            </w:tcBorders>
          </w:tcPr>
          <w:p>
            <w:pPr>
              <w:spacing w:after="0"/>
              <w:rPr>
                <w:sz w:val="18"/>
                <w:szCs w:val="18"/>
                <w:color w:val="auto"/>
              </w:rPr>
            </w:pPr>
          </w:p>
        </w:tc>
        <w:tc>
          <w:tcPr>
            <w:tcW w:w="740" w:type="dxa"/>
            <w:vAlign w:val="bottom"/>
            <w:tcBorders>
              <w:bottom w:val="single" w:sz="8" w:color="CCEEFF"/>
            </w:tcBorders>
          </w:tcPr>
          <w:p>
            <w:pPr>
              <w:spacing w:after="0"/>
              <w:rPr>
                <w:sz w:val="18"/>
                <w:szCs w:val="18"/>
                <w:color w:val="auto"/>
              </w:rPr>
            </w:pPr>
          </w:p>
        </w:tc>
        <w:tc>
          <w:tcPr>
            <w:tcW w:w="180" w:type="dxa"/>
            <w:vAlign w:val="bottom"/>
            <w:tcBorders>
              <w:bottom w:val="single" w:sz="8" w:color="CCEEFF"/>
              <w:right w:val="single" w:sz="8" w:color="auto"/>
            </w:tcBorders>
          </w:tcPr>
          <w:p>
            <w:pPr>
              <w:spacing w:after="0"/>
              <w:rPr>
                <w:sz w:val="18"/>
                <w:szCs w:val="18"/>
                <w:color w:val="auto"/>
              </w:rPr>
            </w:pPr>
          </w:p>
        </w:tc>
        <w:tc>
          <w:tcPr>
            <w:tcW w:w="1220" w:type="dxa"/>
            <w:vAlign w:val="bottom"/>
            <w:tcBorders>
              <w:bottom w:val="single" w:sz="8" w:color="CCEEFF"/>
              <w:right w:val="single" w:sz="8" w:color="auto"/>
            </w:tcBorders>
            <w:gridSpan w:val="2"/>
          </w:tcPr>
          <w:p>
            <w:pPr>
              <w:ind w:left="120"/>
              <w:spacing w:after="0"/>
              <w:rPr>
                <w:sz w:val="20"/>
                <w:szCs w:val="20"/>
                <w:color w:val="auto"/>
              </w:rPr>
            </w:pPr>
            <w:r>
              <w:rPr>
                <w:rFonts w:ascii="Arial" w:cs="Arial" w:eastAsia="Arial" w:hAnsi="Arial"/>
                <w:sz w:val="16"/>
                <w:szCs w:val="16"/>
                <w:color w:val="auto"/>
              </w:rPr>
              <w:t>cash flow</w:t>
            </w:r>
          </w:p>
        </w:tc>
        <w:tc>
          <w:tcPr>
            <w:tcW w:w="1740" w:type="dxa"/>
            <w:vAlign w:val="bottom"/>
            <w:tcBorders>
              <w:bottom w:val="single" w:sz="8" w:color="auto"/>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500" w:type="dxa"/>
            <w:vAlign w:val="bottom"/>
            <w:tcBorders>
              <w:bottom w:val="single" w:sz="8" w:color="auto"/>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shd w:val="clear" w:color="auto" w:fill="000000"/>
          </w:tcPr>
          <w:p>
            <w:pPr>
              <w:spacing w:after="0"/>
              <w:rPr>
                <w:sz w:val="18"/>
                <w:szCs w:val="18"/>
                <w:color w:val="auto"/>
              </w:rPr>
            </w:pPr>
          </w:p>
        </w:tc>
        <w:tc>
          <w:tcPr>
            <w:tcW w:w="0" w:type="dxa"/>
            <w:vAlign w:val="bottom"/>
          </w:tcPr>
          <w:p>
            <w:pPr>
              <w:spacing w:after="0"/>
              <w:rPr>
                <w:sz w:val="1"/>
                <w:szCs w:val="1"/>
                <w:color w:val="auto"/>
              </w:rPr>
            </w:pPr>
          </w:p>
        </w:tc>
      </w:tr>
      <w:tr>
        <w:trPr>
          <w:trHeight w:val="199"/>
        </w:trPr>
        <w:tc>
          <w:tcPr>
            <w:tcW w:w="20" w:type="dxa"/>
            <w:vAlign w:val="bottom"/>
            <w:tcBorders>
              <w:bottom w:val="single" w:sz="8" w:color="auto"/>
            </w:tcBorders>
            <w:shd w:val="clear" w:color="auto" w:fill="000000"/>
          </w:tcPr>
          <w:p>
            <w:pPr>
              <w:spacing w:after="0"/>
              <w:rPr>
                <w:sz w:val="17"/>
                <w:szCs w:val="17"/>
                <w:color w:val="auto"/>
              </w:rPr>
            </w:pPr>
          </w:p>
        </w:tc>
        <w:tc>
          <w:tcPr>
            <w:tcW w:w="2520" w:type="dxa"/>
            <w:vAlign w:val="bottom"/>
            <w:tcBorders>
              <w:left w:val="single" w:sz="8" w:color="auto"/>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spacing w:after="0"/>
              <w:rPr>
                <w:sz w:val="17"/>
                <w:szCs w:val="17"/>
                <w:color w:val="auto"/>
              </w:rPr>
            </w:pPr>
          </w:p>
        </w:tc>
        <w:tc>
          <w:tcPr>
            <w:tcW w:w="180" w:type="dxa"/>
            <w:vAlign w:val="bottom"/>
            <w:tcBorders>
              <w:bottom w:val="single" w:sz="8" w:color="auto"/>
              <w:right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spacing w:after="0"/>
              <w:rPr>
                <w:sz w:val="17"/>
                <w:szCs w:val="17"/>
                <w:color w:val="auto"/>
              </w:rPr>
            </w:pPr>
          </w:p>
        </w:tc>
        <w:tc>
          <w:tcPr>
            <w:tcW w:w="220" w:type="dxa"/>
            <w:vAlign w:val="bottom"/>
            <w:tcBorders>
              <w:bottom w:val="single" w:sz="8" w:color="auto"/>
              <w:right w:val="single" w:sz="8" w:color="auto"/>
            </w:tcBorders>
            <w:shd w:val="clear" w:color="auto" w:fill="CCEEFF"/>
          </w:tcPr>
          <w:p>
            <w:pPr>
              <w:spacing w:after="0"/>
              <w:rPr>
                <w:sz w:val="17"/>
                <w:szCs w:val="17"/>
                <w:color w:val="auto"/>
              </w:rPr>
            </w:pPr>
          </w:p>
        </w:tc>
        <w:tc>
          <w:tcPr>
            <w:tcW w:w="1880" w:type="dxa"/>
            <w:vAlign w:val="bottom"/>
            <w:tcBorders>
              <w:bottom w:val="single" w:sz="8" w:color="auto"/>
            </w:tcBorders>
            <w:gridSpan w:val="2"/>
            <w:shd w:val="clear" w:color="auto" w:fill="CCEEFF"/>
          </w:tcPr>
          <w:p>
            <w:pPr>
              <w:spacing w:after="0"/>
              <w:rPr>
                <w:sz w:val="20"/>
                <w:szCs w:val="20"/>
                <w:color w:val="auto"/>
              </w:rPr>
            </w:pPr>
            <w:r>
              <w:rPr>
                <w:rFonts w:ascii="Arial" w:cs="Arial" w:eastAsia="Arial" w:hAnsi="Arial"/>
                <w:sz w:val="16"/>
                <w:szCs w:val="16"/>
                <w:color w:val="auto"/>
              </w:rPr>
              <w:t>Illiquidity premium</w:t>
            </w:r>
          </w:p>
        </w:tc>
        <w:tc>
          <w:tcPr>
            <w:tcW w:w="70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6"/>
                <w:szCs w:val="16"/>
                <w:color w:val="auto"/>
                <w:w w:val="96"/>
              </w:rPr>
              <w:t>225 bps-</w:t>
            </w:r>
          </w:p>
        </w:tc>
        <w:tc>
          <w:tcPr>
            <w:tcW w:w="200" w:type="dxa"/>
            <w:vAlign w:val="bottom"/>
            <w:tcBorders>
              <w:bottom w:val="single" w:sz="8" w:color="auto"/>
            </w:tcBorders>
            <w:shd w:val="clear" w:color="auto" w:fill="CCEEFF"/>
          </w:tcPr>
          <w:p>
            <w:pPr>
              <w:spacing w:after="0"/>
              <w:rPr>
                <w:sz w:val="17"/>
                <w:szCs w:val="17"/>
                <w:color w:val="auto"/>
              </w:rPr>
            </w:pPr>
          </w:p>
        </w:tc>
        <w:tc>
          <w:tcPr>
            <w:tcW w:w="150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rPr>
              <w:t>500 bps</w:t>
            </w:r>
          </w:p>
        </w:tc>
        <w:tc>
          <w:tcPr>
            <w:tcW w:w="180" w:type="dxa"/>
            <w:vAlign w:val="bottom"/>
            <w:tcBorders>
              <w:bottom w:val="single" w:sz="8" w:color="auto"/>
            </w:tcBorders>
            <w:shd w:val="clear" w:color="auto" w:fill="CCEEFF"/>
          </w:tcPr>
          <w:p>
            <w:pPr>
              <w:spacing w:after="0"/>
              <w:rPr>
                <w:sz w:val="17"/>
                <w:szCs w:val="17"/>
                <w:color w:val="auto"/>
              </w:rPr>
            </w:pPr>
          </w:p>
        </w:tc>
        <w:tc>
          <w:tcPr>
            <w:tcW w:w="780" w:type="dxa"/>
            <w:vAlign w:val="bottom"/>
            <w:tcBorders>
              <w:bottom w:val="single" w:sz="8" w:color="auto"/>
              <w:right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237 bps</w:t>
            </w:r>
          </w:p>
        </w:tc>
        <w:tc>
          <w:tcPr>
            <w:tcW w:w="20" w:type="dxa"/>
            <w:vAlign w:val="bottom"/>
            <w:tcBorders>
              <w:bottom w:val="single" w:sz="8" w:color="auto"/>
            </w:tcBorders>
            <w:shd w:val="clear" w:color="auto" w:fill="000000"/>
          </w:tcPr>
          <w:p>
            <w:pPr>
              <w:spacing w:after="0"/>
              <w:rPr>
                <w:sz w:val="17"/>
                <w:szCs w:val="17"/>
                <w:color w:val="auto"/>
              </w:rPr>
            </w:pPr>
          </w:p>
        </w:tc>
        <w:tc>
          <w:tcPr>
            <w:tcW w:w="0" w:type="dxa"/>
            <w:vAlign w:val="bottom"/>
          </w:tcPr>
          <w:p>
            <w:pPr>
              <w:spacing w:after="0"/>
              <w:rPr>
                <w:sz w:val="1"/>
                <w:szCs w:val="1"/>
                <w:color w:val="auto"/>
              </w:rPr>
            </w:pPr>
          </w:p>
        </w:tc>
      </w:tr>
      <w:tr>
        <w:trPr>
          <w:trHeight w:val="186"/>
        </w:trPr>
        <w:tc>
          <w:tcPr>
            <w:tcW w:w="20" w:type="dxa"/>
            <w:vAlign w:val="bottom"/>
            <w:shd w:val="clear" w:color="auto" w:fill="000000"/>
          </w:tcPr>
          <w:p>
            <w:pPr>
              <w:spacing w:after="0"/>
              <w:rPr>
                <w:sz w:val="16"/>
                <w:szCs w:val="16"/>
                <w:color w:val="auto"/>
              </w:rPr>
            </w:pPr>
          </w:p>
        </w:tc>
        <w:tc>
          <w:tcPr>
            <w:tcW w:w="2520" w:type="dxa"/>
            <w:vAlign w:val="bottom"/>
            <w:tcBorders>
              <w:left w:val="single" w:sz="8" w:color="auto"/>
            </w:tcBorders>
          </w:tcPr>
          <w:p>
            <w:pPr>
              <w:spacing w:after="0"/>
              <w:rPr>
                <w:sz w:val="20"/>
                <w:szCs w:val="20"/>
                <w:color w:val="auto"/>
              </w:rPr>
            </w:pPr>
            <w:r>
              <w:rPr>
                <w:rFonts w:ascii="Arial" w:cs="Arial" w:eastAsia="Arial" w:hAnsi="Arial"/>
                <w:sz w:val="16"/>
                <w:szCs w:val="16"/>
                <w:color w:val="auto"/>
              </w:rPr>
              <w:t>Fixed maturities, trading</w:t>
            </w:r>
          </w:p>
        </w:tc>
        <w:tc>
          <w:tcPr>
            <w:tcW w:w="740" w:type="dxa"/>
            <w:vAlign w:val="bottom"/>
          </w:tcPr>
          <w:p>
            <w:pPr>
              <w:jc w:val="right"/>
              <w:ind w:right="3"/>
              <w:spacing w:after="0"/>
              <w:rPr>
                <w:sz w:val="20"/>
                <w:szCs w:val="20"/>
                <w:color w:val="auto"/>
              </w:rPr>
            </w:pPr>
            <w:r>
              <w:rPr>
                <w:rFonts w:ascii="Arial" w:cs="Arial" w:eastAsia="Arial" w:hAnsi="Arial"/>
                <w:sz w:val="16"/>
                <w:szCs w:val="16"/>
                <w:color w:val="auto"/>
              </w:rPr>
              <w:t>4.9</w:t>
            </w:r>
          </w:p>
        </w:tc>
        <w:tc>
          <w:tcPr>
            <w:tcW w:w="180" w:type="dxa"/>
            <w:vAlign w:val="bottom"/>
            <w:tcBorders>
              <w:right w:val="single" w:sz="8" w:color="auto"/>
            </w:tcBorders>
          </w:tcPr>
          <w:p>
            <w:pPr>
              <w:spacing w:after="0"/>
              <w:rPr>
                <w:sz w:val="16"/>
                <w:szCs w:val="16"/>
                <w:color w:val="auto"/>
              </w:rPr>
            </w:pPr>
          </w:p>
        </w:tc>
        <w:tc>
          <w:tcPr>
            <w:tcW w:w="1220" w:type="dxa"/>
            <w:vAlign w:val="bottom"/>
            <w:tcBorders>
              <w:right w:val="single" w:sz="8" w:color="auto"/>
            </w:tcBorders>
            <w:gridSpan w:val="2"/>
          </w:tcPr>
          <w:p>
            <w:pPr>
              <w:spacing w:after="0"/>
              <w:rPr>
                <w:sz w:val="20"/>
                <w:szCs w:val="20"/>
                <w:color w:val="auto"/>
              </w:rPr>
            </w:pPr>
            <w:r>
              <w:rPr>
                <w:rFonts w:ascii="Arial" w:cs="Arial" w:eastAsia="Arial" w:hAnsi="Arial"/>
                <w:sz w:val="16"/>
                <w:szCs w:val="16"/>
                <w:color w:val="auto"/>
              </w:rPr>
              <w:t>Discounted</w:t>
            </w:r>
          </w:p>
        </w:tc>
        <w:tc>
          <w:tcPr>
            <w:tcW w:w="1880" w:type="dxa"/>
            <w:vAlign w:val="bottom"/>
            <w:gridSpan w:val="2"/>
          </w:tcPr>
          <w:p>
            <w:pPr>
              <w:spacing w:after="0"/>
              <w:rPr>
                <w:sz w:val="20"/>
                <w:szCs w:val="20"/>
                <w:color w:val="auto"/>
              </w:rPr>
            </w:pPr>
            <w:r>
              <w:rPr>
                <w:rFonts w:ascii="Arial" w:cs="Arial" w:eastAsia="Arial" w:hAnsi="Arial"/>
                <w:sz w:val="16"/>
                <w:szCs w:val="16"/>
                <w:color w:val="auto"/>
              </w:rPr>
              <w:t>Discount rate (1)</w:t>
            </w:r>
          </w:p>
        </w:tc>
        <w:tc>
          <w:tcPr>
            <w:tcW w:w="5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500" w:type="dxa"/>
            <w:vAlign w:val="bottom"/>
          </w:tcPr>
          <w:p>
            <w:pPr>
              <w:jc w:val="right"/>
              <w:ind w:right="139"/>
              <w:spacing w:after="0"/>
              <w:rPr>
                <w:sz w:val="20"/>
                <w:szCs w:val="20"/>
                <w:color w:val="auto"/>
              </w:rPr>
            </w:pPr>
            <w:r>
              <w:rPr>
                <w:rFonts w:ascii="Arial" w:cs="Arial" w:eastAsia="Arial" w:hAnsi="Arial"/>
                <w:sz w:val="16"/>
                <w:szCs w:val="16"/>
                <w:color w:val="auto"/>
              </w:rPr>
              <w:t>7.5 %</w:t>
            </w:r>
          </w:p>
        </w:tc>
        <w:tc>
          <w:tcPr>
            <w:tcW w:w="960" w:type="dxa"/>
            <w:vAlign w:val="bottom"/>
            <w:gridSpan w:val="3"/>
          </w:tcPr>
          <w:p>
            <w:pPr>
              <w:jc w:val="right"/>
              <w:ind w:right="120"/>
              <w:spacing w:after="0"/>
              <w:rPr>
                <w:sz w:val="20"/>
                <w:szCs w:val="20"/>
                <w:color w:val="auto"/>
              </w:rPr>
            </w:pPr>
            <w:r>
              <w:rPr>
                <w:rFonts w:ascii="Arial" w:cs="Arial" w:eastAsia="Arial" w:hAnsi="Arial"/>
                <w:sz w:val="16"/>
                <w:szCs w:val="16"/>
                <w:color w:val="auto"/>
              </w:rPr>
              <w:t>7.5 %</w:t>
            </w:r>
          </w:p>
        </w:tc>
        <w:tc>
          <w:tcPr>
            <w:tcW w:w="20" w:type="dxa"/>
            <w:vAlign w:val="bottom"/>
            <w:shd w:val="clear" w:color="auto" w:fill="000000"/>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20" w:type="dxa"/>
            <w:vAlign w:val="bottom"/>
            <w:tcBorders>
              <w:bottom w:val="single" w:sz="8" w:color="auto"/>
            </w:tcBorders>
            <w:shd w:val="clear" w:color="auto" w:fill="000000"/>
          </w:tcPr>
          <w:p>
            <w:pPr>
              <w:spacing w:after="0"/>
              <w:rPr>
                <w:sz w:val="18"/>
                <w:szCs w:val="18"/>
                <w:color w:val="auto"/>
              </w:rPr>
            </w:pPr>
          </w:p>
        </w:tc>
        <w:tc>
          <w:tcPr>
            <w:tcW w:w="2520" w:type="dxa"/>
            <w:vAlign w:val="bottom"/>
            <w:tcBorders>
              <w:left w:val="single" w:sz="8" w:color="auto"/>
              <w:bottom w:val="single" w:sz="8" w:color="auto"/>
            </w:tcBorders>
          </w:tcPr>
          <w:p>
            <w:pPr>
              <w:spacing w:after="0"/>
              <w:rPr>
                <w:sz w:val="18"/>
                <w:szCs w:val="18"/>
                <w:color w:val="auto"/>
              </w:rPr>
            </w:pPr>
          </w:p>
        </w:tc>
        <w:tc>
          <w:tcPr>
            <w:tcW w:w="740" w:type="dxa"/>
            <w:vAlign w:val="bottom"/>
            <w:tcBorders>
              <w:bottom w:val="single" w:sz="8" w:color="auto"/>
            </w:tcBorders>
          </w:tcPr>
          <w:p>
            <w:pPr>
              <w:spacing w:after="0"/>
              <w:rPr>
                <w:sz w:val="18"/>
                <w:szCs w:val="18"/>
                <w:color w:val="auto"/>
              </w:rPr>
            </w:pPr>
          </w:p>
        </w:tc>
        <w:tc>
          <w:tcPr>
            <w:tcW w:w="180" w:type="dxa"/>
            <w:vAlign w:val="bottom"/>
            <w:tcBorders>
              <w:bottom w:val="single" w:sz="8" w:color="auto"/>
              <w:right w:val="single" w:sz="8" w:color="auto"/>
            </w:tcBorders>
          </w:tcPr>
          <w:p>
            <w:pPr>
              <w:spacing w:after="0"/>
              <w:rPr>
                <w:sz w:val="18"/>
                <w:szCs w:val="18"/>
                <w:color w:val="auto"/>
              </w:rPr>
            </w:pPr>
          </w:p>
        </w:tc>
        <w:tc>
          <w:tcPr>
            <w:tcW w:w="1220" w:type="dxa"/>
            <w:vAlign w:val="bottom"/>
            <w:tcBorders>
              <w:bottom w:val="single" w:sz="8" w:color="auto"/>
              <w:right w:val="single" w:sz="8" w:color="auto"/>
            </w:tcBorders>
            <w:gridSpan w:val="2"/>
          </w:tcPr>
          <w:p>
            <w:pPr>
              <w:ind w:left="120"/>
              <w:spacing w:after="0"/>
              <w:rPr>
                <w:sz w:val="20"/>
                <w:szCs w:val="20"/>
                <w:color w:val="auto"/>
              </w:rPr>
            </w:pPr>
            <w:r>
              <w:rPr>
                <w:rFonts w:ascii="Arial" w:cs="Arial" w:eastAsia="Arial" w:hAnsi="Arial"/>
                <w:sz w:val="16"/>
                <w:szCs w:val="16"/>
                <w:color w:val="auto"/>
              </w:rPr>
              <w:t>cash flow</w:t>
            </w:r>
          </w:p>
        </w:tc>
        <w:tc>
          <w:tcPr>
            <w:tcW w:w="1740" w:type="dxa"/>
            <w:vAlign w:val="bottom"/>
            <w:tcBorders>
              <w:bottom w:val="single" w:sz="8" w:color="auto"/>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500" w:type="dxa"/>
            <w:vAlign w:val="bottom"/>
            <w:tcBorders>
              <w:bottom w:val="single" w:sz="8" w:color="auto"/>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shd w:val="clear" w:color="auto" w:fill="000000"/>
          </w:tcPr>
          <w:p>
            <w:pPr>
              <w:spacing w:after="0"/>
              <w:rPr>
                <w:sz w:val="18"/>
                <w:szCs w:val="18"/>
                <w:color w:val="auto"/>
              </w:rPr>
            </w:pPr>
          </w:p>
        </w:tc>
        <w:tc>
          <w:tcPr>
            <w:tcW w:w="0" w:type="dxa"/>
            <w:vAlign w:val="bottom"/>
          </w:tcPr>
          <w:p>
            <w:pPr>
              <w:spacing w:after="0"/>
              <w:rPr>
                <w:sz w:val="1"/>
                <w:szCs w:val="1"/>
                <w:color w:val="auto"/>
              </w:rPr>
            </w:pPr>
          </w:p>
        </w:tc>
      </w:tr>
      <w:tr>
        <w:trPr>
          <w:trHeight w:val="189"/>
        </w:trPr>
        <w:tc>
          <w:tcPr>
            <w:tcW w:w="20" w:type="dxa"/>
            <w:vAlign w:val="bottom"/>
            <w:shd w:val="clear" w:color="auto" w:fill="000000"/>
          </w:tcPr>
          <w:p>
            <w:pPr>
              <w:spacing w:after="0"/>
              <w:rPr>
                <w:sz w:val="16"/>
                <w:szCs w:val="16"/>
                <w:color w:val="auto"/>
              </w:rPr>
            </w:pPr>
          </w:p>
        </w:tc>
        <w:tc>
          <w:tcPr>
            <w:tcW w:w="2520" w:type="dxa"/>
            <w:vAlign w:val="bottom"/>
            <w:tcBorders>
              <w:left w:val="single" w:sz="8" w:color="auto"/>
            </w:tcBorders>
            <w:shd w:val="clear" w:color="auto" w:fill="CCEEFF"/>
          </w:tcPr>
          <w:p>
            <w:pPr>
              <w:spacing w:after="0"/>
              <w:rPr>
                <w:sz w:val="20"/>
                <w:szCs w:val="20"/>
                <w:color w:val="auto"/>
              </w:rPr>
            </w:pPr>
            <w:r>
              <w:rPr>
                <w:rFonts w:ascii="Arial" w:cs="Arial" w:eastAsia="Arial" w:hAnsi="Arial"/>
                <w:sz w:val="16"/>
                <w:szCs w:val="16"/>
                <w:color w:val="auto"/>
              </w:rPr>
              <w:t>Other investments</w:t>
            </w:r>
          </w:p>
        </w:tc>
        <w:tc>
          <w:tcPr>
            <w:tcW w:w="740" w:type="dxa"/>
            <w:vAlign w:val="bottom"/>
            <w:shd w:val="clear" w:color="auto" w:fill="CCEEFF"/>
          </w:tcPr>
          <w:p>
            <w:pPr>
              <w:jc w:val="right"/>
              <w:ind w:right="3"/>
              <w:spacing w:after="0"/>
              <w:rPr>
                <w:sz w:val="20"/>
                <w:szCs w:val="20"/>
                <w:color w:val="auto"/>
              </w:rPr>
            </w:pPr>
            <w:r>
              <w:rPr>
                <w:rFonts w:ascii="Arial" w:cs="Arial" w:eastAsia="Arial" w:hAnsi="Arial"/>
                <w:sz w:val="16"/>
                <w:szCs w:val="16"/>
                <w:color w:val="auto"/>
              </w:rPr>
              <w:t>0.6</w:t>
            </w:r>
          </w:p>
        </w:tc>
        <w:tc>
          <w:tcPr>
            <w:tcW w:w="180" w:type="dxa"/>
            <w:vAlign w:val="bottom"/>
            <w:tcBorders>
              <w:right w:val="single" w:sz="8" w:color="auto"/>
            </w:tcBorders>
            <w:shd w:val="clear" w:color="auto" w:fill="CCEEFF"/>
          </w:tcPr>
          <w:p>
            <w:pPr>
              <w:spacing w:after="0"/>
              <w:rPr>
                <w:sz w:val="16"/>
                <w:szCs w:val="16"/>
                <w:color w:val="auto"/>
              </w:rPr>
            </w:pPr>
          </w:p>
        </w:tc>
        <w:tc>
          <w:tcPr>
            <w:tcW w:w="1220" w:type="dxa"/>
            <w:vAlign w:val="bottom"/>
            <w:tcBorders>
              <w:right w:val="single" w:sz="8" w:color="auto"/>
            </w:tcBorders>
            <w:gridSpan w:val="2"/>
            <w:shd w:val="clear" w:color="auto" w:fill="CCEEFF"/>
          </w:tcPr>
          <w:p>
            <w:pPr>
              <w:spacing w:after="0"/>
              <w:rPr>
                <w:sz w:val="20"/>
                <w:szCs w:val="20"/>
                <w:color w:val="auto"/>
              </w:rPr>
            </w:pPr>
            <w:r>
              <w:rPr>
                <w:rFonts w:ascii="Arial" w:cs="Arial" w:eastAsia="Arial" w:hAnsi="Arial"/>
                <w:sz w:val="16"/>
                <w:szCs w:val="16"/>
                <w:color w:val="auto"/>
              </w:rPr>
              <w:t>Market</w:t>
            </w:r>
          </w:p>
        </w:tc>
        <w:tc>
          <w:tcPr>
            <w:tcW w:w="188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Revenue multiples (2)</w:t>
            </w:r>
          </w:p>
        </w:tc>
        <w:tc>
          <w:tcPr>
            <w:tcW w:w="52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6.8 x</w:t>
            </w: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CEEFF"/>
          </w:tcPr>
          <w:p>
            <w:pPr>
              <w:spacing w:after="0"/>
              <w:rPr>
                <w:sz w:val="16"/>
                <w:szCs w:val="16"/>
                <w:color w:val="auto"/>
              </w:rPr>
            </w:pPr>
          </w:p>
        </w:tc>
        <w:tc>
          <w:tcPr>
            <w:tcW w:w="1500" w:type="dxa"/>
            <w:vAlign w:val="bottom"/>
            <w:shd w:val="clear" w:color="auto" w:fill="CCEEFF"/>
          </w:tcPr>
          <w:p>
            <w:pPr>
              <w:jc w:val="right"/>
              <w:ind w:right="199"/>
              <w:spacing w:after="0"/>
              <w:rPr>
                <w:sz w:val="20"/>
                <w:szCs w:val="20"/>
                <w:color w:val="auto"/>
              </w:rPr>
            </w:pPr>
            <w:r>
              <w:rPr>
                <w:rFonts w:ascii="Arial" w:cs="Arial" w:eastAsia="Arial" w:hAnsi="Arial"/>
                <w:sz w:val="16"/>
                <w:szCs w:val="16"/>
                <w:color w:val="auto"/>
              </w:rPr>
              <w:t>9.1 x</w:t>
            </w:r>
          </w:p>
        </w:tc>
        <w:tc>
          <w:tcPr>
            <w:tcW w:w="180" w:type="dxa"/>
            <w:vAlign w:val="bottom"/>
            <w:shd w:val="clear" w:color="auto" w:fill="CCEEFF"/>
          </w:tcPr>
          <w:p>
            <w:pPr>
              <w:spacing w:after="0"/>
              <w:rPr>
                <w:sz w:val="16"/>
                <w:szCs w:val="16"/>
                <w:color w:val="auto"/>
              </w:rPr>
            </w:pPr>
          </w:p>
        </w:tc>
        <w:tc>
          <w:tcPr>
            <w:tcW w:w="780" w:type="dxa"/>
            <w:vAlign w:val="bottom"/>
            <w:tcBorders>
              <w:right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8.0 x</w:t>
            </w:r>
          </w:p>
        </w:tc>
        <w:tc>
          <w:tcPr>
            <w:tcW w:w="20" w:type="dxa"/>
            <w:vAlign w:val="bottom"/>
            <w:shd w:val="clear" w:color="auto" w:fill="000000"/>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20" w:type="dxa"/>
            <w:vAlign w:val="bottom"/>
            <w:shd w:val="clear" w:color="auto" w:fill="000000"/>
          </w:tcPr>
          <w:p>
            <w:pPr>
              <w:spacing w:after="0"/>
              <w:rPr>
                <w:sz w:val="17"/>
                <w:szCs w:val="17"/>
                <w:color w:val="auto"/>
              </w:rPr>
            </w:pPr>
          </w:p>
        </w:tc>
        <w:tc>
          <w:tcPr>
            <w:tcW w:w="2520" w:type="dxa"/>
            <w:vAlign w:val="bottom"/>
            <w:tcBorders>
              <w:left w:val="single" w:sz="8" w:color="auto"/>
            </w:tcBorders>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80" w:type="dxa"/>
            <w:vAlign w:val="bottom"/>
            <w:tcBorders>
              <w:right w:val="single" w:sz="8" w:color="auto"/>
            </w:tcBorders>
            <w:shd w:val="clear" w:color="auto" w:fill="CCEEFF"/>
          </w:tcPr>
          <w:p>
            <w:pPr>
              <w:spacing w:after="0"/>
              <w:rPr>
                <w:sz w:val="17"/>
                <w:szCs w:val="17"/>
                <w:color w:val="auto"/>
              </w:rPr>
            </w:pPr>
          </w:p>
        </w:tc>
        <w:tc>
          <w:tcPr>
            <w:tcW w:w="1220" w:type="dxa"/>
            <w:vAlign w:val="bottom"/>
            <w:tcBorders>
              <w:right w:val="single" w:sz="8" w:color="auto"/>
            </w:tcBorders>
            <w:gridSpan w:val="2"/>
            <w:shd w:val="clear" w:color="auto" w:fill="CCEEFF"/>
          </w:tcPr>
          <w:p>
            <w:pPr>
              <w:ind w:left="120"/>
              <w:spacing w:after="0"/>
              <w:rPr>
                <w:sz w:val="20"/>
                <w:szCs w:val="20"/>
                <w:color w:val="auto"/>
              </w:rPr>
            </w:pPr>
            <w:r>
              <w:rPr>
                <w:rFonts w:ascii="Arial" w:cs="Arial" w:eastAsia="Arial" w:hAnsi="Arial"/>
                <w:sz w:val="16"/>
                <w:szCs w:val="16"/>
                <w:color w:val="auto"/>
              </w:rPr>
              <w:t>comparables</w:t>
            </w:r>
          </w:p>
        </w:tc>
        <w:tc>
          <w:tcPr>
            <w:tcW w:w="17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5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260" w:type="dxa"/>
            <w:vAlign w:val="bottom"/>
            <w:tcBorders>
              <w:right w:val="single" w:sz="8" w:color="CCEEFF"/>
            </w:tcBorders>
            <w:shd w:val="clear" w:color="auto" w:fill="CCEEFF"/>
          </w:tcPr>
          <w:p>
            <w:pPr>
              <w:spacing w:after="0"/>
              <w:rPr>
                <w:sz w:val="17"/>
                <w:szCs w:val="17"/>
                <w:color w:val="auto"/>
              </w:rPr>
            </w:pPr>
          </w:p>
        </w:tc>
        <w:tc>
          <w:tcPr>
            <w:tcW w:w="20" w:type="dxa"/>
            <w:vAlign w:val="bottom"/>
            <w:shd w:val="clear" w:color="auto" w:fill="000000"/>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shd w:val="clear" w:color="auto" w:fill="000000"/>
          </w:tcPr>
          <w:p>
            <w:pPr>
              <w:spacing w:after="0"/>
              <w:rPr>
                <w:sz w:val="17"/>
                <w:szCs w:val="17"/>
                <w:color w:val="auto"/>
              </w:rPr>
            </w:pPr>
          </w:p>
        </w:tc>
        <w:tc>
          <w:tcPr>
            <w:tcW w:w="2520" w:type="dxa"/>
            <w:vAlign w:val="bottom"/>
            <w:tcBorders>
              <w:left w:val="single" w:sz="8" w:color="auto"/>
            </w:tcBorders>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80" w:type="dxa"/>
            <w:vAlign w:val="bottom"/>
            <w:tcBorders>
              <w:right w:val="single" w:sz="8" w:color="auto"/>
            </w:tcBorders>
            <w:shd w:val="clear" w:color="auto" w:fill="CCEEFF"/>
          </w:tcPr>
          <w:p>
            <w:pPr>
              <w:spacing w:after="0"/>
              <w:rPr>
                <w:sz w:val="17"/>
                <w:szCs w:val="17"/>
                <w:color w:val="auto"/>
              </w:rPr>
            </w:pPr>
          </w:p>
        </w:tc>
        <w:tc>
          <w:tcPr>
            <w:tcW w:w="1220" w:type="dxa"/>
            <w:vAlign w:val="bottom"/>
            <w:tcBorders>
              <w:right w:val="single" w:sz="8" w:color="auto"/>
            </w:tcBorders>
            <w:gridSpan w:val="2"/>
            <w:shd w:val="clear" w:color="auto" w:fill="CCEEFF"/>
          </w:tcPr>
          <w:p>
            <w:pPr>
              <w:ind w:left="120"/>
              <w:spacing w:after="0"/>
              <w:rPr>
                <w:sz w:val="20"/>
                <w:szCs w:val="20"/>
                <w:color w:val="auto"/>
              </w:rPr>
            </w:pPr>
            <w:r>
              <w:rPr>
                <w:rFonts w:ascii="Arial" w:cs="Arial" w:eastAsia="Arial" w:hAnsi="Arial"/>
                <w:sz w:val="16"/>
                <w:szCs w:val="16"/>
                <w:color w:val="auto"/>
              </w:rPr>
              <w:t>- other</w:t>
            </w:r>
          </w:p>
        </w:tc>
        <w:tc>
          <w:tcPr>
            <w:tcW w:w="17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5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260" w:type="dxa"/>
            <w:vAlign w:val="bottom"/>
            <w:tcBorders>
              <w:right w:val="single" w:sz="8" w:color="CCEEFF"/>
            </w:tcBorders>
            <w:shd w:val="clear" w:color="auto" w:fill="CCEEFF"/>
          </w:tcPr>
          <w:p>
            <w:pPr>
              <w:spacing w:after="0"/>
              <w:rPr>
                <w:sz w:val="17"/>
                <w:szCs w:val="17"/>
                <w:color w:val="auto"/>
              </w:rPr>
            </w:pPr>
          </w:p>
        </w:tc>
        <w:tc>
          <w:tcPr>
            <w:tcW w:w="20" w:type="dxa"/>
            <w:vAlign w:val="bottom"/>
            <w:shd w:val="clear" w:color="auto" w:fill="000000"/>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20" w:type="dxa"/>
            <w:vAlign w:val="bottom"/>
            <w:tcBorders>
              <w:bottom w:val="single" w:sz="8" w:color="auto"/>
            </w:tcBorders>
            <w:shd w:val="clear" w:color="auto" w:fill="000000"/>
          </w:tcPr>
          <w:p>
            <w:pPr>
              <w:spacing w:after="0"/>
              <w:rPr>
                <w:sz w:val="18"/>
                <w:szCs w:val="18"/>
                <w:color w:val="auto"/>
              </w:rPr>
            </w:pPr>
          </w:p>
        </w:tc>
        <w:tc>
          <w:tcPr>
            <w:tcW w:w="2520" w:type="dxa"/>
            <w:vAlign w:val="bottom"/>
            <w:tcBorders>
              <w:left w:val="single" w:sz="8" w:color="auto"/>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spacing w:after="0"/>
              <w:rPr>
                <w:sz w:val="18"/>
                <w:szCs w:val="18"/>
                <w:color w:val="auto"/>
              </w:rPr>
            </w:pPr>
          </w:p>
        </w:tc>
        <w:tc>
          <w:tcPr>
            <w:tcW w:w="180" w:type="dxa"/>
            <w:vAlign w:val="bottom"/>
            <w:tcBorders>
              <w:bottom w:val="single" w:sz="8" w:color="auto"/>
              <w:right w:val="single" w:sz="8" w:color="auto"/>
            </w:tcBorders>
            <w:shd w:val="clear" w:color="auto" w:fill="CCEEFF"/>
          </w:tcPr>
          <w:p>
            <w:pPr>
              <w:spacing w:after="0"/>
              <w:rPr>
                <w:sz w:val="18"/>
                <w:szCs w:val="18"/>
                <w:color w:val="auto"/>
              </w:rPr>
            </w:pPr>
          </w:p>
        </w:tc>
        <w:tc>
          <w:tcPr>
            <w:tcW w:w="1220" w:type="dxa"/>
            <w:vAlign w:val="bottom"/>
            <w:tcBorders>
              <w:bottom w:val="single" w:sz="8" w:color="auto"/>
              <w:right w:val="single" w:sz="8" w:color="auto"/>
            </w:tcBorders>
            <w:gridSpan w:val="2"/>
            <w:shd w:val="clear" w:color="auto" w:fill="CCEEFF"/>
          </w:tcPr>
          <w:p>
            <w:pPr>
              <w:ind w:left="120"/>
              <w:spacing w:after="0"/>
              <w:rPr>
                <w:sz w:val="20"/>
                <w:szCs w:val="20"/>
                <w:color w:val="auto"/>
              </w:rPr>
            </w:pPr>
            <w:r>
              <w:rPr>
                <w:rFonts w:ascii="Arial" w:cs="Arial" w:eastAsia="Arial" w:hAnsi="Arial"/>
                <w:sz w:val="16"/>
                <w:szCs w:val="16"/>
                <w:color w:val="auto"/>
              </w:rPr>
              <w:t>investments</w:t>
            </w:r>
          </w:p>
        </w:tc>
        <w:tc>
          <w:tcPr>
            <w:tcW w:w="1740" w:type="dxa"/>
            <w:vAlign w:val="bottom"/>
            <w:tcBorders>
              <w:bottom w:val="single" w:sz="8" w:color="auto"/>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520" w:type="dxa"/>
            <w:vAlign w:val="bottom"/>
            <w:tcBorders>
              <w:bottom w:val="single" w:sz="8" w:color="auto"/>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1500" w:type="dxa"/>
            <w:vAlign w:val="bottom"/>
            <w:tcBorders>
              <w:bottom w:val="single" w:sz="8" w:color="auto"/>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520" w:type="dxa"/>
            <w:vAlign w:val="bottom"/>
            <w:tcBorders>
              <w:bottom w:val="single" w:sz="8" w:color="auto"/>
            </w:tcBorders>
            <w:shd w:val="clear" w:color="auto" w:fill="CCEEFF"/>
          </w:tcPr>
          <w:p>
            <w:pPr>
              <w:spacing w:after="0"/>
              <w:rPr>
                <w:sz w:val="18"/>
                <w:szCs w:val="18"/>
                <w:color w:val="auto"/>
              </w:rPr>
            </w:pPr>
          </w:p>
        </w:tc>
        <w:tc>
          <w:tcPr>
            <w:tcW w:w="260" w:type="dxa"/>
            <w:vAlign w:val="bottom"/>
            <w:tcBorders>
              <w:bottom w:val="single" w:sz="8" w:color="auto"/>
              <w:right w:val="single" w:sz="8" w:color="CCEEFF"/>
            </w:tcBorders>
            <w:shd w:val="clear" w:color="auto" w:fill="CCEEFF"/>
          </w:tcPr>
          <w:p>
            <w:pPr>
              <w:spacing w:after="0"/>
              <w:rPr>
                <w:sz w:val="18"/>
                <w:szCs w:val="18"/>
                <w:color w:val="auto"/>
              </w:rPr>
            </w:pPr>
          </w:p>
        </w:tc>
        <w:tc>
          <w:tcPr>
            <w:tcW w:w="20" w:type="dxa"/>
            <w:vAlign w:val="bottom"/>
            <w:tcBorders>
              <w:bottom w:val="single" w:sz="8" w:color="auto"/>
            </w:tcBorders>
            <w:shd w:val="clear" w:color="auto" w:fill="000000"/>
          </w:tcPr>
          <w:p>
            <w:pPr>
              <w:spacing w:after="0"/>
              <w:rPr>
                <w:sz w:val="18"/>
                <w:szCs w:val="18"/>
                <w:color w:val="auto"/>
              </w:rPr>
            </w:pPr>
          </w:p>
        </w:tc>
        <w:tc>
          <w:tcPr>
            <w:tcW w:w="0" w:type="dxa"/>
            <w:vAlign w:val="bottom"/>
          </w:tcPr>
          <w:p>
            <w:pPr>
              <w:spacing w:after="0"/>
              <w:rPr>
                <w:sz w:val="1"/>
                <w:szCs w:val="1"/>
                <w:color w:val="auto"/>
              </w:rPr>
            </w:pPr>
          </w:p>
        </w:tc>
      </w:tr>
      <w:tr>
        <w:trPr>
          <w:trHeight w:val="189"/>
        </w:trPr>
        <w:tc>
          <w:tcPr>
            <w:tcW w:w="20" w:type="dxa"/>
            <w:vAlign w:val="bottom"/>
            <w:shd w:val="clear" w:color="auto" w:fill="000000"/>
          </w:tcPr>
          <w:p>
            <w:pPr>
              <w:spacing w:after="0"/>
              <w:rPr>
                <w:sz w:val="16"/>
                <w:szCs w:val="16"/>
                <w:color w:val="auto"/>
              </w:rPr>
            </w:pPr>
          </w:p>
        </w:tc>
        <w:tc>
          <w:tcPr>
            <w:tcW w:w="2520" w:type="dxa"/>
            <w:vAlign w:val="bottom"/>
            <w:tcBorders>
              <w:left w:val="single" w:sz="8" w:color="auto"/>
            </w:tcBorders>
          </w:tcPr>
          <w:p>
            <w:pPr>
              <w:spacing w:after="0"/>
              <w:rPr>
                <w:sz w:val="20"/>
                <w:szCs w:val="20"/>
                <w:color w:val="auto"/>
              </w:rPr>
            </w:pPr>
            <w:r>
              <w:rPr>
                <w:rFonts w:ascii="Arial" w:cs="Arial" w:eastAsia="Arial" w:hAnsi="Arial"/>
                <w:sz w:val="16"/>
                <w:szCs w:val="16"/>
                <w:color w:val="auto"/>
              </w:rPr>
              <w:t>Separate account assets</w:t>
            </w:r>
          </w:p>
        </w:tc>
        <w:tc>
          <w:tcPr>
            <w:tcW w:w="740" w:type="dxa"/>
            <w:vAlign w:val="bottom"/>
          </w:tcPr>
          <w:p>
            <w:pPr>
              <w:jc w:val="right"/>
              <w:ind w:right="3"/>
              <w:spacing w:after="0"/>
              <w:rPr>
                <w:sz w:val="20"/>
                <w:szCs w:val="20"/>
                <w:color w:val="auto"/>
              </w:rPr>
            </w:pPr>
            <w:r>
              <w:rPr>
                <w:rFonts w:ascii="Arial" w:cs="Arial" w:eastAsia="Arial" w:hAnsi="Arial"/>
                <w:sz w:val="16"/>
                <w:szCs w:val="16"/>
                <w:color w:val="auto"/>
              </w:rPr>
              <w:t>946.0</w:t>
            </w:r>
          </w:p>
        </w:tc>
        <w:tc>
          <w:tcPr>
            <w:tcW w:w="180" w:type="dxa"/>
            <w:vAlign w:val="bottom"/>
            <w:tcBorders>
              <w:right w:val="single" w:sz="8" w:color="auto"/>
            </w:tcBorders>
          </w:tcPr>
          <w:p>
            <w:pPr>
              <w:spacing w:after="0"/>
              <w:rPr>
                <w:sz w:val="16"/>
                <w:szCs w:val="16"/>
                <w:color w:val="auto"/>
              </w:rPr>
            </w:pPr>
          </w:p>
        </w:tc>
        <w:tc>
          <w:tcPr>
            <w:tcW w:w="1220" w:type="dxa"/>
            <w:vAlign w:val="bottom"/>
            <w:tcBorders>
              <w:right w:val="single" w:sz="8" w:color="auto"/>
            </w:tcBorders>
            <w:gridSpan w:val="2"/>
          </w:tcPr>
          <w:p>
            <w:pPr>
              <w:spacing w:after="0"/>
              <w:rPr>
                <w:sz w:val="20"/>
                <w:szCs w:val="20"/>
                <w:color w:val="auto"/>
              </w:rPr>
            </w:pPr>
            <w:r>
              <w:rPr>
                <w:rFonts w:ascii="Arial" w:cs="Arial" w:eastAsia="Arial" w:hAnsi="Arial"/>
                <w:sz w:val="16"/>
                <w:szCs w:val="16"/>
                <w:color w:val="auto"/>
              </w:rPr>
              <w:t>Discounted</w:t>
            </w:r>
          </w:p>
        </w:tc>
        <w:tc>
          <w:tcPr>
            <w:tcW w:w="1880" w:type="dxa"/>
            <w:vAlign w:val="bottom"/>
            <w:gridSpan w:val="2"/>
          </w:tcPr>
          <w:p>
            <w:pPr>
              <w:spacing w:after="0"/>
              <w:rPr>
                <w:sz w:val="20"/>
                <w:szCs w:val="20"/>
                <w:color w:val="auto"/>
              </w:rPr>
            </w:pPr>
            <w:r>
              <w:rPr>
                <w:rFonts w:ascii="Arial" w:cs="Arial" w:eastAsia="Arial" w:hAnsi="Arial"/>
                <w:sz w:val="16"/>
                <w:szCs w:val="16"/>
                <w:color w:val="auto"/>
              </w:rPr>
              <w:t>Discount rate (1)</w:t>
            </w:r>
          </w:p>
        </w:tc>
        <w:tc>
          <w:tcPr>
            <w:tcW w:w="5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500" w:type="dxa"/>
            <w:vAlign w:val="bottom"/>
          </w:tcPr>
          <w:p>
            <w:pPr>
              <w:jc w:val="right"/>
              <w:ind w:right="139"/>
              <w:spacing w:after="0"/>
              <w:rPr>
                <w:sz w:val="20"/>
                <w:szCs w:val="20"/>
                <w:color w:val="auto"/>
              </w:rPr>
            </w:pPr>
            <w:r>
              <w:rPr>
                <w:rFonts w:ascii="Arial" w:cs="Arial" w:eastAsia="Arial" w:hAnsi="Arial"/>
                <w:sz w:val="16"/>
                <w:szCs w:val="16"/>
                <w:color w:val="auto"/>
              </w:rPr>
              <w:t>1.4 %</w:t>
            </w:r>
          </w:p>
        </w:tc>
        <w:tc>
          <w:tcPr>
            <w:tcW w:w="960" w:type="dxa"/>
            <w:vAlign w:val="bottom"/>
            <w:gridSpan w:val="3"/>
          </w:tcPr>
          <w:p>
            <w:pPr>
              <w:jc w:val="right"/>
              <w:ind w:right="120"/>
              <w:spacing w:after="0"/>
              <w:rPr>
                <w:sz w:val="20"/>
                <w:szCs w:val="20"/>
                <w:color w:val="auto"/>
              </w:rPr>
            </w:pPr>
            <w:r>
              <w:rPr>
                <w:rFonts w:ascii="Arial" w:cs="Arial" w:eastAsia="Arial" w:hAnsi="Arial"/>
                <w:sz w:val="16"/>
                <w:szCs w:val="16"/>
                <w:color w:val="auto"/>
              </w:rPr>
              <w:t>1.4 %</w:t>
            </w:r>
          </w:p>
        </w:tc>
        <w:tc>
          <w:tcPr>
            <w:tcW w:w="20" w:type="dxa"/>
            <w:vAlign w:val="bottom"/>
            <w:shd w:val="clear" w:color="auto" w:fill="000000"/>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20" w:type="dxa"/>
            <w:vAlign w:val="bottom"/>
            <w:shd w:val="clear" w:color="auto" w:fill="000000"/>
          </w:tcPr>
          <w:p>
            <w:pPr>
              <w:spacing w:after="0"/>
              <w:rPr>
                <w:sz w:val="17"/>
                <w:szCs w:val="17"/>
                <w:color w:val="auto"/>
              </w:rPr>
            </w:pPr>
          </w:p>
        </w:tc>
        <w:tc>
          <w:tcPr>
            <w:tcW w:w="2520" w:type="dxa"/>
            <w:vAlign w:val="bottom"/>
            <w:tcBorders>
              <w:left w:val="single" w:sz="8" w:color="auto"/>
            </w:tcBorders>
          </w:tcPr>
          <w:p>
            <w:pPr>
              <w:spacing w:after="0"/>
              <w:rPr>
                <w:sz w:val="17"/>
                <w:szCs w:val="17"/>
                <w:color w:val="auto"/>
              </w:rPr>
            </w:pPr>
          </w:p>
        </w:tc>
        <w:tc>
          <w:tcPr>
            <w:tcW w:w="740" w:type="dxa"/>
            <w:vAlign w:val="bottom"/>
          </w:tcPr>
          <w:p>
            <w:pPr>
              <w:spacing w:after="0"/>
              <w:rPr>
                <w:sz w:val="17"/>
                <w:szCs w:val="17"/>
                <w:color w:val="auto"/>
              </w:rPr>
            </w:pPr>
          </w:p>
        </w:tc>
        <w:tc>
          <w:tcPr>
            <w:tcW w:w="180" w:type="dxa"/>
            <w:vAlign w:val="bottom"/>
            <w:tcBorders>
              <w:right w:val="single" w:sz="8" w:color="auto"/>
            </w:tcBorders>
          </w:tcPr>
          <w:p>
            <w:pPr>
              <w:spacing w:after="0"/>
              <w:rPr>
                <w:sz w:val="17"/>
                <w:szCs w:val="17"/>
                <w:color w:val="auto"/>
              </w:rPr>
            </w:pPr>
          </w:p>
        </w:tc>
        <w:tc>
          <w:tcPr>
            <w:tcW w:w="1220" w:type="dxa"/>
            <w:vAlign w:val="bottom"/>
            <w:tcBorders>
              <w:right w:val="single" w:sz="8" w:color="auto"/>
            </w:tcBorders>
            <w:gridSpan w:val="2"/>
          </w:tcPr>
          <w:p>
            <w:pPr>
              <w:ind w:left="120"/>
              <w:spacing w:after="0"/>
              <w:rPr>
                <w:sz w:val="20"/>
                <w:szCs w:val="20"/>
                <w:color w:val="auto"/>
              </w:rPr>
            </w:pPr>
            <w:r>
              <w:rPr>
                <w:rFonts w:ascii="Arial" w:cs="Arial" w:eastAsia="Arial" w:hAnsi="Arial"/>
                <w:sz w:val="16"/>
                <w:szCs w:val="16"/>
                <w:color w:val="auto"/>
              </w:rPr>
              <w:t>cash flow -</w:t>
            </w:r>
          </w:p>
        </w:tc>
        <w:tc>
          <w:tcPr>
            <w:tcW w:w="17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5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0" w:type="dxa"/>
            <w:vAlign w:val="bottom"/>
            <w:shd w:val="clear" w:color="auto" w:fill="000000"/>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shd w:val="clear" w:color="auto" w:fill="000000"/>
          </w:tcPr>
          <w:p>
            <w:pPr>
              <w:spacing w:after="0"/>
              <w:rPr>
                <w:sz w:val="17"/>
                <w:szCs w:val="17"/>
                <w:color w:val="auto"/>
              </w:rPr>
            </w:pPr>
          </w:p>
        </w:tc>
        <w:tc>
          <w:tcPr>
            <w:tcW w:w="2520" w:type="dxa"/>
            <w:vAlign w:val="bottom"/>
            <w:tcBorders>
              <w:left w:val="single" w:sz="8" w:color="auto"/>
            </w:tcBorders>
          </w:tcPr>
          <w:p>
            <w:pPr>
              <w:spacing w:after="0"/>
              <w:rPr>
                <w:sz w:val="17"/>
                <w:szCs w:val="17"/>
                <w:color w:val="auto"/>
              </w:rPr>
            </w:pPr>
          </w:p>
        </w:tc>
        <w:tc>
          <w:tcPr>
            <w:tcW w:w="740" w:type="dxa"/>
            <w:vAlign w:val="bottom"/>
          </w:tcPr>
          <w:p>
            <w:pPr>
              <w:spacing w:after="0"/>
              <w:rPr>
                <w:sz w:val="17"/>
                <w:szCs w:val="17"/>
                <w:color w:val="auto"/>
              </w:rPr>
            </w:pPr>
          </w:p>
        </w:tc>
        <w:tc>
          <w:tcPr>
            <w:tcW w:w="180" w:type="dxa"/>
            <w:vAlign w:val="bottom"/>
            <w:tcBorders>
              <w:right w:val="single" w:sz="8" w:color="auto"/>
            </w:tcBorders>
          </w:tcPr>
          <w:p>
            <w:pPr>
              <w:spacing w:after="0"/>
              <w:rPr>
                <w:sz w:val="17"/>
                <w:szCs w:val="17"/>
                <w:color w:val="auto"/>
              </w:rPr>
            </w:pPr>
          </w:p>
        </w:tc>
        <w:tc>
          <w:tcPr>
            <w:tcW w:w="1220" w:type="dxa"/>
            <w:vAlign w:val="bottom"/>
            <w:tcBorders>
              <w:right w:val="single" w:sz="8" w:color="auto"/>
            </w:tcBorders>
            <w:gridSpan w:val="2"/>
          </w:tcPr>
          <w:p>
            <w:pPr>
              <w:ind w:left="120"/>
              <w:spacing w:after="0"/>
              <w:rPr>
                <w:sz w:val="20"/>
                <w:szCs w:val="20"/>
                <w:color w:val="auto"/>
              </w:rPr>
            </w:pPr>
            <w:r>
              <w:rPr>
                <w:rFonts w:ascii="Arial" w:cs="Arial" w:eastAsia="Arial" w:hAnsi="Arial"/>
                <w:sz w:val="16"/>
                <w:szCs w:val="16"/>
                <w:color w:val="auto"/>
              </w:rPr>
              <w:t>mortgage</w:t>
            </w:r>
          </w:p>
        </w:tc>
        <w:tc>
          <w:tcPr>
            <w:tcW w:w="17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5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0" w:type="dxa"/>
            <w:vAlign w:val="bottom"/>
            <w:shd w:val="clear" w:color="auto" w:fill="000000"/>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20" w:type="dxa"/>
            <w:vAlign w:val="bottom"/>
            <w:tcBorders>
              <w:bottom w:val="single" w:sz="8" w:color="auto"/>
            </w:tcBorders>
            <w:shd w:val="clear" w:color="auto" w:fill="000000"/>
          </w:tcPr>
          <w:p>
            <w:pPr>
              <w:spacing w:after="0"/>
              <w:rPr>
                <w:sz w:val="18"/>
                <w:szCs w:val="18"/>
                <w:color w:val="auto"/>
              </w:rPr>
            </w:pPr>
          </w:p>
        </w:tc>
        <w:tc>
          <w:tcPr>
            <w:tcW w:w="2520" w:type="dxa"/>
            <w:vAlign w:val="bottom"/>
            <w:tcBorders>
              <w:left w:val="single" w:sz="8" w:color="auto"/>
              <w:bottom w:val="single" w:sz="8" w:color="CCEEFF"/>
            </w:tcBorders>
          </w:tcPr>
          <w:p>
            <w:pPr>
              <w:spacing w:after="0"/>
              <w:rPr>
                <w:sz w:val="18"/>
                <w:szCs w:val="18"/>
                <w:color w:val="auto"/>
              </w:rPr>
            </w:pPr>
          </w:p>
        </w:tc>
        <w:tc>
          <w:tcPr>
            <w:tcW w:w="740" w:type="dxa"/>
            <w:vAlign w:val="bottom"/>
            <w:tcBorders>
              <w:bottom w:val="single" w:sz="8" w:color="CCEEFF"/>
            </w:tcBorders>
          </w:tcPr>
          <w:p>
            <w:pPr>
              <w:spacing w:after="0"/>
              <w:rPr>
                <w:sz w:val="18"/>
                <w:szCs w:val="18"/>
                <w:color w:val="auto"/>
              </w:rPr>
            </w:pPr>
          </w:p>
        </w:tc>
        <w:tc>
          <w:tcPr>
            <w:tcW w:w="180" w:type="dxa"/>
            <w:vAlign w:val="bottom"/>
            <w:tcBorders>
              <w:bottom w:val="single" w:sz="8" w:color="CCEEFF"/>
              <w:right w:val="single" w:sz="8" w:color="auto"/>
            </w:tcBorders>
          </w:tcPr>
          <w:p>
            <w:pPr>
              <w:spacing w:after="0"/>
              <w:rPr>
                <w:sz w:val="18"/>
                <w:szCs w:val="18"/>
                <w:color w:val="auto"/>
              </w:rPr>
            </w:pPr>
          </w:p>
        </w:tc>
        <w:tc>
          <w:tcPr>
            <w:tcW w:w="1220" w:type="dxa"/>
            <w:vAlign w:val="bottom"/>
            <w:tcBorders>
              <w:bottom w:val="single" w:sz="8" w:color="CCEEFF"/>
              <w:right w:val="single" w:sz="8" w:color="auto"/>
            </w:tcBorders>
            <w:gridSpan w:val="2"/>
          </w:tcPr>
          <w:p>
            <w:pPr>
              <w:ind w:left="120"/>
              <w:spacing w:after="0"/>
              <w:rPr>
                <w:sz w:val="20"/>
                <w:szCs w:val="20"/>
                <w:color w:val="auto"/>
              </w:rPr>
            </w:pPr>
            <w:r>
              <w:rPr>
                <w:rFonts w:ascii="Arial" w:cs="Arial" w:eastAsia="Arial" w:hAnsi="Arial"/>
                <w:sz w:val="16"/>
                <w:szCs w:val="16"/>
                <w:color w:val="auto"/>
              </w:rPr>
              <w:t>loans</w:t>
            </w:r>
          </w:p>
        </w:tc>
        <w:tc>
          <w:tcPr>
            <w:tcW w:w="1740" w:type="dxa"/>
            <w:vAlign w:val="bottom"/>
            <w:tcBorders>
              <w:bottom w:val="single" w:sz="8" w:color="auto"/>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500" w:type="dxa"/>
            <w:vAlign w:val="bottom"/>
            <w:tcBorders>
              <w:bottom w:val="single" w:sz="8" w:color="auto"/>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shd w:val="clear" w:color="auto" w:fill="000000"/>
          </w:tcPr>
          <w:p>
            <w:pPr>
              <w:spacing w:after="0"/>
              <w:rPr>
                <w:sz w:val="18"/>
                <w:szCs w:val="18"/>
                <w:color w:val="auto"/>
              </w:rPr>
            </w:pPr>
          </w:p>
        </w:tc>
        <w:tc>
          <w:tcPr>
            <w:tcW w:w="0" w:type="dxa"/>
            <w:vAlign w:val="bottom"/>
          </w:tcPr>
          <w:p>
            <w:pPr>
              <w:spacing w:after="0"/>
              <w:rPr>
                <w:sz w:val="1"/>
                <w:szCs w:val="1"/>
                <w:color w:val="auto"/>
              </w:rPr>
            </w:pPr>
          </w:p>
        </w:tc>
      </w:tr>
      <w:tr>
        <w:trPr>
          <w:trHeight w:val="199"/>
        </w:trPr>
        <w:tc>
          <w:tcPr>
            <w:tcW w:w="20" w:type="dxa"/>
            <w:vAlign w:val="bottom"/>
            <w:tcBorders>
              <w:bottom w:val="single" w:sz="8" w:color="auto"/>
            </w:tcBorders>
            <w:shd w:val="clear" w:color="auto" w:fill="000000"/>
          </w:tcPr>
          <w:p>
            <w:pPr>
              <w:spacing w:after="0"/>
              <w:rPr>
                <w:sz w:val="17"/>
                <w:szCs w:val="17"/>
                <w:color w:val="auto"/>
              </w:rPr>
            </w:pPr>
          </w:p>
        </w:tc>
        <w:tc>
          <w:tcPr>
            <w:tcW w:w="2520" w:type="dxa"/>
            <w:vAlign w:val="bottom"/>
            <w:tcBorders>
              <w:left w:val="single" w:sz="8" w:color="auto"/>
            </w:tcBorders>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80" w:type="dxa"/>
            <w:vAlign w:val="bottom"/>
            <w:tcBorders>
              <w:right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spacing w:after="0"/>
              <w:rPr>
                <w:sz w:val="17"/>
                <w:szCs w:val="17"/>
                <w:color w:val="auto"/>
              </w:rPr>
            </w:pPr>
          </w:p>
        </w:tc>
        <w:tc>
          <w:tcPr>
            <w:tcW w:w="220" w:type="dxa"/>
            <w:vAlign w:val="bottom"/>
            <w:tcBorders>
              <w:bottom w:val="single" w:sz="8" w:color="auto"/>
              <w:right w:val="single" w:sz="8" w:color="auto"/>
            </w:tcBorders>
            <w:shd w:val="clear" w:color="auto" w:fill="CCEEFF"/>
          </w:tcPr>
          <w:p>
            <w:pPr>
              <w:spacing w:after="0"/>
              <w:rPr>
                <w:sz w:val="17"/>
                <w:szCs w:val="17"/>
                <w:color w:val="auto"/>
              </w:rPr>
            </w:pPr>
          </w:p>
        </w:tc>
        <w:tc>
          <w:tcPr>
            <w:tcW w:w="1880" w:type="dxa"/>
            <w:vAlign w:val="bottom"/>
            <w:tcBorders>
              <w:bottom w:val="single" w:sz="8" w:color="auto"/>
            </w:tcBorders>
            <w:gridSpan w:val="2"/>
            <w:shd w:val="clear" w:color="auto" w:fill="CCEEFF"/>
          </w:tcPr>
          <w:p>
            <w:pPr>
              <w:spacing w:after="0"/>
              <w:rPr>
                <w:sz w:val="20"/>
                <w:szCs w:val="20"/>
                <w:color w:val="auto"/>
              </w:rPr>
            </w:pPr>
            <w:r>
              <w:rPr>
                <w:rFonts w:ascii="Arial" w:cs="Arial" w:eastAsia="Arial" w:hAnsi="Arial"/>
                <w:sz w:val="16"/>
                <w:szCs w:val="16"/>
                <w:color w:val="auto"/>
              </w:rPr>
              <w:t>Credit spread rate</w:t>
            </w:r>
          </w:p>
        </w:tc>
        <w:tc>
          <w:tcPr>
            <w:tcW w:w="520" w:type="dxa"/>
            <w:vAlign w:val="bottom"/>
            <w:tcBorders>
              <w:bottom w:val="single" w:sz="8" w:color="auto"/>
            </w:tcBorders>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150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rPr>
              <w:t>120 bps</w:t>
            </w:r>
          </w:p>
        </w:tc>
        <w:tc>
          <w:tcPr>
            <w:tcW w:w="180" w:type="dxa"/>
            <w:vAlign w:val="bottom"/>
            <w:tcBorders>
              <w:bottom w:val="single" w:sz="8" w:color="auto"/>
            </w:tcBorders>
            <w:shd w:val="clear" w:color="auto" w:fill="CCEEFF"/>
          </w:tcPr>
          <w:p>
            <w:pPr>
              <w:spacing w:after="0"/>
              <w:rPr>
                <w:sz w:val="17"/>
                <w:szCs w:val="17"/>
                <w:color w:val="auto"/>
              </w:rPr>
            </w:pPr>
          </w:p>
        </w:tc>
        <w:tc>
          <w:tcPr>
            <w:tcW w:w="780" w:type="dxa"/>
            <w:vAlign w:val="bottom"/>
            <w:tcBorders>
              <w:bottom w:val="single" w:sz="8" w:color="auto"/>
              <w:right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120 bps</w:t>
            </w:r>
          </w:p>
        </w:tc>
        <w:tc>
          <w:tcPr>
            <w:tcW w:w="20" w:type="dxa"/>
            <w:vAlign w:val="bottom"/>
            <w:tcBorders>
              <w:bottom w:val="single" w:sz="8" w:color="auto"/>
            </w:tcBorders>
            <w:shd w:val="clear" w:color="auto" w:fill="000000"/>
          </w:tcPr>
          <w:p>
            <w:pPr>
              <w:spacing w:after="0"/>
              <w:rPr>
                <w:sz w:val="17"/>
                <w:szCs w:val="17"/>
                <w:color w:val="auto"/>
              </w:rPr>
            </w:pPr>
          </w:p>
        </w:tc>
        <w:tc>
          <w:tcPr>
            <w:tcW w:w="0" w:type="dxa"/>
            <w:vAlign w:val="bottom"/>
          </w:tcPr>
          <w:p>
            <w:pPr>
              <w:spacing w:after="0"/>
              <w:rPr>
                <w:sz w:val="1"/>
                <w:szCs w:val="1"/>
                <w:color w:val="auto"/>
              </w:rPr>
            </w:pPr>
          </w:p>
        </w:tc>
      </w:tr>
      <w:tr>
        <w:trPr>
          <w:trHeight w:val="186"/>
        </w:trPr>
        <w:tc>
          <w:tcPr>
            <w:tcW w:w="20" w:type="dxa"/>
            <w:vAlign w:val="bottom"/>
            <w:shd w:val="clear" w:color="auto" w:fill="000000"/>
          </w:tcPr>
          <w:p>
            <w:pPr>
              <w:spacing w:after="0"/>
              <w:rPr>
                <w:sz w:val="16"/>
                <w:szCs w:val="16"/>
                <w:color w:val="auto"/>
              </w:rPr>
            </w:pPr>
          </w:p>
        </w:tc>
        <w:tc>
          <w:tcPr>
            <w:tcW w:w="2520" w:type="dxa"/>
            <w:vAlign w:val="bottom"/>
            <w:tcBorders>
              <w:left w:val="single" w:sz="8" w:color="auto"/>
            </w:tcBorders>
          </w:tcPr>
          <w:p>
            <w:pPr>
              <w:spacing w:after="0"/>
              <w:rPr>
                <w:sz w:val="16"/>
                <w:szCs w:val="16"/>
                <w:color w:val="auto"/>
              </w:rPr>
            </w:pPr>
          </w:p>
        </w:tc>
        <w:tc>
          <w:tcPr>
            <w:tcW w:w="740" w:type="dxa"/>
            <w:vAlign w:val="bottom"/>
          </w:tcPr>
          <w:p>
            <w:pPr>
              <w:spacing w:after="0"/>
              <w:rPr>
                <w:sz w:val="16"/>
                <w:szCs w:val="16"/>
                <w:color w:val="auto"/>
              </w:rPr>
            </w:pPr>
          </w:p>
        </w:tc>
        <w:tc>
          <w:tcPr>
            <w:tcW w:w="180" w:type="dxa"/>
            <w:vAlign w:val="bottom"/>
            <w:tcBorders>
              <w:right w:val="single" w:sz="8" w:color="auto"/>
            </w:tcBorders>
          </w:tcPr>
          <w:p>
            <w:pPr>
              <w:spacing w:after="0"/>
              <w:rPr>
                <w:sz w:val="16"/>
                <w:szCs w:val="16"/>
                <w:color w:val="auto"/>
              </w:rPr>
            </w:pPr>
          </w:p>
        </w:tc>
        <w:tc>
          <w:tcPr>
            <w:tcW w:w="1220" w:type="dxa"/>
            <w:vAlign w:val="bottom"/>
            <w:tcBorders>
              <w:right w:val="single" w:sz="8" w:color="auto"/>
            </w:tcBorders>
            <w:gridSpan w:val="2"/>
          </w:tcPr>
          <w:p>
            <w:pPr>
              <w:spacing w:after="0"/>
              <w:rPr>
                <w:sz w:val="20"/>
                <w:szCs w:val="20"/>
                <w:color w:val="auto"/>
              </w:rPr>
            </w:pPr>
            <w:r>
              <w:rPr>
                <w:rFonts w:ascii="Arial" w:cs="Arial" w:eastAsia="Arial" w:hAnsi="Arial"/>
                <w:sz w:val="16"/>
                <w:szCs w:val="16"/>
                <w:color w:val="auto"/>
              </w:rPr>
              <w:t>Discounted</w:t>
            </w:r>
          </w:p>
        </w:tc>
        <w:tc>
          <w:tcPr>
            <w:tcW w:w="1880" w:type="dxa"/>
            <w:vAlign w:val="bottom"/>
            <w:gridSpan w:val="2"/>
          </w:tcPr>
          <w:p>
            <w:pPr>
              <w:spacing w:after="0"/>
              <w:rPr>
                <w:sz w:val="20"/>
                <w:szCs w:val="20"/>
                <w:color w:val="auto"/>
              </w:rPr>
            </w:pPr>
            <w:r>
              <w:rPr>
                <w:rFonts w:ascii="Arial" w:cs="Arial" w:eastAsia="Arial" w:hAnsi="Arial"/>
                <w:sz w:val="16"/>
                <w:szCs w:val="16"/>
                <w:color w:val="auto"/>
              </w:rPr>
              <w:t>Discount rate (1)</w:t>
            </w:r>
          </w:p>
        </w:tc>
        <w:tc>
          <w:tcPr>
            <w:tcW w:w="520" w:type="dxa"/>
            <w:vAlign w:val="bottom"/>
          </w:tcPr>
          <w:p>
            <w:pPr>
              <w:jc w:val="right"/>
              <w:spacing w:after="0"/>
              <w:rPr>
                <w:sz w:val="20"/>
                <w:szCs w:val="20"/>
                <w:color w:val="auto"/>
              </w:rPr>
            </w:pPr>
            <w:r>
              <w:rPr>
                <w:rFonts w:ascii="Arial" w:cs="Arial" w:eastAsia="Arial" w:hAnsi="Arial"/>
                <w:sz w:val="16"/>
                <w:szCs w:val="16"/>
                <w:color w:val="auto"/>
              </w:rPr>
              <w:t>5.3 %</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6"/>
                <w:szCs w:val="16"/>
                <w:color w:val="auto"/>
              </w:rPr>
            </w:pPr>
          </w:p>
        </w:tc>
        <w:tc>
          <w:tcPr>
            <w:tcW w:w="1500" w:type="dxa"/>
            <w:vAlign w:val="bottom"/>
          </w:tcPr>
          <w:p>
            <w:pPr>
              <w:jc w:val="right"/>
              <w:ind w:right="139"/>
              <w:spacing w:after="0"/>
              <w:rPr>
                <w:sz w:val="20"/>
                <w:szCs w:val="20"/>
                <w:color w:val="auto"/>
              </w:rPr>
            </w:pPr>
            <w:r>
              <w:rPr>
                <w:rFonts w:ascii="Arial" w:cs="Arial" w:eastAsia="Arial" w:hAnsi="Arial"/>
                <w:sz w:val="16"/>
                <w:szCs w:val="16"/>
                <w:color w:val="auto"/>
              </w:rPr>
              <w:t>10.0 %</w:t>
            </w:r>
          </w:p>
        </w:tc>
        <w:tc>
          <w:tcPr>
            <w:tcW w:w="960" w:type="dxa"/>
            <w:vAlign w:val="bottom"/>
            <w:gridSpan w:val="3"/>
          </w:tcPr>
          <w:p>
            <w:pPr>
              <w:jc w:val="right"/>
              <w:ind w:right="120"/>
              <w:spacing w:after="0"/>
              <w:rPr>
                <w:sz w:val="20"/>
                <w:szCs w:val="20"/>
                <w:color w:val="auto"/>
              </w:rPr>
            </w:pPr>
            <w:r>
              <w:rPr>
                <w:rFonts w:ascii="Arial" w:cs="Arial" w:eastAsia="Arial" w:hAnsi="Arial"/>
                <w:sz w:val="16"/>
                <w:szCs w:val="16"/>
                <w:color w:val="auto"/>
              </w:rPr>
              <w:t>6.6 %</w:t>
            </w:r>
          </w:p>
        </w:tc>
        <w:tc>
          <w:tcPr>
            <w:tcW w:w="20" w:type="dxa"/>
            <w:vAlign w:val="bottom"/>
            <w:shd w:val="clear" w:color="auto" w:fill="000000"/>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20" w:type="dxa"/>
            <w:vAlign w:val="bottom"/>
            <w:shd w:val="clear" w:color="auto" w:fill="000000"/>
          </w:tcPr>
          <w:p>
            <w:pPr>
              <w:spacing w:after="0"/>
              <w:rPr>
                <w:sz w:val="17"/>
                <w:szCs w:val="17"/>
                <w:color w:val="auto"/>
              </w:rPr>
            </w:pPr>
          </w:p>
        </w:tc>
        <w:tc>
          <w:tcPr>
            <w:tcW w:w="2520" w:type="dxa"/>
            <w:vAlign w:val="bottom"/>
            <w:tcBorders>
              <w:left w:val="single" w:sz="8" w:color="auto"/>
            </w:tcBorders>
          </w:tcPr>
          <w:p>
            <w:pPr>
              <w:spacing w:after="0"/>
              <w:rPr>
                <w:sz w:val="17"/>
                <w:szCs w:val="17"/>
                <w:color w:val="auto"/>
              </w:rPr>
            </w:pPr>
          </w:p>
        </w:tc>
        <w:tc>
          <w:tcPr>
            <w:tcW w:w="740" w:type="dxa"/>
            <w:vAlign w:val="bottom"/>
          </w:tcPr>
          <w:p>
            <w:pPr>
              <w:spacing w:after="0"/>
              <w:rPr>
                <w:sz w:val="17"/>
                <w:szCs w:val="17"/>
                <w:color w:val="auto"/>
              </w:rPr>
            </w:pPr>
          </w:p>
        </w:tc>
        <w:tc>
          <w:tcPr>
            <w:tcW w:w="180" w:type="dxa"/>
            <w:vAlign w:val="bottom"/>
            <w:tcBorders>
              <w:right w:val="single" w:sz="8" w:color="auto"/>
            </w:tcBorders>
          </w:tcPr>
          <w:p>
            <w:pPr>
              <w:spacing w:after="0"/>
              <w:rPr>
                <w:sz w:val="17"/>
                <w:szCs w:val="17"/>
                <w:color w:val="auto"/>
              </w:rPr>
            </w:pPr>
          </w:p>
        </w:tc>
        <w:tc>
          <w:tcPr>
            <w:tcW w:w="1220" w:type="dxa"/>
            <w:vAlign w:val="bottom"/>
            <w:tcBorders>
              <w:right w:val="single" w:sz="8" w:color="auto"/>
            </w:tcBorders>
            <w:gridSpan w:val="2"/>
          </w:tcPr>
          <w:p>
            <w:pPr>
              <w:ind w:left="120"/>
              <w:spacing w:after="0"/>
              <w:rPr>
                <w:sz w:val="20"/>
                <w:szCs w:val="20"/>
                <w:color w:val="auto"/>
              </w:rPr>
            </w:pPr>
            <w:r>
              <w:rPr>
                <w:rFonts w:ascii="Arial" w:cs="Arial" w:eastAsia="Arial" w:hAnsi="Arial"/>
                <w:sz w:val="16"/>
                <w:szCs w:val="16"/>
                <w:color w:val="auto"/>
              </w:rPr>
              <w:t>cash flow -</w:t>
            </w:r>
          </w:p>
        </w:tc>
        <w:tc>
          <w:tcPr>
            <w:tcW w:w="17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5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0" w:type="dxa"/>
            <w:vAlign w:val="bottom"/>
            <w:shd w:val="clear" w:color="auto" w:fill="000000"/>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20" w:type="dxa"/>
            <w:vAlign w:val="bottom"/>
            <w:tcBorders>
              <w:bottom w:val="single" w:sz="8" w:color="auto"/>
            </w:tcBorders>
            <w:shd w:val="clear" w:color="auto" w:fill="000000"/>
          </w:tcPr>
          <w:p>
            <w:pPr>
              <w:spacing w:after="0"/>
              <w:rPr>
                <w:sz w:val="18"/>
                <w:szCs w:val="18"/>
                <w:color w:val="auto"/>
              </w:rPr>
            </w:pPr>
          </w:p>
        </w:tc>
        <w:tc>
          <w:tcPr>
            <w:tcW w:w="2520" w:type="dxa"/>
            <w:vAlign w:val="bottom"/>
            <w:tcBorders>
              <w:left w:val="single" w:sz="8" w:color="auto"/>
              <w:bottom w:val="single" w:sz="8" w:color="CCEEFF"/>
            </w:tcBorders>
          </w:tcPr>
          <w:p>
            <w:pPr>
              <w:spacing w:after="0"/>
              <w:rPr>
                <w:sz w:val="18"/>
                <w:szCs w:val="18"/>
                <w:color w:val="auto"/>
              </w:rPr>
            </w:pPr>
          </w:p>
        </w:tc>
        <w:tc>
          <w:tcPr>
            <w:tcW w:w="740" w:type="dxa"/>
            <w:vAlign w:val="bottom"/>
            <w:tcBorders>
              <w:bottom w:val="single" w:sz="8" w:color="CCEEFF"/>
            </w:tcBorders>
          </w:tcPr>
          <w:p>
            <w:pPr>
              <w:spacing w:after="0"/>
              <w:rPr>
                <w:sz w:val="18"/>
                <w:szCs w:val="18"/>
                <w:color w:val="auto"/>
              </w:rPr>
            </w:pPr>
          </w:p>
        </w:tc>
        <w:tc>
          <w:tcPr>
            <w:tcW w:w="180" w:type="dxa"/>
            <w:vAlign w:val="bottom"/>
            <w:tcBorders>
              <w:bottom w:val="single" w:sz="8" w:color="CCEEFF"/>
              <w:right w:val="single" w:sz="8" w:color="auto"/>
            </w:tcBorders>
          </w:tcPr>
          <w:p>
            <w:pPr>
              <w:spacing w:after="0"/>
              <w:rPr>
                <w:sz w:val="18"/>
                <w:szCs w:val="18"/>
                <w:color w:val="auto"/>
              </w:rPr>
            </w:pPr>
          </w:p>
        </w:tc>
        <w:tc>
          <w:tcPr>
            <w:tcW w:w="1220" w:type="dxa"/>
            <w:vAlign w:val="bottom"/>
            <w:tcBorders>
              <w:bottom w:val="single" w:sz="8" w:color="CCEEFF"/>
              <w:right w:val="single" w:sz="8" w:color="auto"/>
            </w:tcBorders>
            <w:gridSpan w:val="2"/>
          </w:tcPr>
          <w:p>
            <w:pPr>
              <w:ind w:left="120"/>
              <w:spacing w:after="0"/>
              <w:rPr>
                <w:sz w:val="20"/>
                <w:szCs w:val="20"/>
                <w:color w:val="auto"/>
              </w:rPr>
            </w:pPr>
            <w:r>
              <w:rPr>
                <w:rFonts w:ascii="Arial" w:cs="Arial" w:eastAsia="Arial" w:hAnsi="Arial"/>
                <w:sz w:val="16"/>
                <w:szCs w:val="16"/>
                <w:color w:val="auto"/>
              </w:rPr>
              <w:t>real estate</w:t>
            </w:r>
          </w:p>
        </w:tc>
        <w:tc>
          <w:tcPr>
            <w:tcW w:w="1740" w:type="dxa"/>
            <w:vAlign w:val="bottom"/>
            <w:tcBorders>
              <w:bottom w:val="single" w:sz="8" w:color="auto"/>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500" w:type="dxa"/>
            <w:vAlign w:val="bottom"/>
            <w:tcBorders>
              <w:bottom w:val="single" w:sz="8" w:color="auto"/>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shd w:val="clear" w:color="auto" w:fill="000000"/>
          </w:tcPr>
          <w:p>
            <w:pPr>
              <w:spacing w:after="0"/>
              <w:rPr>
                <w:sz w:val="18"/>
                <w:szCs w:val="18"/>
                <w:color w:val="auto"/>
              </w:rPr>
            </w:pPr>
          </w:p>
        </w:tc>
        <w:tc>
          <w:tcPr>
            <w:tcW w:w="0" w:type="dxa"/>
            <w:vAlign w:val="bottom"/>
          </w:tcPr>
          <w:p>
            <w:pPr>
              <w:spacing w:after="0"/>
              <w:rPr>
                <w:sz w:val="1"/>
                <w:szCs w:val="1"/>
                <w:color w:val="auto"/>
              </w:rPr>
            </w:pPr>
          </w:p>
        </w:tc>
      </w:tr>
      <w:tr>
        <w:trPr>
          <w:trHeight w:val="199"/>
        </w:trPr>
        <w:tc>
          <w:tcPr>
            <w:tcW w:w="20" w:type="dxa"/>
            <w:vAlign w:val="bottom"/>
            <w:tcBorders>
              <w:bottom w:val="single" w:sz="8" w:color="auto"/>
            </w:tcBorders>
            <w:shd w:val="clear" w:color="auto" w:fill="000000"/>
          </w:tcPr>
          <w:p>
            <w:pPr>
              <w:spacing w:after="0"/>
              <w:rPr>
                <w:sz w:val="17"/>
                <w:szCs w:val="17"/>
                <w:color w:val="auto"/>
              </w:rPr>
            </w:pPr>
          </w:p>
        </w:tc>
        <w:tc>
          <w:tcPr>
            <w:tcW w:w="2520" w:type="dxa"/>
            <w:vAlign w:val="bottom"/>
            <w:tcBorders>
              <w:left w:val="single" w:sz="8" w:color="auto"/>
            </w:tcBorders>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80" w:type="dxa"/>
            <w:vAlign w:val="bottom"/>
            <w:tcBorders>
              <w:right w:val="single" w:sz="8" w:color="auto"/>
            </w:tcBorders>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20" w:type="dxa"/>
            <w:vAlign w:val="bottom"/>
            <w:tcBorders>
              <w:right w:val="single" w:sz="8" w:color="auto"/>
            </w:tcBorders>
            <w:shd w:val="clear" w:color="auto" w:fill="CCEEFF"/>
          </w:tcPr>
          <w:p>
            <w:pPr>
              <w:spacing w:after="0"/>
              <w:rPr>
                <w:sz w:val="17"/>
                <w:szCs w:val="17"/>
                <w:color w:val="auto"/>
              </w:rPr>
            </w:pPr>
          </w:p>
        </w:tc>
        <w:tc>
          <w:tcPr>
            <w:tcW w:w="1880" w:type="dxa"/>
            <w:vAlign w:val="bottom"/>
            <w:tcBorders>
              <w:bottom w:val="single" w:sz="8" w:color="auto"/>
            </w:tcBorders>
            <w:gridSpan w:val="2"/>
            <w:shd w:val="clear" w:color="auto" w:fill="CCEEFF"/>
          </w:tcPr>
          <w:p>
            <w:pPr>
              <w:spacing w:after="0"/>
              <w:rPr>
                <w:sz w:val="20"/>
                <w:szCs w:val="20"/>
                <w:color w:val="auto"/>
              </w:rPr>
            </w:pPr>
            <w:r>
              <w:rPr>
                <w:rFonts w:ascii="Arial" w:cs="Arial" w:eastAsia="Arial" w:hAnsi="Arial"/>
                <w:sz w:val="16"/>
                <w:szCs w:val="16"/>
                <w:color w:val="auto"/>
                <w:w w:val="97"/>
              </w:rPr>
              <w:t>Terminal capitalization rate</w:t>
            </w:r>
          </w:p>
        </w:tc>
        <w:tc>
          <w:tcPr>
            <w:tcW w:w="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4.3 %</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auto"/>
            </w:tcBorders>
            <w:shd w:val="clear" w:color="auto" w:fill="CCEEFF"/>
          </w:tcPr>
          <w:p>
            <w:pPr>
              <w:spacing w:after="0"/>
              <w:rPr>
                <w:sz w:val="17"/>
                <w:szCs w:val="17"/>
                <w:color w:val="auto"/>
              </w:rPr>
            </w:pPr>
          </w:p>
        </w:tc>
        <w:tc>
          <w:tcPr>
            <w:tcW w:w="1500" w:type="dxa"/>
            <w:vAlign w:val="bottom"/>
            <w:tcBorders>
              <w:bottom w:val="single" w:sz="8" w:color="auto"/>
            </w:tcBorders>
            <w:shd w:val="clear" w:color="auto" w:fill="CCEEFF"/>
          </w:tcPr>
          <w:p>
            <w:pPr>
              <w:jc w:val="right"/>
              <w:ind w:right="139"/>
              <w:spacing w:after="0"/>
              <w:rPr>
                <w:sz w:val="20"/>
                <w:szCs w:val="20"/>
                <w:color w:val="auto"/>
              </w:rPr>
            </w:pPr>
            <w:r>
              <w:rPr>
                <w:rFonts w:ascii="Arial" w:cs="Arial" w:eastAsia="Arial" w:hAnsi="Arial"/>
                <w:sz w:val="16"/>
                <w:szCs w:val="16"/>
                <w:color w:val="auto"/>
              </w:rPr>
              <w:t>9.3 %</w:t>
            </w:r>
          </w:p>
        </w:tc>
        <w:tc>
          <w:tcPr>
            <w:tcW w:w="960" w:type="dxa"/>
            <w:vAlign w:val="bottom"/>
            <w:tcBorders>
              <w:bottom w:val="single" w:sz="8" w:color="auto"/>
              <w:right w:val="single" w:sz="8" w:color="CCEEFF"/>
            </w:tcBorders>
            <w:gridSpan w:val="3"/>
            <w:shd w:val="clear" w:color="auto" w:fill="CCEEFF"/>
          </w:tcPr>
          <w:p>
            <w:pPr>
              <w:jc w:val="right"/>
              <w:ind w:right="120"/>
              <w:spacing w:after="0"/>
              <w:rPr>
                <w:sz w:val="20"/>
                <w:szCs w:val="20"/>
                <w:color w:val="auto"/>
              </w:rPr>
            </w:pPr>
            <w:r>
              <w:rPr>
                <w:rFonts w:ascii="Arial" w:cs="Arial" w:eastAsia="Arial" w:hAnsi="Arial"/>
                <w:sz w:val="16"/>
                <w:szCs w:val="16"/>
                <w:color w:val="auto"/>
              </w:rPr>
              <w:t>5.6 %</w:t>
            </w:r>
          </w:p>
        </w:tc>
        <w:tc>
          <w:tcPr>
            <w:tcW w:w="20" w:type="dxa"/>
            <w:vAlign w:val="bottom"/>
            <w:tcBorders>
              <w:bottom w:val="single" w:sz="8" w:color="auto"/>
            </w:tcBorders>
            <w:shd w:val="clear" w:color="auto" w:fill="000000"/>
          </w:tcPr>
          <w:p>
            <w:pPr>
              <w:spacing w:after="0"/>
              <w:rPr>
                <w:sz w:val="17"/>
                <w:szCs w:val="17"/>
                <w:color w:val="auto"/>
              </w:rPr>
            </w:pPr>
          </w:p>
        </w:tc>
        <w:tc>
          <w:tcPr>
            <w:tcW w:w="0" w:type="dxa"/>
            <w:vAlign w:val="bottom"/>
          </w:tcPr>
          <w:p>
            <w:pPr>
              <w:spacing w:after="0"/>
              <w:rPr>
                <w:sz w:val="1"/>
                <w:szCs w:val="1"/>
                <w:color w:val="auto"/>
              </w:rPr>
            </w:pPr>
          </w:p>
        </w:tc>
      </w:tr>
      <w:tr>
        <w:trPr>
          <w:trHeight w:val="186"/>
        </w:trPr>
        <w:tc>
          <w:tcPr>
            <w:tcW w:w="20" w:type="dxa"/>
            <w:vAlign w:val="bottom"/>
            <w:shd w:val="clear" w:color="auto" w:fill="000000"/>
          </w:tcPr>
          <w:p>
            <w:pPr>
              <w:spacing w:after="0"/>
              <w:rPr>
                <w:sz w:val="16"/>
                <w:szCs w:val="16"/>
                <w:color w:val="auto"/>
              </w:rPr>
            </w:pPr>
          </w:p>
        </w:tc>
        <w:tc>
          <w:tcPr>
            <w:tcW w:w="2520" w:type="dxa"/>
            <w:vAlign w:val="bottom"/>
            <w:tcBorders>
              <w:left w:val="single" w:sz="8" w:color="auto"/>
            </w:tcBorders>
          </w:tcPr>
          <w:p>
            <w:pPr>
              <w:spacing w:after="0"/>
              <w:rPr>
                <w:sz w:val="16"/>
                <w:szCs w:val="16"/>
                <w:color w:val="auto"/>
              </w:rPr>
            </w:pPr>
          </w:p>
        </w:tc>
        <w:tc>
          <w:tcPr>
            <w:tcW w:w="740" w:type="dxa"/>
            <w:vAlign w:val="bottom"/>
          </w:tcPr>
          <w:p>
            <w:pPr>
              <w:spacing w:after="0"/>
              <w:rPr>
                <w:sz w:val="16"/>
                <w:szCs w:val="16"/>
                <w:color w:val="auto"/>
              </w:rPr>
            </w:pPr>
          </w:p>
        </w:tc>
        <w:tc>
          <w:tcPr>
            <w:tcW w:w="180" w:type="dxa"/>
            <w:vAlign w:val="bottom"/>
            <w:tcBorders>
              <w:right w:val="single" w:sz="8" w:color="auto"/>
            </w:tcBorders>
          </w:tcPr>
          <w:p>
            <w:pPr>
              <w:spacing w:after="0"/>
              <w:rPr>
                <w:sz w:val="16"/>
                <w:szCs w:val="16"/>
                <w:color w:val="auto"/>
              </w:rPr>
            </w:pPr>
          </w:p>
        </w:tc>
        <w:tc>
          <w:tcPr>
            <w:tcW w:w="1000" w:type="dxa"/>
            <w:vAlign w:val="bottom"/>
          </w:tcPr>
          <w:p>
            <w:pPr>
              <w:spacing w:after="0"/>
              <w:rPr>
                <w:sz w:val="16"/>
                <w:szCs w:val="16"/>
                <w:color w:val="auto"/>
              </w:rPr>
            </w:pPr>
          </w:p>
        </w:tc>
        <w:tc>
          <w:tcPr>
            <w:tcW w:w="220" w:type="dxa"/>
            <w:vAlign w:val="bottom"/>
            <w:tcBorders>
              <w:right w:val="single" w:sz="8" w:color="auto"/>
            </w:tcBorders>
          </w:tcPr>
          <w:p>
            <w:pPr>
              <w:spacing w:after="0"/>
              <w:rPr>
                <w:sz w:val="16"/>
                <w:szCs w:val="16"/>
                <w:color w:val="auto"/>
              </w:rPr>
            </w:pPr>
          </w:p>
        </w:tc>
        <w:tc>
          <w:tcPr>
            <w:tcW w:w="1880" w:type="dxa"/>
            <w:vAlign w:val="bottom"/>
            <w:gridSpan w:val="2"/>
          </w:tcPr>
          <w:p>
            <w:pPr>
              <w:spacing w:after="0"/>
              <w:rPr>
                <w:sz w:val="20"/>
                <w:szCs w:val="20"/>
                <w:color w:val="auto"/>
              </w:rPr>
            </w:pPr>
            <w:r>
              <w:rPr>
                <w:rFonts w:ascii="Arial" w:cs="Arial" w:eastAsia="Arial" w:hAnsi="Arial"/>
                <w:sz w:val="16"/>
                <w:szCs w:val="16"/>
                <w:color w:val="auto"/>
                <w:w w:val="94"/>
              </w:rPr>
              <w:t>Average market rent growth</w:t>
            </w:r>
          </w:p>
        </w:tc>
        <w:tc>
          <w:tcPr>
            <w:tcW w:w="520" w:type="dxa"/>
            <w:vAlign w:val="bottom"/>
          </w:tcPr>
          <w:p>
            <w:pPr>
              <w:jc w:val="right"/>
              <w:spacing w:after="0"/>
              <w:rPr>
                <w:sz w:val="20"/>
                <w:szCs w:val="20"/>
                <w:color w:val="auto"/>
              </w:rPr>
            </w:pPr>
            <w:r>
              <w:rPr>
                <w:rFonts w:ascii="Arial" w:cs="Arial" w:eastAsia="Arial" w:hAnsi="Arial"/>
                <w:sz w:val="16"/>
                <w:szCs w:val="16"/>
                <w:color w:val="auto"/>
              </w:rPr>
              <w:t>1.6 %</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6"/>
                <w:szCs w:val="16"/>
                <w:color w:val="auto"/>
              </w:rPr>
            </w:pPr>
          </w:p>
        </w:tc>
        <w:tc>
          <w:tcPr>
            <w:tcW w:w="1500" w:type="dxa"/>
            <w:vAlign w:val="bottom"/>
          </w:tcPr>
          <w:p>
            <w:pPr>
              <w:jc w:val="right"/>
              <w:ind w:right="139"/>
              <w:spacing w:after="0"/>
              <w:rPr>
                <w:sz w:val="20"/>
                <w:szCs w:val="20"/>
                <w:color w:val="auto"/>
              </w:rPr>
            </w:pPr>
            <w:r>
              <w:rPr>
                <w:rFonts w:ascii="Arial" w:cs="Arial" w:eastAsia="Arial" w:hAnsi="Arial"/>
                <w:sz w:val="16"/>
                <w:szCs w:val="16"/>
                <w:color w:val="auto"/>
              </w:rPr>
              <w:t>3.6 %</w:t>
            </w:r>
          </w:p>
        </w:tc>
        <w:tc>
          <w:tcPr>
            <w:tcW w:w="960" w:type="dxa"/>
            <w:vAlign w:val="bottom"/>
            <w:gridSpan w:val="3"/>
          </w:tcPr>
          <w:p>
            <w:pPr>
              <w:jc w:val="right"/>
              <w:ind w:right="120"/>
              <w:spacing w:after="0"/>
              <w:rPr>
                <w:sz w:val="20"/>
                <w:szCs w:val="20"/>
                <w:color w:val="auto"/>
              </w:rPr>
            </w:pPr>
            <w:r>
              <w:rPr>
                <w:rFonts w:ascii="Arial" w:cs="Arial" w:eastAsia="Arial" w:hAnsi="Arial"/>
                <w:sz w:val="16"/>
                <w:szCs w:val="16"/>
                <w:color w:val="auto"/>
              </w:rPr>
              <w:t>2.7 %</w:t>
            </w:r>
          </w:p>
        </w:tc>
        <w:tc>
          <w:tcPr>
            <w:tcW w:w="20" w:type="dxa"/>
            <w:vAlign w:val="bottom"/>
            <w:shd w:val="clear" w:color="auto" w:fill="000000"/>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20" w:type="dxa"/>
            <w:vAlign w:val="bottom"/>
            <w:tcBorders>
              <w:bottom w:val="single" w:sz="8" w:color="auto"/>
            </w:tcBorders>
            <w:shd w:val="clear" w:color="auto" w:fill="000000"/>
          </w:tcPr>
          <w:p>
            <w:pPr>
              <w:spacing w:after="0"/>
              <w:rPr>
                <w:sz w:val="18"/>
                <w:szCs w:val="18"/>
                <w:color w:val="auto"/>
              </w:rPr>
            </w:pPr>
          </w:p>
        </w:tc>
        <w:tc>
          <w:tcPr>
            <w:tcW w:w="2520" w:type="dxa"/>
            <w:vAlign w:val="bottom"/>
            <w:tcBorders>
              <w:left w:val="single" w:sz="8" w:color="auto"/>
              <w:bottom w:val="single" w:sz="8" w:color="CCEEFF"/>
            </w:tcBorders>
          </w:tcPr>
          <w:p>
            <w:pPr>
              <w:spacing w:after="0"/>
              <w:rPr>
                <w:sz w:val="18"/>
                <w:szCs w:val="18"/>
                <w:color w:val="auto"/>
              </w:rPr>
            </w:pPr>
          </w:p>
        </w:tc>
        <w:tc>
          <w:tcPr>
            <w:tcW w:w="740" w:type="dxa"/>
            <w:vAlign w:val="bottom"/>
            <w:tcBorders>
              <w:bottom w:val="single" w:sz="8" w:color="CCEEFF"/>
            </w:tcBorders>
          </w:tcPr>
          <w:p>
            <w:pPr>
              <w:spacing w:after="0"/>
              <w:rPr>
                <w:sz w:val="18"/>
                <w:szCs w:val="18"/>
                <w:color w:val="auto"/>
              </w:rPr>
            </w:pPr>
          </w:p>
        </w:tc>
        <w:tc>
          <w:tcPr>
            <w:tcW w:w="180" w:type="dxa"/>
            <w:vAlign w:val="bottom"/>
            <w:tcBorders>
              <w:bottom w:val="single" w:sz="8" w:color="CCEEFF"/>
              <w:right w:val="single" w:sz="8" w:color="auto"/>
            </w:tcBorders>
          </w:tcPr>
          <w:p>
            <w:pPr>
              <w:spacing w:after="0"/>
              <w:rPr>
                <w:sz w:val="18"/>
                <w:szCs w:val="18"/>
                <w:color w:val="auto"/>
              </w:rPr>
            </w:pPr>
          </w:p>
        </w:tc>
        <w:tc>
          <w:tcPr>
            <w:tcW w:w="1000" w:type="dxa"/>
            <w:vAlign w:val="bottom"/>
            <w:tcBorders>
              <w:bottom w:val="single" w:sz="8" w:color="auto"/>
            </w:tcBorders>
          </w:tcPr>
          <w:p>
            <w:pPr>
              <w:spacing w:after="0"/>
              <w:rPr>
                <w:sz w:val="18"/>
                <w:szCs w:val="18"/>
                <w:color w:val="auto"/>
              </w:rPr>
            </w:pPr>
          </w:p>
        </w:tc>
        <w:tc>
          <w:tcPr>
            <w:tcW w:w="220" w:type="dxa"/>
            <w:vAlign w:val="bottom"/>
            <w:tcBorders>
              <w:bottom w:val="single" w:sz="8" w:color="auto"/>
              <w:right w:val="single" w:sz="8" w:color="auto"/>
            </w:tcBorders>
          </w:tcPr>
          <w:p>
            <w:pPr>
              <w:spacing w:after="0"/>
              <w:rPr>
                <w:sz w:val="18"/>
                <w:szCs w:val="18"/>
                <w:color w:val="auto"/>
              </w:rPr>
            </w:pPr>
          </w:p>
        </w:tc>
        <w:tc>
          <w:tcPr>
            <w:tcW w:w="1880" w:type="dxa"/>
            <w:vAlign w:val="bottom"/>
            <w:tcBorders>
              <w:bottom w:val="single" w:sz="8" w:color="auto"/>
            </w:tcBorders>
            <w:gridSpan w:val="2"/>
          </w:tcPr>
          <w:p>
            <w:pPr>
              <w:ind w:left="40"/>
              <w:spacing w:after="0"/>
              <w:rPr>
                <w:sz w:val="20"/>
                <w:szCs w:val="20"/>
                <w:color w:val="auto"/>
              </w:rPr>
            </w:pPr>
            <w:r>
              <w:rPr>
                <w:rFonts w:ascii="Arial" w:cs="Arial" w:eastAsia="Arial" w:hAnsi="Arial"/>
                <w:sz w:val="16"/>
                <w:szCs w:val="16"/>
                <w:color w:val="auto"/>
              </w:rPr>
              <w:t>rate</w:t>
            </w:r>
          </w:p>
        </w:tc>
        <w:tc>
          <w:tcPr>
            <w:tcW w:w="520" w:type="dxa"/>
            <w:vAlign w:val="bottom"/>
            <w:tcBorders>
              <w:bottom w:val="single" w:sz="8" w:color="auto"/>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500" w:type="dxa"/>
            <w:vAlign w:val="bottom"/>
            <w:tcBorders>
              <w:bottom w:val="single" w:sz="8" w:color="auto"/>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shd w:val="clear" w:color="auto" w:fill="000000"/>
          </w:tcPr>
          <w:p>
            <w:pPr>
              <w:spacing w:after="0"/>
              <w:rPr>
                <w:sz w:val="18"/>
                <w:szCs w:val="18"/>
                <w:color w:val="auto"/>
              </w:rPr>
            </w:pPr>
          </w:p>
        </w:tc>
        <w:tc>
          <w:tcPr>
            <w:tcW w:w="0" w:type="dxa"/>
            <w:vAlign w:val="bottom"/>
          </w:tcPr>
          <w:p>
            <w:pPr>
              <w:spacing w:after="0"/>
              <w:rPr>
                <w:sz w:val="1"/>
                <w:szCs w:val="1"/>
                <w:color w:val="auto"/>
              </w:rPr>
            </w:pPr>
          </w:p>
        </w:tc>
      </w:tr>
      <w:tr>
        <w:trPr>
          <w:trHeight w:val="189"/>
        </w:trPr>
        <w:tc>
          <w:tcPr>
            <w:tcW w:w="20" w:type="dxa"/>
            <w:vAlign w:val="bottom"/>
            <w:shd w:val="clear" w:color="auto" w:fill="000000"/>
          </w:tcPr>
          <w:p>
            <w:pPr>
              <w:spacing w:after="0"/>
              <w:rPr>
                <w:sz w:val="16"/>
                <w:szCs w:val="16"/>
                <w:color w:val="auto"/>
              </w:rPr>
            </w:pPr>
          </w:p>
        </w:tc>
        <w:tc>
          <w:tcPr>
            <w:tcW w:w="2520" w:type="dxa"/>
            <w:vAlign w:val="bottom"/>
            <w:tcBorders>
              <w:left w:val="single" w:sz="8" w:color="auto"/>
            </w:tcBorders>
            <w:shd w:val="clear" w:color="auto" w:fill="CCEEFF"/>
          </w:tcPr>
          <w:p>
            <w:pPr>
              <w:spacing w:after="0"/>
              <w:rPr>
                <w:sz w:val="16"/>
                <w:szCs w:val="16"/>
                <w:color w:val="auto"/>
              </w:rPr>
            </w:pPr>
          </w:p>
        </w:tc>
        <w:tc>
          <w:tcPr>
            <w:tcW w:w="740" w:type="dxa"/>
            <w:vAlign w:val="bottom"/>
            <w:shd w:val="clear" w:color="auto" w:fill="CCEEFF"/>
          </w:tcPr>
          <w:p>
            <w:pPr>
              <w:spacing w:after="0"/>
              <w:rPr>
                <w:sz w:val="16"/>
                <w:szCs w:val="16"/>
                <w:color w:val="auto"/>
              </w:rPr>
            </w:pPr>
          </w:p>
        </w:tc>
        <w:tc>
          <w:tcPr>
            <w:tcW w:w="180" w:type="dxa"/>
            <w:vAlign w:val="bottom"/>
            <w:tcBorders>
              <w:right w:val="single" w:sz="8" w:color="auto"/>
            </w:tcBorders>
            <w:shd w:val="clear" w:color="auto" w:fill="CCEEFF"/>
          </w:tcPr>
          <w:p>
            <w:pPr>
              <w:spacing w:after="0"/>
              <w:rPr>
                <w:sz w:val="16"/>
                <w:szCs w:val="16"/>
                <w:color w:val="auto"/>
              </w:rPr>
            </w:pPr>
          </w:p>
        </w:tc>
        <w:tc>
          <w:tcPr>
            <w:tcW w:w="1220" w:type="dxa"/>
            <w:vAlign w:val="bottom"/>
            <w:tcBorders>
              <w:right w:val="single" w:sz="8" w:color="auto"/>
            </w:tcBorders>
            <w:gridSpan w:val="2"/>
            <w:shd w:val="clear" w:color="auto" w:fill="CCEEFF"/>
          </w:tcPr>
          <w:p>
            <w:pPr>
              <w:spacing w:after="0"/>
              <w:rPr>
                <w:sz w:val="20"/>
                <w:szCs w:val="20"/>
                <w:color w:val="auto"/>
              </w:rPr>
            </w:pPr>
            <w:r>
              <w:rPr>
                <w:rFonts w:ascii="Arial" w:cs="Arial" w:eastAsia="Arial" w:hAnsi="Arial"/>
                <w:sz w:val="16"/>
                <w:szCs w:val="16"/>
                <w:color w:val="auto"/>
              </w:rPr>
              <w:t>Discounted</w:t>
            </w:r>
          </w:p>
        </w:tc>
        <w:tc>
          <w:tcPr>
            <w:tcW w:w="188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Loan to value</w:t>
            </w: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8"/>
              </w:rPr>
              <w:t>40.1 %</w:t>
            </w: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CEEFF"/>
          </w:tcPr>
          <w:p>
            <w:pPr>
              <w:spacing w:after="0"/>
              <w:rPr>
                <w:sz w:val="16"/>
                <w:szCs w:val="16"/>
                <w:color w:val="auto"/>
              </w:rPr>
            </w:pPr>
          </w:p>
        </w:tc>
        <w:tc>
          <w:tcPr>
            <w:tcW w:w="150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58.5 %</w:t>
            </w:r>
          </w:p>
        </w:tc>
        <w:tc>
          <w:tcPr>
            <w:tcW w:w="960" w:type="dxa"/>
            <w:vAlign w:val="bottom"/>
            <w:tcBorders>
              <w:right w:val="single" w:sz="8" w:color="CCEEFF"/>
            </w:tcBorders>
            <w:gridSpan w:val="3"/>
            <w:shd w:val="clear" w:color="auto" w:fill="CCEEFF"/>
          </w:tcPr>
          <w:p>
            <w:pPr>
              <w:jc w:val="right"/>
              <w:ind w:right="120"/>
              <w:spacing w:after="0"/>
              <w:rPr>
                <w:sz w:val="20"/>
                <w:szCs w:val="20"/>
                <w:color w:val="auto"/>
              </w:rPr>
            </w:pPr>
            <w:r>
              <w:rPr>
                <w:rFonts w:ascii="Arial" w:cs="Arial" w:eastAsia="Arial" w:hAnsi="Arial"/>
                <w:sz w:val="16"/>
                <w:szCs w:val="16"/>
                <w:color w:val="auto"/>
              </w:rPr>
              <w:t>46.0 %</w:t>
            </w:r>
          </w:p>
        </w:tc>
        <w:tc>
          <w:tcPr>
            <w:tcW w:w="20" w:type="dxa"/>
            <w:vAlign w:val="bottom"/>
            <w:shd w:val="clear" w:color="auto" w:fill="000000"/>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20" w:type="dxa"/>
            <w:vAlign w:val="bottom"/>
            <w:shd w:val="clear" w:color="auto" w:fill="000000"/>
          </w:tcPr>
          <w:p>
            <w:pPr>
              <w:spacing w:after="0"/>
              <w:rPr>
                <w:sz w:val="17"/>
                <w:szCs w:val="17"/>
                <w:color w:val="auto"/>
              </w:rPr>
            </w:pPr>
          </w:p>
        </w:tc>
        <w:tc>
          <w:tcPr>
            <w:tcW w:w="2520" w:type="dxa"/>
            <w:vAlign w:val="bottom"/>
            <w:tcBorders>
              <w:left w:val="single" w:sz="8" w:color="auto"/>
            </w:tcBorders>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80" w:type="dxa"/>
            <w:vAlign w:val="bottom"/>
            <w:tcBorders>
              <w:right w:val="single" w:sz="8" w:color="auto"/>
            </w:tcBorders>
            <w:shd w:val="clear" w:color="auto" w:fill="CCEEFF"/>
          </w:tcPr>
          <w:p>
            <w:pPr>
              <w:spacing w:after="0"/>
              <w:rPr>
                <w:sz w:val="17"/>
                <w:szCs w:val="17"/>
                <w:color w:val="auto"/>
              </w:rPr>
            </w:pPr>
          </w:p>
        </w:tc>
        <w:tc>
          <w:tcPr>
            <w:tcW w:w="1220" w:type="dxa"/>
            <w:vAlign w:val="bottom"/>
            <w:tcBorders>
              <w:right w:val="single" w:sz="8" w:color="auto"/>
            </w:tcBorders>
            <w:gridSpan w:val="2"/>
            <w:shd w:val="clear" w:color="auto" w:fill="CCEEFF"/>
          </w:tcPr>
          <w:p>
            <w:pPr>
              <w:ind w:left="120"/>
              <w:spacing w:after="0"/>
              <w:rPr>
                <w:sz w:val="20"/>
                <w:szCs w:val="20"/>
                <w:color w:val="auto"/>
              </w:rPr>
            </w:pPr>
            <w:r>
              <w:rPr>
                <w:rFonts w:ascii="Arial" w:cs="Arial" w:eastAsia="Arial" w:hAnsi="Arial"/>
                <w:sz w:val="16"/>
                <w:szCs w:val="16"/>
                <w:color w:val="auto"/>
              </w:rPr>
              <w:t>cash flow -</w:t>
            </w:r>
          </w:p>
        </w:tc>
        <w:tc>
          <w:tcPr>
            <w:tcW w:w="17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5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260" w:type="dxa"/>
            <w:vAlign w:val="bottom"/>
            <w:tcBorders>
              <w:right w:val="single" w:sz="8" w:color="CCEEFF"/>
            </w:tcBorders>
            <w:shd w:val="clear" w:color="auto" w:fill="CCEEFF"/>
          </w:tcPr>
          <w:p>
            <w:pPr>
              <w:spacing w:after="0"/>
              <w:rPr>
                <w:sz w:val="17"/>
                <w:szCs w:val="17"/>
                <w:color w:val="auto"/>
              </w:rPr>
            </w:pPr>
          </w:p>
        </w:tc>
        <w:tc>
          <w:tcPr>
            <w:tcW w:w="20" w:type="dxa"/>
            <w:vAlign w:val="bottom"/>
            <w:shd w:val="clear" w:color="auto" w:fill="000000"/>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shd w:val="clear" w:color="auto" w:fill="000000"/>
          </w:tcPr>
          <w:p>
            <w:pPr>
              <w:spacing w:after="0"/>
              <w:rPr>
                <w:sz w:val="17"/>
                <w:szCs w:val="17"/>
                <w:color w:val="auto"/>
              </w:rPr>
            </w:pPr>
          </w:p>
        </w:tc>
        <w:tc>
          <w:tcPr>
            <w:tcW w:w="2520" w:type="dxa"/>
            <w:vAlign w:val="bottom"/>
            <w:tcBorders>
              <w:left w:val="single" w:sz="8" w:color="auto"/>
            </w:tcBorders>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80" w:type="dxa"/>
            <w:vAlign w:val="bottom"/>
            <w:tcBorders>
              <w:right w:val="single" w:sz="8" w:color="auto"/>
            </w:tcBorders>
            <w:shd w:val="clear" w:color="auto" w:fill="CCEEFF"/>
          </w:tcPr>
          <w:p>
            <w:pPr>
              <w:spacing w:after="0"/>
              <w:rPr>
                <w:sz w:val="17"/>
                <w:szCs w:val="17"/>
                <w:color w:val="auto"/>
              </w:rPr>
            </w:pPr>
          </w:p>
        </w:tc>
        <w:tc>
          <w:tcPr>
            <w:tcW w:w="1220" w:type="dxa"/>
            <w:vAlign w:val="bottom"/>
            <w:tcBorders>
              <w:right w:val="single" w:sz="8" w:color="auto"/>
            </w:tcBorders>
            <w:gridSpan w:val="2"/>
            <w:shd w:val="clear" w:color="auto" w:fill="CCEEFF"/>
          </w:tcPr>
          <w:p>
            <w:pPr>
              <w:ind w:left="120"/>
              <w:spacing w:after="0"/>
              <w:rPr>
                <w:sz w:val="20"/>
                <w:szCs w:val="20"/>
                <w:color w:val="auto"/>
              </w:rPr>
            </w:pPr>
            <w:r>
              <w:rPr>
                <w:rFonts w:ascii="Arial" w:cs="Arial" w:eastAsia="Arial" w:hAnsi="Arial"/>
                <w:sz w:val="16"/>
                <w:szCs w:val="16"/>
                <w:color w:val="auto"/>
              </w:rPr>
              <w:t>real estate</w:t>
            </w:r>
          </w:p>
        </w:tc>
        <w:tc>
          <w:tcPr>
            <w:tcW w:w="17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5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260" w:type="dxa"/>
            <w:vAlign w:val="bottom"/>
            <w:tcBorders>
              <w:right w:val="single" w:sz="8" w:color="CCEEFF"/>
            </w:tcBorders>
            <w:shd w:val="clear" w:color="auto" w:fill="CCEEFF"/>
          </w:tcPr>
          <w:p>
            <w:pPr>
              <w:spacing w:after="0"/>
              <w:rPr>
                <w:sz w:val="17"/>
                <w:szCs w:val="17"/>
                <w:color w:val="auto"/>
              </w:rPr>
            </w:pPr>
          </w:p>
        </w:tc>
        <w:tc>
          <w:tcPr>
            <w:tcW w:w="20" w:type="dxa"/>
            <w:vAlign w:val="bottom"/>
            <w:shd w:val="clear" w:color="auto" w:fill="000000"/>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20" w:type="dxa"/>
            <w:vAlign w:val="bottom"/>
            <w:tcBorders>
              <w:bottom w:val="single" w:sz="8" w:color="auto"/>
            </w:tcBorders>
            <w:shd w:val="clear" w:color="auto" w:fill="000000"/>
          </w:tcPr>
          <w:p>
            <w:pPr>
              <w:spacing w:after="0"/>
              <w:rPr>
                <w:sz w:val="18"/>
                <w:szCs w:val="18"/>
                <w:color w:val="auto"/>
              </w:rPr>
            </w:pPr>
          </w:p>
        </w:tc>
        <w:tc>
          <w:tcPr>
            <w:tcW w:w="2520" w:type="dxa"/>
            <w:vAlign w:val="bottom"/>
            <w:tcBorders>
              <w:left w:val="single" w:sz="8" w:color="auto"/>
            </w:tcBorders>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80" w:type="dxa"/>
            <w:vAlign w:val="bottom"/>
            <w:tcBorders>
              <w:right w:val="single" w:sz="8" w:color="auto"/>
            </w:tcBorders>
            <w:shd w:val="clear" w:color="auto" w:fill="CCEEFF"/>
          </w:tcPr>
          <w:p>
            <w:pPr>
              <w:spacing w:after="0"/>
              <w:rPr>
                <w:sz w:val="18"/>
                <w:szCs w:val="18"/>
                <w:color w:val="auto"/>
              </w:rPr>
            </w:pPr>
          </w:p>
        </w:tc>
        <w:tc>
          <w:tcPr>
            <w:tcW w:w="1220" w:type="dxa"/>
            <w:vAlign w:val="bottom"/>
            <w:tcBorders>
              <w:right w:val="single" w:sz="8" w:color="auto"/>
            </w:tcBorders>
            <w:gridSpan w:val="2"/>
            <w:shd w:val="clear" w:color="auto" w:fill="CCEEFF"/>
          </w:tcPr>
          <w:p>
            <w:pPr>
              <w:ind w:left="120"/>
              <w:spacing w:after="0"/>
              <w:rPr>
                <w:sz w:val="20"/>
                <w:szCs w:val="20"/>
                <w:color w:val="auto"/>
              </w:rPr>
            </w:pPr>
            <w:r>
              <w:rPr>
                <w:rFonts w:ascii="Arial" w:cs="Arial" w:eastAsia="Arial" w:hAnsi="Arial"/>
                <w:sz w:val="16"/>
                <w:szCs w:val="16"/>
                <w:color w:val="auto"/>
              </w:rPr>
              <w:t>debt</w:t>
            </w:r>
          </w:p>
        </w:tc>
        <w:tc>
          <w:tcPr>
            <w:tcW w:w="1740" w:type="dxa"/>
            <w:vAlign w:val="bottom"/>
            <w:tcBorders>
              <w:bottom w:val="single" w:sz="8" w:color="auto"/>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520" w:type="dxa"/>
            <w:vAlign w:val="bottom"/>
            <w:tcBorders>
              <w:bottom w:val="single" w:sz="8" w:color="auto"/>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1500" w:type="dxa"/>
            <w:vAlign w:val="bottom"/>
            <w:tcBorders>
              <w:bottom w:val="single" w:sz="8" w:color="auto"/>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520" w:type="dxa"/>
            <w:vAlign w:val="bottom"/>
            <w:tcBorders>
              <w:bottom w:val="single" w:sz="8" w:color="auto"/>
            </w:tcBorders>
            <w:shd w:val="clear" w:color="auto" w:fill="CCEEFF"/>
          </w:tcPr>
          <w:p>
            <w:pPr>
              <w:spacing w:after="0"/>
              <w:rPr>
                <w:sz w:val="18"/>
                <w:szCs w:val="18"/>
                <w:color w:val="auto"/>
              </w:rPr>
            </w:pPr>
          </w:p>
        </w:tc>
        <w:tc>
          <w:tcPr>
            <w:tcW w:w="260" w:type="dxa"/>
            <w:vAlign w:val="bottom"/>
            <w:tcBorders>
              <w:bottom w:val="single" w:sz="8" w:color="auto"/>
              <w:right w:val="single" w:sz="8" w:color="CCEEFF"/>
            </w:tcBorders>
            <w:shd w:val="clear" w:color="auto" w:fill="CCEEFF"/>
          </w:tcPr>
          <w:p>
            <w:pPr>
              <w:spacing w:after="0"/>
              <w:rPr>
                <w:sz w:val="18"/>
                <w:szCs w:val="18"/>
                <w:color w:val="auto"/>
              </w:rPr>
            </w:pPr>
          </w:p>
        </w:tc>
        <w:tc>
          <w:tcPr>
            <w:tcW w:w="20" w:type="dxa"/>
            <w:vAlign w:val="bottom"/>
            <w:tcBorders>
              <w:bottom w:val="single" w:sz="8" w:color="auto"/>
            </w:tcBorders>
            <w:shd w:val="clear" w:color="auto" w:fill="000000"/>
          </w:tcPr>
          <w:p>
            <w:pPr>
              <w:spacing w:after="0"/>
              <w:rPr>
                <w:sz w:val="18"/>
                <w:szCs w:val="18"/>
                <w:color w:val="auto"/>
              </w:rPr>
            </w:pPr>
          </w:p>
        </w:tc>
        <w:tc>
          <w:tcPr>
            <w:tcW w:w="0" w:type="dxa"/>
            <w:vAlign w:val="bottom"/>
          </w:tcPr>
          <w:p>
            <w:pPr>
              <w:spacing w:after="0"/>
              <w:rPr>
                <w:sz w:val="1"/>
                <w:szCs w:val="1"/>
                <w:color w:val="auto"/>
              </w:rPr>
            </w:pPr>
          </w:p>
        </w:tc>
      </w:tr>
      <w:tr>
        <w:trPr>
          <w:trHeight w:val="199"/>
        </w:trPr>
        <w:tc>
          <w:tcPr>
            <w:tcW w:w="20" w:type="dxa"/>
            <w:vAlign w:val="bottom"/>
            <w:tcBorders>
              <w:bottom w:val="single" w:sz="8" w:color="auto"/>
            </w:tcBorders>
            <w:shd w:val="clear" w:color="auto" w:fill="000000"/>
          </w:tcPr>
          <w:p>
            <w:pPr>
              <w:spacing w:after="0"/>
              <w:rPr>
                <w:sz w:val="17"/>
                <w:szCs w:val="17"/>
                <w:color w:val="auto"/>
              </w:rPr>
            </w:pPr>
          </w:p>
        </w:tc>
        <w:tc>
          <w:tcPr>
            <w:tcW w:w="2520" w:type="dxa"/>
            <w:vAlign w:val="bottom"/>
            <w:tcBorders>
              <w:left w:val="single" w:sz="8" w:color="auto"/>
              <w:bottom w:val="single" w:sz="8" w:color="auto"/>
            </w:tcBorders>
          </w:tcPr>
          <w:p>
            <w:pPr>
              <w:spacing w:after="0"/>
              <w:rPr>
                <w:sz w:val="17"/>
                <w:szCs w:val="17"/>
                <w:color w:val="auto"/>
              </w:rPr>
            </w:pPr>
          </w:p>
        </w:tc>
        <w:tc>
          <w:tcPr>
            <w:tcW w:w="740" w:type="dxa"/>
            <w:vAlign w:val="bottom"/>
            <w:tcBorders>
              <w:bottom w:val="single" w:sz="8" w:color="auto"/>
            </w:tcBorders>
          </w:tcPr>
          <w:p>
            <w:pPr>
              <w:spacing w:after="0"/>
              <w:rPr>
                <w:sz w:val="17"/>
                <w:szCs w:val="17"/>
                <w:color w:val="auto"/>
              </w:rPr>
            </w:pPr>
          </w:p>
        </w:tc>
        <w:tc>
          <w:tcPr>
            <w:tcW w:w="180" w:type="dxa"/>
            <w:vAlign w:val="bottom"/>
            <w:tcBorders>
              <w:bottom w:val="single" w:sz="8" w:color="auto"/>
              <w:right w:val="single" w:sz="8" w:color="auto"/>
            </w:tcBorders>
          </w:tcPr>
          <w:p>
            <w:pPr>
              <w:spacing w:after="0"/>
              <w:rPr>
                <w:sz w:val="17"/>
                <w:szCs w:val="17"/>
                <w:color w:val="auto"/>
              </w:rPr>
            </w:pPr>
          </w:p>
        </w:tc>
        <w:tc>
          <w:tcPr>
            <w:tcW w:w="1000" w:type="dxa"/>
            <w:vAlign w:val="bottom"/>
            <w:tcBorders>
              <w:bottom w:val="single" w:sz="8" w:color="auto"/>
            </w:tcBorders>
          </w:tcPr>
          <w:p>
            <w:pPr>
              <w:spacing w:after="0"/>
              <w:rPr>
                <w:sz w:val="17"/>
                <w:szCs w:val="17"/>
                <w:color w:val="auto"/>
              </w:rPr>
            </w:pPr>
          </w:p>
        </w:tc>
        <w:tc>
          <w:tcPr>
            <w:tcW w:w="220" w:type="dxa"/>
            <w:vAlign w:val="bottom"/>
            <w:tcBorders>
              <w:bottom w:val="single" w:sz="8" w:color="auto"/>
              <w:right w:val="single" w:sz="8" w:color="auto"/>
            </w:tcBorders>
          </w:tcPr>
          <w:p>
            <w:pPr>
              <w:spacing w:after="0"/>
              <w:rPr>
                <w:sz w:val="17"/>
                <w:szCs w:val="17"/>
                <w:color w:val="auto"/>
              </w:rPr>
            </w:pPr>
          </w:p>
        </w:tc>
        <w:tc>
          <w:tcPr>
            <w:tcW w:w="1880" w:type="dxa"/>
            <w:vAlign w:val="bottom"/>
            <w:tcBorders>
              <w:bottom w:val="single" w:sz="8" w:color="auto"/>
            </w:tcBorders>
            <w:gridSpan w:val="2"/>
          </w:tcPr>
          <w:p>
            <w:pPr>
              <w:spacing w:after="0"/>
              <w:rPr>
                <w:sz w:val="20"/>
                <w:szCs w:val="20"/>
                <w:color w:val="auto"/>
              </w:rPr>
            </w:pPr>
            <w:r>
              <w:rPr>
                <w:rFonts w:ascii="Arial" w:cs="Arial" w:eastAsia="Arial" w:hAnsi="Arial"/>
                <w:sz w:val="16"/>
                <w:szCs w:val="16"/>
                <w:color w:val="auto"/>
              </w:rPr>
              <w:t>Market interest rate</w:t>
            </w: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2.5 %</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auto"/>
            </w:tcBorders>
          </w:tcPr>
          <w:p>
            <w:pPr>
              <w:spacing w:after="0"/>
              <w:rPr>
                <w:sz w:val="17"/>
                <w:szCs w:val="17"/>
                <w:color w:val="auto"/>
              </w:rPr>
            </w:pPr>
          </w:p>
        </w:tc>
        <w:tc>
          <w:tcPr>
            <w:tcW w:w="1500" w:type="dxa"/>
            <w:vAlign w:val="bottom"/>
            <w:tcBorders>
              <w:bottom w:val="single" w:sz="8" w:color="auto"/>
            </w:tcBorders>
          </w:tcPr>
          <w:p>
            <w:pPr>
              <w:jc w:val="right"/>
              <w:ind w:right="139"/>
              <w:spacing w:after="0"/>
              <w:rPr>
                <w:sz w:val="20"/>
                <w:szCs w:val="20"/>
                <w:color w:val="auto"/>
              </w:rPr>
            </w:pPr>
            <w:r>
              <w:rPr>
                <w:rFonts w:ascii="Arial" w:cs="Arial" w:eastAsia="Arial" w:hAnsi="Arial"/>
                <w:sz w:val="16"/>
                <w:szCs w:val="16"/>
                <w:color w:val="auto"/>
              </w:rPr>
              <w:t>3.1 %</w:t>
            </w:r>
          </w:p>
        </w:tc>
        <w:tc>
          <w:tcPr>
            <w:tcW w:w="960" w:type="dxa"/>
            <w:vAlign w:val="bottom"/>
            <w:tcBorders>
              <w:bottom w:val="single" w:sz="8" w:color="auto"/>
            </w:tcBorders>
            <w:gridSpan w:val="3"/>
          </w:tcPr>
          <w:p>
            <w:pPr>
              <w:jc w:val="right"/>
              <w:ind w:right="120"/>
              <w:spacing w:after="0"/>
              <w:rPr>
                <w:sz w:val="20"/>
                <w:szCs w:val="20"/>
                <w:color w:val="auto"/>
              </w:rPr>
            </w:pPr>
            <w:r>
              <w:rPr>
                <w:rFonts w:ascii="Arial" w:cs="Arial" w:eastAsia="Arial" w:hAnsi="Arial"/>
                <w:sz w:val="16"/>
                <w:szCs w:val="16"/>
                <w:color w:val="auto"/>
              </w:rPr>
              <w:t>2.7 %</w:t>
            </w:r>
          </w:p>
        </w:tc>
        <w:tc>
          <w:tcPr>
            <w:tcW w:w="20" w:type="dxa"/>
            <w:vAlign w:val="bottom"/>
            <w:tcBorders>
              <w:bottom w:val="single" w:sz="8" w:color="auto"/>
            </w:tcBorders>
            <w:shd w:val="clear" w:color="auto" w:fill="000000"/>
          </w:tcPr>
          <w:p>
            <w:pPr>
              <w:spacing w:after="0"/>
              <w:rPr>
                <w:sz w:val="17"/>
                <w:szCs w:val="17"/>
                <w:color w:val="auto"/>
              </w:rPr>
            </w:pPr>
          </w:p>
        </w:tc>
        <w:tc>
          <w:tcPr>
            <w:tcW w:w="0" w:type="dxa"/>
            <w:vAlign w:val="bottom"/>
          </w:tcPr>
          <w:p>
            <w:pPr>
              <w:spacing w:after="0"/>
              <w:rPr>
                <w:sz w:val="1"/>
                <w:szCs w:val="1"/>
                <w:color w:val="auto"/>
              </w:rPr>
            </w:pPr>
          </w:p>
        </w:tc>
      </w:tr>
      <w:tr>
        <w:trPr>
          <w:trHeight w:val="423"/>
        </w:trPr>
        <w:tc>
          <w:tcPr>
            <w:tcW w:w="2540" w:type="dxa"/>
            <w:vAlign w:val="bottom"/>
            <w:tcBorders>
              <w:bottom w:val="single" w:sz="8" w:color="auto"/>
            </w:tcBorders>
            <w:gridSpan w:val="2"/>
          </w:tcPr>
          <w:p>
            <w:pPr>
              <w:spacing w:after="0"/>
              <w:rPr>
                <w:sz w:val="20"/>
                <w:szCs w:val="20"/>
                <w:color w:val="auto"/>
              </w:rPr>
            </w:pPr>
            <w:r>
              <w:rPr>
                <w:rFonts w:ascii="Arial" w:cs="Arial" w:eastAsia="Arial" w:hAnsi="Arial"/>
                <w:sz w:val="16"/>
                <w:szCs w:val="16"/>
                <w:b w:val="1"/>
                <w:bCs w:val="1"/>
                <w:color w:val="auto"/>
              </w:rPr>
              <w:t>Liabilities</w:t>
            </w:r>
          </w:p>
        </w:tc>
        <w:tc>
          <w:tcPr>
            <w:tcW w:w="74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7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5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9"/>
        </w:trPr>
        <w:tc>
          <w:tcPr>
            <w:tcW w:w="20" w:type="dxa"/>
            <w:vAlign w:val="bottom"/>
            <w:shd w:val="clear" w:color="auto" w:fill="000000"/>
          </w:tcPr>
          <w:p>
            <w:pPr>
              <w:spacing w:after="0"/>
              <w:rPr>
                <w:sz w:val="16"/>
                <w:szCs w:val="16"/>
                <w:color w:val="auto"/>
              </w:rPr>
            </w:pPr>
          </w:p>
        </w:tc>
        <w:tc>
          <w:tcPr>
            <w:tcW w:w="2520" w:type="dxa"/>
            <w:vAlign w:val="bottom"/>
            <w:tcBorders>
              <w:left w:val="single" w:sz="8" w:color="CCEEFF"/>
            </w:tcBorders>
            <w:shd w:val="clear" w:color="auto" w:fill="CCEEFF"/>
          </w:tcPr>
          <w:p>
            <w:pPr>
              <w:spacing w:after="0"/>
              <w:rPr>
                <w:sz w:val="20"/>
                <w:szCs w:val="20"/>
                <w:color w:val="auto"/>
              </w:rPr>
            </w:pPr>
            <w:r>
              <w:rPr>
                <w:rFonts w:ascii="Arial" w:cs="Arial" w:eastAsia="Arial" w:hAnsi="Arial"/>
                <w:sz w:val="16"/>
                <w:szCs w:val="16"/>
                <w:color w:val="auto"/>
              </w:rPr>
              <w:t>Investment and universal life</w:t>
            </w:r>
          </w:p>
        </w:tc>
        <w:tc>
          <w:tcPr>
            <w:tcW w:w="7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(356.3)</w:t>
            </w:r>
          </w:p>
        </w:tc>
        <w:tc>
          <w:tcPr>
            <w:tcW w:w="180" w:type="dxa"/>
            <w:vAlign w:val="bottom"/>
            <w:tcBorders>
              <w:right w:val="single" w:sz="8" w:color="auto"/>
            </w:tcBorders>
            <w:shd w:val="clear" w:color="auto" w:fill="CCEEFF"/>
          </w:tcPr>
          <w:p>
            <w:pPr>
              <w:spacing w:after="0"/>
              <w:rPr>
                <w:sz w:val="16"/>
                <w:szCs w:val="16"/>
                <w:color w:val="auto"/>
              </w:rPr>
            </w:pPr>
          </w:p>
        </w:tc>
        <w:tc>
          <w:tcPr>
            <w:tcW w:w="1220" w:type="dxa"/>
            <w:vAlign w:val="bottom"/>
            <w:tcBorders>
              <w:right w:val="single" w:sz="8" w:color="auto"/>
            </w:tcBorders>
            <w:gridSpan w:val="2"/>
            <w:shd w:val="clear" w:color="auto" w:fill="CCEEFF"/>
          </w:tcPr>
          <w:p>
            <w:pPr>
              <w:spacing w:after="0"/>
              <w:rPr>
                <w:sz w:val="20"/>
                <w:szCs w:val="20"/>
                <w:color w:val="auto"/>
              </w:rPr>
            </w:pPr>
            <w:r>
              <w:rPr>
                <w:rFonts w:ascii="Arial" w:cs="Arial" w:eastAsia="Arial" w:hAnsi="Arial"/>
                <w:sz w:val="16"/>
                <w:szCs w:val="16"/>
                <w:color w:val="auto"/>
              </w:rPr>
              <w:t>Discounted</w:t>
            </w:r>
          </w:p>
        </w:tc>
        <w:tc>
          <w:tcPr>
            <w:tcW w:w="1880" w:type="dxa"/>
            <w:vAlign w:val="bottom"/>
            <w:gridSpan w:val="2"/>
            <w:shd w:val="clear" w:color="auto" w:fill="CCEEFF"/>
          </w:tcPr>
          <w:p>
            <w:pPr>
              <w:spacing w:after="0"/>
              <w:rPr>
                <w:sz w:val="20"/>
                <w:szCs w:val="20"/>
                <w:color w:val="auto"/>
              </w:rPr>
            </w:pPr>
            <w:r>
              <w:rPr>
                <w:rFonts w:ascii="Arial" w:cs="Arial" w:eastAsia="Arial" w:hAnsi="Arial"/>
                <w:sz w:val="16"/>
                <w:szCs w:val="16"/>
                <w:color w:val="auto"/>
                <w:w w:val="99"/>
              </w:rPr>
              <w:t>Long duration interest rate</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1.8 %</w:t>
            </w:r>
          </w:p>
        </w:tc>
        <w:tc>
          <w:tcPr>
            <w:tcW w:w="200" w:type="dxa"/>
            <w:vAlign w:val="bottom"/>
            <w:shd w:val="clear" w:color="auto" w:fill="CCEEFF"/>
          </w:tcPr>
          <w:p>
            <w:pPr>
              <w:ind w:left="40"/>
              <w:spacing w:after="0"/>
              <w:rPr>
                <w:sz w:val="20"/>
                <w:szCs w:val="20"/>
                <w:color w:val="auto"/>
              </w:rPr>
            </w:pPr>
            <w:r>
              <w:rPr>
                <w:rFonts w:ascii="Arial" w:cs="Arial" w:eastAsia="Arial" w:hAnsi="Arial"/>
                <w:sz w:val="16"/>
                <w:szCs w:val="16"/>
                <w:color w:val="auto"/>
              </w:rPr>
              <w:t>-</w:t>
            </w:r>
          </w:p>
        </w:tc>
        <w:tc>
          <w:tcPr>
            <w:tcW w:w="15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1.9 %</w:t>
            </w:r>
          </w:p>
        </w:tc>
        <w:tc>
          <w:tcPr>
            <w:tcW w:w="960" w:type="dxa"/>
            <w:vAlign w:val="bottom"/>
            <w:tcBorders>
              <w:right w:val="single" w:sz="8" w:color="auto"/>
            </w:tcBorders>
            <w:gridSpan w:val="3"/>
            <w:shd w:val="clear" w:color="auto" w:fill="CCEEFF"/>
          </w:tcPr>
          <w:p>
            <w:pPr>
              <w:jc w:val="right"/>
              <w:ind w:right="140"/>
              <w:spacing w:after="0"/>
              <w:rPr>
                <w:sz w:val="20"/>
                <w:szCs w:val="20"/>
                <w:color w:val="auto"/>
              </w:rPr>
            </w:pPr>
            <w:r>
              <w:rPr>
                <w:rFonts w:ascii="Arial" w:cs="Arial" w:eastAsia="Arial" w:hAnsi="Arial"/>
                <w:sz w:val="16"/>
                <w:szCs w:val="16"/>
                <w:color w:val="auto"/>
              </w:rPr>
              <w:t>(3)  1.9 %</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20" w:type="dxa"/>
            <w:vAlign w:val="bottom"/>
            <w:tcBorders>
              <w:bottom w:val="single" w:sz="8" w:color="auto"/>
            </w:tcBorders>
            <w:shd w:val="clear" w:color="auto" w:fill="000000"/>
          </w:tcPr>
          <w:p>
            <w:pPr>
              <w:spacing w:after="0"/>
              <w:rPr>
                <w:sz w:val="18"/>
                <w:szCs w:val="18"/>
                <w:color w:val="auto"/>
              </w:rPr>
            </w:pPr>
          </w:p>
        </w:tc>
        <w:tc>
          <w:tcPr>
            <w:tcW w:w="2520" w:type="dxa"/>
            <w:vAlign w:val="bottom"/>
            <w:tcBorders>
              <w:left w:val="single" w:sz="8" w:color="CCEEFF"/>
            </w:tcBorders>
            <w:shd w:val="clear" w:color="auto" w:fill="CCEEFF"/>
          </w:tcPr>
          <w:p>
            <w:pPr>
              <w:ind w:left="120"/>
              <w:spacing w:after="0"/>
              <w:rPr>
                <w:sz w:val="20"/>
                <w:szCs w:val="20"/>
                <w:color w:val="auto"/>
              </w:rPr>
            </w:pPr>
            <w:r>
              <w:rPr>
                <w:rFonts w:ascii="Arial" w:cs="Arial" w:eastAsia="Arial" w:hAnsi="Arial"/>
                <w:sz w:val="16"/>
                <w:szCs w:val="16"/>
                <w:color w:val="auto"/>
              </w:rPr>
              <w:t>contracts (6)</w:t>
            </w:r>
          </w:p>
        </w:tc>
        <w:tc>
          <w:tcPr>
            <w:tcW w:w="740" w:type="dxa"/>
            <w:vAlign w:val="bottom"/>
            <w:shd w:val="clear" w:color="auto" w:fill="CCEEFF"/>
          </w:tcPr>
          <w:p>
            <w:pPr>
              <w:spacing w:after="0"/>
              <w:rPr>
                <w:sz w:val="18"/>
                <w:szCs w:val="18"/>
                <w:color w:val="auto"/>
              </w:rPr>
            </w:pPr>
          </w:p>
        </w:tc>
        <w:tc>
          <w:tcPr>
            <w:tcW w:w="180" w:type="dxa"/>
            <w:vAlign w:val="bottom"/>
            <w:tcBorders>
              <w:right w:val="single" w:sz="8" w:color="auto"/>
            </w:tcBorders>
            <w:shd w:val="clear" w:color="auto" w:fill="CCEEFF"/>
          </w:tcPr>
          <w:p>
            <w:pPr>
              <w:spacing w:after="0"/>
              <w:rPr>
                <w:sz w:val="18"/>
                <w:szCs w:val="18"/>
                <w:color w:val="auto"/>
              </w:rPr>
            </w:pPr>
          </w:p>
        </w:tc>
        <w:tc>
          <w:tcPr>
            <w:tcW w:w="1220" w:type="dxa"/>
            <w:vAlign w:val="bottom"/>
            <w:tcBorders>
              <w:right w:val="single" w:sz="8" w:color="auto"/>
            </w:tcBorders>
            <w:gridSpan w:val="2"/>
            <w:shd w:val="clear" w:color="auto" w:fill="CCEEFF"/>
          </w:tcPr>
          <w:p>
            <w:pPr>
              <w:spacing w:after="0"/>
              <w:rPr>
                <w:sz w:val="20"/>
                <w:szCs w:val="20"/>
                <w:color w:val="auto"/>
              </w:rPr>
            </w:pPr>
            <w:r>
              <w:rPr>
                <w:rFonts w:ascii="Arial" w:cs="Arial" w:eastAsia="Arial" w:hAnsi="Arial"/>
                <w:sz w:val="16"/>
                <w:szCs w:val="16"/>
                <w:color w:val="auto"/>
              </w:rPr>
              <w:t>cash flow</w:t>
            </w:r>
          </w:p>
        </w:tc>
        <w:tc>
          <w:tcPr>
            <w:tcW w:w="1740" w:type="dxa"/>
            <w:vAlign w:val="bottom"/>
            <w:tcBorders>
              <w:bottom w:val="single" w:sz="8" w:color="auto"/>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520" w:type="dxa"/>
            <w:vAlign w:val="bottom"/>
            <w:tcBorders>
              <w:bottom w:val="single" w:sz="8" w:color="auto"/>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1500" w:type="dxa"/>
            <w:vAlign w:val="bottom"/>
            <w:tcBorders>
              <w:bottom w:val="single" w:sz="8" w:color="auto"/>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520" w:type="dxa"/>
            <w:vAlign w:val="bottom"/>
            <w:tcBorders>
              <w:bottom w:val="single" w:sz="8" w:color="auto"/>
            </w:tcBorders>
            <w:shd w:val="clear" w:color="auto" w:fill="CCEEFF"/>
          </w:tcPr>
          <w:p>
            <w:pPr>
              <w:spacing w:after="0"/>
              <w:rPr>
                <w:sz w:val="18"/>
                <w:szCs w:val="18"/>
                <w:color w:val="auto"/>
              </w:rPr>
            </w:pPr>
          </w:p>
        </w:tc>
        <w:tc>
          <w:tcPr>
            <w:tcW w:w="260" w:type="dxa"/>
            <w:vAlign w:val="bottom"/>
            <w:tcBorders>
              <w:bottom w:val="single" w:sz="8" w:color="auto"/>
              <w:right w:val="single" w:sz="8" w:color="auto"/>
            </w:tcBorders>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89"/>
        </w:trPr>
        <w:tc>
          <w:tcPr>
            <w:tcW w:w="20" w:type="dxa"/>
            <w:vAlign w:val="bottom"/>
            <w:shd w:val="clear" w:color="auto" w:fill="000000"/>
          </w:tcPr>
          <w:p>
            <w:pPr>
              <w:spacing w:after="0"/>
              <w:rPr>
                <w:sz w:val="16"/>
                <w:szCs w:val="16"/>
                <w:color w:val="auto"/>
              </w:rPr>
            </w:pPr>
          </w:p>
        </w:tc>
        <w:tc>
          <w:tcPr>
            <w:tcW w:w="252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80" w:type="dxa"/>
            <w:vAlign w:val="bottom"/>
            <w:tcBorders>
              <w:right w:val="single" w:sz="8" w:color="auto"/>
            </w:tcBorders>
          </w:tcPr>
          <w:p>
            <w:pPr>
              <w:spacing w:after="0"/>
              <w:rPr>
                <w:sz w:val="16"/>
                <w:szCs w:val="16"/>
                <w:color w:val="auto"/>
              </w:rPr>
            </w:pPr>
          </w:p>
        </w:tc>
        <w:tc>
          <w:tcPr>
            <w:tcW w:w="1000" w:type="dxa"/>
            <w:vAlign w:val="bottom"/>
          </w:tcPr>
          <w:p>
            <w:pPr>
              <w:spacing w:after="0"/>
              <w:rPr>
                <w:sz w:val="16"/>
                <w:szCs w:val="16"/>
                <w:color w:val="auto"/>
              </w:rPr>
            </w:pPr>
          </w:p>
        </w:tc>
        <w:tc>
          <w:tcPr>
            <w:tcW w:w="220" w:type="dxa"/>
            <w:vAlign w:val="bottom"/>
            <w:tcBorders>
              <w:right w:val="single" w:sz="8" w:color="auto"/>
            </w:tcBorders>
          </w:tcPr>
          <w:p>
            <w:pPr>
              <w:spacing w:after="0"/>
              <w:rPr>
                <w:sz w:val="16"/>
                <w:szCs w:val="16"/>
                <w:color w:val="auto"/>
              </w:rPr>
            </w:pPr>
          </w:p>
        </w:tc>
        <w:tc>
          <w:tcPr>
            <w:tcW w:w="1880" w:type="dxa"/>
            <w:vAlign w:val="bottom"/>
            <w:gridSpan w:val="2"/>
          </w:tcPr>
          <w:p>
            <w:pPr>
              <w:spacing w:after="0"/>
              <w:rPr>
                <w:sz w:val="20"/>
                <w:szCs w:val="20"/>
                <w:color w:val="auto"/>
              </w:rPr>
            </w:pPr>
            <w:r>
              <w:rPr>
                <w:rFonts w:ascii="Arial" w:cs="Arial" w:eastAsia="Arial" w:hAnsi="Arial"/>
                <w:sz w:val="16"/>
                <w:szCs w:val="16"/>
                <w:color w:val="auto"/>
              </w:rPr>
              <w:t>Long-term equity market</w:t>
            </w:r>
          </w:p>
        </w:tc>
        <w:tc>
          <w:tcPr>
            <w:tcW w:w="700" w:type="dxa"/>
            <w:vAlign w:val="bottom"/>
            <w:gridSpan w:val="2"/>
          </w:tcPr>
          <w:p>
            <w:pPr>
              <w:jc w:val="right"/>
              <w:spacing w:after="0"/>
              <w:rPr>
                <w:sz w:val="20"/>
                <w:szCs w:val="20"/>
                <w:color w:val="auto"/>
              </w:rPr>
            </w:pPr>
            <w:r>
              <w:rPr>
                <w:rFonts w:ascii="Arial" w:cs="Arial" w:eastAsia="Arial" w:hAnsi="Arial"/>
                <w:sz w:val="16"/>
                <w:szCs w:val="16"/>
                <w:color w:val="auto"/>
              </w:rPr>
              <w:t>18.0 %</w:t>
            </w:r>
          </w:p>
        </w:tc>
        <w:tc>
          <w:tcPr>
            <w:tcW w:w="200" w:type="dxa"/>
            <w:vAlign w:val="bottom"/>
          </w:tcPr>
          <w:p>
            <w:pPr>
              <w:ind w:left="40"/>
              <w:spacing w:after="0"/>
              <w:rPr>
                <w:sz w:val="20"/>
                <w:szCs w:val="20"/>
                <w:color w:val="auto"/>
              </w:rPr>
            </w:pPr>
            <w:r>
              <w:rPr>
                <w:rFonts w:ascii="Arial" w:cs="Arial" w:eastAsia="Arial" w:hAnsi="Arial"/>
                <w:sz w:val="16"/>
                <w:szCs w:val="16"/>
                <w:color w:val="auto"/>
              </w:rPr>
              <w:t>-</w:t>
            </w:r>
          </w:p>
        </w:tc>
        <w:tc>
          <w:tcPr>
            <w:tcW w:w="1500" w:type="dxa"/>
            <w:vAlign w:val="bottom"/>
          </w:tcPr>
          <w:p>
            <w:pPr>
              <w:jc w:val="right"/>
              <w:spacing w:after="0"/>
              <w:rPr>
                <w:sz w:val="20"/>
                <w:szCs w:val="20"/>
                <w:color w:val="auto"/>
              </w:rPr>
            </w:pPr>
            <w:r>
              <w:rPr>
                <w:rFonts w:ascii="Arial" w:cs="Arial" w:eastAsia="Arial" w:hAnsi="Arial"/>
                <w:sz w:val="16"/>
                <w:szCs w:val="16"/>
                <w:color w:val="auto"/>
              </w:rPr>
              <w:t>32.5 %</w:t>
            </w:r>
          </w:p>
        </w:tc>
        <w:tc>
          <w:tcPr>
            <w:tcW w:w="960" w:type="dxa"/>
            <w:vAlign w:val="bottom"/>
            <w:tcBorders>
              <w:right w:val="single" w:sz="8" w:color="auto"/>
            </w:tcBorders>
            <w:gridSpan w:val="3"/>
          </w:tcPr>
          <w:p>
            <w:pPr>
              <w:jc w:val="right"/>
              <w:ind w:right="140"/>
              <w:spacing w:after="0"/>
              <w:rPr>
                <w:sz w:val="20"/>
                <w:szCs w:val="20"/>
                <w:color w:val="auto"/>
              </w:rPr>
            </w:pPr>
            <w:r>
              <w:rPr>
                <w:rFonts w:ascii="Arial" w:cs="Arial" w:eastAsia="Arial" w:hAnsi="Arial"/>
                <w:sz w:val="16"/>
                <w:szCs w:val="16"/>
                <w:color w:val="auto"/>
              </w:rPr>
              <w:t>22.1 %</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20" w:type="dxa"/>
            <w:vAlign w:val="bottom"/>
            <w:tcBorders>
              <w:bottom w:val="single" w:sz="8" w:color="auto"/>
            </w:tcBorders>
            <w:shd w:val="clear" w:color="auto" w:fill="000000"/>
          </w:tcPr>
          <w:p>
            <w:pPr>
              <w:spacing w:after="0"/>
              <w:rPr>
                <w:sz w:val="18"/>
                <w:szCs w:val="18"/>
                <w:color w:val="auto"/>
              </w:rPr>
            </w:pPr>
          </w:p>
        </w:tc>
        <w:tc>
          <w:tcPr>
            <w:tcW w:w="2520" w:type="dxa"/>
            <w:vAlign w:val="bottom"/>
            <w:tcBorders>
              <w:bottom w:val="single" w:sz="8" w:color="CCEEFF"/>
            </w:tcBorders>
          </w:tcPr>
          <w:p>
            <w:pPr>
              <w:spacing w:after="0"/>
              <w:rPr>
                <w:sz w:val="18"/>
                <w:szCs w:val="18"/>
                <w:color w:val="auto"/>
              </w:rPr>
            </w:pPr>
          </w:p>
        </w:tc>
        <w:tc>
          <w:tcPr>
            <w:tcW w:w="740" w:type="dxa"/>
            <w:vAlign w:val="bottom"/>
            <w:tcBorders>
              <w:bottom w:val="single" w:sz="8" w:color="CCEEFF"/>
            </w:tcBorders>
          </w:tcPr>
          <w:p>
            <w:pPr>
              <w:spacing w:after="0"/>
              <w:rPr>
                <w:sz w:val="18"/>
                <w:szCs w:val="18"/>
                <w:color w:val="auto"/>
              </w:rPr>
            </w:pPr>
          </w:p>
        </w:tc>
        <w:tc>
          <w:tcPr>
            <w:tcW w:w="180" w:type="dxa"/>
            <w:vAlign w:val="bottom"/>
            <w:tcBorders>
              <w:bottom w:val="single" w:sz="8" w:color="CCEEFF"/>
              <w:right w:val="single" w:sz="8" w:color="auto"/>
            </w:tcBorders>
          </w:tcPr>
          <w:p>
            <w:pPr>
              <w:spacing w:after="0"/>
              <w:rPr>
                <w:sz w:val="18"/>
                <w:szCs w:val="18"/>
                <w:color w:val="auto"/>
              </w:rPr>
            </w:pPr>
          </w:p>
        </w:tc>
        <w:tc>
          <w:tcPr>
            <w:tcW w:w="1000" w:type="dxa"/>
            <w:vAlign w:val="bottom"/>
            <w:tcBorders>
              <w:bottom w:val="single" w:sz="8" w:color="CCEEFF"/>
            </w:tcBorders>
          </w:tcPr>
          <w:p>
            <w:pPr>
              <w:spacing w:after="0"/>
              <w:rPr>
                <w:sz w:val="18"/>
                <w:szCs w:val="18"/>
                <w:color w:val="auto"/>
              </w:rPr>
            </w:pPr>
          </w:p>
        </w:tc>
        <w:tc>
          <w:tcPr>
            <w:tcW w:w="220" w:type="dxa"/>
            <w:vAlign w:val="bottom"/>
            <w:tcBorders>
              <w:bottom w:val="single" w:sz="8" w:color="CCEEFF"/>
              <w:right w:val="single" w:sz="8" w:color="auto"/>
            </w:tcBorders>
          </w:tcPr>
          <w:p>
            <w:pPr>
              <w:spacing w:after="0"/>
              <w:rPr>
                <w:sz w:val="18"/>
                <w:szCs w:val="18"/>
                <w:color w:val="auto"/>
              </w:rPr>
            </w:pPr>
          </w:p>
        </w:tc>
        <w:tc>
          <w:tcPr>
            <w:tcW w:w="1880" w:type="dxa"/>
            <w:vAlign w:val="bottom"/>
            <w:tcBorders>
              <w:bottom w:val="single" w:sz="8" w:color="auto"/>
            </w:tcBorders>
            <w:gridSpan w:val="2"/>
          </w:tcPr>
          <w:p>
            <w:pPr>
              <w:ind w:left="120"/>
              <w:spacing w:after="0"/>
              <w:rPr>
                <w:sz w:val="20"/>
                <w:szCs w:val="20"/>
                <w:color w:val="auto"/>
              </w:rPr>
            </w:pPr>
            <w:r>
              <w:rPr>
                <w:rFonts w:ascii="Arial" w:cs="Arial" w:eastAsia="Arial" w:hAnsi="Arial"/>
                <w:sz w:val="16"/>
                <w:szCs w:val="16"/>
                <w:color w:val="auto"/>
              </w:rPr>
              <w:t>volatility</w:t>
            </w:r>
          </w:p>
        </w:tc>
        <w:tc>
          <w:tcPr>
            <w:tcW w:w="520" w:type="dxa"/>
            <w:vAlign w:val="bottom"/>
            <w:tcBorders>
              <w:bottom w:val="single" w:sz="8" w:color="auto"/>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500" w:type="dxa"/>
            <w:vAlign w:val="bottom"/>
            <w:tcBorders>
              <w:bottom w:val="single" w:sz="8" w:color="auto"/>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260" w:type="dxa"/>
            <w:vAlign w:val="bottom"/>
            <w:tcBorders>
              <w:bottom w:val="single" w:sz="8" w:color="auto"/>
              <w:right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9"/>
        </w:trPr>
        <w:tc>
          <w:tcPr>
            <w:tcW w:w="20" w:type="dxa"/>
            <w:vAlign w:val="bottom"/>
            <w:tcBorders>
              <w:bottom w:val="single" w:sz="8" w:color="auto"/>
            </w:tcBorders>
            <w:shd w:val="clear" w:color="auto" w:fill="000000"/>
          </w:tcPr>
          <w:p>
            <w:pPr>
              <w:spacing w:after="0"/>
              <w:rPr>
                <w:sz w:val="17"/>
                <w:szCs w:val="17"/>
                <w:color w:val="auto"/>
              </w:rPr>
            </w:pPr>
          </w:p>
        </w:tc>
        <w:tc>
          <w:tcPr>
            <w:tcW w:w="2520" w:type="dxa"/>
            <w:vAlign w:val="bottom"/>
            <w:tcBorders>
              <w:left w:val="single" w:sz="8" w:color="CCEEFF"/>
            </w:tcBorders>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80" w:type="dxa"/>
            <w:vAlign w:val="bottom"/>
            <w:tcBorders>
              <w:right w:val="single" w:sz="8" w:color="auto"/>
            </w:tcBorders>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20" w:type="dxa"/>
            <w:vAlign w:val="bottom"/>
            <w:tcBorders>
              <w:right w:val="single" w:sz="8" w:color="auto"/>
            </w:tcBorders>
            <w:shd w:val="clear" w:color="auto" w:fill="CCEEFF"/>
          </w:tcPr>
          <w:p>
            <w:pPr>
              <w:spacing w:after="0"/>
              <w:rPr>
                <w:sz w:val="17"/>
                <w:szCs w:val="17"/>
                <w:color w:val="auto"/>
              </w:rPr>
            </w:pPr>
          </w:p>
        </w:tc>
        <w:tc>
          <w:tcPr>
            <w:tcW w:w="1880" w:type="dxa"/>
            <w:vAlign w:val="bottom"/>
            <w:tcBorders>
              <w:bottom w:val="single" w:sz="8" w:color="auto"/>
            </w:tcBorders>
            <w:gridSpan w:val="2"/>
            <w:shd w:val="clear" w:color="auto" w:fill="CCEEFF"/>
          </w:tcPr>
          <w:p>
            <w:pPr>
              <w:spacing w:after="0"/>
              <w:rPr>
                <w:sz w:val="20"/>
                <w:szCs w:val="20"/>
                <w:color w:val="auto"/>
              </w:rPr>
            </w:pPr>
            <w:r>
              <w:rPr>
                <w:rFonts w:ascii="Arial" w:cs="Arial" w:eastAsia="Arial" w:hAnsi="Arial"/>
                <w:sz w:val="16"/>
                <w:szCs w:val="16"/>
                <w:color w:val="auto"/>
              </w:rPr>
              <w:t>Nonperformance risk</w:t>
            </w:r>
          </w:p>
        </w:tc>
        <w:tc>
          <w:tcPr>
            <w:tcW w:w="70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6"/>
                <w:szCs w:val="16"/>
                <w:color w:val="auto"/>
              </w:rPr>
              <w:t>0.3 %</w:t>
            </w:r>
          </w:p>
        </w:tc>
        <w:tc>
          <w:tcPr>
            <w:tcW w:w="20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6"/>
                <w:szCs w:val="16"/>
                <w:color w:val="auto"/>
              </w:rPr>
              <w:t>-</w:t>
            </w:r>
          </w:p>
        </w:tc>
        <w:tc>
          <w:tcPr>
            <w:tcW w:w="1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1.1 %</w:t>
            </w:r>
          </w:p>
        </w:tc>
        <w:tc>
          <w:tcPr>
            <w:tcW w:w="960" w:type="dxa"/>
            <w:vAlign w:val="bottom"/>
            <w:tcBorders>
              <w:bottom w:val="single" w:sz="8" w:color="auto"/>
              <w:right w:val="single" w:sz="8" w:color="auto"/>
            </w:tcBorders>
            <w:gridSpan w:val="3"/>
            <w:shd w:val="clear" w:color="auto" w:fill="CCEEFF"/>
          </w:tcPr>
          <w:p>
            <w:pPr>
              <w:jc w:val="right"/>
              <w:ind w:right="140"/>
              <w:spacing w:after="0"/>
              <w:rPr>
                <w:sz w:val="20"/>
                <w:szCs w:val="20"/>
                <w:color w:val="auto"/>
              </w:rPr>
            </w:pPr>
            <w:r>
              <w:rPr>
                <w:rFonts w:ascii="Arial" w:cs="Arial" w:eastAsia="Arial" w:hAnsi="Arial"/>
                <w:sz w:val="16"/>
                <w:szCs w:val="16"/>
                <w:color w:val="auto"/>
              </w:rPr>
              <w:t>0.9 %</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20" w:type="dxa"/>
            <w:vAlign w:val="bottom"/>
            <w:tcBorders>
              <w:bottom w:val="single" w:sz="8" w:color="auto"/>
            </w:tcBorders>
            <w:shd w:val="clear" w:color="auto" w:fill="000000"/>
          </w:tcPr>
          <w:p>
            <w:pPr>
              <w:spacing w:after="0"/>
              <w:rPr>
                <w:sz w:val="17"/>
                <w:szCs w:val="17"/>
                <w:color w:val="auto"/>
              </w:rPr>
            </w:pPr>
          </w:p>
        </w:tc>
        <w:tc>
          <w:tcPr>
            <w:tcW w:w="2520" w:type="dxa"/>
            <w:vAlign w:val="bottom"/>
            <w:tcBorders>
              <w:bottom w:val="single" w:sz="8" w:color="CCEEFF"/>
            </w:tcBorders>
          </w:tcPr>
          <w:p>
            <w:pPr>
              <w:spacing w:after="0"/>
              <w:rPr>
                <w:sz w:val="17"/>
                <w:szCs w:val="17"/>
                <w:color w:val="auto"/>
              </w:rPr>
            </w:pPr>
          </w:p>
        </w:tc>
        <w:tc>
          <w:tcPr>
            <w:tcW w:w="740" w:type="dxa"/>
            <w:vAlign w:val="bottom"/>
            <w:tcBorders>
              <w:bottom w:val="single" w:sz="8" w:color="CCEEFF"/>
            </w:tcBorders>
          </w:tcPr>
          <w:p>
            <w:pPr>
              <w:spacing w:after="0"/>
              <w:rPr>
                <w:sz w:val="17"/>
                <w:szCs w:val="17"/>
                <w:color w:val="auto"/>
              </w:rPr>
            </w:pPr>
          </w:p>
        </w:tc>
        <w:tc>
          <w:tcPr>
            <w:tcW w:w="180" w:type="dxa"/>
            <w:vAlign w:val="bottom"/>
            <w:tcBorders>
              <w:bottom w:val="single" w:sz="8" w:color="CCEEFF"/>
              <w:right w:val="single" w:sz="8" w:color="auto"/>
            </w:tcBorders>
          </w:tcPr>
          <w:p>
            <w:pPr>
              <w:spacing w:after="0"/>
              <w:rPr>
                <w:sz w:val="17"/>
                <w:szCs w:val="17"/>
                <w:color w:val="auto"/>
              </w:rPr>
            </w:pPr>
          </w:p>
        </w:tc>
        <w:tc>
          <w:tcPr>
            <w:tcW w:w="1000" w:type="dxa"/>
            <w:vAlign w:val="bottom"/>
            <w:tcBorders>
              <w:bottom w:val="single" w:sz="8" w:color="CCEEFF"/>
            </w:tcBorders>
          </w:tcPr>
          <w:p>
            <w:pPr>
              <w:spacing w:after="0"/>
              <w:rPr>
                <w:sz w:val="17"/>
                <w:szCs w:val="17"/>
                <w:color w:val="auto"/>
              </w:rPr>
            </w:pPr>
          </w:p>
        </w:tc>
        <w:tc>
          <w:tcPr>
            <w:tcW w:w="220" w:type="dxa"/>
            <w:vAlign w:val="bottom"/>
            <w:tcBorders>
              <w:bottom w:val="single" w:sz="8" w:color="CCEEFF"/>
              <w:right w:val="single" w:sz="8" w:color="auto"/>
            </w:tcBorders>
          </w:tcPr>
          <w:p>
            <w:pPr>
              <w:spacing w:after="0"/>
              <w:rPr>
                <w:sz w:val="17"/>
                <w:szCs w:val="17"/>
                <w:color w:val="auto"/>
              </w:rPr>
            </w:pPr>
          </w:p>
        </w:tc>
        <w:tc>
          <w:tcPr>
            <w:tcW w:w="1880" w:type="dxa"/>
            <w:vAlign w:val="bottom"/>
            <w:tcBorders>
              <w:bottom w:val="single" w:sz="8" w:color="auto"/>
            </w:tcBorders>
            <w:gridSpan w:val="2"/>
          </w:tcPr>
          <w:p>
            <w:pPr>
              <w:spacing w:after="0"/>
              <w:rPr>
                <w:sz w:val="20"/>
                <w:szCs w:val="20"/>
                <w:color w:val="auto"/>
              </w:rPr>
            </w:pPr>
            <w:r>
              <w:rPr>
                <w:rFonts w:ascii="Arial" w:cs="Arial" w:eastAsia="Arial" w:hAnsi="Arial"/>
                <w:sz w:val="16"/>
                <w:szCs w:val="16"/>
                <w:color w:val="auto"/>
              </w:rPr>
              <w:t>Utilization rate</w:t>
            </w:r>
          </w:p>
        </w:tc>
        <w:tc>
          <w:tcPr>
            <w:tcW w:w="520" w:type="dxa"/>
            <w:vAlign w:val="bottom"/>
            <w:tcBorders>
              <w:bottom w:val="single" w:sz="8" w:color="auto"/>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1500" w:type="dxa"/>
            <w:vAlign w:val="bottom"/>
            <w:tcBorders>
              <w:bottom w:val="single" w:sz="8" w:color="auto"/>
            </w:tcBorders>
          </w:tcPr>
          <w:p>
            <w:pPr>
              <w:jc w:val="right"/>
              <w:ind w:right="519"/>
              <w:spacing w:after="0"/>
              <w:rPr>
                <w:sz w:val="20"/>
                <w:szCs w:val="20"/>
                <w:color w:val="auto"/>
              </w:rPr>
            </w:pPr>
            <w:r>
              <w:rPr>
                <w:rFonts w:ascii="Arial" w:cs="Arial" w:eastAsia="Arial" w:hAnsi="Arial"/>
                <w:sz w:val="16"/>
                <w:szCs w:val="16"/>
                <w:color w:val="auto"/>
                <w:w w:val="99"/>
              </w:rPr>
              <w:t>See note (4)</w:t>
            </w:r>
          </w:p>
        </w:tc>
        <w:tc>
          <w:tcPr>
            <w:tcW w:w="180" w:type="dxa"/>
            <w:vAlign w:val="bottom"/>
            <w:tcBorders>
              <w:bottom w:val="single" w:sz="8" w:color="auto"/>
            </w:tcBorders>
          </w:tcPr>
          <w:p>
            <w:pPr>
              <w:spacing w:after="0"/>
              <w:rPr>
                <w:sz w:val="17"/>
                <w:szCs w:val="17"/>
                <w:color w:val="auto"/>
              </w:rPr>
            </w:pPr>
          </w:p>
        </w:tc>
        <w:tc>
          <w:tcPr>
            <w:tcW w:w="520" w:type="dxa"/>
            <w:vAlign w:val="bottom"/>
            <w:tcBorders>
              <w:bottom w:val="single" w:sz="8" w:color="auto"/>
            </w:tcBorders>
          </w:tcPr>
          <w:p>
            <w:pPr>
              <w:spacing w:after="0"/>
              <w:rPr>
                <w:sz w:val="17"/>
                <w:szCs w:val="17"/>
                <w:color w:val="auto"/>
              </w:rPr>
            </w:pPr>
          </w:p>
        </w:tc>
        <w:tc>
          <w:tcPr>
            <w:tcW w:w="260" w:type="dxa"/>
            <w:vAlign w:val="bottom"/>
            <w:tcBorders>
              <w:bottom w:val="single" w:sz="8" w:color="auto"/>
              <w:right w:val="single" w:sz="8" w:color="auto"/>
            </w:tcBorders>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20" w:type="dxa"/>
            <w:vAlign w:val="bottom"/>
            <w:tcBorders>
              <w:bottom w:val="single" w:sz="8" w:color="auto"/>
            </w:tcBorders>
            <w:shd w:val="clear" w:color="auto" w:fill="000000"/>
          </w:tcPr>
          <w:p>
            <w:pPr>
              <w:spacing w:after="0"/>
              <w:rPr>
                <w:sz w:val="17"/>
                <w:szCs w:val="17"/>
                <w:color w:val="auto"/>
              </w:rPr>
            </w:pPr>
          </w:p>
        </w:tc>
        <w:tc>
          <w:tcPr>
            <w:tcW w:w="2520" w:type="dxa"/>
            <w:vAlign w:val="bottom"/>
            <w:tcBorders>
              <w:left w:val="single" w:sz="8" w:color="CCEEFF"/>
            </w:tcBorders>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80" w:type="dxa"/>
            <w:vAlign w:val="bottom"/>
            <w:tcBorders>
              <w:right w:val="single" w:sz="8" w:color="auto"/>
            </w:tcBorders>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20" w:type="dxa"/>
            <w:vAlign w:val="bottom"/>
            <w:tcBorders>
              <w:right w:val="single" w:sz="8" w:color="auto"/>
            </w:tcBorders>
            <w:shd w:val="clear" w:color="auto" w:fill="CCEEFF"/>
          </w:tcPr>
          <w:p>
            <w:pPr>
              <w:spacing w:after="0"/>
              <w:rPr>
                <w:sz w:val="17"/>
                <w:szCs w:val="17"/>
                <w:color w:val="auto"/>
              </w:rPr>
            </w:pPr>
          </w:p>
        </w:tc>
        <w:tc>
          <w:tcPr>
            <w:tcW w:w="1880" w:type="dxa"/>
            <w:vAlign w:val="bottom"/>
            <w:tcBorders>
              <w:bottom w:val="single" w:sz="8" w:color="auto"/>
            </w:tcBorders>
            <w:gridSpan w:val="2"/>
            <w:shd w:val="clear" w:color="auto" w:fill="CCEEFF"/>
          </w:tcPr>
          <w:p>
            <w:pPr>
              <w:spacing w:after="0"/>
              <w:rPr>
                <w:sz w:val="20"/>
                <w:szCs w:val="20"/>
                <w:color w:val="auto"/>
              </w:rPr>
            </w:pPr>
            <w:r>
              <w:rPr>
                <w:rFonts w:ascii="Arial" w:cs="Arial" w:eastAsia="Arial" w:hAnsi="Arial"/>
                <w:sz w:val="16"/>
                <w:szCs w:val="16"/>
                <w:color w:val="auto"/>
              </w:rPr>
              <w:t>Lapse rate</w:t>
            </w:r>
          </w:p>
        </w:tc>
        <w:tc>
          <w:tcPr>
            <w:tcW w:w="70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6"/>
                <w:szCs w:val="16"/>
                <w:color w:val="auto"/>
              </w:rPr>
              <w:t>0.0 %</w:t>
            </w:r>
          </w:p>
        </w:tc>
        <w:tc>
          <w:tcPr>
            <w:tcW w:w="20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6"/>
                <w:szCs w:val="16"/>
                <w:color w:val="auto"/>
              </w:rPr>
              <w:t>-</w:t>
            </w:r>
          </w:p>
        </w:tc>
        <w:tc>
          <w:tcPr>
            <w:tcW w:w="1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17.0 %</w:t>
            </w:r>
          </w:p>
        </w:tc>
        <w:tc>
          <w:tcPr>
            <w:tcW w:w="960" w:type="dxa"/>
            <w:vAlign w:val="bottom"/>
            <w:tcBorders>
              <w:bottom w:val="single" w:sz="8" w:color="auto"/>
              <w:right w:val="single" w:sz="8" w:color="auto"/>
            </w:tcBorders>
            <w:gridSpan w:val="3"/>
            <w:shd w:val="clear" w:color="auto" w:fill="CCEEFF"/>
          </w:tcPr>
          <w:p>
            <w:pPr>
              <w:jc w:val="right"/>
              <w:ind w:right="140"/>
              <w:spacing w:after="0"/>
              <w:rPr>
                <w:sz w:val="20"/>
                <w:szCs w:val="20"/>
                <w:color w:val="auto"/>
              </w:rPr>
            </w:pPr>
            <w:r>
              <w:rPr>
                <w:rFonts w:ascii="Arial" w:cs="Arial" w:eastAsia="Arial" w:hAnsi="Arial"/>
                <w:sz w:val="16"/>
                <w:szCs w:val="16"/>
                <w:color w:val="auto"/>
              </w:rPr>
              <w:t>5.1 %</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20" w:type="dxa"/>
            <w:vAlign w:val="bottom"/>
            <w:tcBorders>
              <w:bottom w:val="single" w:sz="8" w:color="auto"/>
            </w:tcBorders>
            <w:shd w:val="clear" w:color="auto" w:fill="000000"/>
          </w:tcPr>
          <w:p>
            <w:pPr>
              <w:spacing w:after="0"/>
              <w:rPr>
                <w:sz w:val="17"/>
                <w:szCs w:val="17"/>
                <w:color w:val="auto"/>
              </w:rPr>
            </w:pPr>
          </w:p>
        </w:tc>
        <w:tc>
          <w:tcPr>
            <w:tcW w:w="252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spacing w:after="0"/>
              <w:rPr>
                <w:sz w:val="17"/>
                <w:szCs w:val="17"/>
                <w:color w:val="auto"/>
              </w:rPr>
            </w:pPr>
          </w:p>
        </w:tc>
        <w:tc>
          <w:tcPr>
            <w:tcW w:w="180" w:type="dxa"/>
            <w:vAlign w:val="bottom"/>
            <w:tcBorders>
              <w:bottom w:val="single" w:sz="8" w:color="auto"/>
              <w:right w:val="single" w:sz="8" w:color="auto"/>
            </w:tcBorders>
          </w:tcPr>
          <w:p>
            <w:pPr>
              <w:spacing w:after="0"/>
              <w:rPr>
                <w:sz w:val="17"/>
                <w:szCs w:val="17"/>
                <w:color w:val="auto"/>
              </w:rPr>
            </w:pPr>
          </w:p>
        </w:tc>
        <w:tc>
          <w:tcPr>
            <w:tcW w:w="1000" w:type="dxa"/>
            <w:vAlign w:val="bottom"/>
            <w:tcBorders>
              <w:bottom w:val="single" w:sz="8" w:color="auto"/>
            </w:tcBorders>
          </w:tcPr>
          <w:p>
            <w:pPr>
              <w:spacing w:after="0"/>
              <w:rPr>
                <w:sz w:val="17"/>
                <w:szCs w:val="17"/>
                <w:color w:val="auto"/>
              </w:rPr>
            </w:pPr>
          </w:p>
        </w:tc>
        <w:tc>
          <w:tcPr>
            <w:tcW w:w="220" w:type="dxa"/>
            <w:vAlign w:val="bottom"/>
            <w:tcBorders>
              <w:bottom w:val="single" w:sz="8" w:color="auto"/>
              <w:right w:val="single" w:sz="8" w:color="auto"/>
            </w:tcBorders>
          </w:tcPr>
          <w:p>
            <w:pPr>
              <w:spacing w:after="0"/>
              <w:rPr>
                <w:sz w:val="17"/>
                <w:szCs w:val="17"/>
                <w:color w:val="auto"/>
              </w:rPr>
            </w:pPr>
          </w:p>
        </w:tc>
        <w:tc>
          <w:tcPr>
            <w:tcW w:w="1880" w:type="dxa"/>
            <w:vAlign w:val="bottom"/>
            <w:tcBorders>
              <w:bottom w:val="single" w:sz="8" w:color="auto"/>
            </w:tcBorders>
            <w:gridSpan w:val="2"/>
          </w:tcPr>
          <w:p>
            <w:pPr>
              <w:spacing w:after="0"/>
              <w:rPr>
                <w:sz w:val="20"/>
                <w:szCs w:val="20"/>
                <w:color w:val="auto"/>
              </w:rPr>
            </w:pPr>
            <w:r>
              <w:rPr>
                <w:rFonts w:ascii="Arial" w:cs="Arial" w:eastAsia="Arial" w:hAnsi="Arial"/>
                <w:sz w:val="16"/>
                <w:szCs w:val="16"/>
                <w:color w:val="auto"/>
              </w:rPr>
              <w:t>Mortality rate</w:t>
            </w:r>
          </w:p>
        </w:tc>
        <w:tc>
          <w:tcPr>
            <w:tcW w:w="520" w:type="dxa"/>
            <w:vAlign w:val="bottom"/>
            <w:tcBorders>
              <w:bottom w:val="single" w:sz="8" w:color="auto"/>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1500" w:type="dxa"/>
            <w:vAlign w:val="bottom"/>
            <w:tcBorders>
              <w:bottom w:val="single" w:sz="8" w:color="auto"/>
            </w:tcBorders>
          </w:tcPr>
          <w:p>
            <w:pPr>
              <w:jc w:val="right"/>
              <w:ind w:right="519"/>
              <w:spacing w:after="0"/>
              <w:rPr>
                <w:sz w:val="20"/>
                <w:szCs w:val="20"/>
                <w:color w:val="auto"/>
              </w:rPr>
            </w:pPr>
            <w:r>
              <w:rPr>
                <w:rFonts w:ascii="Arial" w:cs="Arial" w:eastAsia="Arial" w:hAnsi="Arial"/>
                <w:sz w:val="16"/>
                <w:szCs w:val="16"/>
                <w:color w:val="auto"/>
                <w:w w:val="99"/>
              </w:rPr>
              <w:t>See note (5)</w:t>
            </w:r>
          </w:p>
        </w:tc>
        <w:tc>
          <w:tcPr>
            <w:tcW w:w="180" w:type="dxa"/>
            <w:vAlign w:val="bottom"/>
            <w:tcBorders>
              <w:bottom w:val="single" w:sz="8" w:color="auto"/>
            </w:tcBorders>
          </w:tcPr>
          <w:p>
            <w:pPr>
              <w:spacing w:after="0"/>
              <w:rPr>
                <w:sz w:val="17"/>
                <w:szCs w:val="17"/>
                <w:color w:val="auto"/>
              </w:rPr>
            </w:pPr>
          </w:p>
        </w:tc>
        <w:tc>
          <w:tcPr>
            <w:tcW w:w="520" w:type="dxa"/>
            <w:vAlign w:val="bottom"/>
            <w:tcBorders>
              <w:bottom w:val="single" w:sz="8" w:color="auto"/>
            </w:tcBorders>
          </w:tcPr>
          <w:p>
            <w:pPr>
              <w:spacing w:after="0"/>
              <w:rPr>
                <w:sz w:val="17"/>
                <w:szCs w:val="17"/>
                <w:color w:val="auto"/>
              </w:rPr>
            </w:pPr>
          </w:p>
        </w:tc>
        <w:tc>
          <w:tcPr>
            <w:tcW w:w="260" w:type="dxa"/>
            <w:vAlign w:val="bottom"/>
            <w:tcBorders>
              <w:bottom w:val="single" w:sz="8" w:color="auto"/>
              <w:right w:val="single" w:sz="8" w:color="auto"/>
            </w:tcBorders>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940"/>
          </w:cols>
          <w:pgMar w:left="980" w:top="665" w:right="979" w:bottom="1440" w:gutter="0" w:footer="0" w:header="0"/>
        </w:sect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372110</wp:posOffset>
            </wp:positionV>
            <wp:extent cx="6292215" cy="2603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940"/>
          </w:cols>
          <w:pgMar w:left="980" w:top="665" w:right="979" w:bottom="1440" w:gutter="0" w:footer="0" w:header="0"/>
          <w:type w:val="continuous"/>
        </w:sectPr>
      </w:pPr>
    </w:p>
    <w:bookmarkStart w:id="74" w:name="page75"/>
    <w:bookmarkEnd w:id="74"/>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211455</wp:posOffset>
            </wp:positionV>
            <wp:extent cx="1568450" cy="825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1568450" cy="8255"/>
                    </a:xfrm>
                    <a:prstGeom prst="rect">
                      <a:avLst/>
                    </a:prstGeom>
                    <a:noFill/>
                  </pic:spPr>
                </pic:pic>
              </a:graphicData>
            </a:graphic>
          </wp:anchor>
        </w:drawing>
      </w:r>
    </w:p>
    <w:p>
      <w:pPr>
        <w:spacing w:after="0" w:line="200" w:lineRule="exact"/>
        <w:rPr>
          <w:sz w:val="20"/>
          <w:szCs w:val="20"/>
          <w:color w:val="auto"/>
        </w:rPr>
      </w:pPr>
    </w:p>
    <w:p>
      <w:pPr>
        <w:spacing w:after="0" w:line="207" w:lineRule="exact"/>
        <w:rPr>
          <w:sz w:val="20"/>
          <w:szCs w:val="20"/>
          <w:color w:val="auto"/>
        </w:rPr>
      </w:pPr>
    </w:p>
    <w:p>
      <w:pPr>
        <w:ind w:left="340" w:right="120" w:hanging="332"/>
        <w:spacing w:after="0" w:line="258" w:lineRule="auto"/>
        <w:tabs>
          <w:tab w:leader="none" w:pos="3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Represents market comparable interest rate or an index adjusted rate used as the base rate in the discounted cash flow analysis prior to any illiquidity or other adjustments, where applicable.</w:t>
      </w:r>
    </w:p>
    <w:p>
      <w:pPr>
        <w:spacing w:after="0" w:line="1" w:lineRule="exact"/>
        <w:rPr>
          <w:rFonts w:ascii="Arial" w:cs="Arial" w:eastAsia="Arial" w:hAnsi="Arial"/>
          <w:sz w:val="18"/>
          <w:szCs w:val="18"/>
          <w:color w:val="auto"/>
        </w:rPr>
      </w:pPr>
    </w:p>
    <w:p>
      <w:pPr>
        <w:ind w:left="340" w:right="840" w:hanging="332"/>
        <w:spacing w:after="0" w:line="250" w:lineRule="auto"/>
        <w:tabs>
          <w:tab w:leader="none" w:pos="3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Revenue multiples are amounts used when we have determined market participants would use such multiples to value the investments.</w:t>
      </w:r>
    </w:p>
    <w:p>
      <w:pPr>
        <w:ind w:left="340" w:right="440" w:hanging="332"/>
        <w:spacing w:after="0" w:line="250" w:lineRule="auto"/>
        <w:tabs>
          <w:tab w:leader="none" w:pos="3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Represents the range of rate curves used in the valuation analysis that we have determined market participants would use when pricing the instrument. Derived from interpolation between various observable swap rates.</w:t>
      </w:r>
    </w:p>
    <w:p>
      <w:pPr>
        <w:ind w:left="340" w:right="360" w:hanging="332"/>
        <w:spacing w:after="0" w:line="250" w:lineRule="auto"/>
        <w:tabs>
          <w:tab w:leader="none" w:pos="3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This input factor is the number of contractholders taking withdrawals as well as the amount and timing of the withdrawals and a range does not provide a meaningful presentation.</w:t>
      </w:r>
    </w:p>
    <w:p>
      <w:pPr>
        <w:ind w:left="340" w:hanging="332"/>
        <w:spacing w:after="0"/>
        <w:tabs>
          <w:tab w:leader="none" w:pos="3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This input is based on an appropriate industry mortality table and a range does not provide a meaningful presentation.</w:t>
      </w:r>
    </w:p>
    <w:p>
      <w:pPr>
        <w:spacing w:after="0" w:line="9" w:lineRule="exact"/>
        <w:rPr>
          <w:rFonts w:ascii="Arial" w:cs="Arial" w:eastAsia="Arial" w:hAnsi="Arial"/>
          <w:sz w:val="18"/>
          <w:szCs w:val="18"/>
          <w:color w:val="auto"/>
        </w:rPr>
      </w:pPr>
    </w:p>
    <w:p>
      <w:pPr>
        <w:ind w:left="340" w:right="760" w:hanging="332"/>
        <w:spacing w:after="0" w:line="260" w:lineRule="auto"/>
        <w:tabs>
          <w:tab w:leader="none" w:pos="3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Includes bifurcated embedded derivatives that are reported at net asset (liability) fair value within the same line item in the consolidated statements of financial position in which the host contract is reported.</w:t>
      </w:r>
    </w:p>
    <w:p>
      <w:pPr>
        <w:spacing w:after="0" w:line="185"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Market comparable discount rates are used as the base rate in the discounted cash flows used to determine the fair value of certain assets. The use of a higher or lower discount rate would have caused the fair value of the assets to significantly decrease or increase, respectively. Additionally, we may adjust the base discount rate or the modeled price by applying an illiquidity premium given the highly structured nature of certain assets. The use of a higher or lower illiquidity premium would have caused significant decreases or increases, respectively, in the fair value of the asset.</w:t>
      </w:r>
    </w:p>
    <w:p>
      <w:pPr>
        <w:spacing w:after="0" w:line="188" w:lineRule="exact"/>
        <w:rPr>
          <w:sz w:val="20"/>
          <w:szCs w:val="20"/>
          <w:color w:val="auto"/>
        </w:rPr>
      </w:pPr>
    </w:p>
    <w:p>
      <w:pPr>
        <w:ind w:right="40" w:firstLine="648"/>
        <w:spacing w:after="0" w:line="270" w:lineRule="auto"/>
        <w:rPr>
          <w:sz w:val="20"/>
          <w:szCs w:val="20"/>
          <w:color w:val="auto"/>
        </w:rPr>
      </w:pPr>
      <w:r>
        <w:rPr>
          <w:rFonts w:ascii="Arial" w:cs="Arial" w:eastAsia="Arial" w:hAnsi="Arial"/>
          <w:sz w:val="17"/>
          <w:szCs w:val="17"/>
          <w:color w:val="auto"/>
        </w:rPr>
        <w:t>Embedded derivatives within our investment and universal life contracts liability can be in either an asset or liability position, depending on certain inputs at the reporting date. Increases to an asset or decreases to a liability are described as increases to fair value. The use of a higher or lower market volatility would have caused significant decreases or increases, respectively, in the fair value of embedded derivatives in investment and universal life contracts. Long duration interest rates are used as the mean return when projecting the growth in the value of associated account value and impact the discount rate used in the discounted future cash flows valuation. The amount of claims will increase if account value is not sufficient to cover guaranteed withdrawals. The use of higher or lower risk-free rates would have caused the fair value of the embedded derivative to significantly increase or decrease, respectively. The use of a higher or lower rate for our own credit risks, which impact the rates used to discount future cash flows, would have significantly increased or decreased, respectively, the fair value of the embedded derivative.</w:t>
      </w:r>
    </w:p>
    <w:p>
      <w:pPr>
        <w:spacing w:after="0" w:line="181" w:lineRule="exact"/>
        <w:rPr>
          <w:sz w:val="20"/>
          <w:szCs w:val="20"/>
          <w:color w:val="auto"/>
        </w:rPr>
      </w:pPr>
    </w:p>
    <w:p>
      <w:pPr>
        <w:ind w:right="80" w:firstLine="648"/>
        <w:spacing w:after="0" w:line="269" w:lineRule="auto"/>
        <w:rPr>
          <w:sz w:val="20"/>
          <w:szCs w:val="20"/>
          <w:color w:val="auto"/>
        </w:rPr>
      </w:pPr>
      <w:r>
        <w:rPr>
          <w:rFonts w:ascii="Arial" w:cs="Arial" w:eastAsia="Arial" w:hAnsi="Arial"/>
          <w:sz w:val="17"/>
          <w:szCs w:val="17"/>
          <w:color w:val="auto"/>
        </w:rPr>
        <w:t>The use of a lower or higher mortality rate assumption would have caused the fair value of the embedded derivative to decrease or increase, respectively. The use of a lower or higher overall lapse rate assumption would have caused the fair value of the embedded derivative to decrease or increase, respectively. The lapse rate assumption may vary dynamically based on the relationship of the guarantee and associated account value. A stronger or weaker dynamic lapse rate assumption would have caused the fair value of the embedded derivative to decrease or increase, respectively. The utilization rate assumption includes how many contractholders will take withdrawals, when they will take them and how much of their benefit they will take. The use of a higher or lower assumption of the number of contractholders taking withdrawals would have caused the fair value of the embedded derivative to decrease or increase, respectively. Assuming contractholders take withdrawals earlier or later would have caused the fair value of the embedded derivative to decrease or increase, respectively. Assuming contractholders take more or less of their benefit would have caused the fair value of the embedded derivative to decrease or increase, respectively.</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Assets and Liabilities Measured at Fair Value on a Nonrecurring Basis</w:t>
      </w:r>
    </w:p>
    <w:p>
      <w:pPr>
        <w:spacing w:after="0" w:line="229" w:lineRule="exact"/>
        <w:rPr>
          <w:sz w:val="20"/>
          <w:szCs w:val="20"/>
          <w:color w:val="auto"/>
        </w:rPr>
      </w:pPr>
    </w:p>
    <w:p>
      <w:pPr>
        <w:ind w:right="80" w:firstLine="648"/>
        <w:spacing w:after="0" w:line="277" w:lineRule="auto"/>
        <w:rPr>
          <w:sz w:val="20"/>
          <w:szCs w:val="20"/>
          <w:color w:val="auto"/>
        </w:rPr>
      </w:pPr>
      <w:r>
        <w:rPr>
          <w:rFonts w:ascii="Arial" w:cs="Arial" w:eastAsia="Arial" w:hAnsi="Arial"/>
          <w:sz w:val="18"/>
          <w:szCs w:val="18"/>
          <w:color w:val="auto"/>
        </w:rPr>
        <w:t>No significant assets and liabilities were measured at fair value on a nonrecurring basis for the three and six months ended June 30, 2022 and 2021.</w:t>
      </w:r>
    </w:p>
    <w:p>
      <w:pPr>
        <w:spacing w:after="0" w:line="3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540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75" w:name="page76"/>
    <w:bookmarkEnd w:id="75"/>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Fair Value Option</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We elected fair value accounting for:</w:t>
      </w:r>
    </w:p>
    <w:p>
      <w:pPr>
        <w:spacing w:after="0" w:line="23" w:lineRule="exact"/>
        <w:rPr>
          <w:sz w:val="20"/>
          <w:szCs w:val="20"/>
          <w:color w:val="auto"/>
        </w:rPr>
      </w:pPr>
    </w:p>
    <w:p>
      <w:pPr>
        <w:ind w:left="1000" w:right="80" w:hanging="317"/>
        <w:spacing w:after="0" w:line="253" w:lineRule="auto"/>
        <w:tabs>
          <w:tab w:leader="none" w:pos="1000" w:val="left"/>
        </w:tabs>
        <w:numPr>
          <w:ilvl w:val="0"/>
          <w:numId w:val="35"/>
        </w:numPr>
        <w:rPr>
          <w:rFonts w:ascii="Arial" w:cs="Arial" w:eastAsia="Arial" w:hAnsi="Arial"/>
          <w:sz w:val="18"/>
          <w:szCs w:val="18"/>
          <w:color w:val="auto"/>
        </w:rPr>
      </w:pPr>
      <w:r>
        <w:rPr>
          <w:rFonts w:ascii="Arial" w:cs="Arial" w:eastAsia="Arial" w:hAnsi="Arial"/>
          <w:sz w:val="18"/>
          <w:szCs w:val="18"/>
          <w:color w:val="auto"/>
        </w:rPr>
        <w:t>Certain real estate ventures that were subject to the equity method of accounting because the nature of the investments was to add value to the properties and generate income from the operations of the properties. Other equity method real estate investments were not fair valued because the investments mainly generated income from the operations of the underlying properties. The last equity method real estate investment for which the fair value option was elected was sold in the third quarter of 2021.</w:t>
      </w:r>
    </w:p>
    <w:p>
      <w:pPr>
        <w:spacing w:after="0" w:line="191"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The following table presents information regarding the assets and liabilities for which the fair value option was elected.</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8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2580" w:type="dxa"/>
            <w:vAlign w:val="bottom"/>
            <w:gridSpan w:val="6"/>
          </w:tcPr>
          <w:p>
            <w:pPr>
              <w:ind w:left="60"/>
              <w:spacing w:after="0"/>
              <w:rPr>
                <w:sz w:val="20"/>
                <w:szCs w:val="20"/>
                <w:color w:val="auto"/>
              </w:rPr>
            </w:pPr>
            <w:r>
              <w:rPr>
                <w:rFonts w:ascii="Arial" w:cs="Arial" w:eastAsia="Arial" w:hAnsi="Arial"/>
                <w:sz w:val="14"/>
                <w:szCs w:val="14"/>
                <w:b w:val="1"/>
                <w:bCs w:val="1"/>
                <w:color w:val="auto"/>
              </w:rPr>
              <w:t>For the three months ended June 30,</w:t>
            </w:r>
          </w:p>
        </w:tc>
        <w:tc>
          <w:tcPr>
            <w:tcW w:w="120" w:type="dxa"/>
            <w:vAlign w:val="bottom"/>
          </w:tcPr>
          <w:p>
            <w:pPr>
              <w:spacing w:after="0"/>
              <w:rPr>
                <w:sz w:val="14"/>
                <w:szCs w:val="14"/>
                <w:color w:val="auto"/>
              </w:rPr>
            </w:pPr>
          </w:p>
        </w:tc>
        <w:tc>
          <w:tcPr>
            <w:tcW w:w="2300" w:type="dxa"/>
            <w:vAlign w:val="bottom"/>
            <w:gridSpan w:val="4"/>
          </w:tcPr>
          <w:p>
            <w:pPr>
              <w:jc w:val="right"/>
              <w:ind w:right="99"/>
              <w:spacing w:after="0"/>
              <w:rPr>
                <w:sz w:val="20"/>
                <w:szCs w:val="20"/>
                <w:color w:val="auto"/>
              </w:rPr>
            </w:pPr>
            <w:r>
              <w:rPr>
                <w:rFonts w:ascii="Arial" w:cs="Arial" w:eastAsia="Arial" w:hAnsi="Arial"/>
                <w:sz w:val="14"/>
                <w:szCs w:val="14"/>
                <w:b w:val="1"/>
                <w:bCs w:val="1"/>
                <w:color w:val="auto"/>
                <w:w w:val="91"/>
              </w:rPr>
              <w:t>For the six months ended June 30,</w:t>
            </w:r>
          </w:p>
        </w:tc>
      </w:tr>
      <w:tr>
        <w:trPr>
          <w:trHeight w:val="142"/>
        </w:trPr>
        <w:tc>
          <w:tcPr>
            <w:tcW w:w="384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240" w:type="dxa"/>
            <w:vAlign w:val="bottom"/>
            <w:tcBorders>
              <w:top w:val="single" w:sz="8" w:color="auto"/>
              <w:bottom w:val="single" w:sz="8" w:color="auto"/>
            </w:tcBorders>
          </w:tcPr>
          <w:p>
            <w:pPr>
              <w:spacing w:after="0"/>
              <w:rPr>
                <w:sz w:val="12"/>
                <w:szCs w:val="12"/>
                <w:color w:val="auto"/>
              </w:rPr>
            </w:pPr>
          </w:p>
        </w:tc>
        <w:tc>
          <w:tcPr>
            <w:tcW w:w="860" w:type="dxa"/>
            <w:vAlign w:val="bottom"/>
            <w:tcBorders>
              <w:top w:val="single" w:sz="8" w:color="auto"/>
              <w:bottom w:val="single" w:sz="8" w:color="auto"/>
            </w:tcBorders>
          </w:tcPr>
          <w:p>
            <w:pPr>
              <w:jc w:val="right"/>
              <w:ind w:right="319"/>
              <w:spacing w:after="0" w:line="142" w:lineRule="exact"/>
              <w:rPr>
                <w:sz w:val="20"/>
                <w:szCs w:val="20"/>
                <w:color w:val="auto"/>
              </w:rPr>
            </w:pPr>
            <w:r>
              <w:rPr>
                <w:rFonts w:ascii="Arial" w:cs="Arial" w:eastAsia="Arial" w:hAnsi="Arial"/>
                <w:sz w:val="14"/>
                <w:szCs w:val="14"/>
                <w:b w:val="1"/>
                <w:bCs w:val="1"/>
                <w:color w:val="auto"/>
              </w:rPr>
              <w:t>2022</w:t>
            </w:r>
          </w:p>
        </w:tc>
        <w:tc>
          <w:tcPr>
            <w:tcW w:w="180" w:type="dxa"/>
            <w:vAlign w:val="bottom"/>
            <w:tcBorders>
              <w:top w:val="single" w:sz="8" w:color="auto"/>
            </w:tcBorders>
          </w:tcPr>
          <w:p>
            <w:pPr>
              <w:spacing w:after="0"/>
              <w:rPr>
                <w:sz w:val="12"/>
                <w:szCs w:val="12"/>
                <w:color w:val="auto"/>
              </w:rPr>
            </w:pPr>
          </w:p>
        </w:tc>
        <w:tc>
          <w:tcPr>
            <w:tcW w:w="260" w:type="dxa"/>
            <w:vAlign w:val="bottom"/>
            <w:tcBorders>
              <w:top w:val="single" w:sz="8" w:color="auto"/>
              <w:bottom w:val="single" w:sz="8" w:color="auto"/>
            </w:tcBorders>
          </w:tcPr>
          <w:p>
            <w:pPr>
              <w:spacing w:after="0"/>
              <w:rPr>
                <w:sz w:val="12"/>
                <w:szCs w:val="12"/>
                <w:color w:val="auto"/>
              </w:rPr>
            </w:pPr>
          </w:p>
        </w:tc>
        <w:tc>
          <w:tcPr>
            <w:tcW w:w="860" w:type="dxa"/>
            <w:vAlign w:val="bottom"/>
            <w:tcBorders>
              <w:top w:val="single" w:sz="8" w:color="auto"/>
              <w:bottom w:val="single" w:sz="8" w:color="auto"/>
            </w:tcBorders>
          </w:tcPr>
          <w:p>
            <w:pPr>
              <w:jc w:val="right"/>
              <w:ind w:right="342"/>
              <w:spacing w:after="0" w:line="142" w:lineRule="exact"/>
              <w:rPr>
                <w:sz w:val="20"/>
                <w:szCs w:val="20"/>
                <w:color w:val="auto"/>
              </w:rPr>
            </w:pPr>
            <w:r>
              <w:rPr>
                <w:rFonts w:ascii="Arial" w:cs="Arial" w:eastAsia="Arial" w:hAnsi="Arial"/>
                <w:sz w:val="14"/>
                <w:szCs w:val="14"/>
                <w:b w:val="1"/>
                <w:bCs w:val="1"/>
                <w:color w:val="auto"/>
              </w:rPr>
              <w:t>2021</w:t>
            </w:r>
          </w:p>
        </w:tc>
        <w:tc>
          <w:tcPr>
            <w:tcW w:w="18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980" w:type="dxa"/>
            <w:vAlign w:val="bottom"/>
            <w:tcBorders>
              <w:top w:val="single" w:sz="8" w:color="auto"/>
              <w:bottom w:val="single" w:sz="8" w:color="auto"/>
            </w:tcBorders>
          </w:tcPr>
          <w:p>
            <w:pPr>
              <w:jc w:val="right"/>
              <w:ind w:right="322"/>
              <w:spacing w:after="0" w:line="142" w:lineRule="exact"/>
              <w:rPr>
                <w:sz w:val="20"/>
                <w:szCs w:val="20"/>
                <w:color w:val="auto"/>
              </w:rPr>
            </w:pPr>
            <w:r>
              <w:rPr>
                <w:rFonts w:ascii="Arial" w:cs="Arial" w:eastAsia="Arial" w:hAnsi="Arial"/>
                <w:sz w:val="14"/>
                <w:szCs w:val="14"/>
                <w:b w:val="1"/>
                <w:bCs w:val="1"/>
                <w:color w:val="auto"/>
              </w:rPr>
              <w:t>2022</w:t>
            </w:r>
          </w:p>
        </w:tc>
        <w:tc>
          <w:tcPr>
            <w:tcW w:w="200" w:type="dxa"/>
            <w:vAlign w:val="bottom"/>
            <w:tcBorders>
              <w:top w:val="single" w:sz="8" w:color="auto"/>
            </w:tcBorders>
          </w:tcPr>
          <w:p>
            <w:pPr>
              <w:spacing w:after="0"/>
              <w:rPr>
                <w:sz w:val="12"/>
                <w:szCs w:val="12"/>
                <w:color w:val="auto"/>
              </w:rPr>
            </w:pPr>
          </w:p>
        </w:tc>
        <w:tc>
          <w:tcPr>
            <w:tcW w:w="260" w:type="dxa"/>
            <w:vAlign w:val="bottom"/>
            <w:tcBorders>
              <w:top w:val="single" w:sz="8" w:color="auto"/>
              <w:bottom w:val="single" w:sz="8" w:color="auto"/>
            </w:tcBorders>
          </w:tcPr>
          <w:p>
            <w:pPr>
              <w:spacing w:after="0"/>
              <w:rPr>
                <w:sz w:val="12"/>
                <w:szCs w:val="12"/>
                <w:color w:val="auto"/>
              </w:rPr>
            </w:pPr>
          </w:p>
        </w:tc>
        <w:tc>
          <w:tcPr>
            <w:tcW w:w="860" w:type="dxa"/>
            <w:vAlign w:val="bottom"/>
            <w:tcBorders>
              <w:top w:val="single" w:sz="8" w:color="auto"/>
              <w:bottom w:val="single" w:sz="8" w:color="auto"/>
            </w:tcBorders>
          </w:tcPr>
          <w:p>
            <w:pPr>
              <w:jc w:val="right"/>
              <w:ind w:right="339"/>
              <w:spacing w:after="0" w:line="142" w:lineRule="exact"/>
              <w:rPr>
                <w:sz w:val="20"/>
                <w:szCs w:val="20"/>
                <w:color w:val="auto"/>
              </w:rPr>
            </w:pPr>
            <w:r>
              <w:rPr>
                <w:rFonts w:ascii="Arial" w:cs="Arial" w:eastAsia="Arial" w:hAnsi="Arial"/>
                <w:sz w:val="14"/>
                <w:szCs w:val="14"/>
                <w:b w:val="1"/>
                <w:bCs w:val="1"/>
                <w:color w:val="auto"/>
              </w:rPr>
              <w:t>2021</w:t>
            </w:r>
          </w:p>
        </w:tc>
      </w:tr>
      <w:tr>
        <w:trPr>
          <w:trHeight w:val="129"/>
        </w:trPr>
        <w:tc>
          <w:tcPr>
            <w:tcW w:w="38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140" w:type="dxa"/>
            <w:vAlign w:val="bottom"/>
            <w:gridSpan w:val="4"/>
          </w:tcPr>
          <w:p>
            <w:pPr>
              <w:jc w:val="right"/>
              <w:ind w:right="742"/>
              <w:spacing w:after="0" w:line="129" w:lineRule="exact"/>
              <w:rPr>
                <w:sz w:val="20"/>
                <w:szCs w:val="20"/>
                <w:color w:val="auto"/>
              </w:rPr>
            </w:pPr>
            <w:r>
              <w:rPr>
                <w:rFonts w:ascii="Arial" w:cs="Arial" w:eastAsia="Arial" w:hAnsi="Arial"/>
                <w:sz w:val="14"/>
                <w:szCs w:val="14"/>
                <w:i w:val="1"/>
                <w:iCs w:val="1"/>
                <w:color w:val="auto"/>
              </w:rPr>
              <w:t>(in millions)</w:t>
            </w:r>
          </w:p>
        </w:tc>
        <w:tc>
          <w:tcPr>
            <w:tcW w:w="2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60" w:type="dxa"/>
            <w:vAlign w:val="bottom"/>
          </w:tcPr>
          <w:p>
            <w:pPr>
              <w:spacing w:after="0"/>
              <w:rPr>
                <w:sz w:val="11"/>
                <w:szCs w:val="11"/>
                <w:color w:val="auto"/>
              </w:rPr>
            </w:pPr>
          </w:p>
        </w:tc>
      </w:tr>
      <w:tr>
        <w:trPr>
          <w:trHeight w:val="216"/>
        </w:trPr>
        <w:tc>
          <w:tcPr>
            <w:tcW w:w="38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Real estate ventures</w:t>
            </w:r>
          </w:p>
        </w:tc>
        <w:tc>
          <w:tcPr>
            <w:tcW w:w="10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r>
      <w:tr>
        <w:trPr>
          <w:trHeight w:val="234"/>
        </w:trPr>
        <w:tc>
          <w:tcPr>
            <w:tcW w:w="3840" w:type="dxa"/>
            <w:vAlign w:val="bottom"/>
          </w:tcPr>
          <w:p>
            <w:pPr>
              <w:ind w:left="120"/>
              <w:spacing w:after="0"/>
              <w:rPr>
                <w:sz w:val="20"/>
                <w:szCs w:val="20"/>
                <w:color w:val="auto"/>
              </w:rPr>
            </w:pPr>
            <w:r>
              <w:rPr>
                <w:rFonts w:ascii="Arial" w:cs="Arial" w:eastAsia="Arial" w:hAnsi="Arial"/>
                <w:sz w:val="18"/>
                <w:szCs w:val="18"/>
                <w:color w:val="auto"/>
              </w:rPr>
              <w:t>Change in fair value pre-tax gain (1)</w:t>
            </w:r>
          </w:p>
        </w:tc>
        <w:tc>
          <w:tcPr>
            <w:tcW w:w="1320" w:type="dxa"/>
            <w:vAlign w:val="bottom"/>
            <w:gridSpan w:val="2"/>
          </w:tcPr>
          <w:p>
            <w:pPr>
              <w:jc w:val="right"/>
              <w:ind w:right="68"/>
              <w:spacing w:after="0"/>
              <w:rPr>
                <w:sz w:val="20"/>
                <w:szCs w:val="20"/>
                <w:color w:val="auto"/>
              </w:rPr>
            </w:pPr>
            <w:r>
              <w:rPr>
                <w:rFonts w:ascii="Arial" w:cs="Arial" w:eastAsia="Arial" w:hAnsi="Arial"/>
                <w:sz w:val="18"/>
                <w:szCs w:val="18"/>
                <w:b w:val="1"/>
                <w:bCs w:val="1"/>
                <w:color w:val="auto"/>
              </w:rPr>
              <w:t>$</w:t>
            </w:r>
          </w:p>
        </w:tc>
        <w:tc>
          <w:tcPr>
            <w:tcW w:w="1300" w:type="dxa"/>
            <w:vAlign w:val="bottom"/>
            <w:gridSpan w:val="3"/>
          </w:tcPr>
          <w:p>
            <w:pPr>
              <w:ind w:left="620"/>
              <w:spacing w:after="0"/>
              <w:rPr>
                <w:sz w:val="20"/>
                <w:szCs w:val="20"/>
                <w:color w:val="auto"/>
              </w:rPr>
            </w:pPr>
            <w:r>
              <w:rPr>
                <w:rFonts w:ascii="Arial" w:cs="Arial" w:eastAsia="Arial" w:hAnsi="Arial"/>
                <w:sz w:val="18"/>
                <w:szCs w:val="18"/>
                <w:b w:val="1"/>
                <w:bCs w:val="1"/>
                <w:color w:val="auto"/>
              </w:rPr>
              <w:t xml:space="preserve">—   </w:t>
            </w:r>
            <w:r>
              <w:rPr>
                <w:rFonts w:ascii="Arial" w:cs="Arial" w:eastAsia="Arial" w:hAnsi="Arial"/>
                <w:sz w:val="18"/>
                <w:szCs w:val="18"/>
                <w:color w:val="auto"/>
              </w:rPr>
              <w:t>$</w:t>
            </w:r>
          </w:p>
        </w:tc>
        <w:tc>
          <w:tcPr>
            <w:tcW w:w="860" w:type="dxa"/>
            <w:vAlign w:val="bottom"/>
          </w:tcPr>
          <w:p>
            <w:pPr>
              <w:jc w:val="right"/>
              <w:ind w:right="22"/>
              <w:spacing w:after="0"/>
              <w:rPr>
                <w:sz w:val="20"/>
                <w:szCs w:val="20"/>
                <w:color w:val="auto"/>
              </w:rPr>
            </w:pPr>
            <w:r>
              <w:rPr>
                <w:rFonts w:ascii="Arial" w:cs="Arial" w:eastAsia="Arial" w:hAnsi="Arial"/>
                <w:sz w:val="18"/>
                <w:szCs w:val="18"/>
                <w:color w:val="auto"/>
              </w:rPr>
              <w:t>3.4</w:t>
            </w:r>
          </w:p>
        </w:tc>
        <w:tc>
          <w:tcPr>
            <w:tcW w:w="18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440" w:type="dxa"/>
            <w:vAlign w:val="bottom"/>
            <w:gridSpan w:val="3"/>
          </w:tcPr>
          <w:p>
            <w:pPr>
              <w:ind w:left="760"/>
              <w:spacing w:after="0"/>
              <w:rPr>
                <w:sz w:val="20"/>
                <w:szCs w:val="20"/>
                <w:color w:val="auto"/>
              </w:rPr>
            </w:pPr>
            <w:r>
              <w:rPr>
                <w:rFonts w:ascii="Arial" w:cs="Arial" w:eastAsia="Arial" w:hAnsi="Arial"/>
                <w:sz w:val="18"/>
                <w:szCs w:val="18"/>
                <w:b w:val="1"/>
                <w:bCs w:val="1"/>
                <w:color w:val="auto"/>
              </w:rPr>
              <w:t xml:space="preserve">—   </w:t>
            </w:r>
            <w:r>
              <w:rPr>
                <w:rFonts w:ascii="Arial" w:cs="Arial" w:eastAsia="Arial" w:hAnsi="Arial"/>
                <w:sz w:val="18"/>
                <w:szCs w:val="18"/>
                <w:color w:val="auto"/>
              </w:rPr>
              <w:t>$</w:t>
            </w:r>
          </w:p>
        </w:tc>
        <w:tc>
          <w:tcPr>
            <w:tcW w:w="860" w:type="dxa"/>
            <w:vAlign w:val="bottom"/>
          </w:tcPr>
          <w:p>
            <w:pPr>
              <w:jc w:val="right"/>
              <w:ind w:right="19"/>
              <w:spacing w:after="0"/>
              <w:rPr>
                <w:sz w:val="20"/>
                <w:szCs w:val="20"/>
                <w:color w:val="auto"/>
              </w:rPr>
            </w:pPr>
            <w:r>
              <w:rPr>
                <w:rFonts w:ascii="Arial" w:cs="Arial" w:eastAsia="Arial" w:hAnsi="Arial"/>
                <w:sz w:val="18"/>
                <w:szCs w:val="18"/>
                <w:color w:val="auto"/>
              </w:rPr>
              <w:t>12.7</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57150</wp:posOffset>
            </wp:positionV>
            <wp:extent cx="1568450" cy="889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1568450" cy="8890"/>
                    </a:xfrm>
                    <a:prstGeom prst="rect">
                      <a:avLst/>
                    </a:prstGeom>
                    <a:noFill/>
                  </pic:spPr>
                </pic:pic>
              </a:graphicData>
            </a:graphic>
          </wp:anchor>
        </w:drawing>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color w:val="auto"/>
        </w:rPr>
        <w:t>(1) Reported in net investment income on the consolidated statements of operations.</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Financial Instruments Not Reported at Fair Value</w:t>
      </w:r>
    </w:p>
    <w:p>
      <w:pPr>
        <w:spacing w:after="0" w:line="229" w:lineRule="exact"/>
        <w:rPr>
          <w:sz w:val="20"/>
          <w:szCs w:val="20"/>
          <w:color w:val="auto"/>
        </w:rPr>
      </w:pPr>
    </w:p>
    <w:p>
      <w:pPr>
        <w:ind w:right="160" w:firstLine="648"/>
        <w:spacing w:after="0" w:line="277" w:lineRule="auto"/>
        <w:rPr>
          <w:sz w:val="20"/>
          <w:szCs w:val="20"/>
          <w:color w:val="auto"/>
        </w:rPr>
      </w:pPr>
      <w:r>
        <w:rPr>
          <w:rFonts w:ascii="Arial" w:cs="Arial" w:eastAsia="Arial" w:hAnsi="Arial"/>
          <w:sz w:val="18"/>
          <w:szCs w:val="18"/>
          <w:color w:val="auto"/>
        </w:rPr>
        <w:t>The carrying value and estimated fair value of financial instruments not recorded at fair value on a recurring basis but required to be disclosed at fair value were as follows:</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7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gridSpan w:val="2"/>
          </w:tcPr>
          <w:p>
            <w:pPr>
              <w:jc w:val="center"/>
              <w:ind w:right="140"/>
              <w:spacing w:after="0"/>
              <w:rPr>
                <w:sz w:val="20"/>
                <w:szCs w:val="20"/>
                <w:color w:val="auto"/>
              </w:rPr>
            </w:pPr>
            <w:r>
              <w:rPr>
                <w:rFonts w:ascii="Arial" w:cs="Arial" w:eastAsia="Arial" w:hAnsi="Arial"/>
                <w:sz w:val="14"/>
                <w:szCs w:val="14"/>
                <w:b w:val="1"/>
                <w:bCs w:val="1"/>
                <w:color w:val="auto"/>
                <w:w w:val="92"/>
              </w:rPr>
              <w:t>June 30, 2022</w:t>
            </w:r>
          </w:p>
        </w:tc>
        <w:tc>
          <w:tcPr>
            <w:tcW w:w="20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7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400" w:type="dxa"/>
            <w:vAlign w:val="bottom"/>
            <w:gridSpan w:val="3"/>
            <w:vMerge w:val="restart"/>
          </w:tcPr>
          <w:p>
            <w:pPr>
              <w:jc w:val="right"/>
              <w:ind w:right="260"/>
              <w:spacing w:after="0"/>
              <w:rPr>
                <w:sz w:val="20"/>
                <w:szCs w:val="20"/>
                <w:color w:val="auto"/>
              </w:rPr>
            </w:pPr>
            <w:r>
              <w:rPr>
                <w:rFonts w:ascii="Arial" w:cs="Arial" w:eastAsia="Arial" w:hAnsi="Arial"/>
                <w:sz w:val="14"/>
                <w:szCs w:val="14"/>
                <w:b w:val="1"/>
                <w:bCs w:val="1"/>
                <w:color w:val="auto"/>
                <w:w w:val="99"/>
              </w:rPr>
              <w:t>Carrying amount</w:t>
            </w:r>
          </w:p>
        </w:tc>
        <w:tc>
          <w:tcPr>
            <w:tcW w:w="180" w:type="dxa"/>
            <w:vAlign w:val="bottom"/>
          </w:tcPr>
          <w:p>
            <w:pPr>
              <w:spacing w:after="0"/>
              <w:rPr>
                <w:sz w:val="12"/>
                <w:szCs w:val="12"/>
                <w:color w:val="auto"/>
              </w:rPr>
            </w:pPr>
          </w:p>
        </w:tc>
        <w:tc>
          <w:tcPr>
            <w:tcW w:w="1100" w:type="dxa"/>
            <w:vAlign w:val="bottom"/>
            <w:gridSpan w:val="2"/>
            <w:vMerge w:val="restart"/>
          </w:tcPr>
          <w:p>
            <w:pPr>
              <w:ind w:left="100"/>
              <w:spacing w:after="0"/>
              <w:rPr>
                <w:sz w:val="20"/>
                <w:szCs w:val="20"/>
                <w:color w:val="auto"/>
              </w:rPr>
            </w:pPr>
            <w:r>
              <w:rPr>
                <w:rFonts w:ascii="Arial" w:cs="Arial" w:eastAsia="Arial" w:hAnsi="Arial"/>
                <w:sz w:val="14"/>
                <w:szCs w:val="14"/>
                <w:b w:val="1"/>
                <w:bCs w:val="1"/>
                <w:color w:val="auto"/>
              </w:rPr>
              <w:t>Fair value</w:t>
            </w:r>
          </w:p>
        </w:tc>
        <w:tc>
          <w:tcPr>
            <w:tcW w:w="10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1040" w:type="dxa"/>
            <w:vAlign w:val="bottom"/>
            <w:tcBorders>
              <w:bottom w:val="single" w:sz="8" w:color="auto"/>
            </w:tcBorders>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1580" w:type="dxa"/>
            <w:vAlign w:val="bottom"/>
            <w:tcBorders>
              <w:bottom w:val="single" w:sz="8" w:color="auto"/>
            </w:tcBorders>
            <w:gridSpan w:val="4"/>
          </w:tcPr>
          <w:p>
            <w:pPr>
              <w:jc w:val="center"/>
              <w:spacing w:after="0" w:line="142" w:lineRule="exact"/>
              <w:rPr>
                <w:sz w:val="20"/>
                <w:szCs w:val="20"/>
                <w:color w:val="auto"/>
              </w:rPr>
            </w:pPr>
            <w:r>
              <w:rPr>
                <w:rFonts w:ascii="Arial" w:cs="Arial" w:eastAsia="Arial" w:hAnsi="Arial"/>
                <w:sz w:val="14"/>
                <w:szCs w:val="14"/>
                <w:b w:val="1"/>
                <w:bCs w:val="1"/>
                <w:color w:val="auto"/>
                <w:w w:val="94"/>
              </w:rPr>
              <w:t>Fair value hierarchy level</w:t>
            </w:r>
          </w:p>
        </w:tc>
        <w:tc>
          <w:tcPr>
            <w:tcW w:w="20" w:type="dxa"/>
            <w:vAlign w:val="bottom"/>
            <w:tcBorders>
              <w:bottom w:val="single" w:sz="8" w:color="auto"/>
            </w:tcBorders>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980" w:type="dxa"/>
            <w:vAlign w:val="bottom"/>
            <w:tcBorders>
              <w:bottom w:val="single" w:sz="8" w:color="auto"/>
            </w:tcBorders>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7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400" w:type="dxa"/>
            <w:vAlign w:val="bottom"/>
            <w:gridSpan w:val="3"/>
            <w:vMerge w:val="continue"/>
          </w:tcPr>
          <w:p>
            <w:pPr>
              <w:spacing w:after="0"/>
              <w:rPr>
                <w:sz w:val="12"/>
                <w:szCs w:val="12"/>
                <w:color w:val="auto"/>
              </w:rPr>
            </w:pPr>
          </w:p>
        </w:tc>
        <w:tc>
          <w:tcPr>
            <w:tcW w:w="180" w:type="dxa"/>
            <w:vAlign w:val="bottom"/>
          </w:tcPr>
          <w:p>
            <w:pPr>
              <w:spacing w:after="0"/>
              <w:rPr>
                <w:sz w:val="12"/>
                <w:szCs w:val="12"/>
                <w:color w:val="auto"/>
              </w:rPr>
            </w:pPr>
          </w:p>
        </w:tc>
        <w:tc>
          <w:tcPr>
            <w:tcW w:w="110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60" w:type="dxa"/>
            <w:vAlign w:val="bottom"/>
            <w:gridSpan w:val="2"/>
          </w:tcPr>
          <w:p>
            <w:pPr>
              <w:jc w:val="center"/>
              <w:ind w:right="140"/>
              <w:spacing w:after="0" w:line="142" w:lineRule="exact"/>
              <w:rPr>
                <w:sz w:val="20"/>
                <w:szCs w:val="20"/>
                <w:color w:val="auto"/>
              </w:rPr>
            </w:pPr>
            <w:r>
              <w:rPr>
                <w:rFonts w:ascii="Arial" w:cs="Arial" w:eastAsia="Arial" w:hAnsi="Arial"/>
                <w:sz w:val="14"/>
                <w:szCs w:val="14"/>
                <w:b w:val="1"/>
                <w:bCs w:val="1"/>
                <w:color w:val="auto"/>
                <w:w w:val="92"/>
              </w:rPr>
              <w:t>Level 1</w:t>
            </w:r>
          </w:p>
        </w:tc>
        <w:tc>
          <w:tcPr>
            <w:tcW w:w="2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60" w:type="dxa"/>
            <w:vAlign w:val="bottom"/>
            <w:gridSpan w:val="2"/>
          </w:tcPr>
          <w:p>
            <w:pPr>
              <w:jc w:val="center"/>
              <w:ind w:right="440"/>
              <w:spacing w:after="0" w:line="142" w:lineRule="exact"/>
              <w:rPr>
                <w:sz w:val="20"/>
                <w:szCs w:val="20"/>
                <w:color w:val="auto"/>
              </w:rPr>
            </w:pPr>
            <w:r>
              <w:rPr>
                <w:rFonts w:ascii="Arial" w:cs="Arial" w:eastAsia="Arial" w:hAnsi="Arial"/>
                <w:sz w:val="14"/>
                <w:szCs w:val="14"/>
                <w:b w:val="1"/>
                <w:bCs w:val="1"/>
                <w:color w:val="auto"/>
                <w:w w:val="92"/>
              </w:rPr>
              <w:t>Level 2</w:t>
            </w: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80" w:type="dxa"/>
            <w:vAlign w:val="bottom"/>
          </w:tcPr>
          <w:p>
            <w:pPr>
              <w:jc w:val="right"/>
              <w:ind w:right="292"/>
              <w:spacing w:after="0" w:line="142" w:lineRule="exact"/>
              <w:rPr>
                <w:sz w:val="20"/>
                <w:szCs w:val="20"/>
                <w:color w:val="auto"/>
              </w:rPr>
            </w:pPr>
            <w:r>
              <w:rPr>
                <w:rFonts w:ascii="Arial" w:cs="Arial" w:eastAsia="Arial" w:hAnsi="Arial"/>
                <w:sz w:val="14"/>
                <w:szCs w:val="14"/>
                <w:b w:val="1"/>
                <w:bCs w:val="1"/>
                <w:color w:val="auto"/>
              </w:rPr>
              <w:t>Level 3</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2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20" w:type="dxa"/>
            <w:vAlign w:val="bottom"/>
            <w:tcBorders>
              <w:top w:val="single" w:sz="8" w:color="auto"/>
            </w:tcBorders>
          </w:tcPr>
          <w:p>
            <w:pPr>
              <w:spacing w:after="0"/>
              <w:rPr>
                <w:sz w:val="11"/>
                <w:szCs w:val="11"/>
                <w:color w:val="auto"/>
              </w:rPr>
            </w:pPr>
          </w:p>
        </w:tc>
        <w:tc>
          <w:tcPr>
            <w:tcW w:w="960" w:type="dxa"/>
            <w:vAlign w:val="bottom"/>
            <w:tcBorders>
              <w:top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100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1040" w:type="dxa"/>
            <w:vAlign w:val="bottom"/>
            <w:tcBorders>
              <w:top w:val="single" w:sz="8" w:color="auto"/>
            </w:tcBorders>
          </w:tcPr>
          <w:p>
            <w:pPr>
              <w:jc w:val="center"/>
              <w:ind w:right="34"/>
              <w:spacing w:after="0" w:line="129" w:lineRule="exact"/>
              <w:rPr>
                <w:sz w:val="20"/>
                <w:szCs w:val="20"/>
                <w:color w:val="auto"/>
              </w:rPr>
            </w:pPr>
            <w:r>
              <w:rPr>
                <w:rFonts w:ascii="Arial" w:cs="Arial" w:eastAsia="Arial" w:hAnsi="Arial"/>
                <w:sz w:val="14"/>
                <w:szCs w:val="14"/>
                <w:i w:val="1"/>
                <w:iCs w:val="1"/>
                <w:color w:val="auto"/>
              </w:rPr>
              <w:t>(in millions)</w:t>
            </w: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20" w:type="dxa"/>
            <w:vAlign w:val="bottom"/>
            <w:tcBorders>
              <w:top w:val="single" w:sz="8" w:color="auto"/>
            </w:tcBorders>
          </w:tcPr>
          <w:p>
            <w:pPr>
              <w:spacing w:after="0"/>
              <w:rPr>
                <w:sz w:val="11"/>
                <w:szCs w:val="11"/>
                <w:color w:val="auto"/>
              </w:rPr>
            </w:pPr>
          </w:p>
        </w:tc>
        <w:tc>
          <w:tcPr>
            <w:tcW w:w="960" w:type="dxa"/>
            <w:vAlign w:val="bottom"/>
            <w:tcBorders>
              <w:top w:val="single" w:sz="8" w:color="auto"/>
            </w:tcBorders>
          </w:tcPr>
          <w:p>
            <w:pPr>
              <w:spacing w:after="0"/>
              <w:rPr>
                <w:sz w:val="11"/>
                <w:szCs w:val="11"/>
                <w:color w:val="auto"/>
              </w:rPr>
            </w:pPr>
          </w:p>
        </w:tc>
        <w:tc>
          <w:tcPr>
            <w:tcW w:w="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7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 (liabilities)</w:t>
            </w:r>
          </w:p>
        </w:tc>
        <w:tc>
          <w:tcPr>
            <w:tcW w:w="4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00" w:type="dxa"/>
            <w:vAlign w:val="bottom"/>
          </w:tcPr>
          <w:p>
            <w:pPr>
              <w:spacing w:after="0"/>
              <w:rPr>
                <w:sz w:val="20"/>
                <w:szCs w:val="20"/>
                <w:color w:val="auto"/>
              </w:rPr>
            </w:pPr>
            <w:r>
              <w:rPr>
                <w:rFonts w:ascii="Arial" w:cs="Arial" w:eastAsia="Arial" w:hAnsi="Arial"/>
                <w:sz w:val="18"/>
                <w:szCs w:val="18"/>
                <w:color w:val="auto"/>
              </w:rPr>
              <w:t>Mortgage loans</w:t>
            </w:r>
          </w:p>
        </w:tc>
        <w:tc>
          <w:tcPr>
            <w:tcW w:w="680" w:type="dxa"/>
            <w:vAlign w:val="bottom"/>
            <w:gridSpan w:val="2"/>
          </w:tcPr>
          <w:p>
            <w:pPr>
              <w:jc w:val="right"/>
              <w:ind w:right="48"/>
              <w:spacing w:after="0"/>
              <w:rPr>
                <w:sz w:val="20"/>
                <w:szCs w:val="20"/>
                <w:color w:val="auto"/>
              </w:rPr>
            </w:pPr>
            <w:r>
              <w:rPr>
                <w:rFonts w:ascii="Arial" w:cs="Arial" w:eastAsia="Arial" w:hAnsi="Arial"/>
                <w:sz w:val="18"/>
                <w:szCs w:val="18"/>
                <w:b w:val="1"/>
                <w:bCs w:val="1"/>
                <w:color w:val="auto"/>
              </w:rPr>
              <w:t>$</w:t>
            </w:r>
          </w:p>
        </w:tc>
        <w:tc>
          <w:tcPr>
            <w:tcW w:w="960" w:type="dxa"/>
            <w:vAlign w:val="bottom"/>
          </w:tcPr>
          <w:p>
            <w:pPr>
              <w:jc w:val="right"/>
              <w:spacing w:after="0"/>
              <w:rPr>
                <w:sz w:val="20"/>
                <w:szCs w:val="20"/>
                <w:color w:val="auto"/>
              </w:rPr>
            </w:pPr>
            <w:r>
              <w:rPr>
                <w:rFonts w:ascii="Arial" w:cs="Arial" w:eastAsia="Arial" w:hAnsi="Arial"/>
                <w:sz w:val="18"/>
                <w:szCs w:val="18"/>
                <w:b w:val="1"/>
                <w:bCs w:val="1"/>
                <w:color w:val="auto"/>
              </w:rPr>
              <w:t>20,277.2</w:t>
            </w:r>
          </w:p>
        </w:tc>
        <w:tc>
          <w:tcPr>
            <w:tcW w:w="220" w:type="dxa"/>
            <w:vAlign w:val="bottom"/>
          </w:tcPr>
          <w:p>
            <w:pPr>
              <w:spacing w:after="0"/>
              <w:rPr>
                <w:sz w:val="18"/>
                <w:szCs w:val="18"/>
                <w:color w:val="auto"/>
              </w:rPr>
            </w:pPr>
          </w:p>
        </w:tc>
        <w:tc>
          <w:tcPr>
            <w:tcW w:w="180" w:type="dxa"/>
            <w:vAlign w:val="bottom"/>
          </w:tcPr>
          <w:p>
            <w:pPr>
              <w:jc w:val="right"/>
              <w:ind w:right="27"/>
              <w:spacing w:after="0"/>
              <w:rPr>
                <w:sz w:val="20"/>
                <w:szCs w:val="20"/>
                <w:color w:val="auto"/>
              </w:rPr>
            </w:pPr>
            <w:r>
              <w:rPr>
                <w:rFonts w:ascii="Arial" w:cs="Arial" w:eastAsia="Arial" w:hAnsi="Arial"/>
                <w:sz w:val="15"/>
                <w:szCs w:val="15"/>
                <w:b w:val="1"/>
                <w:bCs w:val="1"/>
                <w:color w:val="auto"/>
                <w:w w:val="71"/>
              </w:rPr>
              <w:t>$</w:t>
            </w: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19,022.6</w:t>
            </w:r>
          </w:p>
        </w:tc>
        <w:tc>
          <w:tcPr>
            <w:tcW w:w="100" w:type="dxa"/>
            <w:vAlign w:val="bottom"/>
          </w:tcPr>
          <w:p>
            <w:pPr>
              <w:spacing w:after="0"/>
              <w:rPr>
                <w:sz w:val="18"/>
                <w:szCs w:val="18"/>
                <w:color w:val="auto"/>
              </w:rPr>
            </w:pPr>
          </w:p>
        </w:tc>
        <w:tc>
          <w:tcPr>
            <w:tcW w:w="24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w:t>
            </w:r>
          </w:p>
        </w:tc>
        <w:tc>
          <w:tcPr>
            <w:tcW w:w="106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w:t>
            </w:r>
          </w:p>
        </w:tc>
        <w:tc>
          <w:tcPr>
            <w:tcW w:w="42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w:t>
            </w:r>
          </w:p>
        </w:tc>
        <w:tc>
          <w:tcPr>
            <w:tcW w:w="1160" w:type="dxa"/>
            <w:vAlign w:val="bottom"/>
            <w:gridSpan w:val="2"/>
          </w:tcPr>
          <w:p>
            <w:pPr>
              <w:jc w:val="right"/>
              <w:ind w:right="260"/>
              <w:spacing w:after="0"/>
              <w:rPr>
                <w:sz w:val="20"/>
                <w:szCs w:val="20"/>
                <w:color w:val="auto"/>
              </w:rPr>
            </w:pPr>
            <w:r>
              <w:rPr>
                <w:rFonts w:ascii="Arial" w:cs="Arial" w:eastAsia="Arial" w:hAnsi="Arial"/>
                <w:sz w:val="18"/>
                <w:szCs w:val="18"/>
                <w:b w:val="1"/>
                <w:bCs w:val="1"/>
                <w:color w:val="auto"/>
              </w:rPr>
              <w:t>—</w:t>
            </w:r>
          </w:p>
        </w:tc>
        <w:tc>
          <w:tcPr>
            <w:tcW w:w="22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w w:val="79"/>
              </w:rPr>
              <w:t>$</w:t>
            </w: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19,022.6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00" w:type="dxa"/>
            <w:vAlign w:val="bottom"/>
            <w:shd w:val="clear" w:color="auto" w:fill="CCEEFF"/>
          </w:tcPr>
          <w:p>
            <w:pPr>
              <w:spacing w:after="0"/>
              <w:rPr>
                <w:sz w:val="20"/>
                <w:szCs w:val="20"/>
                <w:color w:val="auto"/>
              </w:rPr>
            </w:pPr>
            <w:r>
              <w:rPr>
                <w:rFonts w:ascii="Arial" w:cs="Arial" w:eastAsia="Arial" w:hAnsi="Arial"/>
                <w:sz w:val="18"/>
                <w:szCs w:val="18"/>
                <w:color w:val="auto"/>
              </w:rPr>
              <w:t>Policy loans</w:t>
            </w:r>
          </w:p>
        </w:tc>
        <w:tc>
          <w:tcPr>
            <w:tcW w:w="4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766.6</w:t>
            </w: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813.8</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b w:val="1"/>
                <w:bCs w:val="1"/>
                <w:color w:val="auto"/>
              </w:rPr>
              <w:t>—</w:t>
            </w: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813.8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00" w:type="dxa"/>
            <w:vAlign w:val="bottom"/>
          </w:tcPr>
          <w:p>
            <w:pPr>
              <w:spacing w:after="0"/>
              <w:rPr>
                <w:sz w:val="20"/>
                <w:szCs w:val="20"/>
                <w:color w:val="auto"/>
              </w:rPr>
            </w:pPr>
            <w:r>
              <w:rPr>
                <w:rFonts w:ascii="Arial" w:cs="Arial" w:eastAsia="Arial" w:hAnsi="Arial"/>
                <w:sz w:val="18"/>
                <w:szCs w:val="18"/>
                <w:color w:val="auto"/>
              </w:rPr>
              <w:t>Other investments</w:t>
            </w:r>
          </w:p>
        </w:tc>
        <w:tc>
          <w:tcPr>
            <w:tcW w:w="4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b w:val="1"/>
                <w:bCs w:val="1"/>
                <w:color w:val="auto"/>
              </w:rPr>
              <w:t>124.6</w:t>
            </w: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113.5</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b w:val="1"/>
                <w:bCs w:val="1"/>
                <w:color w:val="auto"/>
              </w:rPr>
              <w:t>20.2</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93.3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0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w:t>
            </w:r>
          </w:p>
        </w:tc>
        <w:tc>
          <w:tcPr>
            <w:tcW w:w="4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1,302.7</w:t>
            </w: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1,302.7</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1,295.0</w:t>
            </w: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7.7</w:t>
            </w: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00" w:type="dxa"/>
            <w:vAlign w:val="bottom"/>
          </w:tcPr>
          <w:p>
            <w:pPr>
              <w:spacing w:after="0"/>
              <w:rPr>
                <w:sz w:val="20"/>
                <w:szCs w:val="20"/>
                <w:color w:val="auto"/>
              </w:rPr>
            </w:pPr>
            <w:r>
              <w:rPr>
                <w:rFonts w:ascii="Arial" w:cs="Arial" w:eastAsia="Arial" w:hAnsi="Arial"/>
                <w:sz w:val="18"/>
                <w:szCs w:val="18"/>
                <w:color w:val="auto"/>
              </w:rPr>
              <w:t>Reinsurance deposit receivable</w:t>
            </w:r>
          </w:p>
        </w:tc>
        <w:tc>
          <w:tcPr>
            <w:tcW w:w="4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b w:val="1"/>
                <w:bCs w:val="1"/>
                <w:color w:val="auto"/>
              </w:rPr>
              <w:t>9,479.9</w:t>
            </w: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8,637.8</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8"/>
                <w:szCs w:val="18"/>
                <w:b w:val="1"/>
                <w:bCs w:val="1"/>
                <w:color w:val="auto"/>
              </w:rPr>
              <w:t>—</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8,637.8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00" w:type="dxa"/>
            <w:vAlign w:val="bottom"/>
            <w:shd w:val="clear" w:color="auto" w:fill="CCEEFF"/>
          </w:tcPr>
          <w:p>
            <w:pPr>
              <w:spacing w:after="0"/>
              <w:rPr>
                <w:sz w:val="20"/>
                <w:szCs w:val="20"/>
                <w:color w:val="auto"/>
              </w:rPr>
            </w:pPr>
            <w:r>
              <w:rPr>
                <w:rFonts w:ascii="Arial" w:cs="Arial" w:eastAsia="Arial" w:hAnsi="Arial"/>
                <w:sz w:val="18"/>
                <w:szCs w:val="18"/>
                <w:color w:val="auto"/>
              </w:rPr>
              <w:t>Investment contracts</w:t>
            </w:r>
          </w:p>
        </w:tc>
        <w:tc>
          <w:tcPr>
            <w:tcW w:w="4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(36,392.4)</w:t>
            </w:r>
          </w:p>
        </w:tc>
        <w:tc>
          <w:tcPr>
            <w:tcW w:w="18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(33,900.8)</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(7,391.5)</w:t>
            </w: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(26,509.3)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00" w:type="dxa"/>
            <w:vAlign w:val="bottom"/>
          </w:tcPr>
          <w:p>
            <w:pPr>
              <w:spacing w:after="0"/>
              <w:rPr>
                <w:sz w:val="20"/>
                <w:szCs w:val="20"/>
                <w:color w:val="auto"/>
              </w:rPr>
            </w:pPr>
            <w:r>
              <w:rPr>
                <w:rFonts w:ascii="Arial" w:cs="Arial" w:eastAsia="Arial" w:hAnsi="Arial"/>
                <w:sz w:val="18"/>
                <w:szCs w:val="18"/>
                <w:color w:val="auto"/>
              </w:rPr>
              <w:t>Short-term debt</w:t>
            </w:r>
          </w:p>
        </w:tc>
        <w:tc>
          <w:tcPr>
            <w:tcW w:w="4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(66.9)</w:t>
            </w:r>
          </w:p>
        </w:tc>
        <w:tc>
          <w:tcPr>
            <w:tcW w:w="18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(66.9)</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6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(66.9)</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00" w:type="dxa"/>
            <w:vAlign w:val="bottom"/>
            <w:shd w:val="clear" w:color="auto" w:fill="CCEEFF"/>
          </w:tcPr>
          <w:p>
            <w:pPr>
              <w:spacing w:after="0"/>
              <w:rPr>
                <w:sz w:val="20"/>
                <w:szCs w:val="20"/>
                <w:color w:val="auto"/>
              </w:rPr>
            </w:pPr>
            <w:r>
              <w:rPr>
                <w:rFonts w:ascii="Arial" w:cs="Arial" w:eastAsia="Arial" w:hAnsi="Arial"/>
                <w:sz w:val="18"/>
                <w:szCs w:val="18"/>
                <w:color w:val="auto"/>
              </w:rPr>
              <w:t>Long-term debt</w:t>
            </w:r>
          </w:p>
        </w:tc>
        <w:tc>
          <w:tcPr>
            <w:tcW w:w="4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(4,280.7)</w:t>
            </w:r>
          </w:p>
        </w:tc>
        <w:tc>
          <w:tcPr>
            <w:tcW w:w="18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(4,081.4)</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(4,042.4)</w:t>
            </w: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(39.0)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00" w:type="dxa"/>
            <w:vAlign w:val="bottom"/>
          </w:tcPr>
          <w:p>
            <w:pPr>
              <w:spacing w:after="0"/>
              <w:rPr>
                <w:sz w:val="20"/>
                <w:szCs w:val="20"/>
                <w:color w:val="auto"/>
              </w:rPr>
            </w:pPr>
            <w:r>
              <w:rPr>
                <w:rFonts w:ascii="Arial" w:cs="Arial" w:eastAsia="Arial" w:hAnsi="Arial"/>
                <w:sz w:val="18"/>
                <w:szCs w:val="18"/>
                <w:color w:val="auto"/>
              </w:rPr>
              <w:t>Separate account liabilities</w:t>
            </w:r>
          </w:p>
        </w:tc>
        <w:tc>
          <w:tcPr>
            <w:tcW w:w="4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(139,859.8)</w:t>
            </w:r>
          </w:p>
        </w:tc>
        <w:tc>
          <w:tcPr>
            <w:tcW w:w="18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(138,967.6)</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8"/>
                <w:szCs w:val="18"/>
                <w:b w:val="1"/>
                <w:bCs w:val="1"/>
                <w:color w:val="auto"/>
              </w:rPr>
              <w:t>—</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(138,967.6)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00" w:type="dxa"/>
            <w:vAlign w:val="bottom"/>
            <w:shd w:val="clear" w:color="auto" w:fill="CCEEFF"/>
          </w:tcPr>
          <w:p>
            <w:pPr>
              <w:spacing w:after="0"/>
              <w:rPr>
                <w:sz w:val="20"/>
                <w:szCs w:val="20"/>
                <w:color w:val="auto"/>
              </w:rPr>
            </w:pPr>
            <w:r>
              <w:rPr>
                <w:rFonts w:ascii="Arial" w:cs="Arial" w:eastAsia="Arial" w:hAnsi="Arial"/>
                <w:sz w:val="18"/>
                <w:szCs w:val="18"/>
                <w:color w:val="auto"/>
              </w:rPr>
              <w:t>Bank deposits (1)</w:t>
            </w:r>
          </w:p>
        </w:tc>
        <w:tc>
          <w:tcPr>
            <w:tcW w:w="4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(354.0)</w:t>
            </w:r>
          </w:p>
        </w:tc>
        <w:tc>
          <w:tcPr>
            <w:tcW w:w="18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(341.6)</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(341.6)</w:t>
            </w: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700" w:type="dxa"/>
            <w:vAlign w:val="bottom"/>
          </w:tcPr>
          <w:p>
            <w:pPr>
              <w:spacing w:after="0"/>
              <w:rPr>
                <w:sz w:val="20"/>
                <w:szCs w:val="20"/>
                <w:color w:val="auto"/>
              </w:rPr>
            </w:pPr>
            <w:r>
              <w:rPr>
                <w:rFonts w:ascii="Arial" w:cs="Arial" w:eastAsia="Arial" w:hAnsi="Arial"/>
                <w:sz w:val="18"/>
                <w:szCs w:val="18"/>
                <w:color w:val="auto"/>
              </w:rPr>
              <w:t>Cash collateral payable</w:t>
            </w:r>
          </w:p>
        </w:tc>
        <w:tc>
          <w:tcPr>
            <w:tcW w:w="4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(295.6)</w:t>
            </w:r>
          </w:p>
        </w:tc>
        <w:tc>
          <w:tcPr>
            <w:tcW w:w="180" w:type="dxa"/>
            <w:vAlign w:val="bottom"/>
          </w:tcPr>
          <w:p>
            <w:pPr>
              <w:spacing w:after="0"/>
              <w:rPr>
                <w:sz w:val="20"/>
                <w:szCs w:val="20"/>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(295.6)</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6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(295.6)</w:t>
            </w:r>
          </w:p>
        </w:tc>
        <w:tc>
          <w:tcPr>
            <w:tcW w:w="2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8"/>
                <w:szCs w:val="18"/>
                <w:b w:val="1"/>
                <w:bCs w:val="1"/>
                <w:color w:val="auto"/>
              </w:rPr>
              <w:t>—</w:t>
            </w: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846"/>
        </w:trPr>
        <w:tc>
          <w:tcPr>
            <w:tcW w:w="27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0" w:type="dxa"/>
            <w:vAlign w:val="bottom"/>
          </w:tcPr>
          <w:p>
            <w:pPr>
              <w:jc w:val="right"/>
              <w:ind w:right="591"/>
              <w:spacing w:after="0"/>
              <w:rPr>
                <w:sz w:val="20"/>
                <w:szCs w:val="20"/>
                <w:color w:val="auto"/>
              </w:rPr>
            </w:pPr>
            <w:r>
              <w:rPr>
                <w:rFonts w:ascii="Arial" w:cs="Arial" w:eastAsia="Arial" w:hAnsi="Arial"/>
                <w:sz w:val="18"/>
                <w:szCs w:val="18"/>
                <w:color w:val="auto"/>
              </w:rPr>
              <w:t>76</w:t>
            </w: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60"/>
        </w:trPr>
        <w:tc>
          <w:tcPr>
            <w:tcW w:w="2700" w:type="dxa"/>
            <w:vAlign w:val="bottom"/>
            <w:tcBorders>
              <w:bottom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920"/>
          </w:cols>
          <w:pgMar w:left="980" w:top="665" w:right="999" w:bottom="1440" w:gutter="0" w:footer="0" w:header="0"/>
        </w:sectPr>
      </w:pPr>
    </w:p>
    <w:bookmarkStart w:id="76" w:name="page77"/>
    <w:bookmarkEnd w:id="76"/>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4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91"/>
              </w:rPr>
              <w:t>December 31, 2021</w:t>
            </w:r>
          </w:p>
        </w:tc>
        <w:tc>
          <w:tcPr>
            <w:tcW w:w="20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4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400" w:type="dxa"/>
            <w:vAlign w:val="bottom"/>
            <w:gridSpan w:val="3"/>
            <w:vMerge w:val="restart"/>
          </w:tcPr>
          <w:p>
            <w:pPr>
              <w:jc w:val="right"/>
              <w:ind w:right="260"/>
              <w:spacing w:after="0"/>
              <w:rPr>
                <w:sz w:val="20"/>
                <w:szCs w:val="20"/>
                <w:color w:val="auto"/>
              </w:rPr>
            </w:pPr>
            <w:r>
              <w:rPr>
                <w:rFonts w:ascii="Arial" w:cs="Arial" w:eastAsia="Arial" w:hAnsi="Arial"/>
                <w:sz w:val="14"/>
                <w:szCs w:val="14"/>
                <w:b w:val="1"/>
                <w:bCs w:val="1"/>
                <w:color w:val="auto"/>
                <w:w w:val="99"/>
              </w:rPr>
              <w:t>Carrying amount</w:t>
            </w:r>
          </w:p>
        </w:tc>
        <w:tc>
          <w:tcPr>
            <w:tcW w:w="180" w:type="dxa"/>
            <w:vAlign w:val="bottom"/>
          </w:tcPr>
          <w:p>
            <w:pPr>
              <w:spacing w:after="0"/>
              <w:rPr>
                <w:sz w:val="12"/>
                <w:szCs w:val="12"/>
                <w:color w:val="auto"/>
              </w:rPr>
            </w:pPr>
          </w:p>
        </w:tc>
        <w:tc>
          <w:tcPr>
            <w:tcW w:w="1100" w:type="dxa"/>
            <w:vAlign w:val="bottom"/>
            <w:gridSpan w:val="2"/>
            <w:vMerge w:val="restart"/>
          </w:tcPr>
          <w:p>
            <w:pPr>
              <w:ind w:left="100"/>
              <w:spacing w:after="0"/>
              <w:rPr>
                <w:sz w:val="20"/>
                <w:szCs w:val="20"/>
                <w:color w:val="auto"/>
              </w:rPr>
            </w:pPr>
            <w:r>
              <w:rPr>
                <w:rFonts w:ascii="Arial" w:cs="Arial" w:eastAsia="Arial" w:hAnsi="Arial"/>
                <w:sz w:val="14"/>
                <w:szCs w:val="14"/>
                <w:b w:val="1"/>
                <w:bCs w:val="1"/>
                <w:color w:val="auto"/>
              </w:rPr>
              <w:t>Fair value</w:t>
            </w:r>
          </w:p>
        </w:tc>
        <w:tc>
          <w:tcPr>
            <w:tcW w:w="100" w:type="dxa"/>
            <w:vAlign w:val="bottom"/>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1000" w:type="dxa"/>
            <w:vAlign w:val="bottom"/>
            <w:tcBorders>
              <w:bottom w:val="single" w:sz="8" w:color="auto"/>
            </w:tcBorders>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1580" w:type="dxa"/>
            <w:vAlign w:val="bottom"/>
            <w:tcBorders>
              <w:bottom w:val="single" w:sz="8" w:color="auto"/>
            </w:tcBorders>
            <w:gridSpan w:val="4"/>
          </w:tcPr>
          <w:p>
            <w:pPr>
              <w:jc w:val="center"/>
              <w:spacing w:after="0" w:line="142" w:lineRule="exact"/>
              <w:rPr>
                <w:sz w:val="20"/>
                <w:szCs w:val="20"/>
                <w:color w:val="auto"/>
              </w:rPr>
            </w:pPr>
            <w:r>
              <w:rPr>
                <w:rFonts w:ascii="Arial" w:cs="Arial" w:eastAsia="Arial" w:hAnsi="Arial"/>
                <w:sz w:val="14"/>
                <w:szCs w:val="14"/>
                <w:b w:val="1"/>
                <w:bCs w:val="1"/>
                <w:color w:val="auto"/>
                <w:w w:val="94"/>
              </w:rPr>
              <w:t>Fair value hierarchy level</w:t>
            </w:r>
          </w:p>
        </w:tc>
        <w:tc>
          <w:tcPr>
            <w:tcW w:w="20" w:type="dxa"/>
            <w:vAlign w:val="bottom"/>
            <w:tcBorders>
              <w:bottom w:val="single" w:sz="8" w:color="auto"/>
            </w:tcBorders>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980" w:type="dxa"/>
            <w:vAlign w:val="bottom"/>
            <w:tcBorders>
              <w:bottom w:val="single" w:sz="8" w:color="auto"/>
            </w:tcBorders>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4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400" w:type="dxa"/>
            <w:vAlign w:val="bottom"/>
            <w:gridSpan w:val="3"/>
            <w:vMerge w:val="continue"/>
          </w:tcPr>
          <w:p>
            <w:pPr>
              <w:spacing w:after="0"/>
              <w:rPr>
                <w:sz w:val="12"/>
                <w:szCs w:val="12"/>
                <w:color w:val="auto"/>
              </w:rPr>
            </w:pPr>
          </w:p>
        </w:tc>
        <w:tc>
          <w:tcPr>
            <w:tcW w:w="180" w:type="dxa"/>
            <w:vAlign w:val="bottom"/>
          </w:tcPr>
          <w:p>
            <w:pPr>
              <w:spacing w:after="0"/>
              <w:rPr>
                <w:sz w:val="12"/>
                <w:szCs w:val="12"/>
                <w:color w:val="auto"/>
              </w:rPr>
            </w:pPr>
          </w:p>
        </w:tc>
        <w:tc>
          <w:tcPr>
            <w:tcW w:w="110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20" w:type="dxa"/>
            <w:vAlign w:val="bottom"/>
            <w:gridSpan w:val="2"/>
          </w:tcPr>
          <w:p>
            <w:pPr>
              <w:jc w:val="center"/>
              <w:ind w:right="180"/>
              <w:spacing w:after="0" w:line="142" w:lineRule="exact"/>
              <w:rPr>
                <w:sz w:val="20"/>
                <w:szCs w:val="20"/>
                <w:color w:val="auto"/>
              </w:rPr>
            </w:pPr>
            <w:r>
              <w:rPr>
                <w:rFonts w:ascii="Arial" w:cs="Arial" w:eastAsia="Arial" w:hAnsi="Arial"/>
                <w:sz w:val="14"/>
                <w:szCs w:val="14"/>
                <w:b w:val="1"/>
                <w:bCs w:val="1"/>
                <w:color w:val="auto"/>
                <w:w w:val="92"/>
              </w:rPr>
              <w:t>Level 1</w:t>
            </w:r>
          </w:p>
        </w:tc>
        <w:tc>
          <w:tcPr>
            <w:tcW w:w="2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60" w:type="dxa"/>
            <w:vAlign w:val="bottom"/>
            <w:gridSpan w:val="2"/>
          </w:tcPr>
          <w:p>
            <w:pPr>
              <w:jc w:val="center"/>
              <w:ind w:right="440"/>
              <w:spacing w:after="0" w:line="142" w:lineRule="exact"/>
              <w:rPr>
                <w:sz w:val="20"/>
                <w:szCs w:val="20"/>
                <w:color w:val="auto"/>
              </w:rPr>
            </w:pPr>
            <w:r>
              <w:rPr>
                <w:rFonts w:ascii="Arial" w:cs="Arial" w:eastAsia="Arial" w:hAnsi="Arial"/>
                <w:sz w:val="14"/>
                <w:szCs w:val="14"/>
                <w:b w:val="1"/>
                <w:bCs w:val="1"/>
                <w:color w:val="auto"/>
                <w:w w:val="92"/>
              </w:rPr>
              <w:t>Level 2</w:t>
            </w: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80" w:type="dxa"/>
            <w:vAlign w:val="bottom"/>
          </w:tcPr>
          <w:p>
            <w:pPr>
              <w:jc w:val="right"/>
              <w:ind w:right="292"/>
              <w:spacing w:after="0" w:line="142" w:lineRule="exact"/>
              <w:rPr>
                <w:sz w:val="20"/>
                <w:szCs w:val="20"/>
                <w:color w:val="auto"/>
              </w:rPr>
            </w:pPr>
            <w:r>
              <w:rPr>
                <w:rFonts w:ascii="Arial" w:cs="Arial" w:eastAsia="Arial" w:hAnsi="Arial"/>
                <w:sz w:val="14"/>
                <w:szCs w:val="14"/>
                <w:b w:val="1"/>
                <w:bCs w:val="1"/>
                <w:color w:val="auto"/>
              </w:rPr>
              <w:t>Level 3</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8"/>
        </w:trPr>
        <w:tc>
          <w:tcPr>
            <w:tcW w:w="24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20" w:type="dxa"/>
            <w:vAlign w:val="bottom"/>
            <w:tcBorders>
              <w:top w:val="single" w:sz="8" w:color="auto"/>
            </w:tcBorders>
          </w:tcPr>
          <w:p>
            <w:pPr>
              <w:spacing w:after="0"/>
              <w:rPr>
                <w:sz w:val="11"/>
                <w:szCs w:val="11"/>
                <w:color w:val="auto"/>
              </w:rPr>
            </w:pPr>
          </w:p>
        </w:tc>
        <w:tc>
          <w:tcPr>
            <w:tcW w:w="960" w:type="dxa"/>
            <w:vAlign w:val="bottom"/>
            <w:tcBorders>
              <w:top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100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1000" w:type="dxa"/>
            <w:vAlign w:val="bottom"/>
            <w:tcBorders>
              <w:top w:val="single" w:sz="8" w:color="auto"/>
            </w:tcBorders>
          </w:tcPr>
          <w:p>
            <w:pPr>
              <w:jc w:val="center"/>
              <w:ind w:right="73"/>
              <w:spacing w:after="0" w:line="129" w:lineRule="exact"/>
              <w:rPr>
                <w:sz w:val="20"/>
                <w:szCs w:val="20"/>
                <w:color w:val="auto"/>
              </w:rPr>
            </w:pPr>
            <w:r>
              <w:rPr>
                <w:rFonts w:ascii="Arial" w:cs="Arial" w:eastAsia="Arial" w:hAnsi="Arial"/>
                <w:sz w:val="14"/>
                <w:szCs w:val="14"/>
                <w:i w:val="1"/>
                <w:iCs w:val="1"/>
                <w:color w:val="auto"/>
              </w:rPr>
              <w:t>(in millions)</w:t>
            </w: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20" w:type="dxa"/>
            <w:vAlign w:val="bottom"/>
            <w:tcBorders>
              <w:top w:val="single" w:sz="8" w:color="auto"/>
            </w:tcBorders>
          </w:tcPr>
          <w:p>
            <w:pPr>
              <w:spacing w:after="0"/>
              <w:rPr>
                <w:sz w:val="11"/>
                <w:szCs w:val="11"/>
                <w:color w:val="auto"/>
              </w:rPr>
            </w:pPr>
          </w:p>
        </w:tc>
        <w:tc>
          <w:tcPr>
            <w:tcW w:w="960" w:type="dxa"/>
            <w:vAlign w:val="bottom"/>
            <w:tcBorders>
              <w:top w:val="single" w:sz="8" w:color="auto"/>
            </w:tcBorders>
          </w:tcPr>
          <w:p>
            <w:pPr>
              <w:spacing w:after="0"/>
              <w:rPr>
                <w:sz w:val="11"/>
                <w:szCs w:val="11"/>
                <w:color w:val="auto"/>
              </w:rPr>
            </w:pPr>
          </w:p>
        </w:tc>
        <w:tc>
          <w:tcPr>
            <w:tcW w:w="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4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 (liabilities)</w:t>
            </w:r>
          </w:p>
        </w:tc>
        <w:tc>
          <w:tcPr>
            <w:tcW w:w="6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480" w:type="dxa"/>
            <w:vAlign w:val="bottom"/>
          </w:tcPr>
          <w:p>
            <w:pPr>
              <w:spacing w:after="0"/>
              <w:rPr>
                <w:sz w:val="20"/>
                <w:szCs w:val="20"/>
                <w:color w:val="auto"/>
              </w:rPr>
            </w:pPr>
            <w:r>
              <w:rPr>
                <w:rFonts w:ascii="Arial" w:cs="Arial" w:eastAsia="Arial" w:hAnsi="Arial"/>
                <w:sz w:val="18"/>
                <w:szCs w:val="18"/>
                <w:color w:val="auto"/>
              </w:rPr>
              <w:t>Mortgage loans</w:t>
            </w:r>
          </w:p>
        </w:tc>
        <w:tc>
          <w:tcPr>
            <w:tcW w:w="900" w:type="dxa"/>
            <w:vAlign w:val="bottom"/>
            <w:gridSpan w:val="2"/>
          </w:tcPr>
          <w:p>
            <w:pPr>
              <w:jc w:val="right"/>
              <w:ind w:right="48"/>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19,668.7</w:t>
            </w:r>
          </w:p>
        </w:tc>
        <w:tc>
          <w:tcPr>
            <w:tcW w:w="220" w:type="dxa"/>
            <w:vAlign w:val="bottom"/>
          </w:tcPr>
          <w:p>
            <w:pPr>
              <w:spacing w:after="0"/>
              <w:rPr>
                <w:sz w:val="18"/>
                <w:szCs w:val="18"/>
                <w:color w:val="auto"/>
              </w:rPr>
            </w:pPr>
          </w:p>
        </w:tc>
        <w:tc>
          <w:tcPr>
            <w:tcW w:w="180" w:type="dxa"/>
            <w:vAlign w:val="bottom"/>
          </w:tcPr>
          <w:p>
            <w:pPr>
              <w:jc w:val="right"/>
              <w:ind w:right="27"/>
              <w:spacing w:after="0"/>
              <w:rPr>
                <w:sz w:val="20"/>
                <w:szCs w:val="20"/>
                <w:color w:val="auto"/>
              </w:rPr>
            </w:pPr>
            <w:r>
              <w:rPr>
                <w:rFonts w:ascii="Arial" w:cs="Arial" w:eastAsia="Arial" w:hAnsi="Arial"/>
                <w:sz w:val="15"/>
                <w:szCs w:val="15"/>
                <w:color w:val="auto"/>
                <w:w w:val="71"/>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20,602.7</w:t>
            </w:r>
          </w:p>
        </w:tc>
        <w:tc>
          <w:tcPr>
            <w:tcW w:w="100" w:type="dxa"/>
            <w:vAlign w:val="bottom"/>
          </w:tcPr>
          <w:p>
            <w:pPr>
              <w:spacing w:after="0"/>
              <w:rPr>
                <w:sz w:val="18"/>
                <w:szCs w:val="18"/>
                <w:color w:val="auto"/>
              </w:rPr>
            </w:pPr>
          </w:p>
        </w:tc>
        <w:tc>
          <w:tcPr>
            <w:tcW w:w="280" w:type="dxa"/>
            <w:vAlign w:val="bottom"/>
            <w:gridSpan w:val="2"/>
          </w:tcPr>
          <w:p>
            <w:pPr>
              <w:jc w:val="right"/>
              <w:ind w:right="8"/>
              <w:spacing w:after="0"/>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4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gridSpan w:val="2"/>
          </w:tcPr>
          <w:p>
            <w:pPr>
              <w:jc w:val="right"/>
              <w:ind w:right="120"/>
              <w:spacing w:after="0"/>
              <w:rPr>
                <w:sz w:val="20"/>
                <w:szCs w:val="20"/>
                <w:color w:val="auto"/>
              </w:rPr>
            </w:pPr>
            <w:r>
              <w:rPr>
                <w:rFonts w:ascii="Arial" w:cs="Arial" w:eastAsia="Arial" w:hAnsi="Arial"/>
                <w:sz w:val="18"/>
                <w:szCs w:val="18"/>
                <w:color w:val="auto"/>
                <w:w w:val="79"/>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20,602.7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480" w:type="dxa"/>
            <w:vAlign w:val="bottom"/>
            <w:shd w:val="clear" w:color="auto" w:fill="CCEEFF"/>
          </w:tcPr>
          <w:p>
            <w:pPr>
              <w:spacing w:after="0"/>
              <w:rPr>
                <w:sz w:val="20"/>
                <w:szCs w:val="20"/>
                <w:color w:val="auto"/>
              </w:rPr>
            </w:pPr>
            <w:r>
              <w:rPr>
                <w:rFonts w:ascii="Arial" w:cs="Arial" w:eastAsia="Arial" w:hAnsi="Arial"/>
                <w:sz w:val="18"/>
                <w:szCs w:val="18"/>
                <w:color w:val="auto"/>
              </w:rPr>
              <w:t>Policy loans</w:t>
            </w:r>
          </w:p>
        </w:tc>
        <w:tc>
          <w:tcPr>
            <w:tcW w:w="6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759.6</w:t>
            </w: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952.9</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952.9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480" w:type="dxa"/>
            <w:vAlign w:val="bottom"/>
          </w:tcPr>
          <w:p>
            <w:pPr>
              <w:spacing w:after="0"/>
              <w:rPr>
                <w:sz w:val="20"/>
                <w:szCs w:val="20"/>
                <w:color w:val="auto"/>
              </w:rPr>
            </w:pPr>
            <w:r>
              <w:rPr>
                <w:rFonts w:ascii="Arial" w:cs="Arial" w:eastAsia="Arial" w:hAnsi="Arial"/>
                <w:sz w:val="18"/>
                <w:szCs w:val="18"/>
                <w:color w:val="auto"/>
              </w:rPr>
              <w:t>Other investments</w:t>
            </w: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304.0</w:t>
            </w: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294.8</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198.6</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96.2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48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w:t>
            </w:r>
          </w:p>
        </w:tc>
        <w:tc>
          <w:tcPr>
            <w:tcW w:w="6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1,214.2</w:t>
            </w: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1,214.2</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1,197.8</w:t>
            </w: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16.4</w:t>
            </w: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480" w:type="dxa"/>
            <w:vAlign w:val="bottom"/>
          </w:tcPr>
          <w:p>
            <w:pPr>
              <w:spacing w:after="0"/>
              <w:rPr>
                <w:sz w:val="20"/>
                <w:szCs w:val="20"/>
                <w:color w:val="auto"/>
              </w:rPr>
            </w:pPr>
            <w:r>
              <w:rPr>
                <w:rFonts w:ascii="Arial" w:cs="Arial" w:eastAsia="Arial" w:hAnsi="Arial"/>
                <w:sz w:val="18"/>
                <w:szCs w:val="18"/>
                <w:color w:val="auto"/>
              </w:rPr>
              <w:t>Investment contracts</w:t>
            </w: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(35,810.4)</w:t>
            </w:r>
          </w:p>
        </w:tc>
        <w:tc>
          <w:tcPr>
            <w:tcW w:w="18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(36,088.6)</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60" w:type="dxa"/>
            <w:vAlign w:val="bottom"/>
            <w:gridSpan w:val="2"/>
          </w:tcPr>
          <w:p>
            <w:pPr>
              <w:jc w:val="right"/>
              <w:ind w:right="200"/>
              <w:spacing w:after="0"/>
              <w:rPr>
                <w:sz w:val="20"/>
                <w:szCs w:val="20"/>
                <w:color w:val="auto"/>
              </w:rPr>
            </w:pPr>
            <w:r>
              <w:rPr>
                <w:rFonts w:ascii="Arial" w:cs="Arial" w:eastAsia="Arial" w:hAnsi="Arial"/>
                <w:sz w:val="18"/>
                <w:szCs w:val="18"/>
                <w:color w:val="auto"/>
              </w:rPr>
              <w:t>(7,454.3)</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(28,634.3)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480" w:type="dxa"/>
            <w:vAlign w:val="bottom"/>
            <w:shd w:val="clear" w:color="auto" w:fill="CCEEFF"/>
          </w:tcPr>
          <w:p>
            <w:pPr>
              <w:spacing w:after="0"/>
              <w:rPr>
                <w:sz w:val="20"/>
                <w:szCs w:val="20"/>
                <w:color w:val="auto"/>
              </w:rPr>
            </w:pPr>
            <w:r>
              <w:rPr>
                <w:rFonts w:ascii="Arial" w:cs="Arial" w:eastAsia="Arial" w:hAnsi="Arial"/>
                <w:sz w:val="18"/>
                <w:szCs w:val="18"/>
                <w:color w:val="auto"/>
              </w:rPr>
              <w:t>Short-term debt</w:t>
            </w:r>
          </w:p>
        </w:tc>
        <w:tc>
          <w:tcPr>
            <w:tcW w:w="6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(79.8)</w:t>
            </w:r>
          </w:p>
        </w:tc>
        <w:tc>
          <w:tcPr>
            <w:tcW w:w="18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(79.8)</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(79.8)</w:t>
            </w: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480" w:type="dxa"/>
            <w:vAlign w:val="bottom"/>
          </w:tcPr>
          <w:p>
            <w:pPr>
              <w:spacing w:after="0"/>
              <w:rPr>
                <w:sz w:val="20"/>
                <w:szCs w:val="20"/>
                <w:color w:val="auto"/>
              </w:rPr>
            </w:pPr>
            <w:r>
              <w:rPr>
                <w:rFonts w:ascii="Arial" w:cs="Arial" w:eastAsia="Arial" w:hAnsi="Arial"/>
                <w:sz w:val="18"/>
                <w:szCs w:val="18"/>
                <w:color w:val="auto"/>
              </w:rPr>
              <w:t>Long-term debt</w:t>
            </w: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(4,280.2)</w:t>
            </w:r>
          </w:p>
        </w:tc>
        <w:tc>
          <w:tcPr>
            <w:tcW w:w="18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(4,793.1)</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60" w:type="dxa"/>
            <w:vAlign w:val="bottom"/>
            <w:gridSpan w:val="2"/>
          </w:tcPr>
          <w:p>
            <w:pPr>
              <w:jc w:val="right"/>
              <w:ind w:right="200"/>
              <w:spacing w:after="0"/>
              <w:rPr>
                <w:sz w:val="20"/>
                <w:szCs w:val="20"/>
                <w:color w:val="auto"/>
              </w:rPr>
            </w:pPr>
            <w:r>
              <w:rPr>
                <w:rFonts w:ascii="Arial" w:cs="Arial" w:eastAsia="Arial" w:hAnsi="Arial"/>
                <w:sz w:val="18"/>
                <w:szCs w:val="18"/>
                <w:color w:val="auto"/>
              </w:rPr>
              <w:t>(4,755.1)</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(38.0)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480" w:type="dxa"/>
            <w:vAlign w:val="bottom"/>
            <w:shd w:val="clear" w:color="auto" w:fill="CCEEFF"/>
          </w:tcPr>
          <w:p>
            <w:pPr>
              <w:spacing w:after="0"/>
              <w:rPr>
                <w:sz w:val="20"/>
                <w:szCs w:val="20"/>
                <w:color w:val="auto"/>
              </w:rPr>
            </w:pPr>
            <w:r>
              <w:rPr>
                <w:rFonts w:ascii="Arial" w:cs="Arial" w:eastAsia="Arial" w:hAnsi="Arial"/>
                <w:sz w:val="18"/>
                <w:szCs w:val="18"/>
                <w:color w:val="auto"/>
              </w:rPr>
              <w:t>Separate account liabilities</w:t>
            </w:r>
          </w:p>
        </w:tc>
        <w:tc>
          <w:tcPr>
            <w:tcW w:w="6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(165,098.7)</w:t>
            </w:r>
          </w:p>
        </w:tc>
        <w:tc>
          <w:tcPr>
            <w:tcW w:w="18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(164,028.9)</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(164,028.9)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480" w:type="dxa"/>
            <w:vAlign w:val="bottom"/>
          </w:tcPr>
          <w:p>
            <w:pPr>
              <w:spacing w:after="0"/>
              <w:rPr>
                <w:sz w:val="20"/>
                <w:szCs w:val="20"/>
                <w:color w:val="auto"/>
              </w:rPr>
            </w:pPr>
            <w:r>
              <w:rPr>
                <w:rFonts w:ascii="Arial" w:cs="Arial" w:eastAsia="Arial" w:hAnsi="Arial"/>
                <w:sz w:val="18"/>
                <w:szCs w:val="18"/>
                <w:color w:val="auto"/>
              </w:rPr>
              <w:t>Bank deposits (1)</w:t>
            </w: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(373.3)</w:t>
            </w:r>
          </w:p>
        </w:tc>
        <w:tc>
          <w:tcPr>
            <w:tcW w:w="18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(372.8)</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60" w:type="dxa"/>
            <w:vAlign w:val="bottom"/>
            <w:gridSpan w:val="2"/>
          </w:tcPr>
          <w:p>
            <w:pPr>
              <w:jc w:val="right"/>
              <w:ind w:right="200"/>
              <w:spacing w:after="0"/>
              <w:rPr>
                <w:sz w:val="20"/>
                <w:szCs w:val="20"/>
                <w:color w:val="auto"/>
              </w:rPr>
            </w:pPr>
            <w:r>
              <w:rPr>
                <w:rFonts w:ascii="Arial" w:cs="Arial" w:eastAsia="Arial" w:hAnsi="Arial"/>
                <w:sz w:val="18"/>
                <w:szCs w:val="18"/>
                <w:color w:val="auto"/>
              </w:rPr>
              <w:t>(372.8)</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480" w:type="dxa"/>
            <w:vAlign w:val="bottom"/>
            <w:shd w:val="clear" w:color="auto" w:fill="CCEEFF"/>
          </w:tcPr>
          <w:p>
            <w:pPr>
              <w:spacing w:after="0"/>
              <w:rPr>
                <w:sz w:val="20"/>
                <w:szCs w:val="20"/>
                <w:color w:val="auto"/>
              </w:rPr>
            </w:pPr>
            <w:r>
              <w:rPr>
                <w:rFonts w:ascii="Arial" w:cs="Arial" w:eastAsia="Arial" w:hAnsi="Arial"/>
                <w:sz w:val="18"/>
                <w:szCs w:val="18"/>
                <w:color w:val="auto"/>
              </w:rPr>
              <w:t>Cash collateral payable</w:t>
            </w:r>
          </w:p>
        </w:tc>
        <w:tc>
          <w:tcPr>
            <w:tcW w:w="6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(214.9)</w:t>
            </w:r>
          </w:p>
        </w:tc>
        <w:tc>
          <w:tcPr>
            <w:tcW w:w="18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(214.9)</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(214.9)</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08"/>
        </w:trPr>
        <w:tc>
          <w:tcPr>
            <w:tcW w:w="2480" w:type="dxa"/>
            <w:vAlign w:val="bottom"/>
            <w:tcBorders>
              <w:bottom w:val="single" w:sz="8" w:color="auto"/>
            </w:tcBorders>
          </w:tcPr>
          <w:p>
            <w:pPr>
              <w:spacing w:after="0"/>
              <w:rPr>
                <w:sz w:val="9"/>
                <w:szCs w:val="9"/>
                <w:color w:val="auto"/>
              </w:rPr>
            </w:pPr>
          </w:p>
        </w:tc>
        <w:tc>
          <w:tcPr>
            <w:tcW w:w="680" w:type="dxa"/>
            <w:vAlign w:val="bottom"/>
          </w:tcPr>
          <w:p>
            <w:pPr>
              <w:spacing w:after="0"/>
              <w:rPr>
                <w:sz w:val="9"/>
                <w:szCs w:val="9"/>
                <w:color w:val="auto"/>
              </w:rPr>
            </w:pPr>
          </w:p>
        </w:tc>
        <w:tc>
          <w:tcPr>
            <w:tcW w:w="220" w:type="dxa"/>
            <w:vAlign w:val="bottom"/>
          </w:tcPr>
          <w:p>
            <w:pPr>
              <w:spacing w:after="0"/>
              <w:rPr>
                <w:sz w:val="9"/>
                <w:szCs w:val="9"/>
                <w:color w:val="auto"/>
              </w:rPr>
            </w:pPr>
          </w:p>
        </w:tc>
        <w:tc>
          <w:tcPr>
            <w:tcW w:w="960" w:type="dxa"/>
            <w:vAlign w:val="bottom"/>
          </w:tcPr>
          <w:p>
            <w:pPr>
              <w:spacing w:after="0"/>
              <w:rPr>
                <w:sz w:val="9"/>
                <w:szCs w:val="9"/>
                <w:color w:val="auto"/>
              </w:rPr>
            </w:pPr>
          </w:p>
        </w:tc>
        <w:tc>
          <w:tcPr>
            <w:tcW w:w="22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00" w:type="dxa"/>
            <w:vAlign w:val="bottom"/>
          </w:tcPr>
          <w:p>
            <w:pPr>
              <w:spacing w:after="0"/>
              <w:rPr>
                <w:sz w:val="9"/>
                <w:szCs w:val="9"/>
                <w:color w:val="auto"/>
              </w:rPr>
            </w:pPr>
          </w:p>
        </w:tc>
        <w:tc>
          <w:tcPr>
            <w:tcW w:w="20" w:type="dxa"/>
            <w:vAlign w:val="bottom"/>
          </w:tcPr>
          <w:p>
            <w:pPr>
              <w:spacing w:after="0"/>
              <w:rPr>
                <w:sz w:val="9"/>
                <w:szCs w:val="9"/>
                <w:color w:val="auto"/>
              </w:rPr>
            </w:pPr>
          </w:p>
        </w:tc>
        <w:tc>
          <w:tcPr>
            <w:tcW w:w="200" w:type="dxa"/>
            <w:vAlign w:val="bottom"/>
          </w:tcPr>
          <w:p>
            <w:pPr>
              <w:spacing w:after="0"/>
              <w:rPr>
                <w:sz w:val="9"/>
                <w:szCs w:val="9"/>
                <w:color w:val="auto"/>
              </w:rPr>
            </w:pPr>
          </w:p>
        </w:tc>
        <w:tc>
          <w:tcPr>
            <w:tcW w:w="220" w:type="dxa"/>
            <w:vAlign w:val="bottom"/>
          </w:tcPr>
          <w:p>
            <w:pPr>
              <w:spacing w:after="0"/>
              <w:rPr>
                <w:sz w:val="9"/>
                <w:szCs w:val="9"/>
                <w:color w:val="auto"/>
              </w:rPr>
            </w:pPr>
          </w:p>
        </w:tc>
        <w:tc>
          <w:tcPr>
            <w:tcW w:w="960" w:type="dxa"/>
            <w:vAlign w:val="bottom"/>
          </w:tcPr>
          <w:p>
            <w:pPr>
              <w:spacing w:after="0"/>
              <w:rPr>
                <w:sz w:val="9"/>
                <w:szCs w:val="9"/>
                <w:color w:val="auto"/>
              </w:rPr>
            </w:pPr>
          </w:p>
        </w:tc>
        <w:tc>
          <w:tcPr>
            <w:tcW w:w="200" w:type="dxa"/>
            <w:vAlign w:val="bottom"/>
          </w:tcPr>
          <w:p>
            <w:pPr>
              <w:spacing w:after="0"/>
              <w:rPr>
                <w:sz w:val="9"/>
                <w:szCs w:val="9"/>
                <w:color w:val="auto"/>
              </w:rPr>
            </w:pPr>
          </w:p>
        </w:tc>
        <w:tc>
          <w:tcPr>
            <w:tcW w:w="20" w:type="dxa"/>
            <w:vAlign w:val="bottom"/>
          </w:tcPr>
          <w:p>
            <w:pPr>
              <w:spacing w:after="0"/>
              <w:rPr>
                <w:sz w:val="9"/>
                <w:szCs w:val="9"/>
                <w:color w:val="auto"/>
              </w:rPr>
            </w:pPr>
          </w:p>
        </w:tc>
        <w:tc>
          <w:tcPr>
            <w:tcW w:w="200" w:type="dxa"/>
            <w:vAlign w:val="bottom"/>
          </w:tcPr>
          <w:p>
            <w:pPr>
              <w:spacing w:after="0"/>
              <w:rPr>
                <w:sz w:val="9"/>
                <w:szCs w:val="9"/>
                <w:color w:val="auto"/>
              </w:rPr>
            </w:pPr>
          </w:p>
        </w:tc>
        <w:tc>
          <w:tcPr>
            <w:tcW w:w="9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80" w:lineRule="exact"/>
        <w:rPr>
          <w:sz w:val="20"/>
          <w:szCs w:val="20"/>
          <w:color w:val="auto"/>
        </w:rPr>
      </w:pPr>
    </w:p>
    <w:p>
      <w:pPr>
        <w:spacing w:after="0"/>
        <w:rPr>
          <w:sz w:val="20"/>
          <w:szCs w:val="20"/>
          <w:color w:val="auto"/>
        </w:rPr>
      </w:pPr>
      <w:r>
        <w:rPr>
          <w:rFonts w:ascii="Arial" w:cs="Arial" w:eastAsia="Arial" w:hAnsi="Arial"/>
          <w:sz w:val="18"/>
          <w:szCs w:val="18"/>
          <w:color w:val="auto"/>
        </w:rPr>
        <w:t>(1) Excludes deposit liabilities without defined or contractual maturities.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13. Segment Information</w:t>
      </w:r>
    </w:p>
    <w:p>
      <w:pPr>
        <w:spacing w:after="0" w:line="229" w:lineRule="exact"/>
        <w:rPr>
          <w:sz w:val="20"/>
          <w:szCs w:val="20"/>
          <w:color w:val="auto"/>
        </w:rPr>
      </w:pPr>
    </w:p>
    <w:p>
      <w:pPr>
        <w:ind w:right="60" w:firstLine="648"/>
        <w:spacing w:after="0" w:line="259" w:lineRule="auto"/>
        <w:rPr>
          <w:sz w:val="20"/>
          <w:szCs w:val="20"/>
          <w:color w:val="auto"/>
        </w:rPr>
      </w:pPr>
      <w:r>
        <w:rPr>
          <w:rFonts w:ascii="Arial" w:cs="Arial" w:eastAsia="Arial" w:hAnsi="Arial"/>
          <w:sz w:val="18"/>
          <w:szCs w:val="18"/>
          <w:color w:val="auto"/>
        </w:rPr>
        <w:t>We provide financial products and services through the following segments: Retirement and Income Solutions, Principal Global Investors, Principal International and U.S. Insurance Solutions. In addition, we have a Corporate segment. The segments are managed and reported separately because they provide different products and services, have different strategies or have different markets and distribution channels.</w:t>
      </w:r>
    </w:p>
    <w:p>
      <w:pPr>
        <w:spacing w:after="0" w:line="133" w:lineRule="exact"/>
        <w:rPr>
          <w:sz w:val="20"/>
          <w:szCs w:val="20"/>
          <w:color w:val="auto"/>
        </w:rPr>
      </w:pPr>
    </w:p>
    <w:p>
      <w:pPr>
        <w:ind w:right="20" w:firstLine="648"/>
        <w:spacing w:after="0" w:line="255" w:lineRule="auto"/>
        <w:rPr>
          <w:sz w:val="20"/>
          <w:szCs w:val="20"/>
          <w:color w:val="auto"/>
        </w:rPr>
      </w:pPr>
      <w:r>
        <w:rPr>
          <w:rFonts w:ascii="Arial" w:cs="Arial" w:eastAsia="Arial" w:hAnsi="Arial"/>
          <w:sz w:val="18"/>
          <w:szCs w:val="18"/>
          <w:color w:val="auto"/>
        </w:rPr>
        <w:t>The Retirement and Income Solutions segment provides retirement and related financial products and services primarily to businesses, their employees and other individuals. The segment is organized into Retirement and Income Solutions – Fee, which includes full service accumulation, trust and custody services, individual variable annuities and the acquisition, integration and migration expenses associated with the purchase of the Institutional Retirement &amp; Trust business of Wells Fargo Bank, N.A.; and Retirement and Income Solutions – Spread, which includes investment only, pension risk transfer, banking services and our exited individual fixed annuities business.</w:t>
      </w:r>
    </w:p>
    <w:p>
      <w:pPr>
        <w:spacing w:after="0" w:line="138" w:lineRule="exact"/>
        <w:rPr>
          <w:sz w:val="20"/>
          <w:szCs w:val="20"/>
          <w:color w:val="auto"/>
        </w:rPr>
      </w:pPr>
    </w:p>
    <w:p>
      <w:pPr>
        <w:ind w:right="160" w:firstLine="648"/>
        <w:spacing w:after="0" w:line="342" w:lineRule="auto"/>
        <w:rPr>
          <w:sz w:val="20"/>
          <w:szCs w:val="20"/>
          <w:color w:val="auto"/>
        </w:rPr>
      </w:pPr>
      <w:r>
        <w:rPr>
          <w:rFonts w:ascii="Arial" w:cs="Arial" w:eastAsia="Arial" w:hAnsi="Arial"/>
          <w:sz w:val="16"/>
          <w:szCs w:val="16"/>
          <w:color w:val="auto"/>
        </w:rPr>
        <w:t>The Principal Global Investors segment provides asset management services to our asset accumulation business, our insurance operations, the Corporate segment and third party institutional clients. This segment also includes our mutual fund business.</w:t>
      </w:r>
    </w:p>
    <w:p>
      <w:pPr>
        <w:spacing w:after="0" w:line="70" w:lineRule="exact"/>
        <w:rPr>
          <w:sz w:val="20"/>
          <w:szCs w:val="20"/>
          <w:color w:val="auto"/>
        </w:rPr>
      </w:pPr>
    </w:p>
    <w:p>
      <w:pPr>
        <w:ind w:right="80" w:firstLine="648"/>
        <w:spacing w:after="0" w:line="259" w:lineRule="auto"/>
        <w:rPr>
          <w:sz w:val="20"/>
          <w:szCs w:val="20"/>
          <w:color w:val="auto"/>
        </w:rPr>
      </w:pPr>
      <w:r>
        <w:rPr>
          <w:rFonts w:ascii="Arial" w:cs="Arial" w:eastAsia="Arial" w:hAnsi="Arial"/>
          <w:sz w:val="18"/>
          <w:szCs w:val="18"/>
          <w:color w:val="auto"/>
        </w:rPr>
        <w:t>The Principal International segment has operations in Latin America (Brazil, Chile and Mexico) and Asia (China, Hong Kong Special Administrative Region and Southeast Asia). We focus on locations with large middle classes, favorable demographics and growing long-term savings, ideally with voluntary or mandatory pension markets. We entered these locations through acquisitions, start-up operations and joint ventures.</w:t>
      </w:r>
    </w:p>
    <w:p>
      <w:pPr>
        <w:spacing w:after="0" w:line="133"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The U.S. Insurance Solutions segment focuses on solutions for small-to-medium sized businesses and their employees. The segment is organized into Specialty Benefits insurance, which provides group dental and vision insurance, individual and group disability insurance, group life insurance, critical illness, accident, paid family and medical leave and non-medical fee-for-service claims administration; and Individual Life insurance, which includes universal life, variable universal life, indexed universal life, traditional life insurance and our exited ULSG business.</w:t>
      </w: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540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77" w:name="page78"/>
    <w:bookmarkEnd w:id="77"/>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right="40" w:firstLine="648"/>
        <w:spacing w:after="0" w:line="296" w:lineRule="auto"/>
        <w:rPr>
          <w:sz w:val="20"/>
          <w:szCs w:val="20"/>
          <w:color w:val="auto"/>
        </w:rPr>
      </w:pPr>
      <w:r>
        <w:rPr>
          <w:rFonts w:ascii="Arial" w:cs="Arial" w:eastAsia="Arial" w:hAnsi="Arial"/>
          <w:sz w:val="16"/>
          <w:szCs w:val="16"/>
          <w:color w:val="auto"/>
        </w:rPr>
        <w:t>Our Corporate segment manages the assets representing capital that has not been allocated to any other segment. Financial results of the Corporate segment primarily reflect our financing activities (including financing costs), income on capital not allocated to other segments, inter-segment eliminations, income tax risks and certain income, expenses and other adjustments not allocated to the segments based on the nature of such items. Results of Principal Securities, Inc. (“PSI”), our retail broker-dealer and registered investment advisor (“RIA”); and our exited group medical and long-term care insurance businesses are reported in this segment.</w:t>
      </w:r>
    </w:p>
    <w:p>
      <w:pPr>
        <w:spacing w:after="0" w:line="107" w:lineRule="exact"/>
        <w:rPr>
          <w:sz w:val="20"/>
          <w:szCs w:val="20"/>
          <w:color w:val="auto"/>
        </w:rPr>
      </w:pPr>
    </w:p>
    <w:p>
      <w:pPr>
        <w:ind w:right="60" w:firstLine="648"/>
        <w:spacing w:after="0" w:line="291" w:lineRule="auto"/>
        <w:rPr>
          <w:sz w:val="20"/>
          <w:szCs w:val="20"/>
          <w:color w:val="auto"/>
        </w:rPr>
      </w:pPr>
      <w:r>
        <w:rPr>
          <w:rFonts w:ascii="Arial" w:cs="Arial" w:eastAsia="Arial" w:hAnsi="Arial"/>
          <w:sz w:val="16"/>
          <w:szCs w:val="16"/>
          <w:color w:val="auto"/>
        </w:rPr>
        <w:t>Management uses segment pre-tax operating earnings in evaluating performance, which is consistent with the financial results provided to and discussed with securities analysts. We determine segment pre-tax operating earnings by adjusting U.S. GAAP income before income taxes for pre-tax net realized capital gains (losses), as adjusted, pre-tax income (loss) from exited business, pre-tax other adjustments that management believes are not indicative of overall operating trends and certain adjustments related to equity method investments and noncontrolling interest. While these items may be significant components in understanding and assessing the consolidated financial performance, management believes the presentation of pre-tax operating earnings enhances the understanding of our results of operations by highlighting pre-tax earnings attributable to the normal, ongoing operations of the business.</w:t>
      </w:r>
    </w:p>
    <w:p>
      <w:pPr>
        <w:spacing w:after="0" w:line="166"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pre-tax net realized capital gains (losses), as adjusted, excluded from pre-tax operating earnings reflects consolidated U.S.</w:t>
      </w:r>
    </w:p>
    <w:p>
      <w:pPr>
        <w:spacing w:after="0" w:line="46" w:lineRule="exact"/>
        <w:rPr>
          <w:sz w:val="20"/>
          <w:szCs w:val="20"/>
          <w:color w:val="auto"/>
        </w:rPr>
      </w:pPr>
    </w:p>
    <w:p>
      <w:pPr>
        <w:spacing w:after="0"/>
        <w:rPr>
          <w:sz w:val="20"/>
          <w:szCs w:val="20"/>
          <w:color w:val="auto"/>
        </w:rPr>
      </w:pPr>
      <w:r>
        <w:rPr>
          <w:rFonts w:ascii="Arial" w:cs="Arial" w:eastAsia="Arial" w:hAnsi="Arial"/>
          <w:sz w:val="17"/>
          <w:szCs w:val="17"/>
          <w:color w:val="auto"/>
        </w:rPr>
        <w:t>GAAP pre-tax net realized capital gains (losses) excluding the following items that are included in pre-tax operating earnings:</w:t>
      </w:r>
    </w:p>
    <w:p>
      <w:pPr>
        <w:spacing w:after="0" w:line="222" w:lineRule="exact"/>
        <w:rPr>
          <w:sz w:val="20"/>
          <w:szCs w:val="20"/>
          <w:color w:val="auto"/>
        </w:rPr>
      </w:pPr>
    </w:p>
    <w:p>
      <w:pPr>
        <w:ind w:left="1000" w:hanging="317"/>
        <w:spacing w:after="0"/>
        <w:tabs>
          <w:tab w:leader="none" w:pos="1000" w:val="left"/>
        </w:tabs>
        <w:numPr>
          <w:ilvl w:val="0"/>
          <w:numId w:val="36"/>
        </w:numPr>
        <w:rPr>
          <w:rFonts w:ascii="Arial" w:cs="Arial" w:eastAsia="Arial" w:hAnsi="Arial"/>
          <w:sz w:val="18"/>
          <w:szCs w:val="18"/>
          <w:color w:val="auto"/>
        </w:rPr>
      </w:pPr>
      <w:r>
        <w:rPr>
          <w:rFonts w:ascii="Arial" w:cs="Arial" w:eastAsia="Arial" w:hAnsi="Arial"/>
          <w:sz w:val="18"/>
          <w:szCs w:val="18"/>
          <w:color w:val="auto"/>
        </w:rPr>
        <w:t>Periodic settlements and accruals on derivative instruments not designated as hedging instruments,</w:t>
      </w:r>
    </w:p>
    <w:p>
      <w:pPr>
        <w:spacing w:after="0" w:line="23" w:lineRule="exact"/>
        <w:rPr>
          <w:rFonts w:ascii="Arial" w:cs="Arial" w:eastAsia="Arial" w:hAnsi="Arial"/>
          <w:sz w:val="18"/>
          <w:szCs w:val="18"/>
          <w:color w:val="auto"/>
        </w:rPr>
      </w:pPr>
    </w:p>
    <w:p>
      <w:pPr>
        <w:ind w:left="1000" w:hanging="317"/>
        <w:spacing w:after="0"/>
        <w:tabs>
          <w:tab w:leader="none" w:pos="1000" w:val="left"/>
        </w:tabs>
        <w:numPr>
          <w:ilvl w:val="0"/>
          <w:numId w:val="36"/>
        </w:numPr>
        <w:rPr>
          <w:rFonts w:ascii="Arial" w:cs="Arial" w:eastAsia="Arial" w:hAnsi="Arial"/>
          <w:sz w:val="18"/>
          <w:szCs w:val="18"/>
          <w:color w:val="auto"/>
        </w:rPr>
      </w:pPr>
      <w:r>
        <w:rPr>
          <w:rFonts w:ascii="Arial" w:cs="Arial" w:eastAsia="Arial" w:hAnsi="Arial"/>
          <w:sz w:val="18"/>
          <w:szCs w:val="18"/>
          <w:color w:val="auto"/>
        </w:rPr>
        <w:t>Certain market value adjustments of derivatives and embedded derivatives and</w:t>
      </w:r>
    </w:p>
    <w:p>
      <w:pPr>
        <w:spacing w:after="0" w:line="9" w:lineRule="exact"/>
        <w:rPr>
          <w:rFonts w:ascii="Arial" w:cs="Arial" w:eastAsia="Arial" w:hAnsi="Arial"/>
          <w:sz w:val="18"/>
          <w:szCs w:val="18"/>
          <w:color w:val="auto"/>
        </w:rPr>
      </w:pPr>
    </w:p>
    <w:p>
      <w:pPr>
        <w:ind w:left="1000" w:hanging="317"/>
        <w:spacing w:after="0"/>
        <w:tabs>
          <w:tab w:leader="none" w:pos="1000" w:val="left"/>
        </w:tabs>
        <w:numPr>
          <w:ilvl w:val="0"/>
          <w:numId w:val="36"/>
        </w:numPr>
        <w:rPr>
          <w:rFonts w:ascii="Arial" w:cs="Arial" w:eastAsia="Arial" w:hAnsi="Arial"/>
          <w:sz w:val="17"/>
          <w:szCs w:val="17"/>
          <w:color w:val="auto"/>
        </w:rPr>
      </w:pPr>
      <w:r>
        <w:rPr>
          <w:rFonts w:ascii="Arial" w:cs="Arial" w:eastAsia="Arial" w:hAnsi="Arial"/>
          <w:sz w:val="17"/>
          <w:szCs w:val="17"/>
          <w:color w:val="auto"/>
        </w:rPr>
        <w:t>Certain market value adjustments of derivative instruments used to economically hedge embedded derivatives.</w:t>
      </w:r>
    </w:p>
    <w:p>
      <w:pPr>
        <w:spacing w:after="0" w:line="222"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Pre-tax income (loss) from exited business includes amounts associated with our exited U.S. retail fixed annuity and ULSG businesses, including strategic review costs and impacts, amortization of reinsurance gain (loss), impacts to actuarial balances of reinsured businesses, net realized capital gains (losses) on funds withheld assets and the change in fair value of the funds withheld embedded derivative. The strategic review costs and impacts primarily include actuarial balance re-cohorting impacts resulting from the Strategic Review and costs to close the Reinsurance Transaction. Impacts to actuarial balances of reinsured business primarily include DAC amortization.</w:t>
      </w:r>
    </w:p>
    <w:p>
      <w:pPr>
        <w:spacing w:after="0" w:line="19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Pre-tax net realized capital gains (losses), as adjusted, are further adjusted for:</w:t>
      </w:r>
    </w:p>
    <w:p>
      <w:pPr>
        <w:spacing w:after="0" w:line="225" w:lineRule="exact"/>
        <w:rPr>
          <w:sz w:val="20"/>
          <w:szCs w:val="20"/>
          <w:color w:val="auto"/>
        </w:rPr>
      </w:pPr>
    </w:p>
    <w:p>
      <w:pPr>
        <w:ind w:left="1000" w:hanging="317"/>
        <w:spacing w:after="0"/>
        <w:tabs>
          <w:tab w:leader="none" w:pos="10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Amortization of hedge accounting book value adjustments for certain discontinued hedges,</w:t>
      </w:r>
    </w:p>
    <w:p>
      <w:pPr>
        <w:spacing w:after="0" w:line="23" w:lineRule="exact"/>
        <w:rPr>
          <w:rFonts w:ascii="Arial" w:cs="Arial" w:eastAsia="Arial" w:hAnsi="Arial"/>
          <w:sz w:val="18"/>
          <w:szCs w:val="18"/>
          <w:color w:val="auto"/>
        </w:rPr>
      </w:pPr>
    </w:p>
    <w:p>
      <w:pPr>
        <w:ind w:left="1000" w:hanging="317"/>
        <w:spacing w:after="0"/>
        <w:tabs>
          <w:tab w:leader="none" w:pos="10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Certain hedge accounting market value revenue adjustments,</w:t>
      </w:r>
    </w:p>
    <w:p>
      <w:pPr>
        <w:spacing w:after="0" w:line="9" w:lineRule="exact"/>
        <w:rPr>
          <w:rFonts w:ascii="Arial" w:cs="Arial" w:eastAsia="Arial" w:hAnsi="Arial"/>
          <w:sz w:val="18"/>
          <w:szCs w:val="18"/>
          <w:color w:val="auto"/>
        </w:rPr>
      </w:pPr>
    </w:p>
    <w:p>
      <w:pPr>
        <w:ind w:left="1000" w:hanging="317"/>
        <w:spacing w:after="0"/>
        <w:tabs>
          <w:tab w:leader="none" w:pos="10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Certain market value adjustments to fee revenues,</w:t>
      </w:r>
    </w:p>
    <w:p>
      <w:pPr>
        <w:spacing w:after="0" w:line="9" w:lineRule="exact"/>
        <w:rPr>
          <w:rFonts w:ascii="Arial" w:cs="Arial" w:eastAsia="Arial" w:hAnsi="Arial"/>
          <w:sz w:val="18"/>
          <w:szCs w:val="18"/>
          <w:color w:val="auto"/>
        </w:rPr>
      </w:pPr>
    </w:p>
    <w:p>
      <w:pPr>
        <w:ind w:left="1000" w:hanging="317"/>
        <w:spacing w:after="0"/>
        <w:tabs>
          <w:tab w:leader="none" w:pos="10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Pre-tax net realized capital gains (losses) adjustments related to equity method investments,</w:t>
      </w:r>
    </w:p>
    <w:p>
      <w:pPr>
        <w:spacing w:after="0" w:line="9" w:lineRule="exact"/>
        <w:rPr>
          <w:rFonts w:ascii="Arial" w:cs="Arial" w:eastAsia="Arial" w:hAnsi="Arial"/>
          <w:sz w:val="18"/>
          <w:szCs w:val="18"/>
          <w:color w:val="auto"/>
        </w:rPr>
      </w:pPr>
    </w:p>
    <w:p>
      <w:pPr>
        <w:ind w:left="1000" w:hanging="317"/>
        <w:spacing w:after="0"/>
        <w:tabs>
          <w:tab w:leader="none" w:pos="10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Pre-tax net realized capital gains (losses) adjustments related to sponsored investment funds,</w:t>
      </w:r>
    </w:p>
    <w:p>
      <w:pPr>
        <w:spacing w:after="0" w:line="9" w:lineRule="exact"/>
        <w:rPr>
          <w:rFonts w:ascii="Arial" w:cs="Arial" w:eastAsia="Arial" w:hAnsi="Arial"/>
          <w:sz w:val="18"/>
          <w:szCs w:val="18"/>
          <w:color w:val="auto"/>
        </w:rPr>
      </w:pPr>
    </w:p>
    <w:p>
      <w:pPr>
        <w:ind w:left="1000" w:hanging="317"/>
        <w:spacing w:after="0"/>
        <w:tabs>
          <w:tab w:leader="none" w:pos="1000" w:val="left"/>
        </w:tabs>
        <w:numPr>
          <w:ilvl w:val="0"/>
          <w:numId w:val="37"/>
        </w:numPr>
        <w:rPr>
          <w:rFonts w:ascii="Arial" w:cs="Arial" w:eastAsia="Arial" w:hAnsi="Arial"/>
          <w:sz w:val="16"/>
          <w:szCs w:val="16"/>
          <w:color w:val="auto"/>
        </w:rPr>
      </w:pPr>
      <w:r>
        <w:rPr>
          <w:rFonts w:ascii="Arial" w:cs="Arial" w:eastAsia="Arial" w:hAnsi="Arial"/>
          <w:sz w:val="16"/>
          <w:szCs w:val="16"/>
          <w:color w:val="auto"/>
        </w:rPr>
        <w:t>Recognition of deferred front-end fee revenues for sales charges on retirement and life insurance products and services,</w:t>
      </w:r>
    </w:p>
    <w:p>
      <w:pPr>
        <w:spacing w:after="0" w:line="32" w:lineRule="exact"/>
        <w:rPr>
          <w:rFonts w:ascii="Arial" w:cs="Arial" w:eastAsia="Arial" w:hAnsi="Arial"/>
          <w:sz w:val="16"/>
          <w:szCs w:val="16"/>
          <w:color w:val="auto"/>
        </w:rPr>
      </w:pPr>
    </w:p>
    <w:p>
      <w:pPr>
        <w:ind w:left="1000" w:hanging="317"/>
        <w:spacing w:after="0"/>
        <w:tabs>
          <w:tab w:leader="none" w:pos="10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Related changes in the amortization pattern of DAC and related actuarial balances,</w:t>
      </w:r>
    </w:p>
    <w:p>
      <w:pPr>
        <w:spacing w:after="0" w:line="9" w:lineRule="exact"/>
        <w:rPr>
          <w:rFonts w:ascii="Arial" w:cs="Arial" w:eastAsia="Arial" w:hAnsi="Arial"/>
          <w:sz w:val="18"/>
          <w:szCs w:val="18"/>
          <w:color w:val="auto"/>
        </w:rPr>
      </w:pPr>
    </w:p>
    <w:p>
      <w:pPr>
        <w:ind w:left="1000" w:hanging="317"/>
        <w:spacing w:after="0"/>
        <w:tabs>
          <w:tab w:leader="none" w:pos="10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Certain hedge accounting market value expense adjustments and</w:t>
      </w:r>
    </w:p>
    <w:p>
      <w:pPr>
        <w:spacing w:after="0" w:line="9" w:lineRule="exact"/>
        <w:rPr>
          <w:rFonts w:ascii="Arial" w:cs="Arial" w:eastAsia="Arial" w:hAnsi="Arial"/>
          <w:sz w:val="18"/>
          <w:szCs w:val="18"/>
          <w:color w:val="auto"/>
        </w:rPr>
      </w:pPr>
    </w:p>
    <w:p>
      <w:pPr>
        <w:ind w:left="1000" w:hanging="317"/>
        <w:spacing w:after="0"/>
        <w:tabs>
          <w:tab w:leader="none" w:pos="10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Net realized capital gains (losses) distributed.</w:t>
      </w:r>
    </w:p>
    <w:p>
      <w:pPr>
        <w:spacing w:after="0" w:line="200" w:lineRule="exact"/>
        <w:rPr>
          <w:sz w:val="20"/>
          <w:szCs w:val="20"/>
          <w:color w:val="auto"/>
        </w:rPr>
      </w:pPr>
    </w:p>
    <w:p>
      <w:pPr>
        <w:spacing w:after="0" w:line="227"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603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800"/>
          </w:cols>
          <w:pgMar w:left="980" w:top="665" w:right="1119" w:bottom="1440" w:gutter="0" w:footer="0" w:header="0"/>
        </w:sectPr>
      </w:pPr>
    </w:p>
    <w:bookmarkStart w:id="78" w:name="page79"/>
    <w:bookmarkEnd w:id="78"/>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Segment operating revenues reflect consolidated U.S. GAAP total revenues excluding:</w:t>
      </w:r>
    </w:p>
    <w:p>
      <w:pPr>
        <w:spacing w:after="0" w:line="225" w:lineRule="exact"/>
        <w:rPr>
          <w:sz w:val="20"/>
          <w:szCs w:val="20"/>
          <w:color w:val="auto"/>
        </w:rPr>
      </w:pPr>
    </w:p>
    <w:p>
      <w:pPr>
        <w:ind w:left="1000" w:right="540" w:hanging="317"/>
        <w:spacing w:after="0" w:line="255" w:lineRule="auto"/>
        <w:tabs>
          <w:tab w:leader="none" w:pos="10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Net realized capital gains (losses), except periodic settlements and accruals on derivatives not designated as hedging instruments and certain market value adjustments of derivative instruments used to economically hedge embedded derivatives, and their impact on:</w:t>
      </w:r>
    </w:p>
    <w:p>
      <w:pPr>
        <w:spacing w:after="0" w:line="2" w:lineRule="exact"/>
        <w:rPr>
          <w:rFonts w:ascii="Arial" w:cs="Arial" w:eastAsia="Arial" w:hAnsi="Arial"/>
          <w:sz w:val="18"/>
          <w:szCs w:val="18"/>
          <w:color w:val="auto"/>
        </w:rPr>
      </w:pPr>
    </w:p>
    <w:p>
      <w:pPr>
        <w:ind w:left="1340" w:hanging="333"/>
        <w:spacing w:after="0"/>
        <w:tabs>
          <w:tab w:leader="none" w:pos="1340" w:val="left"/>
        </w:tabs>
        <w:numPr>
          <w:ilvl w:val="1"/>
          <w:numId w:val="38"/>
        </w:numPr>
        <w:rPr>
          <w:rFonts w:ascii="Arial" w:cs="Arial" w:eastAsia="Arial" w:hAnsi="Arial"/>
          <w:sz w:val="18"/>
          <w:szCs w:val="18"/>
          <w:color w:val="auto"/>
        </w:rPr>
      </w:pPr>
      <w:r>
        <w:rPr>
          <w:rFonts w:ascii="Arial" w:cs="Arial" w:eastAsia="Arial" w:hAnsi="Arial"/>
          <w:sz w:val="18"/>
          <w:szCs w:val="18"/>
          <w:color w:val="auto"/>
        </w:rPr>
        <w:t>Amortization of hedge accounting book value adjustments for certain discontinued hedges,</w:t>
      </w:r>
    </w:p>
    <w:p>
      <w:pPr>
        <w:spacing w:after="0" w:line="9" w:lineRule="exact"/>
        <w:rPr>
          <w:rFonts w:ascii="Arial" w:cs="Arial" w:eastAsia="Arial" w:hAnsi="Arial"/>
          <w:sz w:val="18"/>
          <w:szCs w:val="18"/>
          <w:color w:val="auto"/>
        </w:rPr>
      </w:pPr>
    </w:p>
    <w:p>
      <w:pPr>
        <w:ind w:left="1340" w:hanging="333"/>
        <w:spacing w:after="0"/>
        <w:tabs>
          <w:tab w:leader="none" w:pos="1340" w:val="left"/>
        </w:tabs>
        <w:numPr>
          <w:ilvl w:val="1"/>
          <w:numId w:val="38"/>
        </w:numPr>
        <w:rPr>
          <w:rFonts w:ascii="Arial" w:cs="Arial" w:eastAsia="Arial" w:hAnsi="Arial"/>
          <w:sz w:val="18"/>
          <w:szCs w:val="18"/>
          <w:color w:val="auto"/>
        </w:rPr>
      </w:pPr>
      <w:r>
        <w:rPr>
          <w:rFonts w:ascii="Arial" w:cs="Arial" w:eastAsia="Arial" w:hAnsi="Arial"/>
          <w:sz w:val="18"/>
          <w:szCs w:val="18"/>
          <w:color w:val="auto"/>
        </w:rPr>
        <w:t>Certain hedge accounting market value revenue adjustments,</w:t>
      </w:r>
    </w:p>
    <w:p>
      <w:pPr>
        <w:spacing w:after="0" w:line="9" w:lineRule="exact"/>
        <w:rPr>
          <w:rFonts w:ascii="Arial" w:cs="Arial" w:eastAsia="Arial" w:hAnsi="Arial"/>
          <w:sz w:val="18"/>
          <w:szCs w:val="18"/>
          <w:color w:val="auto"/>
        </w:rPr>
      </w:pPr>
    </w:p>
    <w:p>
      <w:pPr>
        <w:ind w:left="1340" w:hanging="333"/>
        <w:spacing w:after="0"/>
        <w:tabs>
          <w:tab w:leader="none" w:pos="1340" w:val="left"/>
        </w:tabs>
        <w:numPr>
          <w:ilvl w:val="1"/>
          <w:numId w:val="38"/>
        </w:numPr>
        <w:rPr>
          <w:rFonts w:ascii="Arial" w:cs="Arial" w:eastAsia="Arial" w:hAnsi="Arial"/>
          <w:sz w:val="18"/>
          <w:szCs w:val="18"/>
          <w:color w:val="auto"/>
        </w:rPr>
      </w:pPr>
      <w:r>
        <w:rPr>
          <w:rFonts w:ascii="Arial" w:cs="Arial" w:eastAsia="Arial" w:hAnsi="Arial"/>
          <w:sz w:val="18"/>
          <w:szCs w:val="18"/>
          <w:color w:val="auto"/>
        </w:rPr>
        <w:t>Certain market value adjustments to fee revenues,</w:t>
      </w:r>
    </w:p>
    <w:p>
      <w:pPr>
        <w:spacing w:after="0" w:line="9" w:lineRule="exact"/>
        <w:rPr>
          <w:rFonts w:ascii="Arial" w:cs="Arial" w:eastAsia="Arial" w:hAnsi="Arial"/>
          <w:sz w:val="18"/>
          <w:szCs w:val="18"/>
          <w:color w:val="auto"/>
        </w:rPr>
      </w:pPr>
    </w:p>
    <w:p>
      <w:pPr>
        <w:ind w:left="1340" w:hanging="333"/>
        <w:spacing w:after="0"/>
        <w:tabs>
          <w:tab w:leader="none" w:pos="1340" w:val="left"/>
        </w:tabs>
        <w:numPr>
          <w:ilvl w:val="1"/>
          <w:numId w:val="38"/>
        </w:numPr>
        <w:rPr>
          <w:rFonts w:ascii="Arial" w:cs="Arial" w:eastAsia="Arial" w:hAnsi="Arial"/>
          <w:sz w:val="18"/>
          <w:szCs w:val="18"/>
          <w:color w:val="auto"/>
        </w:rPr>
      </w:pPr>
      <w:r>
        <w:rPr>
          <w:rFonts w:ascii="Arial" w:cs="Arial" w:eastAsia="Arial" w:hAnsi="Arial"/>
          <w:sz w:val="18"/>
          <w:szCs w:val="18"/>
          <w:color w:val="auto"/>
        </w:rPr>
        <w:t>Pre-tax net realized capital gains (losses) adjustments related to equity method investments,</w:t>
      </w:r>
    </w:p>
    <w:p>
      <w:pPr>
        <w:spacing w:after="0" w:line="9" w:lineRule="exact"/>
        <w:rPr>
          <w:rFonts w:ascii="Arial" w:cs="Arial" w:eastAsia="Arial" w:hAnsi="Arial"/>
          <w:sz w:val="18"/>
          <w:szCs w:val="18"/>
          <w:color w:val="auto"/>
        </w:rPr>
      </w:pPr>
    </w:p>
    <w:p>
      <w:pPr>
        <w:ind w:left="1340" w:hanging="333"/>
        <w:spacing w:after="0"/>
        <w:tabs>
          <w:tab w:leader="none" w:pos="1340" w:val="left"/>
        </w:tabs>
        <w:numPr>
          <w:ilvl w:val="1"/>
          <w:numId w:val="38"/>
        </w:numPr>
        <w:rPr>
          <w:rFonts w:ascii="Arial" w:cs="Arial" w:eastAsia="Arial" w:hAnsi="Arial"/>
          <w:sz w:val="18"/>
          <w:szCs w:val="18"/>
          <w:color w:val="auto"/>
        </w:rPr>
      </w:pPr>
      <w:r>
        <w:rPr>
          <w:rFonts w:ascii="Arial" w:cs="Arial" w:eastAsia="Arial" w:hAnsi="Arial"/>
          <w:sz w:val="18"/>
          <w:szCs w:val="18"/>
          <w:color w:val="auto"/>
        </w:rPr>
        <w:t>Pre-tax net realized capital gains (losses) adjustments related to sponsored investment funds and</w:t>
      </w:r>
    </w:p>
    <w:p>
      <w:pPr>
        <w:spacing w:after="0" w:line="9" w:lineRule="exact"/>
        <w:rPr>
          <w:rFonts w:ascii="Arial" w:cs="Arial" w:eastAsia="Arial" w:hAnsi="Arial"/>
          <w:sz w:val="18"/>
          <w:szCs w:val="18"/>
          <w:color w:val="auto"/>
        </w:rPr>
      </w:pPr>
    </w:p>
    <w:p>
      <w:pPr>
        <w:ind w:left="1340" w:right="660" w:hanging="333"/>
        <w:spacing w:after="0" w:line="250" w:lineRule="auto"/>
        <w:tabs>
          <w:tab w:leader="none" w:pos="1340" w:val="left"/>
        </w:tabs>
        <w:numPr>
          <w:ilvl w:val="1"/>
          <w:numId w:val="38"/>
        </w:numPr>
        <w:rPr>
          <w:rFonts w:ascii="Arial" w:cs="Arial" w:eastAsia="Arial" w:hAnsi="Arial"/>
          <w:sz w:val="18"/>
          <w:szCs w:val="18"/>
          <w:color w:val="auto"/>
        </w:rPr>
      </w:pPr>
      <w:r>
        <w:rPr>
          <w:rFonts w:ascii="Arial" w:cs="Arial" w:eastAsia="Arial" w:hAnsi="Arial"/>
          <w:sz w:val="18"/>
          <w:szCs w:val="18"/>
          <w:color w:val="auto"/>
        </w:rPr>
        <w:t>Recognition of deferred front-end fee revenues for sales charges on retirement and life insurance products and services.</w:t>
      </w:r>
    </w:p>
    <w:p>
      <w:pPr>
        <w:ind w:left="1000" w:hanging="317"/>
        <w:spacing w:after="0"/>
        <w:tabs>
          <w:tab w:leader="none" w:pos="10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Pre-tax revenues from exited business,</w:t>
      </w:r>
    </w:p>
    <w:p>
      <w:pPr>
        <w:spacing w:after="0" w:line="9" w:lineRule="exact"/>
        <w:rPr>
          <w:rFonts w:ascii="Arial" w:cs="Arial" w:eastAsia="Arial" w:hAnsi="Arial"/>
          <w:sz w:val="18"/>
          <w:szCs w:val="18"/>
          <w:color w:val="auto"/>
        </w:rPr>
      </w:pPr>
    </w:p>
    <w:p>
      <w:pPr>
        <w:ind w:left="1000" w:hanging="317"/>
        <w:spacing w:after="0"/>
        <w:tabs>
          <w:tab w:leader="none" w:pos="10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Pre-tax other adjustments and income taxes of equity method investments and</w:t>
      </w:r>
    </w:p>
    <w:p>
      <w:pPr>
        <w:spacing w:after="0" w:line="9" w:lineRule="exact"/>
        <w:rPr>
          <w:rFonts w:ascii="Arial" w:cs="Arial" w:eastAsia="Arial" w:hAnsi="Arial"/>
          <w:sz w:val="18"/>
          <w:szCs w:val="18"/>
          <w:color w:val="auto"/>
        </w:rPr>
      </w:pPr>
    </w:p>
    <w:p>
      <w:pPr>
        <w:ind w:left="1000" w:hanging="317"/>
        <w:spacing w:after="0"/>
        <w:tabs>
          <w:tab w:leader="none" w:pos="10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Pre-tax other adjustments management believes are not indicative of overall operating trends.</w:t>
      </w:r>
    </w:p>
    <w:p>
      <w:pPr>
        <w:spacing w:after="0" w:line="211" w:lineRule="exact"/>
        <w:rPr>
          <w:sz w:val="20"/>
          <w:szCs w:val="20"/>
          <w:color w:val="auto"/>
        </w:rPr>
      </w:pPr>
    </w:p>
    <w:p>
      <w:pPr>
        <w:ind w:firstLine="648"/>
        <w:spacing w:after="0" w:line="288" w:lineRule="auto"/>
        <w:rPr>
          <w:sz w:val="20"/>
          <w:szCs w:val="20"/>
          <w:color w:val="auto"/>
        </w:rPr>
      </w:pPr>
      <w:r>
        <w:rPr>
          <w:rFonts w:ascii="Arial" w:cs="Arial" w:eastAsia="Arial" w:hAnsi="Arial"/>
          <w:sz w:val="16"/>
          <w:szCs w:val="16"/>
          <w:color w:val="auto"/>
        </w:rPr>
        <w:t>The accounting policies of the segments are consistent with the accounting policies for the consolidated financial statements, with the exception of: (1) pension and OPEB cost allocations, (2) certain expenses deemed to benefit the entire organization and (3) income tax allocations. For purposes of determining pre-tax operating earnings, the segments are allocated the service component of pension and other postretirement benefit costs. The Corporate segment reflects the non-service components of pension and other postretirement benefit costs as assumptions are established and funding decisions are managed from a company-wide perspective. Additionally, the Corporate segment reflects expenses that benefit the entire organization for which the segments are not able to influence the spend. This includes expenses such as public company costs, executive management costs, acquisition and disposition costs, among others. The Corporate segment functions to absorb the risk inherent in interpreting and applying tax law. For purposes of determining non-GAAP operating earnings, the segments are allocated tax adjustments consistent with the positions we took on tax returns. The Corporate segment results reflect any differences between the tax returns and the estimated resolution of any disputes.</w:t>
      </w:r>
    </w:p>
    <w:p>
      <w:pPr>
        <w:spacing w:after="0" w:line="168" w:lineRule="exact"/>
        <w:rPr>
          <w:sz w:val="20"/>
          <w:szCs w:val="20"/>
          <w:color w:val="auto"/>
        </w:rPr>
      </w:pPr>
    </w:p>
    <w:p>
      <w:pPr>
        <w:ind w:right="360" w:firstLine="648"/>
        <w:spacing w:after="0" w:line="277" w:lineRule="auto"/>
        <w:rPr>
          <w:sz w:val="20"/>
          <w:szCs w:val="20"/>
          <w:color w:val="auto"/>
        </w:rPr>
      </w:pPr>
      <w:r>
        <w:rPr>
          <w:rFonts w:ascii="Arial" w:cs="Arial" w:eastAsia="Arial" w:hAnsi="Arial"/>
          <w:sz w:val="18"/>
          <w:szCs w:val="18"/>
          <w:color w:val="auto"/>
        </w:rPr>
        <w:t>The following tables summarize select financial information by segment, including operating revenues for our products and services, and reconcile segment totals to those reported in the consolidated financial statements:</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640" w:type="dxa"/>
            <w:vAlign w:val="bottom"/>
          </w:tcPr>
          <w:p>
            <w:pPr>
              <w:spacing w:after="0"/>
              <w:rPr>
                <w:sz w:val="14"/>
                <w:szCs w:val="14"/>
                <w:color w:val="auto"/>
              </w:rPr>
            </w:pPr>
          </w:p>
        </w:tc>
        <w:tc>
          <w:tcPr>
            <w:tcW w:w="2400" w:type="dxa"/>
            <w:vAlign w:val="bottom"/>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500" w:type="dxa"/>
            <w:vAlign w:val="bottom"/>
            <w:tcBorders>
              <w:bottom w:val="single" w:sz="8" w:color="auto"/>
            </w:tcBorders>
          </w:tcPr>
          <w:p>
            <w:pPr>
              <w:jc w:val="right"/>
              <w:ind w:right="395"/>
              <w:spacing w:after="0"/>
              <w:rPr>
                <w:sz w:val="20"/>
                <w:szCs w:val="20"/>
                <w:color w:val="auto"/>
              </w:rPr>
            </w:pPr>
            <w:r>
              <w:rPr>
                <w:rFonts w:ascii="Arial" w:cs="Arial" w:eastAsia="Arial" w:hAnsi="Arial"/>
                <w:sz w:val="14"/>
                <w:szCs w:val="14"/>
                <w:b w:val="1"/>
                <w:bCs w:val="1"/>
                <w:color w:val="auto"/>
              </w:rPr>
              <w:t>June 30, 2022</w:t>
            </w:r>
          </w:p>
        </w:tc>
        <w:tc>
          <w:tcPr>
            <w:tcW w:w="32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540" w:type="dxa"/>
            <w:vAlign w:val="bottom"/>
            <w:tcBorders>
              <w:bottom w:val="single" w:sz="8" w:color="auto"/>
            </w:tcBorders>
          </w:tcPr>
          <w:p>
            <w:pPr>
              <w:jc w:val="right"/>
              <w:ind w:right="233"/>
              <w:spacing w:after="0"/>
              <w:rPr>
                <w:sz w:val="20"/>
                <w:szCs w:val="20"/>
                <w:color w:val="auto"/>
              </w:rPr>
            </w:pPr>
            <w:r>
              <w:rPr>
                <w:rFonts w:ascii="Arial" w:cs="Arial" w:eastAsia="Arial" w:hAnsi="Arial"/>
                <w:sz w:val="14"/>
                <w:szCs w:val="14"/>
                <w:b w:val="1"/>
                <w:bCs w:val="1"/>
                <w:color w:val="auto"/>
                <w:w w:val="95"/>
              </w:rPr>
              <w:t>December 31, 2021</w:t>
            </w:r>
          </w:p>
        </w:tc>
        <w:tc>
          <w:tcPr>
            <w:tcW w:w="0" w:type="dxa"/>
            <w:vAlign w:val="bottom"/>
          </w:tcPr>
          <w:p>
            <w:pPr>
              <w:spacing w:after="0"/>
              <w:rPr>
                <w:sz w:val="1"/>
                <w:szCs w:val="1"/>
                <w:color w:val="auto"/>
              </w:rPr>
            </w:pPr>
          </w:p>
        </w:tc>
      </w:tr>
      <w:tr>
        <w:trPr>
          <w:trHeight w:val="128"/>
        </w:trPr>
        <w:tc>
          <w:tcPr>
            <w:tcW w:w="3640" w:type="dxa"/>
            <w:vAlign w:val="bottom"/>
          </w:tcPr>
          <w:p>
            <w:pPr>
              <w:spacing w:after="0"/>
              <w:rPr>
                <w:sz w:val="11"/>
                <w:szCs w:val="11"/>
                <w:color w:val="auto"/>
              </w:rPr>
            </w:pPr>
          </w:p>
        </w:tc>
        <w:tc>
          <w:tcPr>
            <w:tcW w:w="24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060" w:type="dxa"/>
            <w:vAlign w:val="bottom"/>
            <w:gridSpan w:val="3"/>
          </w:tcPr>
          <w:p>
            <w:pPr>
              <w:jc w:val="right"/>
              <w:spacing w:after="0" w:line="129" w:lineRule="exact"/>
              <w:rPr>
                <w:sz w:val="20"/>
                <w:szCs w:val="20"/>
                <w:color w:val="auto"/>
              </w:rPr>
            </w:pPr>
            <w:r>
              <w:rPr>
                <w:rFonts w:ascii="Arial" w:cs="Arial" w:eastAsia="Arial" w:hAnsi="Arial"/>
                <w:sz w:val="14"/>
                <w:szCs w:val="14"/>
                <w:i w:val="1"/>
                <w:iCs w:val="1"/>
                <w:color w:val="auto"/>
              </w:rPr>
              <w:t>(in millions)</w:t>
            </w:r>
          </w:p>
        </w:tc>
        <w:tc>
          <w:tcPr>
            <w:tcW w:w="15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36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24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5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5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640" w:type="dxa"/>
            <w:vAlign w:val="bottom"/>
          </w:tcPr>
          <w:p>
            <w:pPr>
              <w:spacing w:after="0"/>
              <w:rPr>
                <w:sz w:val="20"/>
                <w:szCs w:val="20"/>
                <w:color w:val="auto"/>
              </w:rPr>
            </w:pPr>
            <w:r>
              <w:rPr>
                <w:rFonts w:ascii="Arial" w:cs="Arial" w:eastAsia="Arial" w:hAnsi="Arial"/>
                <w:sz w:val="18"/>
                <w:szCs w:val="18"/>
                <w:color w:val="auto"/>
              </w:rPr>
              <w:t>Retirement and Income Solutions</w:t>
            </w:r>
          </w:p>
        </w:tc>
        <w:tc>
          <w:tcPr>
            <w:tcW w:w="2680" w:type="dxa"/>
            <w:vAlign w:val="bottom"/>
            <w:gridSpan w:val="2"/>
          </w:tcPr>
          <w:p>
            <w:pPr>
              <w:jc w:val="right"/>
              <w:ind w:right="127"/>
              <w:spacing w:after="0"/>
              <w:rPr>
                <w:sz w:val="20"/>
                <w:szCs w:val="20"/>
                <w:color w:val="auto"/>
              </w:rPr>
            </w:pPr>
            <w:r>
              <w:rPr>
                <w:rFonts w:ascii="Arial" w:cs="Arial" w:eastAsia="Arial" w:hAnsi="Arial"/>
                <w:sz w:val="18"/>
                <w:szCs w:val="18"/>
                <w:b w:val="1"/>
                <w:bCs w:val="1"/>
                <w:color w:val="auto"/>
              </w:rPr>
              <w:t>$</w:t>
            </w:r>
          </w:p>
        </w:tc>
        <w:tc>
          <w:tcPr>
            <w:tcW w:w="1500" w:type="dxa"/>
            <w:vAlign w:val="bottom"/>
          </w:tcPr>
          <w:p>
            <w:pPr>
              <w:jc w:val="right"/>
              <w:spacing w:after="0"/>
              <w:rPr>
                <w:sz w:val="20"/>
                <w:szCs w:val="20"/>
                <w:color w:val="auto"/>
              </w:rPr>
            </w:pPr>
            <w:r>
              <w:rPr>
                <w:rFonts w:ascii="Arial" w:cs="Arial" w:eastAsia="Arial" w:hAnsi="Arial"/>
                <w:sz w:val="18"/>
                <w:szCs w:val="18"/>
                <w:b w:val="1"/>
                <w:bCs w:val="1"/>
                <w:color w:val="auto"/>
              </w:rPr>
              <w:t>208,256.5</w:t>
            </w:r>
          </w:p>
        </w:tc>
        <w:tc>
          <w:tcPr>
            <w:tcW w:w="560" w:type="dxa"/>
            <w:vAlign w:val="bottom"/>
            <w:gridSpan w:val="2"/>
          </w:tcPr>
          <w:p>
            <w:pPr>
              <w:jc w:val="right"/>
              <w:ind w:right="87"/>
              <w:spacing w:after="0"/>
              <w:rPr>
                <w:sz w:val="20"/>
                <w:szCs w:val="20"/>
                <w:color w:val="auto"/>
              </w:rPr>
            </w:pPr>
            <w:r>
              <w:rPr>
                <w:rFonts w:ascii="Arial" w:cs="Arial" w:eastAsia="Arial" w:hAnsi="Arial"/>
                <w:sz w:val="18"/>
                <w:szCs w:val="18"/>
                <w:color w:val="auto"/>
              </w:rPr>
              <w:t>$</w:t>
            </w:r>
          </w:p>
        </w:tc>
        <w:tc>
          <w:tcPr>
            <w:tcW w:w="1540" w:type="dxa"/>
            <w:vAlign w:val="bottom"/>
          </w:tcPr>
          <w:p>
            <w:pPr>
              <w:jc w:val="right"/>
              <w:ind w:right="13"/>
              <w:spacing w:after="0"/>
              <w:rPr>
                <w:sz w:val="20"/>
                <w:szCs w:val="20"/>
                <w:color w:val="auto"/>
              </w:rPr>
            </w:pPr>
            <w:r>
              <w:rPr>
                <w:rFonts w:ascii="Arial" w:cs="Arial" w:eastAsia="Arial" w:hAnsi="Arial"/>
                <w:sz w:val="18"/>
                <w:szCs w:val="18"/>
                <w:color w:val="auto"/>
              </w:rPr>
              <w:t>221,993.8</w:t>
            </w:r>
          </w:p>
        </w:tc>
        <w:tc>
          <w:tcPr>
            <w:tcW w:w="0" w:type="dxa"/>
            <w:vAlign w:val="bottom"/>
          </w:tcPr>
          <w:p>
            <w:pPr>
              <w:spacing w:after="0"/>
              <w:rPr>
                <w:sz w:val="1"/>
                <w:szCs w:val="1"/>
                <w:color w:val="auto"/>
              </w:rPr>
            </w:pPr>
          </w:p>
        </w:tc>
      </w:tr>
      <w:tr>
        <w:trPr>
          <w:trHeight w:val="216"/>
        </w:trPr>
        <w:tc>
          <w:tcPr>
            <w:tcW w:w="3640" w:type="dxa"/>
            <w:vAlign w:val="bottom"/>
            <w:shd w:val="clear" w:color="auto" w:fill="CCEEFF"/>
          </w:tcPr>
          <w:p>
            <w:pPr>
              <w:spacing w:after="0"/>
              <w:rPr>
                <w:sz w:val="20"/>
                <w:szCs w:val="20"/>
                <w:color w:val="auto"/>
              </w:rPr>
            </w:pPr>
            <w:r>
              <w:rPr>
                <w:rFonts w:ascii="Arial" w:cs="Arial" w:eastAsia="Arial" w:hAnsi="Arial"/>
                <w:sz w:val="18"/>
                <w:szCs w:val="18"/>
                <w:color w:val="auto"/>
              </w:rPr>
              <w:t>Principal Global Investors</w:t>
            </w:r>
          </w:p>
        </w:tc>
        <w:tc>
          <w:tcPr>
            <w:tcW w:w="24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5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2,277.2</w:t>
            </w:r>
          </w:p>
        </w:tc>
        <w:tc>
          <w:tcPr>
            <w:tcW w:w="3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54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2,445.1</w:t>
            </w:r>
          </w:p>
        </w:tc>
        <w:tc>
          <w:tcPr>
            <w:tcW w:w="0" w:type="dxa"/>
            <w:vAlign w:val="bottom"/>
          </w:tcPr>
          <w:p>
            <w:pPr>
              <w:spacing w:after="0"/>
              <w:rPr>
                <w:sz w:val="1"/>
                <w:szCs w:val="1"/>
                <w:color w:val="auto"/>
              </w:rPr>
            </w:pPr>
          </w:p>
        </w:tc>
      </w:tr>
      <w:tr>
        <w:trPr>
          <w:trHeight w:val="216"/>
        </w:trPr>
        <w:tc>
          <w:tcPr>
            <w:tcW w:w="3640" w:type="dxa"/>
            <w:vAlign w:val="bottom"/>
          </w:tcPr>
          <w:p>
            <w:pPr>
              <w:spacing w:after="0"/>
              <w:rPr>
                <w:sz w:val="20"/>
                <w:szCs w:val="20"/>
                <w:color w:val="auto"/>
              </w:rPr>
            </w:pPr>
            <w:r>
              <w:rPr>
                <w:rFonts w:ascii="Arial" w:cs="Arial" w:eastAsia="Arial" w:hAnsi="Arial"/>
                <w:sz w:val="18"/>
                <w:szCs w:val="18"/>
                <w:color w:val="auto"/>
              </w:rPr>
              <w:t>Principal International</w:t>
            </w:r>
          </w:p>
        </w:tc>
        <w:tc>
          <w:tcPr>
            <w:tcW w:w="24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500" w:type="dxa"/>
            <w:vAlign w:val="bottom"/>
          </w:tcPr>
          <w:p>
            <w:pPr>
              <w:jc w:val="right"/>
              <w:spacing w:after="0"/>
              <w:rPr>
                <w:sz w:val="20"/>
                <w:szCs w:val="20"/>
                <w:color w:val="auto"/>
              </w:rPr>
            </w:pPr>
            <w:r>
              <w:rPr>
                <w:rFonts w:ascii="Arial" w:cs="Arial" w:eastAsia="Arial" w:hAnsi="Arial"/>
                <w:sz w:val="18"/>
                <w:szCs w:val="18"/>
                <w:b w:val="1"/>
                <w:bCs w:val="1"/>
                <w:color w:val="auto"/>
              </w:rPr>
              <w:t>38,889.3</w:t>
            </w:r>
          </w:p>
        </w:tc>
        <w:tc>
          <w:tcPr>
            <w:tcW w:w="3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540" w:type="dxa"/>
            <w:vAlign w:val="bottom"/>
          </w:tcPr>
          <w:p>
            <w:pPr>
              <w:jc w:val="right"/>
              <w:ind w:right="13"/>
              <w:spacing w:after="0"/>
              <w:rPr>
                <w:sz w:val="20"/>
                <w:szCs w:val="20"/>
                <w:color w:val="auto"/>
              </w:rPr>
            </w:pPr>
            <w:r>
              <w:rPr>
                <w:rFonts w:ascii="Arial" w:cs="Arial" w:eastAsia="Arial" w:hAnsi="Arial"/>
                <w:sz w:val="18"/>
                <w:szCs w:val="18"/>
                <w:color w:val="auto"/>
              </w:rPr>
              <w:t>42,812.4</w:t>
            </w:r>
          </w:p>
        </w:tc>
        <w:tc>
          <w:tcPr>
            <w:tcW w:w="0" w:type="dxa"/>
            <w:vAlign w:val="bottom"/>
          </w:tcPr>
          <w:p>
            <w:pPr>
              <w:spacing w:after="0"/>
              <w:rPr>
                <w:sz w:val="1"/>
                <w:szCs w:val="1"/>
                <w:color w:val="auto"/>
              </w:rPr>
            </w:pPr>
          </w:p>
        </w:tc>
      </w:tr>
      <w:tr>
        <w:trPr>
          <w:trHeight w:val="216"/>
        </w:trPr>
        <w:tc>
          <w:tcPr>
            <w:tcW w:w="3640" w:type="dxa"/>
            <w:vAlign w:val="bottom"/>
            <w:shd w:val="clear" w:color="auto" w:fill="CCEEFF"/>
          </w:tcPr>
          <w:p>
            <w:pPr>
              <w:spacing w:after="0"/>
              <w:rPr>
                <w:sz w:val="20"/>
                <w:szCs w:val="20"/>
                <w:color w:val="auto"/>
              </w:rPr>
            </w:pPr>
            <w:r>
              <w:rPr>
                <w:rFonts w:ascii="Arial" w:cs="Arial" w:eastAsia="Arial" w:hAnsi="Arial"/>
                <w:sz w:val="18"/>
                <w:szCs w:val="18"/>
                <w:color w:val="auto"/>
              </w:rPr>
              <w:t>U.S. Insurance Solutions</w:t>
            </w:r>
          </w:p>
        </w:tc>
        <w:tc>
          <w:tcPr>
            <w:tcW w:w="24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5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41,960.8</w:t>
            </w:r>
          </w:p>
        </w:tc>
        <w:tc>
          <w:tcPr>
            <w:tcW w:w="3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54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33,222.6</w:t>
            </w:r>
          </w:p>
        </w:tc>
        <w:tc>
          <w:tcPr>
            <w:tcW w:w="0" w:type="dxa"/>
            <w:vAlign w:val="bottom"/>
          </w:tcPr>
          <w:p>
            <w:pPr>
              <w:spacing w:after="0"/>
              <w:rPr>
                <w:sz w:val="1"/>
                <w:szCs w:val="1"/>
                <w:color w:val="auto"/>
              </w:rPr>
            </w:pPr>
          </w:p>
        </w:tc>
      </w:tr>
      <w:tr>
        <w:trPr>
          <w:trHeight w:val="216"/>
        </w:trPr>
        <w:tc>
          <w:tcPr>
            <w:tcW w:w="364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Corporate</w:t>
            </w:r>
          </w:p>
        </w:tc>
        <w:tc>
          <w:tcPr>
            <w:tcW w:w="240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15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1,836.4</w:t>
            </w:r>
          </w:p>
        </w:tc>
        <w:tc>
          <w:tcPr>
            <w:tcW w:w="32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540" w:type="dxa"/>
            <w:vAlign w:val="bottom"/>
            <w:tcBorders>
              <w:bottom w:val="single" w:sz="8" w:color="auto"/>
            </w:tcBorders>
          </w:tcPr>
          <w:p>
            <w:pPr>
              <w:jc w:val="right"/>
              <w:ind w:right="13"/>
              <w:spacing w:after="0"/>
              <w:rPr>
                <w:sz w:val="20"/>
                <w:szCs w:val="20"/>
                <w:color w:val="auto"/>
              </w:rPr>
            </w:pPr>
            <w:r>
              <w:rPr>
                <w:rFonts w:ascii="Arial" w:cs="Arial" w:eastAsia="Arial" w:hAnsi="Arial"/>
                <w:sz w:val="18"/>
                <w:szCs w:val="18"/>
                <w:color w:val="auto"/>
              </w:rPr>
              <w:t>4,183.3</w:t>
            </w:r>
          </w:p>
        </w:tc>
        <w:tc>
          <w:tcPr>
            <w:tcW w:w="0" w:type="dxa"/>
            <w:vAlign w:val="bottom"/>
          </w:tcPr>
          <w:p>
            <w:pPr>
              <w:spacing w:after="0"/>
              <w:rPr>
                <w:sz w:val="1"/>
                <w:szCs w:val="1"/>
                <w:color w:val="auto"/>
              </w:rPr>
            </w:pPr>
          </w:p>
        </w:tc>
      </w:tr>
      <w:tr>
        <w:trPr>
          <w:trHeight w:val="210"/>
        </w:trPr>
        <w:tc>
          <w:tcPr>
            <w:tcW w:w="364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Total consolidated assets</w:t>
            </w:r>
          </w:p>
        </w:tc>
        <w:tc>
          <w:tcPr>
            <w:tcW w:w="2400" w:type="dxa"/>
            <w:vAlign w:val="bottom"/>
            <w:tcBorders>
              <w:bottom w:val="single" w:sz="8" w:color="CCEEFF"/>
            </w:tcBorders>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jc w:val="right"/>
              <w:ind w:right="127"/>
              <w:spacing w:after="0"/>
              <w:rPr>
                <w:sz w:val="20"/>
                <w:szCs w:val="20"/>
                <w:color w:val="auto"/>
              </w:rPr>
            </w:pPr>
            <w:r>
              <w:rPr>
                <w:rFonts w:ascii="Arial" w:cs="Arial" w:eastAsia="Arial" w:hAnsi="Arial"/>
                <w:sz w:val="15"/>
                <w:szCs w:val="15"/>
                <w:b w:val="1"/>
                <w:bCs w:val="1"/>
                <w:color w:val="auto"/>
                <w:w w:val="71"/>
              </w:rPr>
              <w:t>$</w:t>
            </w:r>
          </w:p>
        </w:tc>
        <w:tc>
          <w:tcPr>
            <w:tcW w:w="1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293,220.2</w:t>
            </w:r>
          </w:p>
        </w:tc>
        <w:tc>
          <w:tcPr>
            <w:tcW w:w="320" w:type="dxa"/>
            <w:vAlign w:val="bottom"/>
            <w:tcBorders>
              <w:bottom w:val="single" w:sz="8" w:color="CCEEFF"/>
            </w:tcBorders>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154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304,657.2</w:t>
            </w:r>
          </w:p>
        </w:tc>
        <w:tc>
          <w:tcPr>
            <w:tcW w:w="0" w:type="dxa"/>
            <w:vAlign w:val="bottom"/>
          </w:tcPr>
          <w:p>
            <w:pPr>
              <w:spacing w:after="0"/>
              <w:rPr>
                <w:sz w:val="1"/>
                <w:szCs w:val="1"/>
                <w:color w:val="auto"/>
              </w:rPr>
            </w:pPr>
          </w:p>
        </w:tc>
      </w:tr>
      <w:tr>
        <w:trPr>
          <w:trHeight w:val="20"/>
        </w:trPr>
        <w:tc>
          <w:tcPr>
            <w:tcW w:w="3640" w:type="dxa"/>
            <w:vAlign w:val="bottom"/>
          </w:tcPr>
          <w:p>
            <w:pPr>
              <w:spacing w:after="0" w:line="20" w:lineRule="exact"/>
              <w:rPr>
                <w:sz w:val="1"/>
                <w:szCs w:val="1"/>
                <w:color w:val="auto"/>
              </w:rPr>
            </w:pPr>
          </w:p>
        </w:tc>
        <w:tc>
          <w:tcPr>
            <w:tcW w:w="2400" w:type="dxa"/>
            <w:vAlign w:val="bottom"/>
            <w:vMerge w:val="restart"/>
          </w:tcPr>
          <w:p>
            <w:pPr>
              <w:jc w:val="right"/>
              <w:ind w:right="890"/>
              <w:spacing w:after="0"/>
              <w:rPr>
                <w:sz w:val="20"/>
                <w:szCs w:val="20"/>
                <w:color w:val="auto"/>
              </w:rPr>
            </w:pPr>
            <w:r>
              <w:rPr>
                <w:rFonts w:ascii="Arial" w:cs="Arial" w:eastAsia="Arial" w:hAnsi="Arial"/>
                <w:sz w:val="18"/>
                <w:szCs w:val="18"/>
                <w:color w:val="auto"/>
              </w:rPr>
              <w:t>79</w:t>
            </w:r>
          </w:p>
        </w:tc>
        <w:tc>
          <w:tcPr>
            <w:tcW w:w="28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5"/>
        </w:trPr>
        <w:tc>
          <w:tcPr>
            <w:tcW w:w="3640" w:type="dxa"/>
            <w:vAlign w:val="bottom"/>
          </w:tcPr>
          <w:p>
            <w:pPr>
              <w:spacing w:after="0"/>
              <w:rPr>
                <w:sz w:val="24"/>
                <w:szCs w:val="24"/>
                <w:color w:val="auto"/>
              </w:rPr>
            </w:pPr>
          </w:p>
        </w:tc>
        <w:tc>
          <w:tcPr>
            <w:tcW w:w="2400" w:type="dxa"/>
            <w:vAlign w:val="bottom"/>
            <w:vMerge w:val="continue"/>
          </w:tcPr>
          <w:p>
            <w:pPr>
              <w:spacing w:after="0"/>
              <w:rPr>
                <w:sz w:val="24"/>
                <w:szCs w:val="24"/>
                <w:color w:val="auto"/>
              </w:rPr>
            </w:pPr>
          </w:p>
        </w:tc>
        <w:tc>
          <w:tcPr>
            <w:tcW w:w="28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60"/>
        </w:trPr>
        <w:tc>
          <w:tcPr>
            <w:tcW w:w="3640" w:type="dxa"/>
            <w:vAlign w:val="bottom"/>
            <w:tcBorders>
              <w:bottom w:val="single" w:sz="8" w:color="auto"/>
            </w:tcBorders>
          </w:tcPr>
          <w:p>
            <w:pPr>
              <w:spacing w:after="0"/>
              <w:rPr>
                <w:sz w:val="24"/>
                <w:szCs w:val="24"/>
                <w:color w:val="auto"/>
              </w:rPr>
            </w:pPr>
          </w:p>
        </w:tc>
        <w:tc>
          <w:tcPr>
            <w:tcW w:w="240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50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920"/>
          </w:cols>
          <w:pgMar w:left="980" w:top="665" w:right="999" w:bottom="1440" w:gutter="0" w:footer="0" w:header="0"/>
        </w:sectPr>
      </w:pPr>
    </w:p>
    <w:bookmarkStart w:id="79" w:name="page80"/>
    <w:bookmarkEnd w:id="79"/>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2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100" w:type="dxa"/>
            <w:vAlign w:val="bottom"/>
            <w:gridSpan w:val="5"/>
          </w:tcPr>
          <w:p>
            <w:pPr>
              <w:ind w:left="80"/>
              <w:spacing w:after="0"/>
              <w:rPr>
                <w:sz w:val="20"/>
                <w:szCs w:val="20"/>
                <w:color w:val="auto"/>
              </w:rPr>
            </w:pPr>
            <w:r>
              <w:rPr>
                <w:rFonts w:ascii="Arial" w:cs="Arial" w:eastAsia="Arial" w:hAnsi="Arial"/>
                <w:sz w:val="14"/>
                <w:szCs w:val="14"/>
                <w:b w:val="1"/>
                <w:bCs w:val="1"/>
                <w:color w:val="auto"/>
              </w:rPr>
              <w:t>For the three months ended</w:t>
            </w: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880" w:type="dxa"/>
            <w:vAlign w:val="bottom"/>
            <w:gridSpan w:val="4"/>
          </w:tcPr>
          <w:p>
            <w:pPr>
              <w:jc w:val="right"/>
              <w:ind w:right="211"/>
              <w:spacing w:after="0"/>
              <w:rPr>
                <w:sz w:val="20"/>
                <w:szCs w:val="20"/>
                <w:color w:val="auto"/>
              </w:rPr>
            </w:pPr>
            <w:r>
              <w:rPr>
                <w:rFonts w:ascii="Arial" w:cs="Arial" w:eastAsia="Arial" w:hAnsi="Arial"/>
                <w:sz w:val="14"/>
                <w:szCs w:val="14"/>
                <w:b w:val="1"/>
                <w:bCs w:val="1"/>
                <w:color w:val="auto"/>
                <w:w w:val="91"/>
              </w:rPr>
              <w:t>For the six months ended</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2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gridSpan w:val="3"/>
          </w:tcPr>
          <w:p>
            <w:pPr>
              <w:jc w:val="right"/>
              <w:ind w:right="10"/>
              <w:spacing w:after="0"/>
              <w:rPr>
                <w:sz w:val="20"/>
                <w:szCs w:val="20"/>
                <w:color w:val="auto"/>
              </w:rPr>
            </w:pPr>
            <w:r>
              <w:rPr>
                <w:rFonts w:ascii="Arial" w:cs="Arial" w:eastAsia="Arial" w:hAnsi="Arial"/>
                <w:sz w:val="14"/>
                <w:szCs w:val="14"/>
                <w:b w:val="1"/>
                <w:bCs w:val="1"/>
                <w:color w:val="auto"/>
              </w:rPr>
              <w:t>June 30,</w:t>
            </w:r>
          </w:p>
        </w:tc>
        <w:tc>
          <w:tcPr>
            <w:tcW w:w="74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gridSpan w:val="3"/>
          </w:tcPr>
          <w:p>
            <w:pPr>
              <w:jc w:val="right"/>
              <w:ind w:right="27"/>
              <w:spacing w:after="0"/>
              <w:rPr>
                <w:sz w:val="20"/>
                <w:szCs w:val="20"/>
                <w:color w:val="auto"/>
              </w:rPr>
            </w:pPr>
            <w:r>
              <w:rPr>
                <w:rFonts w:ascii="Arial" w:cs="Arial" w:eastAsia="Arial" w:hAnsi="Arial"/>
                <w:sz w:val="14"/>
                <w:szCs w:val="14"/>
                <w:b w:val="1"/>
                <w:bCs w:val="1"/>
                <w:color w:val="auto"/>
              </w:rPr>
              <w:t>June 30,</w:t>
            </w:r>
          </w:p>
        </w:tc>
        <w:tc>
          <w:tcPr>
            <w:tcW w:w="74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460" w:type="dxa"/>
            <w:vAlign w:val="bottom"/>
          </w:tcPr>
          <w:p>
            <w:pPr>
              <w:spacing w:after="0"/>
              <w:rPr>
                <w:sz w:val="12"/>
                <w:szCs w:val="12"/>
                <w:color w:val="auto"/>
              </w:rPr>
            </w:pPr>
          </w:p>
        </w:tc>
        <w:tc>
          <w:tcPr>
            <w:tcW w:w="2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jc w:val="right"/>
              <w:ind w:right="252"/>
              <w:spacing w:after="0" w:line="142" w:lineRule="exact"/>
              <w:rPr>
                <w:sz w:val="20"/>
                <w:szCs w:val="20"/>
                <w:color w:val="auto"/>
              </w:rPr>
            </w:pPr>
            <w:r>
              <w:rPr>
                <w:rFonts w:ascii="Arial" w:cs="Arial" w:eastAsia="Arial" w:hAnsi="Arial"/>
                <w:sz w:val="14"/>
                <w:szCs w:val="14"/>
                <w:b w:val="1"/>
                <w:bCs w:val="1"/>
                <w:color w:val="auto"/>
              </w:rPr>
              <w:t>2022</w:t>
            </w:r>
          </w:p>
        </w:tc>
        <w:tc>
          <w:tcPr>
            <w:tcW w:w="200" w:type="dxa"/>
            <w:vAlign w:val="bottom"/>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740" w:type="dxa"/>
            <w:vAlign w:val="bottom"/>
            <w:tcBorders>
              <w:bottom w:val="single" w:sz="8" w:color="auto"/>
            </w:tcBorders>
          </w:tcPr>
          <w:p>
            <w:pPr>
              <w:jc w:val="right"/>
              <w:ind w:right="251"/>
              <w:spacing w:after="0" w:line="142" w:lineRule="exact"/>
              <w:rPr>
                <w:sz w:val="20"/>
                <w:szCs w:val="20"/>
                <w:color w:val="auto"/>
              </w:rPr>
            </w:pPr>
            <w:r>
              <w:rPr>
                <w:rFonts w:ascii="Arial" w:cs="Arial" w:eastAsia="Arial" w:hAnsi="Arial"/>
                <w:sz w:val="14"/>
                <w:szCs w:val="14"/>
                <w:b w:val="1"/>
                <w:bCs w:val="1"/>
                <w:color w:val="auto"/>
              </w:rPr>
              <w:t>2021</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8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ind w:right="272"/>
              <w:spacing w:after="0" w:line="142" w:lineRule="exact"/>
              <w:rPr>
                <w:sz w:val="20"/>
                <w:szCs w:val="20"/>
                <w:color w:val="auto"/>
              </w:rPr>
            </w:pPr>
            <w:r>
              <w:rPr>
                <w:rFonts w:ascii="Arial" w:cs="Arial" w:eastAsia="Arial" w:hAnsi="Arial"/>
                <w:sz w:val="14"/>
                <w:szCs w:val="14"/>
                <w:b w:val="1"/>
                <w:bCs w:val="1"/>
                <w:color w:val="auto"/>
              </w:rPr>
              <w:t>2022</w:t>
            </w:r>
          </w:p>
        </w:tc>
        <w:tc>
          <w:tcPr>
            <w:tcW w:w="200" w:type="dxa"/>
            <w:vAlign w:val="bottom"/>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740" w:type="dxa"/>
            <w:vAlign w:val="bottom"/>
            <w:tcBorders>
              <w:bottom w:val="single" w:sz="8" w:color="auto"/>
            </w:tcBorders>
          </w:tcPr>
          <w:p>
            <w:pPr>
              <w:jc w:val="right"/>
              <w:ind w:right="271"/>
              <w:spacing w:after="0" w:line="142" w:lineRule="exact"/>
              <w:rPr>
                <w:sz w:val="20"/>
                <w:szCs w:val="20"/>
                <w:color w:val="auto"/>
              </w:rPr>
            </w:pPr>
            <w:r>
              <w:rPr>
                <w:rFonts w:ascii="Arial" w:cs="Arial" w:eastAsia="Arial" w:hAnsi="Arial"/>
                <w:sz w:val="14"/>
                <w:szCs w:val="14"/>
                <w:b w:val="1"/>
                <w:bCs w:val="1"/>
                <w:color w:val="auto"/>
              </w:rPr>
              <w:t>2021</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2460" w:type="dxa"/>
            <w:vAlign w:val="bottom"/>
          </w:tcPr>
          <w:p>
            <w:pPr>
              <w:spacing w:after="0"/>
              <w:rPr>
                <w:sz w:val="11"/>
                <w:szCs w:val="11"/>
                <w:color w:val="auto"/>
              </w:rPr>
            </w:pPr>
          </w:p>
        </w:tc>
        <w:tc>
          <w:tcPr>
            <w:tcW w:w="28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20" w:type="dxa"/>
            <w:vAlign w:val="bottom"/>
            <w:gridSpan w:val="4"/>
          </w:tcPr>
          <w:p>
            <w:pPr>
              <w:jc w:val="right"/>
              <w:spacing w:after="0" w:line="129" w:lineRule="exact"/>
              <w:rPr>
                <w:sz w:val="20"/>
                <w:szCs w:val="20"/>
                <w:color w:val="auto"/>
              </w:rPr>
            </w:pPr>
            <w:r>
              <w:rPr>
                <w:rFonts w:ascii="Arial" w:cs="Arial" w:eastAsia="Arial" w:hAnsi="Arial"/>
                <w:sz w:val="14"/>
                <w:szCs w:val="14"/>
                <w:i w:val="1"/>
                <w:iCs w:val="1"/>
                <w:color w:val="auto"/>
              </w:rPr>
              <w:t>(in millions)</w:t>
            </w:r>
          </w:p>
        </w:tc>
        <w:tc>
          <w:tcPr>
            <w:tcW w:w="7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Operating revenues by segment:</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80" w:type="dxa"/>
            <w:vAlign w:val="bottom"/>
            <w:gridSpan w:val="2"/>
          </w:tcPr>
          <w:p>
            <w:pPr>
              <w:spacing w:after="0"/>
              <w:rPr>
                <w:sz w:val="20"/>
                <w:szCs w:val="20"/>
                <w:color w:val="auto"/>
              </w:rPr>
            </w:pPr>
            <w:r>
              <w:rPr>
                <w:rFonts w:ascii="Arial" w:cs="Arial" w:eastAsia="Arial" w:hAnsi="Arial"/>
                <w:sz w:val="18"/>
                <w:szCs w:val="18"/>
                <w:color w:val="auto"/>
              </w:rPr>
              <w:t>Retirement and Income Solutions:</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8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Retirement and Income Solutions – Fee</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563.5</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579.9</w:t>
            </w:r>
          </w:p>
        </w:tc>
        <w:tc>
          <w:tcPr>
            <w:tcW w:w="100" w:type="dxa"/>
            <w:vAlign w:val="bottom"/>
            <w:shd w:val="clear" w:color="auto" w:fill="CCEEFF"/>
          </w:tcPr>
          <w:p>
            <w:pPr>
              <w:spacing w:after="0"/>
              <w:rPr>
                <w:sz w:val="18"/>
                <w:szCs w:val="18"/>
                <w:color w:val="auto"/>
              </w:rPr>
            </w:pPr>
          </w:p>
        </w:tc>
        <w:tc>
          <w:tcPr>
            <w:tcW w:w="380" w:type="dxa"/>
            <w:vAlign w:val="bottom"/>
            <w:gridSpan w:val="2"/>
            <w:shd w:val="clear" w:color="auto" w:fill="CCEEFF"/>
          </w:tcPr>
          <w:p>
            <w:pPr>
              <w:jc w:val="right"/>
              <w:ind w:right="127"/>
              <w:spacing w:after="0"/>
              <w:rPr>
                <w:sz w:val="20"/>
                <w:szCs w:val="20"/>
                <w:color w:val="auto"/>
              </w:rPr>
            </w:pPr>
            <w:r>
              <w:rPr>
                <w:rFonts w:ascii="Arial" w:cs="Arial" w:eastAsia="Arial" w:hAnsi="Arial"/>
                <w:sz w:val="18"/>
                <w:szCs w:val="18"/>
                <w:b w:val="1"/>
                <w:bCs w:val="1"/>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1,142.3</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1,143.0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80" w:type="dxa"/>
            <w:vAlign w:val="bottom"/>
            <w:tcBorders>
              <w:bottom w:val="single" w:sz="8" w:color="CCEEFF"/>
            </w:tcBorders>
            <w:gridSpan w:val="2"/>
          </w:tcPr>
          <w:p>
            <w:pPr>
              <w:ind w:left="100"/>
              <w:spacing w:after="0"/>
              <w:rPr>
                <w:sz w:val="20"/>
                <w:szCs w:val="20"/>
                <w:color w:val="auto"/>
              </w:rPr>
            </w:pPr>
            <w:r>
              <w:rPr>
                <w:rFonts w:ascii="Arial" w:cs="Arial" w:eastAsia="Arial" w:hAnsi="Arial"/>
                <w:sz w:val="18"/>
                <w:szCs w:val="18"/>
                <w:color w:val="auto"/>
              </w:rPr>
              <w:t>Retirement and Income Solutions – Spread</w:t>
            </w:r>
          </w:p>
        </w:tc>
        <w:tc>
          <w:tcPr>
            <w:tcW w:w="10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773.4</w:t>
            </w:r>
          </w:p>
        </w:tc>
        <w:tc>
          <w:tcPr>
            <w:tcW w:w="20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1,091.0</w:t>
            </w:r>
          </w:p>
        </w:tc>
        <w:tc>
          <w:tcPr>
            <w:tcW w:w="10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1,477.6</w:t>
            </w:r>
          </w:p>
        </w:tc>
        <w:tc>
          <w:tcPr>
            <w:tcW w:w="20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1,751.9</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52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Total Retirement and Income Solutions (1)</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1,336.9</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1,670.9</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2,619.9</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2,894.9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80" w:type="dxa"/>
            <w:vAlign w:val="bottom"/>
            <w:gridSpan w:val="2"/>
          </w:tcPr>
          <w:p>
            <w:pPr>
              <w:spacing w:after="0"/>
              <w:rPr>
                <w:sz w:val="20"/>
                <w:szCs w:val="20"/>
                <w:color w:val="auto"/>
              </w:rPr>
            </w:pPr>
            <w:r>
              <w:rPr>
                <w:rFonts w:ascii="Arial" w:cs="Arial" w:eastAsia="Arial" w:hAnsi="Arial"/>
                <w:sz w:val="18"/>
                <w:szCs w:val="18"/>
                <w:color w:val="auto"/>
              </w:rPr>
              <w:t>Principal Global Investors (2)</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b w:val="1"/>
                <w:bCs w:val="1"/>
                <w:color w:val="auto"/>
              </w:rPr>
              <w:t>463.6</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453.7</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b w:val="1"/>
                <w:bCs w:val="1"/>
                <w:color w:val="auto"/>
              </w:rPr>
              <w:t>898.9</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868.9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International</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439.1</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306.2</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754.0</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614.2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80" w:type="dxa"/>
            <w:vAlign w:val="bottom"/>
            <w:gridSpan w:val="2"/>
          </w:tcPr>
          <w:p>
            <w:pPr>
              <w:spacing w:after="0"/>
              <w:rPr>
                <w:sz w:val="20"/>
                <w:szCs w:val="20"/>
                <w:color w:val="auto"/>
              </w:rPr>
            </w:pPr>
            <w:r>
              <w:rPr>
                <w:rFonts w:ascii="Arial" w:cs="Arial" w:eastAsia="Arial" w:hAnsi="Arial"/>
                <w:sz w:val="18"/>
                <w:szCs w:val="18"/>
                <w:color w:val="auto"/>
              </w:rPr>
              <w:t>U.S. Insurance Solutions:</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8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Specialty Benefits insurance</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751.6</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667.9</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1,469.3</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1,323.5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80" w:type="dxa"/>
            <w:vAlign w:val="bottom"/>
            <w:gridSpan w:val="2"/>
          </w:tcPr>
          <w:p>
            <w:pPr>
              <w:ind w:left="100"/>
              <w:spacing w:after="0"/>
              <w:rPr>
                <w:sz w:val="20"/>
                <w:szCs w:val="20"/>
                <w:color w:val="auto"/>
              </w:rPr>
            </w:pPr>
            <w:r>
              <w:rPr>
                <w:rFonts w:ascii="Arial" w:cs="Arial" w:eastAsia="Arial" w:hAnsi="Arial"/>
                <w:sz w:val="18"/>
                <w:szCs w:val="18"/>
                <w:color w:val="auto"/>
              </w:rPr>
              <w:t>Individual Life insurance</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b w:val="1"/>
                <w:bCs w:val="1"/>
                <w:color w:val="auto"/>
              </w:rPr>
              <w:t>157.2</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514.1</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b w:val="1"/>
                <w:bCs w:val="1"/>
                <w:color w:val="auto"/>
              </w:rPr>
              <w:t>680.6</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1,033.4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8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Eliminations</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(0.2)</w:t>
            </w:r>
          </w:p>
        </w:tc>
        <w:tc>
          <w:tcPr>
            <w:tcW w:w="2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(0.1)</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(0.3)</w:t>
            </w:r>
          </w:p>
        </w:tc>
        <w:tc>
          <w:tcPr>
            <w:tcW w:w="24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5280" w:type="dxa"/>
            <w:vAlign w:val="bottom"/>
            <w:gridSpan w:val="2"/>
          </w:tcPr>
          <w:p>
            <w:pPr>
              <w:ind w:left="200"/>
              <w:spacing w:after="0"/>
              <w:rPr>
                <w:sz w:val="20"/>
                <w:szCs w:val="20"/>
                <w:color w:val="auto"/>
              </w:rPr>
            </w:pPr>
            <w:r>
              <w:rPr>
                <w:rFonts w:ascii="Arial" w:cs="Arial" w:eastAsia="Arial" w:hAnsi="Arial"/>
                <w:sz w:val="18"/>
                <w:szCs w:val="18"/>
                <w:color w:val="auto"/>
              </w:rPr>
              <w:t>Total U.S. Insurance Solutions</w:t>
            </w:r>
          </w:p>
        </w:tc>
        <w:tc>
          <w:tcPr>
            <w:tcW w:w="1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908.6</w:t>
            </w:r>
          </w:p>
        </w:tc>
        <w:tc>
          <w:tcPr>
            <w:tcW w:w="20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1,181.9</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2,149.6</w:t>
            </w:r>
          </w:p>
        </w:tc>
        <w:tc>
          <w:tcPr>
            <w:tcW w:w="20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2,356.8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Corporate</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(7.0)</w:t>
            </w:r>
          </w:p>
        </w:tc>
        <w:tc>
          <w:tcPr>
            <w:tcW w:w="24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(7.3)</w:t>
            </w:r>
          </w:p>
        </w:tc>
        <w:tc>
          <w:tcPr>
            <w:tcW w:w="24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5280" w:type="dxa"/>
            <w:vAlign w:val="bottom"/>
            <w:gridSpan w:val="2"/>
          </w:tcPr>
          <w:p>
            <w:pPr>
              <w:ind w:left="100"/>
              <w:spacing w:after="0"/>
              <w:rPr>
                <w:sz w:val="20"/>
                <w:szCs w:val="20"/>
                <w:color w:val="auto"/>
              </w:rPr>
            </w:pPr>
            <w:r>
              <w:rPr>
                <w:rFonts w:ascii="Arial" w:cs="Arial" w:eastAsia="Arial" w:hAnsi="Arial"/>
                <w:sz w:val="18"/>
                <w:szCs w:val="18"/>
                <w:color w:val="auto"/>
              </w:rPr>
              <w:t>Total segment operating revenues</w:t>
            </w:r>
          </w:p>
        </w:tc>
        <w:tc>
          <w:tcPr>
            <w:tcW w:w="1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3,141.2</w:t>
            </w:r>
          </w:p>
        </w:tc>
        <w:tc>
          <w:tcPr>
            <w:tcW w:w="20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3,613.8</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6,415.1</w:t>
            </w:r>
          </w:p>
        </w:tc>
        <w:tc>
          <w:tcPr>
            <w:tcW w:w="20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6,727.3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8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94"/>
              </w:rPr>
              <w:t>Net realized capital gains (losses), net of related revenue adjustments</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(266.1)</w:t>
            </w:r>
          </w:p>
        </w:tc>
        <w:tc>
          <w:tcPr>
            <w:tcW w:w="2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(71.8)</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(416.4)</w:t>
            </w:r>
          </w:p>
        </w:tc>
        <w:tc>
          <w:tcPr>
            <w:tcW w:w="24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80" w:type="dxa"/>
            <w:vAlign w:val="bottom"/>
            <w:gridSpan w:val="2"/>
          </w:tcPr>
          <w:p>
            <w:pPr>
              <w:spacing w:after="0"/>
              <w:rPr>
                <w:sz w:val="20"/>
                <w:szCs w:val="20"/>
                <w:color w:val="auto"/>
              </w:rPr>
            </w:pPr>
            <w:r>
              <w:rPr>
                <w:rFonts w:ascii="Arial" w:cs="Arial" w:eastAsia="Arial" w:hAnsi="Arial"/>
                <w:sz w:val="18"/>
                <w:szCs w:val="18"/>
                <w:color w:val="auto"/>
              </w:rPr>
              <w:t>Revenues from exited business (3)</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b w:val="1"/>
                <w:bCs w:val="1"/>
                <w:color w:val="auto"/>
              </w:rPr>
              <w:t>3,793.6</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b w:val="1"/>
                <w:bCs w:val="1"/>
                <w:color w:val="auto"/>
              </w:rPr>
              <w:t>3,793.6</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Adjustments related to equity method investments</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(10.0)</w:t>
            </w:r>
          </w:p>
        </w:tc>
        <w:tc>
          <w:tcPr>
            <w:tcW w:w="2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(2.6)</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(23.6)</w:t>
            </w:r>
          </w:p>
        </w:tc>
        <w:tc>
          <w:tcPr>
            <w:tcW w:w="24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(10.6)</w:t>
            </w:r>
          </w:p>
        </w:tc>
        <w:tc>
          <w:tcPr>
            <w:tcW w:w="0" w:type="dxa"/>
            <w:vAlign w:val="bottom"/>
          </w:tcPr>
          <w:p>
            <w:pPr>
              <w:spacing w:after="0"/>
              <w:rPr>
                <w:sz w:val="1"/>
                <w:szCs w:val="1"/>
                <w:color w:val="auto"/>
              </w:rPr>
            </w:pPr>
          </w:p>
        </w:tc>
      </w:tr>
      <w:tr>
        <w:trPr>
          <w:trHeight w:val="249"/>
        </w:trPr>
        <w:tc>
          <w:tcPr>
            <w:tcW w:w="20" w:type="dxa"/>
            <w:vAlign w:val="bottom"/>
          </w:tcPr>
          <w:p>
            <w:pPr>
              <w:spacing w:after="0"/>
              <w:rPr>
                <w:sz w:val="21"/>
                <w:szCs w:val="21"/>
                <w:color w:val="auto"/>
              </w:rPr>
            </w:pPr>
          </w:p>
        </w:tc>
        <w:tc>
          <w:tcPr>
            <w:tcW w:w="5280" w:type="dxa"/>
            <w:vAlign w:val="bottom"/>
            <w:tcBorders>
              <w:bottom w:val="single" w:sz="8" w:color="CCEEFF"/>
            </w:tcBorders>
            <w:gridSpan w:val="2"/>
          </w:tcPr>
          <w:p>
            <w:pPr>
              <w:ind w:left="100"/>
              <w:spacing w:after="0"/>
              <w:rPr>
                <w:sz w:val="20"/>
                <w:szCs w:val="20"/>
                <w:color w:val="auto"/>
              </w:rPr>
            </w:pPr>
            <w:r>
              <w:rPr>
                <w:rFonts w:ascii="Arial" w:cs="Arial" w:eastAsia="Arial" w:hAnsi="Arial"/>
                <w:sz w:val="18"/>
                <w:szCs w:val="18"/>
                <w:color w:val="auto"/>
              </w:rPr>
              <w:t>Total revenues per consolidated statements of operations</w:t>
            </w:r>
          </w:p>
        </w:tc>
        <w:tc>
          <w:tcPr>
            <w:tcW w:w="100" w:type="dxa"/>
            <w:vAlign w:val="bottom"/>
            <w:tcBorders>
              <w:bottom w:val="single" w:sz="8" w:color="CCEEFF"/>
            </w:tcBorders>
          </w:tcPr>
          <w:p>
            <w:pPr>
              <w:spacing w:after="0"/>
              <w:rPr>
                <w:sz w:val="21"/>
                <w:szCs w:val="21"/>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6,658.7</w:t>
            </w:r>
          </w:p>
        </w:tc>
        <w:tc>
          <w:tcPr>
            <w:tcW w:w="200" w:type="dxa"/>
            <w:vAlign w:val="bottom"/>
            <w:tcBorders>
              <w:bottom w:val="single" w:sz="8" w:color="CCEEFF"/>
            </w:tcBorders>
          </w:tcPr>
          <w:p>
            <w:pPr>
              <w:spacing w:after="0"/>
              <w:rPr>
                <w:sz w:val="21"/>
                <w:szCs w:val="21"/>
                <w:color w:val="auto"/>
              </w:rPr>
            </w:pPr>
          </w:p>
        </w:tc>
        <w:tc>
          <w:tcPr>
            <w:tcW w:w="24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3,539.</w:t>
            </w:r>
            <w:r>
              <w:rPr>
                <w:rFonts w:ascii="Arial" w:cs="Arial" w:eastAsia="Arial" w:hAnsi="Arial"/>
                <w:sz w:val="18"/>
                <w:szCs w:val="18"/>
                <w:u w:val="single" w:color="auto"/>
                <w:color w:val="auto"/>
              </w:rPr>
              <w:t>4</w:t>
            </w:r>
          </w:p>
        </w:tc>
        <w:tc>
          <w:tcPr>
            <w:tcW w:w="100" w:type="dxa"/>
            <w:vAlign w:val="bottom"/>
            <w:tcBorders>
              <w:bottom w:val="single" w:sz="8" w:color="CCEEFF"/>
            </w:tcBorders>
          </w:tcPr>
          <w:p>
            <w:pPr>
              <w:spacing w:after="0"/>
              <w:rPr>
                <w:sz w:val="21"/>
                <w:szCs w:val="21"/>
                <w:color w:val="auto"/>
              </w:rPr>
            </w:pPr>
          </w:p>
        </w:tc>
        <w:tc>
          <w:tcPr>
            <w:tcW w:w="100" w:type="dxa"/>
            <w:vAlign w:val="bottom"/>
            <w:tcBorders>
              <w:bottom w:val="single" w:sz="8" w:color="CCEEFF"/>
            </w:tcBorders>
          </w:tcPr>
          <w:p>
            <w:pPr>
              <w:spacing w:after="0"/>
              <w:rPr>
                <w:sz w:val="21"/>
                <w:szCs w:val="21"/>
                <w:color w:val="auto"/>
              </w:rPr>
            </w:pPr>
          </w:p>
        </w:tc>
        <w:tc>
          <w:tcPr>
            <w:tcW w:w="280" w:type="dxa"/>
            <w:vAlign w:val="bottom"/>
            <w:tcBorders>
              <w:top w:val="single" w:sz="8" w:color="auto"/>
              <w:bottom w:val="single" w:sz="8" w:color="auto"/>
            </w:tcBorders>
          </w:tcPr>
          <w:p>
            <w:pPr>
              <w:jc w:val="right"/>
              <w:ind w:right="127"/>
              <w:spacing w:after="0"/>
              <w:rPr>
                <w:sz w:val="20"/>
                <w:szCs w:val="20"/>
                <w:color w:val="auto"/>
              </w:rPr>
            </w:pPr>
            <w:r>
              <w:rPr>
                <w:rFonts w:ascii="Arial" w:cs="Arial" w:eastAsia="Arial" w:hAnsi="Arial"/>
                <w:sz w:val="15"/>
                <w:szCs w:val="15"/>
                <w:b w:val="1"/>
                <w:bCs w:val="1"/>
                <w:color w:val="auto"/>
                <w:w w:val="71"/>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9,768.7</w:t>
            </w:r>
          </w:p>
        </w:tc>
        <w:tc>
          <w:tcPr>
            <w:tcW w:w="200" w:type="dxa"/>
            <w:vAlign w:val="bottom"/>
            <w:tcBorders>
              <w:bottom w:val="single" w:sz="8" w:color="CCEEFF"/>
            </w:tcBorders>
          </w:tcPr>
          <w:p>
            <w:pPr>
              <w:spacing w:after="0"/>
              <w:rPr>
                <w:sz w:val="21"/>
                <w:szCs w:val="21"/>
                <w:color w:val="auto"/>
              </w:rPr>
            </w:pPr>
          </w:p>
        </w:tc>
        <w:tc>
          <w:tcPr>
            <w:tcW w:w="240" w:type="dxa"/>
            <w:vAlign w:val="bottom"/>
            <w:tcBorders>
              <w:top w:val="single" w:sz="8" w:color="auto"/>
              <w:bottom w:val="single" w:sz="8" w:color="auto"/>
            </w:tcBorders>
          </w:tcPr>
          <w:p>
            <w:pPr>
              <w:jc w:val="right"/>
              <w:ind w:right="87"/>
              <w:spacing w:after="0"/>
              <w:rPr>
                <w:sz w:val="20"/>
                <w:szCs w:val="20"/>
                <w:color w:val="auto"/>
              </w:rPr>
            </w:pPr>
            <w:r>
              <w:rPr>
                <w:rFonts w:ascii="Arial" w:cs="Arial" w:eastAsia="Arial" w:hAnsi="Arial"/>
                <w:sz w:val="15"/>
                <w:szCs w:val="15"/>
                <w:color w:val="auto"/>
                <w:w w:val="71"/>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6,747.</w:t>
            </w:r>
            <w:r>
              <w:rPr>
                <w:rFonts w:ascii="Arial" w:cs="Arial" w:eastAsia="Arial" w:hAnsi="Arial"/>
                <w:sz w:val="18"/>
                <w:szCs w:val="18"/>
                <w:u w:val="single" w:color="auto"/>
                <w:color w:val="auto"/>
              </w:rPr>
              <w:t>9</w:t>
            </w:r>
          </w:p>
        </w:tc>
        <w:tc>
          <w:tcPr>
            <w:tcW w:w="0" w:type="dxa"/>
            <w:vAlign w:val="bottom"/>
          </w:tcPr>
          <w:p>
            <w:pPr>
              <w:spacing w:after="0"/>
              <w:rPr>
                <w:sz w:val="1"/>
                <w:szCs w:val="1"/>
                <w:color w:val="auto"/>
              </w:rPr>
            </w:pPr>
          </w:p>
        </w:tc>
      </w:tr>
      <w:tr>
        <w:trPr>
          <w:trHeight w:val="196"/>
        </w:trPr>
        <w:tc>
          <w:tcPr>
            <w:tcW w:w="20" w:type="dxa"/>
            <w:vAlign w:val="bottom"/>
            <w:vMerge w:val="restart"/>
          </w:tcPr>
          <w:p>
            <w:pPr>
              <w:spacing w:after="0"/>
              <w:rPr>
                <w:sz w:val="17"/>
                <w:szCs w:val="17"/>
                <w:color w:val="auto"/>
              </w:rPr>
            </w:pPr>
          </w:p>
        </w:tc>
        <w:tc>
          <w:tcPr>
            <w:tcW w:w="2460" w:type="dxa"/>
            <w:vAlign w:val="bottom"/>
            <w:shd w:val="clear" w:color="auto" w:fill="CCEEFF"/>
          </w:tcPr>
          <w:p>
            <w:pPr>
              <w:spacing w:after="0"/>
              <w:rPr>
                <w:sz w:val="17"/>
                <w:szCs w:val="17"/>
                <w:color w:val="auto"/>
              </w:rPr>
            </w:pPr>
          </w:p>
        </w:tc>
        <w:tc>
          <w:tcPr>
            <w:tcW w:w="28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280" w:type="dxa"/>
            <w:vAlign w:val="bottom"/>
            <w:gridSpan w:val="2"/>
          </w:tcPr>
          <w:p>
            <w:pPr>
              <w:spacing w:after="0"/>
              <w:rPr>
                <w:sz w:val="20"/>
                <w:szCs w:val="20"/>
                <w:color w:val="auto"/>
              </w:rPr>
            </w:pPr>
            <w:r>
              <w:rPr>
                <w:rFonts w:ascii="Arial" w:cs="Arial" w:eastAsia="Arial" w:hAnsi="Arial"/>
                <w:sz w:val="18"/>
                <w:szCs w:val="18"/>
                <w:b w:val="1"/>
                <w:bCs w:val="1"/>
                <w:color w:val="auto"/>
              </w:rPr>
              <w:t>Pre-tax operating earnings (losses) by segment:</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Retirement and Income Solutions</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255.9</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280.2</w:t>
            </w:r>
          </w:p>
        </w:tc>
        <w:tc>
          <w:tcPr>
            <w:tcW w:w="100" w:type="dxa"/>
            <w:vAlign w:val="bottom"/>
            <w:shd w:val="clear" w:color="auto" w:fill="CCEEFF"/>
          </w:tcPr>
          <w:p>
            <w:pPr>
              <w:spacing w:after="0"/>
              <w:rPr>
                <w:sz w:val="18"/>
                <w:szCs w:val="18"/>
                <w:color w:val="auto"/>
              </w:rPr>
            </w:pPr>
          </w:p>
        </w:tc>
        <w:tc>
          <w:tcPr>
            <w:tcW w:w="380" w:type="dxa"/>
            <w:vAlign w:val="bottom"/>
            <w:gridSpan w:val="2"/>
            <w:shd w:val="clear" w:color="auto" w:fill="CCEEFF"/>
          </w:tcPr>
          <w:p>
            <w:pPr>
              <w:jc w:val="right"/>
              <w:ind w:right="127"/>
              <w:spacing w:after="0"/>
              <w:rPr>
                <w:sz w:val="20"/>
                <w:szCs w:val="20"/>
                <w:color w:val="auto"/>
              </w:rPr>
            </w:pPr>
            <w:r>
              <w:rPr>
                <w:rFonts w:ascii="Arial" w:cs="Arial" w:eastAsia="Arial" w:hAnsi="Arial"/>
                <w:sz w:val="18"/>
                <w:szCs w:val="18"/>
                <w:b w:val="1"/>
                <w:bCs w:val="1"/>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573.8</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568.2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80" w:type="dxa"/>
            <w:vAlign w:val="bottom"/>
            <w:gridSpan w:val="2"/>
          </w:tcPr>
          <w:p>
            <w:pPr>
              <w:spacing w:after="0"/>
              <w:rPr>
                <w:sz w:val="20"/>
                <w:szCs w:val="20"/>
                <w:color w:val="auto"/>
              </w:rPr>
            </w:pPr>
            <w:r>
              <w:rPr>
                <w:rFonts w:ascii="Arial" w:cs="Arial" w:eastAsia="Arial" w:hAnsi="Arial"/>
                <w:sz w:val="18"/>
                <w:szCs w:val="18"/>
                <w:color w:val="auto"/>
              </w:rPr>
              <w:t>Principal Global Investors</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b w:val="1"/>
                <w:bCs w:val="1"/>
                <w:color w:val="auto"/>
              </w:rPr>
              <w:t>180.0</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184.4</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b w:val="1"/>
                <w:bCs w:val="1"/>
                <w:color w:val="auto"/>
              </w:rPr>
              <w:t>323.4</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325.5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International</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92.1</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47.7</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150.2</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122.8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80" w:type="dxa"/>
            <w:vAlign w:val="bottom"/>
            <w:gridSpan w:val="2"/>
          </w:tcPr>
          <w:p>
            <w:pPr>
              <w:spacing w:after="0"/>
              <w:rPr>
                <w:sz w:val="20"/>
                <w:szCs w:val="20"/>
                <w:color w:val="auto"/>
              </w:rPr>
            </w:pPr>
            <w:r>
              <w:rPr>
                <w:rFonts w:ascii="Arial" w:cs="Arial" w:eastAsia="Arial" w:hAnsi="Arial"/>
                <w:sz w:val="18"/>
                <w:szCs w:val="18"/>
                <w:color w:val="auto"/>
              </w:rPr>
              <w:t>U.S. Insurance Solutions</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b w:val="1"/>
                <w:bCs w:val="1"/>
                <w:color w:val="auto"/>
              </w:rPr>
              <w:t>151.7</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126.6</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b w:val="1"/>
                <w:bCs w:val="1"/>
                <w:color w:val="auto"/>
              </w:rPr>
              <w:t>267.5</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221.8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Corporate</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(152.9)</w:t>
            </w:r>
          </w:p>
        </w:tc>
        <w:tc>
          <w:tcPr>
            <w:tcW w:w="2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(82.7)</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(281.9)</w:t>
            </w:r>
          </w:p>
        </w:tc>
        <w:tc>
          <w:tcPr>
            <w:tcW w:w="24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(176.5)</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280" w:type="dxa"/>
            <w:vAlign w:val="bottom"/>
            <w:gridSpan w:val="2"/>
          </w:tcPr>
          <w:p>
            <w:pPr>
              <w:ind w:left="100"/>
              <w:spacing w:after="0"/>
              <w:rPr>
                <w:sz w:val="20"/>
                <w:szCs w:val="20"/>
                <w:color w:val="auto"/>
              </w:rPr>
            </w:pPr>
            <w:r>
              <w:rPr>
                <w:rFonts w:ascii="Arial" w:cs="Arial" w:eastAsia="Arial" w:hAnsi="Arial"/>
                <w:sz w:val="18"/>
                <w:szCs w:val="18"/>
                <w:color w:val="auto"/>
              </w:rPr>
              <w:t>Total segment pre-tax operating earnings</w:t>
            </w:r>
          </w:p>
        </w:tc>
        <w:tc>
          <w:tcPr>
            <w:tcW w:w="1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526.8</w:t>
            </w:r>
          </w:p>
        </w:tc>
        <w:tc>
          <w:tcPr>
            <w:tcW w:w="20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556.2</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1,033.0</w:t>
            </w:r>
          </w:p>
        </w:tc>
        <w:tc>
          <w:tcPr>
            <w:tcW w:w="20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1,061.8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Pre-tax net realized capital losses, as adjusted (4)</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(277.4)</w:t>
            </w:r>
          </w:p>
        </w:tc>
        <w:tc>
          <w:tcPr>
            <w:tcW w:w="2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(123.1)</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(357.8)</w:t>
            </w:r>
          </w:p>
        </w:tc>
        <w:tc>
          <w:tcPr>
            <w:tcW w:w="24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80" w:type="dxa"/>
            <w:vAlign w:val="bottom"/>
            <w:gridSpan w:val="2"/>
          </w:tcPr>
          <w:p>
            <w:pPr>
              <w:spacing w:after="0"/>
              <w:rPr>
                <w:sz w:val="20"/>
                <w:szCs w:val="20"/>
                <w:color w:val="auto"/>
              </w:rPr>
            </w:pPr>
            <w:r>
              <w:rPr>
                <w:rFonts w:ascii="Arial" w:cs="Arial" w:eastAsia="Arial" w:hAnsi="Arial"/>
                <w:sz w:val="18"/>
                <w:szCs w:val="18"/>
                <w:color w:val="auto"/>
              </w:rPr>
              <w:t>Pre-tax income from exited business (5)</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b w:val="1"/>
                <w:bCs w:val="1"/>
                <w:color w:val="auto"/>
              </w:rPr>
              <w:t>3,618.5</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b w:val="1"/>
                <w:bCs w:val="1"/>
                <w:color w:val="auto"/>
              </w:rPr>
              <w:t>3,618.5</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528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w w:val="95"/>
              </w:rPr>
              <w:t>Adjustments related to equity method investments and noncontrolling</w:t>
            </w: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2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29.2</w:t>
            </w:r>
          </w:p>
        </w:tc>
        <w:tc>
          <w:tcPr>
            <w:tcW w:w="2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70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31.4</w:t>
            </w:r>
          </w:p>
        </w:tc>
        <w:tc>
          <w:tcPr>
            <w:tcW w:w="2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28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interest</w:t>
            </w:r>
          </w:p>
        </w:tc>
        <w:tc>
          <w:tcPr>
            <w:tcW w:w="10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820" w:type="dxa"/>
            <w:vAlign w:val="bottom"/>
            <w:vMerge w:val="continue"/>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(0.5)</w:t>
            </w:r>
          </w:p>
        </w:tc>
        <w:tc>
          <w:tcPr>
            <w:tcW w:w="10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700" w:type="dxa"/>
            <w:vAlign w:val="bottom"/>
            <w:vMerge w:val="continue"/>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(7.1)</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5280" w:type="dxa"/>
            <w:vAlign w:val="bottom"/>
            <w:gridSpan w:val="2"/>
          </w:tcPr>
          <w:p>
            <w:pPr>
              <w:ind w:left="100"/>
              <w:spacing w:after="0"/>
              <w:rPr>
                <w:sz w:val="20"/>
                <w:szCs w:val="20"/>
                <w:color w:val="auto"/>
              </w:rPr>
            </w:pPr>
            <w:r>
              <w:rPr>
                <w:rFonts w:ascii="Arial" w:cs="Arial" w:eastAsia="Arial" w:hAnsi="Arial"/>
                <w:sz w:val="18"/>
                <w:szCs w:val="18"/>
                <w:color w:val="auto"/>
                <w:w w:val="91"/>
              </w:rPr>
              <w:t>Income before income taxes per consolidated statements of operations</w:t>
            </w:r>
          </w:p>
        </w:tc>
        <w:tc>
          <w:tcPr>
            <w:tcW w:w="100" w:type="dxa"/>
            <w:vAlign w:val="bottom"/>
          </w:tcPr>
          <w:p>
            <w:pPr>
              <w:spacing w:after="0"/>
              <w:rPr>
                <w:sz w:val="18"/>
                <w:szCs w:val="18"/>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3,897.1</w:t>
            </w:r>
          </w:p>
        </w:tc>
        <w:tc>
          <w:tcPr>
            <w:tcW w:w="200" w:type="dxa"/>
            <w:vAlign w:val="bottom"/>
          </w:tcPr>
          <w:p>
            <w:pPr>
              <w:spacing w:after="0"/>
              <w:rPr>
                <w:sz w:val="18"/>
                <w:szCs w:val="18"/>
                <w:color w:val="auto"/>
              </w:rPr>
            </w:pPr>
          </w:p>
        </w:tc>
        <w:tc>
          <w:tcPr>
            <w:tcW w:w="24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432.6</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Borders>
              <w:top w:val="single" w:sz="8" w:color="auto"/>
              <w:bottom w:val="single" w:sz="8" w:color="auto"/>
            </w:tcBorders>
          </w:tcPr>
          <w:p>
            <w:pPr>
              <w:jc w:val="right"/>
              <w:ind w:right="127"/>
              <w:spacing w:after="0"/>
              <w:rPr>
                <w:sz w:val="20"/>
                <w:szCs w:val="20"/>
                <w:color w:val="auto"/>
              </w:rPr>
            </w:pPr>
            <w:r>
              <w:rPr>
                <w:rFonts w:ascii="Arial" w:cs="Arial" w:eastAsia="Arial" w:hAnsi="Arial"/>
                <w:sz w:val="15"/>
                <w:szCs w:val="15"/>
                <w:b w:val="1"/>
                <w:bCs w:val="1"/>
                <w:color w:val="auto"/>
                <w:w w:val="71"/>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4,325.1</w:t>
            </w:r>
          </w:p>
        </w:tc>
        <w:tc>
          <w:tcPr>
            <w:tcW w:w="200" w:type="dxa"/>
            <w:vAlign w:val="bottom"/>
          </w:tcPr>
          <w:p>
            <w:pPr>
              <w:spacing w:after="0"/>
              <w:rPr>
                <w:sz w:val="18"/>
                <w:szCs w:val="18"/>
                <w:color w:val="auto"/>
              </w:rPr>
            </w:pPr>
          </w:p>
        </w:tc>
        <w:tc>
          <w:tcPr>
            <w:tcW w:w="240" w:type="dxa"/>
            <w:vAlign w:val="bottom"/>
            <w:tcBorders>
              <w:top w:val="single" w:sz="8" w:color="auto"/>
              <w:bottom w:val="single" w:sz="8" w:color="auto"/>
            </w:tcBorders>
          </w:tcPr>
          <w:p>
            <w:pPr>
              <w:jc w:val="right"/>
              <w:ind w:right="87"/>
              <w:spacing w:after="0"/>
              <w:rPr>
                <w:sz w:val="20"/>
                <w:szCs w:val="20"/>
                <w:color w:val="auto"/>
              </w:rPr>
            </w:pPr>
            <w:r>
              <w:rPr>
                <w:rFonts w:ascii="Arial" w:cs="Arial" w:eastAsia="Arial" w:hAnsi="Arial"/>
                <w:sz w:val="15"/>
                <w:szCs w:val="15"/>
                <w:color w:val="auto"/>
                <w:w w:val="71"/>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1,046.</w:t>
            </w:r>
            <w:r>
              <w:rPr>
                <w:rFonts w:ascii="Arial" w:cs="Arial" w:eastAsia="Arial" w:hAnsi="Arial"/>
                <w:sz w:val="18"/>
                <w:szCs w:val="18"/>
                <w:u w:val="single" w:color="auto"/>
                <w:color w:val="auto"/>
              </w:rPr>
              <w:t>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c>
          <w:tcPr>
            <w:tcW w:w="28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2460" w:type="dxa"/>
            <w:vAlign w:val="bottom"/>
            <w:tcBorders>
              <w:bottom w:val="single" w:sz="8" w:color="auto"/>
            </w:tcBorders>
          </w:tcPr>
          <w:p>
            <w:pPr>
              <w:spacing w:after="0"/>
              <w:rPr>
                <w:sz w:val="7"/>
                <w:szCs w:val="7"/>
                <w:color w:val="auto"/>
              </w:rPr>
            </w:pPr>
          </w:p>
        </w:tc>
        <w:tc>
          <w:tcPr>
            <w:tcW w:w="28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60" w:type="dxa"/>
            <w:vAlign w:val="bottom"/>
          </w:tcPr>
          <w:p>
            <w:pPr>
              <w:spacing w:after="0"/>
              <w:rPr>
                <w:sz w:val="7"/>
                <w:szCs w:val="7"/>
                <w:color w:val="auto"/>
              </w:rPr>
            </w:pPr>
          </w:p>
        </w:tc>
        <w:tc>
          <w:tcPr>
            <w:tcW w:w="820" w:type="dxa"/>
            <w:vAlign w:val="bottom"/>
          </w:tcPr>
          <w:p>
            <w:pPr>
              <w:spacing w:after="0"/>
              <w:rPr>
                <w:sz w:val="7"/>
                <w:szCs w:val="7"/>
                <w:color w:val="auto"/>
              </w:rPr>
            </w:pPr>
          </w:p>
        </w:tc>
        <w:tc>
          <w:tcPr>
            <w:tcW w:w="200" w:type="dxa"/>
            <w:vAlign w:val="bottom"/>
          </w:tcPr>
          <w:p>
            <w:pPr>
              <w:spacing w:after="0"/>
              <w:rPr>
                <w:sz w:val="7"/>
                <w:szCs w:val="7"/>
                <w:color w:val="auto"/>
              </w:rPr>
            </w:pPr>
          </w:p>
        </w:tc>
        <w:tc>
          <w:tcPr>
            <w:tcW w:w="240" w:type="dxa"/>
            <w:vAlign w:val="bottom"/>
          </w:tcPr>
          <w:p>
            <w:pPr>
              <w:spacing w:after="0"/>
              <w:rPr>
                <w:sz w:val="7"/>
                <w:szCs w:val="7"/>
                <w:color w:val="auto"/>
              </w:rPr>
            </w:pPr>
          </w:p>
        </w:tc>
        <w:tc>
          <w:tcPr>
            <w:tcW w:w="7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2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0" w:type="dxa"/>
            <w:vAlign w:val="bottom"/>
          </w:tcPr>
          <w:p>
            <w:pPr>
              <w:spacing w:after="0"/>
              <w:rPr>
                <w:sz w:val="7"/>
                <w:szCs w:val="7"/>
                <w:color w:val="auto"/>
              </w:rPr>
            </w:pPr>
          </w:p>
        </w:tc>
        <w:tc>
          <w:tcPr>
            <w:tcW w:w="240" w:type="dxa"/>
            <w:vAlign w:val="bottom"/>
          </w:tcPr>
          <w:p>
            <w:pPr>
              <w:spacing w:after="0"/>
              <w:rPr>
                <w:sz w:val="7"/>
                <w:szCs w:val="7"/>
                <w:color w:val="auto"/>
              </w:rPr>
            </w:pPr>
          </w:p>
        </w:tc>
        <w:tc>
          <w:tcPr>
            <w:tcW w:w="74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80" w:lineRule="exact"/>
        <w:rPr>
          <w:sz w:val="20"/>
          <w:szCs w:val="20"/>
          <w:color w:val="auto"/>
        </w:rPr>
      </w:pPr>
    </w:p>
    <w:p>
      <w:pPr>
        <w:ind w:left="340" w:right="880" w:hanging="332"/>
        <w:spacing w:after="0" w:line="291" w:lineRule="auto"/>
        <w:tabs>
          <w:tab w:leader="none" w:pos="340" w:val="left"/>
        </w:tabs>
        <w:numPr>
          <w:ilvl w:val="0"/>
          <w:numId w:val="39"/>
        </w:numPr>
        <w:rPr>
          <w:rFonts w:ascii="Arial" w:cs="Arial" w:eastAsia="Arial" w:hAnsi="Arial"/>
          <w:sz w:val="16"/>
          <w:szCs w:val="16"/>
          <w:color w:val="auto"/>
        </w:rPr>
      </w:pPr>
      <w:r>
        <w:rPr>
          <w:rFonts w:ascii="Arial" w:cs="Arial" w:eastAsia="Arial" w:hAnsi="Arial"/>
          <w:sz w:val="16"/>
          <w:szCs w:val="16"/>
          <w:color w:val="auto"/>
        </w:rPr>
        <w:t>Reflects inter-segment revenues of $88.6 million and $102.9 million for the three months ended June 30, 2022 and 2021, respectively, $186.0 million and $201.7 million for the six months ended June 30, 2022 and 2021, respectively.</w:t>
      </w:r>
    </w:p>
    <w:p>
      <w:pPr>
        <w:ind w:left="340" w:right="20" w:hanging="332"/>
        <w:spacing w:after="0" w:line="250" w:lineRule="auto"/>
        <w:tabs>
          <w:tab w:leader="none" w:pos="3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Reflects inter-segment revenues of $89.5 million and $71.1 million for the three months ended June 30, 2022 and 2021, respectively, $170.8 million and $144.2 million for the six months ended June 30, 2022 and 2021, respectively.</w:t>
      </w:r>
    </w:p>
    <w:p>
      <w:pPr>
        <w:ind w:left="340" w:hanging="332"/>
        <w:spacing w:after="0"/>
        <w:tabs>
          <w:tab w:leader="none" w:pos="3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Revenues from exited business is derived as follows:</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540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80" w:name="page81"/>
    <w:bookmarkEnd w:id="80"/>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7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60" w:type="dxa"/>
            <w:vAlign w:val="bottom"/>
            <w:gridSpan w:val="5"/>
          </w:tcPr>
          <w:p>
            <w:pPr>
              <w:ind w:left="40"/>
              <w:spacing w:after="0"/>
              <w:rPr>
                <w:sz w:val="20"/>
                <w:szCs w:val="20"/>
                <w:color w:val="auto"/>
              </w:rPr>
            </w:pPr>
            <w:r>
              <w:rPr>
                <w:rFonts w:ascii="Arial" w:cs="Arial" w:eastAsia="Arial" w:hAnsi="Arial"/>
                <w:sz w:val="14"/>
                <w:szCs w:val="14"/>
                <w:b w:val="1"/>
                <w:bCs w:val="1"/>
                <w:color w:val="auto"/>
              </w:rPr>
              <w:t>For the three months ended</w:t>
            </w:r>
          </w:p>
        </w:tc>
        <w:tc>
          <w:tcPr>
            <w:tcW w:w="160" w:type="dxa"/>
            <w:vAlign w:val="bottom"/>
          </w:tcPr>
          <w:p>
            <w:pPr>
              <w:spacing w:after="0"/>
              <w:rPr>
                <w:sz w:val="14"/>
                <w:szCs w:val="14"/>
                <w:color w:val="auto"/>
              </w:rPr>
            </w:pPr>
          </w:p>
        </w:tc>
        <w:tc>
          <w:tcPr>
            <w:tcW w:w="1860" w:type="dxa"/>
            <w:vAlign w:val="bottom"/>
            <w:gridSpan w:val="5"/>
          </w:tcPr>
          <w:p>
            <w:pPr>
              <w:ind w:left="80"/>
              <w:spacing w:after="0"/>
              <w:rPr>
                <w:sz w:val="20"/>
                <w:szCs w:val="20"/>
                <w:color w:val="auto"/>
              </w:rPr>
            </w:pPr>
            <w:r>
              <w:rPr>
                <w:rFonts w:ascii="Arial" w:cs="Arial" w:eastAsia="Arial" w:hAnsi="Arial"/>
                <w:sz w:val="14"/>
                <w:szCs w:val="14"/>
                <w:b w:val="1"/>
                <w:bCs w:val="1"/>
                <w:color w:val="auto"/>
              </w:rPr>
              <w:t>For the six months ended</w:t>
            </w:r>
          </w:p>
        </w:tc>
      </w:tr>
      <w:tr>
        <w:trPr>
          <w:trHeight w:val="171"/>
        </w:trPr>
        <w:tc>
          <w:tcPr>
            <w:tcW w:w="57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June 30,</w:t>
            </w:r>
          </w:p>
        </w:tc>
        <w:tc>
          <w:tcPr>
            <w:tcW w:w="680" w:type="dxa"/>
            <w:vAlign w:val="bottom"/>
            <w:tcBorders>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gridSpan w:val="4"/>
          </w:tcPr>
          <w:p>
            <w:pPr>
              <w:jc w:val="right"/>
              <w:ind w:right="7"/>
              <w:spacing w:after="0"/>
              <w:rPr>
                <w:sz w:val="20"/>
                <w:szCs w:val="20"/>
                <w:color w:val="auto"/>
              </w:rPr>
            </w:pPr>
            <w:r>
              <w:rPr>
                <w:rFonts w:ascii="Arial" w:cs="Arial" w:eastAsia="Arial" w:hAnsi="Arial"/>
                <w:sz w:val="14"/>
                <w:szCs w:val="14"/>
                <w:b w:val="1"/>
                <w:bCs w:val="1"/>
                <w:color w:val="auto"/>
              </w:rPr>
              <w:t>June 30,</w:t>
            </w:r>
          </w:p>
        </w:tc>
        <w:tc>
          <w:tcPr>
            <w:tcW w:w="680" w:type="dxa"/>
            <w:vAlign w:val="bottom"/>
            <w:tcBorders>
              <w:bottom w:val="single" w:sz="8" w:color="auto"/>
            </w:tcBorders>
          </w:tcPr>
          <w:p>
            <w:pPr>
              <w:spacing w:after="0"/>
              <w:rPr>
                <w:sz w:val="14"/>
                <w:szCs w:val="14"/>
                <w:color w:val="auto"/>
              </w:rPr>
            </w:pPr>
          </w:p>
        </w:tc>
      </w:tr>
      <w:tr>
        <w:trPr>
          <w:trHeight w:val="142"/>
        </w:trPr>
        <w:tc>
          <w:tcPr>
            <w:tcW w:w="572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ind w:right="217"/>
              <w:spacing w:after="0" w:line="142" w:lineRule="exact"/>
              <w:rPr>
                <w:sz w:val="20"/>
                <w:szCs w:val="20"/>
                <w:color w:val="auto"/>
              </w:rPr>
            </w:pPr>
            <w:r>
              <w:rPr>
                <w:rFonts w:ascii="Arial" w:cs="Arial" w:eastAsia="Arial" w:hAnsi="Arial"/>
                <w:sz w:val="14"/>
                <w:szCs w:val="14"/>
                <w:b w:val="1"/>
                <w:bCs w:val="1"/>
                <w:color w:val="auto"/>
              </w:rPr>
              <w:t>2022</w:t>
            </w:r>
          </w:p>
        </w:tc>
        <w:tc>
          <w:tcPr>
            <w:tcW w:w="200" w:type="dxa"/>
            <w:vAlign w:val="bottom"/>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ind w:left="80"/>
              <w:spacing w:after="0" w:line="142" w:lineRule="exact"/>
              <w:rPr>
                <w:sz w:val="20"/>
                <w:szCs w:val="20"/>
                <w:color w:val="auto"/>
              </w:rPr>
            </w:pPr>
            <w:r>
              <w:rPr>
                <w:rFonts w:ascii="Arial" w:cs="Arial" w:eastAsia="Arial" w:hAnsi="Arial"/>
                <w:sz w:val="14"/>
                <w:szCs w:val="14"/>
                <w:b w:val="1"/>
                <w:bCs w:val="1"/>
                <w:color w:val="auto"/>
              </w:rPr>
              <w:t>2021</w:t>
            </w:r>
          </w:p>
        </w:tc>
        <w:tc>
          <w:tcPr>
            <w:tcW w:w="18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ind w:right="237"/>
              <w:spacing w:after="0" w:line="142" w:lineRule="exact"/>
              <w:rPr>
                <w:sz w:val="20"/>
                <w:szCs w:val="20"/>
                <w:color w:val="auto"/>
              </w:rPr>
            </w:pPr>
            <w:r>
              <w:rPr>
                <w:rFonts w:ascii="Arial" w:cs="Arial" w:eastAsia="Arial" w:hAnsi="Arial"/>
                <w:sz w:val="14"/>
                <w:szCs w:val="14"/>
                <w:b w:val="1"/>
                <w:bCs w:val="1"/>
                <w:color w:val="auto"/>
              </w:rPr>
              <w:t>2022</w:t>
            </w:r>
          </w:p>
        </w:tc>
        <w:tc>
          <w:tcPr>
            <w:tcW w:w="1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ind w:left="80"/>
              <w:spacing w:after="0" w:line="142" w:lineRule="exact"/>
              <w:rPr>
                <w:sz w:val="20"/>
                <w:szCs w:val="20"/>
                <w:color w:val="auto"/>
              </w:rPr>
            </w:pPr>
            <w:r>
              <w:rPr>
                <w:rFonts w:ascii="Arial" w:cs="Arial" w:eastAsia="Arial" w:hAnsi="Arial"/>
                <w:sz w:val="14"/>
                <w:szCs w:val="14"/>
                <w:b w:val="1"/>
                <w:bCs w:val="1"/>
                <w:color w:val="auto"/>
              </w:rPr>
              <w:t>2021</w:t>
            </w:r>
          </w:p>
        </w:tc>
      </w:tr>
      <w:tr>
        <w:trPr>
          <w:trHeight w:val="128"/>
        </w:trPr>
        <w:tc>
          <w:tcPr>
            <w:tcW w:w="57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780" w:type="dxa"/>
            <w:vAlign w:val="bottom"/>
            <w:gridSpan w:val="4"/>
          </w:tcPr>
          <w:p>
            <w:pPr>
              <w:ind w:left="420"/>
              <w:spacing w:after="0" w:line="129" w:lineRule="exact"/>
              <w:rPr>
                <w:sz w:val="20"/>
                <w:szCs w:val="20"/>
                <w:color w:val="auto"/>
              </w:rPr>
            </w:pPr>
            <w:r>
              <w:rPr>
                <w:rFonts w:ascii="Arial" w:cs="Arial" w:eastAsia="Arial" w:hAnsi="Arial"/>
                <w:sz w:val="14"/>
                <w:szCs w:val="14"/>
                <w:i w:val="1"/>
                <w:iCs w:val="1"/>
                <w:color w:val="auto"/>
              </w:rPr>
              <w:t>(in millions)</w:t>
            </w: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80" w:type="dxa"/>
            <w:vAlign w:val="bottom"/>
          </w:tcPr>
          <w:p>
            <w:pPr>
              <w:spacing w:after="0"/>
              <w:rPr>
                <w:sz w:val="11"/>
                <w:szCs w:val="11"/>
                <w:color w:val="auto"/>
              </w:rPr>
            </w:pPr>
          </w:p>
        </w:tc>
      </w:tr>
      <w:tr>
        <w:trPr>
          <w:trHeight w:val="216"/>
        </w:trPr>
        <w:tc>
          <w:tcPr>
            <w:tcW w:w="57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Revenues from exited business:</w:t>
            </w: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r>
      <w:tr>
        <w:trPr>
          <w:trHeight w:val="216"/>
        </w:trPr>
        <w:tc>
          <w:tcPr>
            <w:tcW w:w="5720" w:type="dxa"/>
            <w:vAlign w:val="bottom"/>
          </w:tcPr>
          <w:p>
            <w:pPr>
              <w:spacing w:after="0"/>
              <w:rPr>
                <w:sz w:val="20"/>
                <w:szCs w:val="20"/>
                <w:color w:val="auto"/>
              </w:rPr>
            </w:pPr>
            <w:r>
              <w:rPr>
                <w:rFonts w:ascii="Arial" w:cs="Arial" w:eastAsia="Arial" w:hAnsi="Arial"/>
                <w:sz w:val="18"/>
                <w:szCs w:val="18"/>
                <w:color w:val="auto"/>
              </w:rPr>
              <w:t>Change in fair value of funds withheld embedded derivative</w:t>
            </w:r>
          </w:p>
        </w:tc>
        <w:tc>
          <w:tcPr>
            <w:tcW w:w="12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780" w:type="dxa"/>
            <w:vAlign w:val="bottom"/>
          </w:tcPr>
          <w:p>
            <w:pPr>
              <w:jc w:val="right"/>
              <w:spacing w:after="0"/>
              <w:rPr>
                <w:sz w:val="20"/>
                <w:szCs w:val="20"/>
                <w:color w:val="auto"/>
              </w:rPr>
            </w:pPr>
            <w:r>
              <w:rPr>
                <w:rFonts w:ascii="Arial" w:cs="Arial" w:eastAsia="Arial" w:hAnsi="Arial"/>
                <w:sz w:val="18"/>
                <w:szCs w:val="18"/>
                <w:b w:val="1"/>
                <w:bCs w:val="1"/>
                <w:color w:val="auto"/>
              </w:rPr>
              <w:t>3,067.3</w:t>
            </w:r>
          </w:p>
        </w:tc>
        <w:tc>
          <w:tcPr>
            <w:tcW w:w="420" w:type="dxa"/>
            <w:vAlign w:val="bottom"/>
            <w:gridSpan w:val="2"/>
          </w:tcPr>
          <w:p>
            <w:pPr>
              <w:jc w:val="right"/>
              <w:ind w:right="67"/>
              <w:spacing w:after="0"/>
              <w:rPr>
                <w:sz w:val="20"/>
                <w:szCs w:val="20"/>
                <w:color w:val="auto"/>
              </w:rPr>
            </w:pPr>
            <w:r>
              <w:rPr>
                <w:rFonts w:ascii="Arial" w:cs="Arial" w:eastAsia="Arial" w:hAnsi="Arial"/>
                <w:sz w:val="18"/>
                <w:szCs w:val="18"/>
                <w:color w:val="auto"/>
              </w:rPr>
              <w:t>$</w:t>
            </w:r>
          </w:p>
        </w:tc>
        <w:tc>
          <w:tcPr>
            <w:tcW w:w="86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16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3,067.3</w:t>
            </w:r>
          </w:p>
        </w:tc>
        <w:tc>
          <w:tcPr>
            <w:tcW w:w="180" w:type="dxa"/>
            <w:vAlign w:val="bottom"/>
          </w:tcPr>
          <w:p>
            <w:pPr>
              <w:spacing w:after="0"/>
              <w:rPr>
                <w:sz w:val="18"/>
                <w:szCs w:val="18"/>
                <w:color w:val="auto"/>
              </w:rPr>
            </w:pPr>
          </w:p>
        </w:tc>
        <w:tc>
          <w:tcPr>
            <w:tcW w:w="240" w:type="dxa"/>
            <w:vAlign w:val="bottom"/>
            <w:gridSpan w:val="2"/>
          </w:tcPr>
          <w:p>
            <w:pPr>
              <w:jc w:val="right"/>
              <w:ind w:right="67"/>
              <w:spacing w:after="0"/>
              <w:rPr>
                <w:sz w:val="20"/>
                <w:szCs w:val="20"/>
                <w:color w:val="auto"/>
              </w:rPr>
            </w:pPr>
            <w:r>
              <w:rPr>
                <w:rFonts w:ascii="Arial" w:cs="Arial" w:eastAsia="Arial" w:hAnsi="Arial"/>
                <w:sz w:val="18"/>
                <w:szCs w:val="18"/>
                <w:color w:val="auto"/>
                <w:w w:val="79"/>
              </w:rPr>
              <w:t>$</w:t>
            </w:r>
          </w:p>
        </w:tc>
        <w:tc>
          <w:tcPr>
            <w:tcW w:w="680" w:type="dxa"/>
            <w:vAlign w:val="bottom"/>
          </w:tcPr>
          <w:p>
            <w:pPr>
              <w:ind w:left="440"/>
              <w:spacing w:after="0"/>
              <w:rPr>
                <w:sz w:val="20"/>
                <w:szCs w:val="20"/>
                <w:color w:val="auto"/>
              </w:rPr>
            </w:pPr>
            <w:r>
              <w:rPr>
                <w:rFonts w:ascii="Arial" w:cs="Arial" w:eastAsia="Arial" w:hAnsi="Arial"/>
                <w:sz w:val="18"/>
                <w:szCs w:val="18"/>
                <w:color w:val="auto"/>
              </w:rPr>
              <w:t>—</w:t>
            </w:r>
          </w:p>
        </w:tc>
      </w:tr>
      <w:tr>
        <w:trPr>
          <w:trHeight w:val="216"/>
        </w:trPr>
        <w:tc>
          <w:tcPr>
            <w:tcW w:w="5720" w:type="dxa"/>
            <w:vAlign w:val="bottom"/>
            <w:shd w:val="clear" w:color="auto" w:fill="CCEEFF"/>
          </w:tcPr>
          <w:p>
            <w:pPr>
              <w:spacing w:after="0"/>
              <w:rPr>
                <w:sz w:val="20"/>
                <w:szCs w:val="20"/>
                <w:color w:val="auto"/>
              </w:rPr>
            </w:pPr>
            <w:r>
              <w:rPr>
                <w:rFonts w:ascii="Arial" w:cs="Arial" w:eastAsia="Arial" w:hAnsi="Arial"/>
                <w:sz w:val="18"/>
                <w:szCs w:val="18"/>
                <w:color w:val="auto"/>
              </w:rPr>
              <w:t>Net realized capital gains on funds withheld assets</w:t>
            </w: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689.0</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gridSpan w:val="2"/>
            <w:shd w:val="clear" w:color="auto" w:fill="CCEEFF"/>
          </w:tcPr>
          <w:p>
            <w:pPr>
              <w:ind w:left="440"/>
              <w:spacing w:after="0"/>
              <w:rPr>
                <w:sz w:val="20"/>
                <w:szCs w:val="20"/>
                <w:color w:val="auto"/>
              </w:rPr>
            </w:pPr>
            <w:r>
              <w:rPr>
                <w:rFonts w:ascii="Arial" w:cs="Arial" w:eastAsia="Arial" w:hAnsi="Arial"/>
                <w:sz w:val="18"/>
                <w:szCs w:val="18"/>
                <w:b w:val="1"/>
                <w:bCs w:val="1"/>
                <w:color w:val="auto"/>
              </w:rPr>
              <w:t>—</w:t>
            </w: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689.0</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ind w:left="440"/>
              <w:spacing w:after="0"/>
              <w:rPr>
                <w:sz w:val="20"/>
                <w:szCs w:val="20"/>
                <w:color w:val="auto"/>
              </w:rPr>
            </w:pPr>
            <w:r>
              <w:rPr>
                <w:rFonts w:ascii="Arial" w:cs="Arial" w:eastAsia="Arial" w:hAnsi="Arial"/>
                <w:sz w:val="18"/>
                <w:szCs w:val="18"/>
                <w:b w:val="1"/>
                <w:bCs w:val="1"/>
                <w:color w:val="auto"/>
              </w:rPr>
              <w:t>—</w:t>
            </w:r>
          </w:p>
        </w:tc>
      </w:tr>
      <w:tr>
        <w:trPr>
          <w:trHeight w:val="216"/>
        </w:trPr>
        <w:tc>
          <w:tcPr>
            <w:tcW w:w="5720" w:type="dxa"/>
            <w:vAlign w:val="bottom"/>
          </w:tcPr>
          <w:p>
            <w:pPr>
              <w:spacing w:after="0"/>
              <w:rPr>
                <w:sz w:val="20"/>
                <w:szCs w:val="20"/>
                <w:color w:val="auto"/>
              </w:rPr>
            </w:pPr>
            <w:r>
              <w:rPr>
                <w:rFonts w:ascii="Arial" w:cs="Arial" w:eastAsia="Arial" w:hAnsi="Arial"/>
                <w:sz w:val="18"/>
                <w:szCs w:val="18"/>
                <w:color w:val="auto"/>
              </w:rPr>
              <w:t>Strategic review costs and impacts</w:t>
            </w: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b w:val="1"/>
                <w:bCs w:val="1"/>
                <w:color w:val="auto"/>
              </w:rPr>
              <w:t>32.4</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32.4</w:t>
            </w: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80" w:type="dxa"/>
            <w:vAlign w:val="bottom"/>
          </w:tcPr>
          <w:p>
            <w:pPr>
              <w:ind w:left="440"/>
              <w:spacing w:after="0"/>
              <w:rPr>
                <w:sz w:val="20"/>
                <w:szCs w:val="20"/>
                <w:color w:val="auto"/>
              </w:rPr>
            </w:pPr>
            <w:r>
              <w:rPr>
                <w:rFonts w:ascii="Arial" w:cs="Arial" w:eastAsia="Arial" w:hAnsi="Arial"/>
                <w:sz w:val="18"/>
                <w:szCs w:val="18"/>
                <w:color w:val="auto"/>
              </w:rPr>
              <w:t>—</w:t>
            </w:r>
          </w:p>
        </w:tc>
      </w:tr>
      <w:tr>
        <w:trPr>
          <w:trHeight w:val="216"/>
        </w:trPr>
        <w:tc>
          <w:tcPr>
            <w:tcW w:w="5720" w:type="dxa"/>
            <w:vAlign w:val="bottom"/>
            <w:shd w:val="clear" w:color="auto" w:fill="CCEEFF"/>
          </w:tcPr>
          <w:p>
            <w:pPr>
              <w:spacing w:after="0"/>
              <w:rPr>
                <w:sz w:val="20"/>
                <w:szCs w:val="20"/>
                <w:color w:val="auto"/>
              </w:rPr>
            </w:pPr>
            <w:r>
              <w:rPr>
                <w:rFonts w:ascii="Arial" w:cs="Arial" w:eastAsia="Arial" w:hAnsi="Arial"/>
                <w:sz w:val="18"/>
                <w:szCs w:val="18"/>
                <w:color w:val="auto"/>
              </w:rPr>
              <w:t>Amortization of reinsurance gain</w:t>
            </w: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4.9</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4.9</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ind w:left="440"/>
              <w:spacing w:after="0"/>
              <w:rPr>
                <w:sz w:val="20"/>
                <w:szCs w:val="20"/>
                <w:color w:val="auto"/>
              </w:rPr>
            </w:pPr>
            <w:r>
              <w:rPr>
                <w:rFonts w:ascii="Arial" w:cs="Arial" w:eastAsia="Arial" w:hAnsi="Arial"/>
                <w:sz w:val="18"/>
                <w:szCs w:val="18"/>
                <w:color w:val="auto"/>
              </w:rPr>
              <w:t>—</w:t>
            </w:r>
          </w:p>
        </w:tc>
      </w:tr>
      <w:tr>
        <w:trPr>
          <w:trHeight w:val="209"/>
        </w:trPr>
        <w:tc>
          <w:tcPr>
            <w:tcW w:w="5720" w:type="dxa"/>
            <w:vAlign w:val="bottom"/>
          </w:tcPr>
          <w:p>
            <w:pPr>
              <w:ind w:left="120"/>
              <w:spacing w:after="0"/>
              <w:rPr>
                <w:sz w:val="20"/>
                <w:szCs w:val="20"/>
                <w:color w:val="auto"/>
              </w:rPr>
            </w:pPr>
            <w:r>
              <w:rPr>
                <w:rFonts w:ascii="Arial" w:cs="Arial" w:eastAsia="Arial" w:hAnsi="Arial"/>
                <w:sz w:val="18"/>
                <w:szCs w:val="18"/>
                <w:color w:val="auto"/>
              </w:rPr>
              <w:t>Total revenues from exited business</w:t>
            </w: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3,793.6</w:t>
            </w:r>
          </w:p>
        </w:tc>
        <w:tc>
          <w:tcPr>
            <w:tcW w:w="200" w:type="dxa"/>
            <w:vAlign w:val="bottom"/>
          </w:tcPr>
          <w:p>
            <w:pPr>
              <w:spacing w:after="0"/>
              <w:rPr>
                <w:sz w:val="18"/>
                <w:szCs w:val="18"/>
                <w:color w:val="auto"/>
              </w:rPr>
            </w:pPr>
          </w:p>
        </w:tc>
        <w:tc>
          <w:tcPr>
            <w:tcW w:w="220" w:type="dxa"/>
            <w:vAlign w:val="bottom"/>
            <w:tcBorders>
              <w:top w:val="single" w:sz="8" w:color="auto"/>
              <w:bottom w:val="single" w:sz="8" w:color="auto"/>
            </w:tcBorders>
          </w:tcPr>
          <w:p>
            <w:pPr>
              <w:jc w:val="right"/>
              <w:ind w:right="67"/>
              <w:spacing w:after="0"/>
              <w:rPr>
                <w:sz w:val="20"/>
                <w:szCs w:val="20"/>
                <w:color w:val="auto"/>
              </w:rPr>
            </w:pPr>
            <w:r>
              <w:rPr>
                <w:rFonts w:ascii="Arial" w:cs="Arial" w:eastAsia="Arial" w:hAnsi="Arial"/>
                <w:sz w:val="15"/>
                <w:szCs w:val="15"/>
                <w:color w:val="auto"/>
                <w:w w:val="71"/>
              </w:rPr>
              <w:t>$</w:t>
            </w:r>
          </w:p>
        </w:tc>
        <w:tc>
          <w:tcPr>
            <w:tcW w:w="680" w:type="dxa"/>
            <w:vAlign w:val="bottom"/>
            <w:tcBorders>
              <w:top w:val="single" w:sz="8" w:color="auto"/>
              <w:bottom w:val="single" w:sz="8" w:color="auto"/>
            </w:tcBorders>
          </w:tcPr>
          <w:p>
            <w:pPr>
              <w:ind w:left="44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3,793.</w:t>
            </w:r>
            <w:r>
              <w:rPr>
                <w:rFonts w:ascii="Arial" w:cs="Arial" w:eastAsia="Arial" w:hAnsi="Arial"/>
                <w:sz w:val="18"/>
                <w:szCs w:val="18"/>
                <w:b w:val="1"/>
                <w:bCs w:val="1"/>
                <w:u w:val="single" w:color="auto"/>
                <w:color w:val="auto"/>
              </w:rPr>
              <w:t>6</w:t>
            </w:r>
          </w:p>
        </w:tc>
        <w:tc>
          <w:tcPr>
            <w:tcW w:w="18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220" w:type="dxa"/>
            <w:vAlign w:val="bottom"/>
            <w:tcBorders>
              <w:top w:val="single" w:sz="8" w:color="auto"/>
              <w:bottom w:val="single" w:sz="8" w:color="auto"/>
            </w:tcBorders>
          </w:tcPr>
          <w:p>
            <w:pPr>
              <w:jc w:val="right"/>
              <w:ind w:right="67"/>
              <w:spacing w:after="0"/>
              <w:rPr>
                <w:sz w:val="20"/>
                <w:szCs w:val="20"/>
                <w:color w:val="auto"/>
              </w:rPr>
            </w:pPr>
            <w:r>
              <w:rPr>
                <w:rFonts w:ascii="Arial" w:cs="Arial" w:eastAsia="Arial" w:hAnsi="Arial"/>
                <w:sz w:val="15"/>
                <w:szCs w:val="15"/>
                <w:color w:val="auto"/>
                <w:w w:val="71"/>
              </w:rPr>
              <w:t>$</w:t>
            </w:r>
          </w:p>
        </w:tc>
        <w:tc>
          <w:tcPr>
            <w:tcW w:w="680" w:type="dxa"/>
            <w:vAlign w:val="bottom"/>
            <w:tcBorders>
              <w:top w:val="single" w:sz="8" w:color="auto"/>
              <w:bottom w:val="single" w:sz="8" w:color="auto"/>
            </w:tcBorders>
          </w:tcPr>
          <w:p>
            <w:pPr>
              <w:ind w:left="440"/>
              <w:spacing w:after="0"/>
              <w:rPr>
                <w:sz w:val="20"/>
                <w:szCs w:val="20"/>
                <w:color w:val="auto"/>
              </w:rPr>
            </w:pPr>
            <w:r>
              <w:rPr>
                <w:rFonts w:ascii="Arial" w:cs="Arial" w:eastAsia="Arial" w:hAnsi="Arial"/>
                <w:sz w:val="18"/>
                <w:szCs w:val="18"/>
                <w:color w:val="auto"/>
              </w:rPr>
              <w:t>—</w:t>
            </w:r>
          </w:p>
        </w:tc>
      </w:tr>
      <w:tr>
        <w:trPr>
          <w:trHeight w:val="20"/>
        </w:trPr>
        <w:tc>
          <w:tcPr>
            <w:tcW w:w="57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(4) Pre-tax net realized capital gains (losses), as adjusted, is derived as follows:</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480" w:type="dxa"/>
            <w:vAlign w:val="bottom"/>
          </w:tcPr>
          <w:p>
            <w:pPr>
              <w:spacing w:after="0"/>
              <w:rPr>
                <w:sz w:val="14"/>
                <w:szCs w:val="14"/>
                <w:color w:val="auto"/>
              </w:rPr>
            </w:pPr>
          </w:p>
        </w:tc>
        <w:tc>
          <w:tcPr>
            <w:tcW w:w="28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100" w:type="dxa"/>
            <w:vAlign w:val="bottom"/>
            <w:gridSpan w:val="6"/>
          </w:tcPr>
          <w:p>
            <w:pPr>
              <w:jc w:val="right"/>
              <w:ind w:right="360"/>
              <w:spacing w:after="0"/>
              <w:rPr>
                <w:sz w:val="20"/>
                <w:szCs w:val="20"/>
                <w:color w:val="auto"/>
              </w:rPr>
            </w:pPr>
            <w:r>
              <w:rPr>
                <w:rFonts w:ascii="Arial" w:cs="Arial" w:eastAsia="Arial" w:hAnsi="Arial"/>
                <w:sz w:val="14"/>
                <w:szCs w:val="14"/>
                <w:b w:val="1"/>
                <w:bCs w:val="1"/>
                <w:color w:val="auto"/>
                <w:w w:val="92"/>
              </w:rPr>
              <w:t>For the three months ended</w:t>
            </w:r>
          </w:p>
        </w:tc>
        <w:tc>
          <w:tcPr>
            <w:tcW w:w="160" w:type="dxa"/>
            <w:vAlign w:val="bottom"/>
          </w:tcPr>
          <w:p>
            <w:pPr>
              <w:spacing w:after="0"/>
              <w:rPr>
                <w:sz w:val="14"/>
                <w:szCs w:val="14"/>
                <w:color w:val="auto"/>
              </w:rPr>
            </w:pPr>
          </w:p>
        </w:tc>
        <w:tc>
          <w:tcPr>
            <w:tcW w:w="1900" w:type="dxa"/>
            <w:vAlign w:val="bottom"/>
            <w:gridSpan w:val="5"/>
          </w:tcPr>
          <w:p>
            <w:pPr>
              <w:jc w:val="right"/>
              <w:ind w:right="172"/>
              <w:spacing w:after="0"/>
              <w:rPr>
                <w:sz w:val="20"/>
                <w:szCs w:val="20"/>
                <w:color w:val="auto"/>
              </w:rPr>
            </w:pPr>
            <w:r>
              <w:rPr>
                <w:rFonts w:ascii="Arial" w:cs="Arial" w:eastAsia="Arial" w:hAnsi="Arial"/>
                <w:sz w:val="14"/>
                <w:szCs w:val="14"/>
                <w:b w:val="1"/>
                <w:bCs w:val="1"/>
                <w:color w:val="auto"/>
                <w:w w:val="95"/>
              </w:rPr>
              <w:t>For the six months ended</w:t>
            </w:r>
          </w:p>
        </w:tc>
      </w:tr>
      <w:tr>
        <w:trPr>
          <w:trHeight w:val="171"/>
        </w:trPr>
        <w:tc>
          <w:tcPr>
            <w:tcW w:w="2480" w:type="dxa"/>
            <w:vAlign w:val="bottom"/>
          </w:tcPr>
          <w:p>
            <w:pPr>
              <w:spacing w:after="0"/>
              <w:rPr>
                <w:sz w:val="14"/>
                <w:szCs w:val="14"/>
                <w:color w:val="auto"/>
              </w:rPr>
            </w:pPr>
          </w:p>
        </w:tc>
        <w:tc>
          <w:tcPr>
            <w:tcW w:w="28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gridSpan w:val="4"/>
          </w:tcPr>
          <w:p>
            <w:pPr>
              <w:jc w:val="right"/>
              <w:ind w:right="7"/>
              <w:spacing w:after="0"/>
              <w:rPr>
                <w:sz w:val="20"/>
                <w:szCs w:val="20"/>
                <w:color w:val="auto"/>
              </w:rPr>
            </w:pPr>
            <w:r>
              <w:rPr>
                <w:rFonts w:ascii="Arial" w:cs="Arial" w:eastAsia="Arial" w:hAnsi="Arial"/>
                <w:sz w:val="14"/>
                <w:szCs w:val="14"/>
                <w:b w:val="1"/>
                <w:bCs w:val="1"/>
                <w:color w:val="auto"/>
              </w:rPr>
              <w:t>June 30,</w:t>
            </w:r>
          </w:p>
        </w:tc>
        <w:tc>
          <w:tcPr>
            <w:tcW w:w="70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gridSpan w:val="4"/>
          </w:tcPr>
          <w:p>
            <w:pPr>
              <w:jc w:val="right"/>
              <w:ind w:right="49"/>
              <w:spacing w:after="0"/>
              <w:rPr>
                <w:sz w:val="20"/>
                <w:szCs w:val="20"/>
                <w:color w:val="auto"/>
              </w:rPr>
            </w:pPr>
            <w:r>
              <w:rPr>
                <w:rFonts w:ascii="Arial" w:cs="Arial" w:eastAsia="Arial" w:hAnsi="Arial"/>
                <w:sz w:val="14"/>
                <w:szCs w:val="14"/>
                <w:b w:val="1"/>
                <w:bCs w:val="1"/>
                <w:color w:val="auto"/>
              </w:rPr>
              <w:t>June 30,</w:t>
            </w:r>
          </w:p>
        </w:tc>
        <w:tc>
          <w:tcPr>
            <w:tcW w:w="700" w:type="dxa"/>
            <w:vAlign w:val="bottom"/>
            <w:tcBorders>
              <w:bottom w:val="single" w:sz="8" w:color="auto"/>
            </w:tcBorders>
          </w:tcPr>
          <w:p>
            <w:pPr>
              <w:spacing w:after="0"/>
              <w:rPr>
                <w:sz w:val="14"/>
                <w:szCs w:val="14"/>
                <w:color w:val="auto"/>
              </w:rPr>
            </w:pPr>
          </w:p>
        </w:tc>
      </w:tr>
      <w:tr>
        <w:trPr>
          <w:trHeight w:val="142"/>
        </w:trPr>
        <w:tc>
          <w:tcPr>
            <w:tcW w:w="248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ind w:right="234"/>
              <w:spacing w:after="0" w:line="142" w:lineRule="exact"/>
              <w:rPr>
                <w:sz w:val="20"/>
                <w:szCs w:val="20"/>
                <w:color w:val="auto"/>
              </w:rPr>
            </w:pPr>
            <w:r>
              <w:rPr>
                <w:rFonts w:ascii="Arial" w:cs="Arial" w:eastAsia="Arial" w:hAnsi="Arial"/>
                <w:sz w:val="14"/>
                <w:szCs w:val="14"/>
                <w:b w:val="1"/>
                <w:bCs w:val="1"/>
                <w:color w:val="auto"/>
              </w:rPr>
              <w:t>2022</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ind w:right="233"/>
              <w:spacing w:after="0" w:line="142" w:lineRule="exact"/>
              <w:rPr>
                <w:sz w:val="20"/>
                <w:szCs w:val="20"/>
                <w:color w:val="auto"/>
              </w:rPr>
            </w:pPr>
            <w:r>
              <w:rPr>
                <w:rFonts w:ascii="Arial" w:cs="Arial" w:eastAsia="Arial" w:hAnsi="Arial"/>
                <w:sz w:val="14"/>
                <w:szCs w:val="14"/>
                <w:b w:val="1"/>
                <w:bCs w:val="1"/>
                <w:color w:val="auto"/>
              </w:rPr>
              <w:t>2021</w:t>
            </w:r>
          </w:p>
        </w:tc>
        <w:tc>
          <w:tcPr>
            <w:tcW w:w="20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ind w:right="234"/>
              <w:spacing w:after="0" w:line="142" w:lineRule="exact"/>
              <w:rPr>
                <w:sz w:val="20"/>
                <w:szCs w:val="20"/>
                <w:color w:val="auto"/>
              </w:rPr>
            </w:pPr>
            <w:r>
              <w:rPr>
                <w:rFonts w:ascii="Arial" w:cs="Arial" w:eastAsia="Arial" w:hAnsi="Arial"/>
                <w:sz w:val="14"/>
                <w:szCs w:val="14"/>
                <w:b w:val="1"/>
                <w:bCs w:val="1"/>
                <w:color w:val="auto"/>
              </w:rPr>
              <w:t>2022</w:t>
            </w:r>
          </w:p>
        </w:tc>
        <w:tc>
          <w:tcPr>
            <w:tcW w:w="2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ind w:right="252"/>
              <w:spacing w:after="0" w:line="142" w:lineRule="exact"/>
              <w:rPr>
                <w:sz w:val="20"/>
                <w:szCs w:val="20"/>
                <w:color w:val="auto"/>
              </w:rPr>
            </w:pPr>
            <w:r>
              <w:rPr>
                <w:rFonts w:ascii="Arial" w:cs="Arial" w:eastAsia="Arial" w:hAnsi="Arial"/>
                <w:sz w:val="14"/>
                <w:szCs w:val="14"/>
                <w:b w:val="1"/>
                <w:bCs w:val="1"/>
                <w:color w:val="auto"/>
              </w:rPr>
              <w:t>2021</w:t>
            </w:r>
          </w:p>
        </w:tc>
      </w:tr>
      <w:tr>
        <w:trPr>
          <w:trHeight w:val="128"/>
        </w:trPr>
        <w:tc>
          <w:tcPr>
            <w:tcW w:w="2480" w:type="dxa"/>
            <w:vAlign w:val="bottom"/>
          </w:tcPr>
          <w:p>
            <w:pPr>
              <w:spacing w:after="0"/>
              <w:rPr>
                <w:sz w:val="11"/>
                <w:szCs w:val="11"/>
                <w:color w:val="auto"/>
              </w:rPr>
            </w:pPr>
          </w:p>
        </w:tc>
        <w:tc>
          <w:tcPr>
            <w:tcW w:w="28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820" w:type="dxa"/>
            <w:vAlign w:val="bottom"/>
            <w:gridSpan w:val="4"/>
          </w:tcPr>
          <w:p>
            <w:pPr>
              <w:jc w:val="right"/>
              <w:ind w:right="574"/>
              <w:spacing w:after="0" w:line="129" w:lineRule="exact"/>
              <w:rPr>
                <w:sz w:val="20"/>
                <w:szCs w:val="20"/>
                <w:color w:val="auto"/>
              </w:rPr>
            </w:pPr>
            <w:r>
              <w:rPr>
                <w:rFonts w:ascii="Arial" w:cs="Arial" w:eastAsia="Arial" w:hAnsi="Arial"/>
                <w:sz w:val="14"/>
                <w:szCs w:val="14"/>
                <w:i w:val="1"/>
                <w:iCs w:val="1"/>
                <w:color w:val="auto"/>
              </w:rPr>
              <w:t>(in millions)</w:t>
            </w:r>
          </w:p>
        </w:tc>
        <w:tc>
          <w:tcPr>
            <w:tcW w:w="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216"/>
        </w:trPr>
        <w:tc>
          <w:tcPr>
            <w:tcW w:w="53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Net realized capital gains (losses):</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r>
      <w:tr>
        <w:trPr>
          <w:trHeight w:val="216"/>
        </w:trPr>
        <w:tc>
          <w:tcPr>
            <w:tcW w:w="5360" w:type="dxa"/>
            <w:vAlign w:val="bottom"/>
            <w:gridSpan w:val="2"/>
          </w:tcPr>
          <w:p>
            <w:pPr>
              <w:spacing w:after="0"/>
              <w:rPr>
                <w:sz w:val="20"/>
                <w:szCs w:val="20"/>
                <w:color w:val="auto"/>
              </w:rPr>
            </w:pPr>
            <w:r>
              <w:rPr>
                <w:rFonts w:ascii="Arial" w:cs="Arial" w:eastAsia="Arial" w:hAnsi="Arial"/>
                <w:sz w:val="18"/>
                <w:szCs w:val="18"/>
                <w:color w:val="auto"/>
              </w:rPr>
              <w:t>Net realized capital gains (losses)</w:t>
            </w:r>
          </w:p>
        </w:tc>
        <w:tc>
          <w:tcPr>
            <w:tcW w:w="40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88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(227.9)</w:t>
            </w:r>
          </w:p>
        </w:tc>
        <w:tc>
          <w:tcPr>
            <w:tcW w:w="320" w:type="dxa"/>
            <w:vAlign w:val="bottom"/>
            <w:gridSpan w:val="2"/>
          </w:tcPr>
          <w:p>
            <w:pPr>
              <w:jc w:val="right"/>
              <w:ind w:right="67"/>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200"/>
              <w:spacing w:after="0"/>
              <w:rPr>
                <w:sz w:val="20"/>
                <w:szCs w:val="20"/>
                <w:color w:val="auto"/>
              </w:rPr>
            </w:pPr>
            <w:r>
              <w:rPr>
                <w:rFonts w:ascii="Arial" w:cs="Arial" w:eastAsia="Arial" w:hAnsi="Arial"/>
                <w:sz w:val="18"/>
                <w:szCs w:val="18"/>
                <w:color w:val="auto"/>
              </w:rPr>
              <w:t>(41.1)</w:t>
            </w:r>
          </w:p>
        </w:tc>
        <w:tc>
          <w:tcPr>
            <w:tcW w:w="160" w:type="dxa"/>
            <w:vAlign w:val="bottom"/>
          </w:tcPr>
          <w:p>
            <w:pPr>
              <w:jc w:val="right"/>
              <w:ind w:right="7"/>
              <w:spacing w:after="0"/>
              <w:rPr>
                <w:sz w:val="20"/>
                <w:szCs w:val="20"/>
                <w:color w:val="auto"/>
              </w:rPr>
            </w:pPr>
            <w:r>
              <w:rPr>
                <w:rFonts w:ascii="Arial" w:cs="Arial" w:eastAsia="Arial" w:hAnsi="Arial"/>
                <w:sz w:val="15"/>
                <w:szCs w:val="15"/>
                <w:b w:val="1"/>
                <w:bCs w:val="1"/>
                <w:color w:val="auto"/>
                <w:w w:val="71"/>
              </w:rPr>
              <w:t>$</w:t>
            </w:r>
          </w:p>
        </w:tc>
        <w:tc>
          <w:tcPr>
            <w:tcW w:w="96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(338.4)</w:t>
            </w:r>
          </w:p>
        </w:tc>
        <w:tc>
          <w:tcPr>
            <w:tcW w:w="240" w:type="dxa"/>
            <w:vAlign w:val="bottom"/>
            <w:gridSpan w:val="2"/>
          </w:tcPr>
          <w:p>
            <w:pPr>
              <w:jc w:val="right"/>
              <w:ind w:right="109"/>
              <w:spacing w:after="0"/>
              <w:rPr>
                <w:sz w:val="20"/>
                <w:szCs w:val="20"/>
                <w:color w:val="auto"/>
              </w:rPr>
            </w:pPr>
            <w:r>
              <w:rPr>
                <w:rFonts w:ascii="Arial" w:cs="Arial" w:eastAsia="Arial" w:hAnsi="Arial"/>
                <w:sz w:val="15"/>
                <w:szCs w:val="15"/>
                <w:color w:val="auto"/>
                <w:w w:val="71"/>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110.3</w:t>
            </w:r>
          </w:p>
        </w:tc>
      </w:tr>
      <w:tr>
        <w:trPr>
          <w:trHeight w:val="216"/>
        </w:trPr>
        <w:tc>
          <w:tcPr>
            <w:tcW w:w="53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Derivative and hedging-related revenue adjustments</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(33.7)</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(39.4)</w:t>
            </w:r>
          </w:p>
        </w:tc>
        <w:tc>
          <w:tcPr>
            <w:tcW w:w="16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(73.8)</w:t>
            </w: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(77.8)</w:t>
            </w:r>
          </w:p>
        </w:tc>
      </w:tr>
      <w:tr>
        <w:trPr>
          <w:trHeight w:val="216"/>
        </w:trPr>
        <w:tc>
          <w:tcPr>
            <w:tcW w:w="5360" w:type="dxa"/>
            <w:vAlign w:val="bottom"/>
            <w:gridSpan w:val="2"/>
          </w:tcPr>
          <w:p>
            <w:pPr>
              <w:spacing w:after="0"/>
              <w:rPr>
                <w:sz w:val="20"/>
                <w:szCs w:val="20"/>
                <w:color w:val="auto"/>
              </w:rPr>
            </w:pPr>
            <w:r>
              <w:rPr>
                <w:rFonts w:ascii="Arial" w:cs="Arial" w:eastAsia="Arial" w:hAnsi="Arial"/>
                <w:sz w:val="18"/>
                <w:szCs w:val="18"/>
                <w:color w:val="auto"/>
              </w:rPr>
              <w:t>Market value adjustments to fee revenues</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b w:val="1"/>
                <w:bCs w:val="1"/>
                <w:color w:val="auto"/>
              </w:rPr>
              <w:t>0.1</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0.1</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(0.4)</w:t>
            </w:r>
          </w:p>
        </w:tc>
      </w:tr>
      <w:tr>
        <w:trPr>
          <w:trHeight w:val="216"/>
        </w:trPr>
        <w:tc>
          <w:tcPr>
            <w:tcW w:w="53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Adjustments related to equity method investments</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(9.0)</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(0.4)</w:t>
            </w:r>
          </w:p>
        </w:tc>
        <w:tc>
          <w:tcPr>
            <w:tcW w:w="16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(12.6)</w:t>
            </w: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w:t>
            </w:r>
          </w:p>
        </w:tc>
      </w:tr>
      <w:tr>
        <w:trPr>
          <w:trHeight w:val="216"/>
        </w:trPr>
        <w:tc>
          <w:tcPr>
            <w:tcW w:w="5360" w:type="dxa"/>
            <w:vAlign w:val="bottom"/>
            <w:gridSpan w:val="2"/>
          </w:tcPr>
          <w:p>
            <w:pPr>
              <w:spacing w:after="0"/>
              <w:rPr>
                <w:sz w:val="20"/>
                <w:szCs w:val="20"/>
                <w:color w:val="auto"/>
              </w:rPr>
            </w:pPr>
            <w:r>
              <w:rPr>
                <w:rFonts w:ascii="Arial" w:cs="Arial" w:eastAsia="Arial" w:hAnsi="Arial"/>
                <w:sz w:val="18"/>
                <w:szCs w:val="18"/>
                <w:color w:val="auto"/>
              </w:rPr>
              <w:t>Adjustments related to sponsored investment funds</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b w:val="1"/>
                <w:bCs w:val="1"/>
                <w:color w:val="auto"/>
              </w:rPr>
              <w:t>5.9</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5.1</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11.7</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10.1</w:t>
            </w:r>
          </w:p>
        </w:tc>
      </w:tr>
      <w:tr>
        <w:trPr>
          <w:trHeight w:val="216"/>
        </w:trPr>
        <w:tc>
          <w:tcPr>
            <w:tcW w:w="53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Recognition of front-end fee revenue</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(1.5)</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(3.4)</w:t>
            </w: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w:t>
            </w:r>
          </w:p>
        </w:tc>
      </w:tr>
      <w:tr>
        <w:trPr>
          <w:trHeight w:val="210"/>
        </w:trPr>
        <w:tc>
          <w:tcPr>
            <w:tcW w:w="5360" w:type="dxa"/>
            <w:vAlign w:val="bottom"/>
            <w:gridSpan w:val="2"/>
          </w:tcPr>
          <w:p>
            <w:pPr>
              <w:ind w:left="120"/>
              <w:spacing w:after="0"/>
              <w:rPr>
                <w:sz w:val="20"/>
                <w:szCs w:val="20"/>
                <w:color w:val="auto"/>
              </w:rPr>
            </w:pPr>
            <w:r>
              <w:rPr>
                <w:rFonts w:ascii="Arial" w:cs="Arial" w:eastAsia="Arial" w:hAnsi="Arial"/>
                <w:sz w:val="18"/>
                <w:szCs w:val="18"/>
                <w:color w:val="auto"/>
                <w:w w:val="93"/>
              </w:rPr>
              <w:t>Net realized capital gains (losses), net of related revenue adjustments</w:t>
            </w:r>
          </w:p>
        </w:tc>
        <w:tc>
          <w:tcPr>
            <w:tcW w:w="2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(266.1)</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(71.8)</w:t>
            </w:r>
          </w:p>
        </w:tc>
        <w:tc>
          <w:tcPr>
            <w:tcW w:w="2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(416.4)</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31.2</w:t>
            </w:r>
          </w:p>
        </w:tc>
      </w:tr>
      <w:tr>
        <w:trPr>
          <w:trHeight w:val="216"/>
        </w:trPr>
        <w:tc>
          <w:tcPr>
            <w:tcW w:w="536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95"/>
              </w:rPr>
              <w:t>Amortization of deferred acquisition costs and other actuarial balances</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(19.4)</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(20.9)</w:t>
            </w:r>
          </w:p>
        </w:tc>
        <w:tc>
          <w:tcPr>
            <w:tcW w:w="16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(20.7)</w:t>
            </w: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12.9</w:t>
            </w:r>
          </w:p>
        </w:tc>
      </w:tr>
      <w:tr>
        <w:trPr>
          <w:trHeight w:val="216"/>
        </w:trPr>
        <w:tc>
          <w:tcPr>
            <w:tcW w:w="5360" w:type="dxa"/>
            <w:vAlign w:val="bottom"/>
            <w:gridSpan w:val="2"/>
          </w:tcPr>
          <w:p>
            <w:pPr>
              <w:spacing w:after="0"/>
              <w:rPr>
                <w:sz w:val="20"/>
                <w:szCs w:val="20"/>
                <w:color w:val="auto"/>
              </w:rPr>
            </w:pPr>
            <w:r>
              <w:rPr>
                <w:rFonts w:ascii="Arial" w:cs="Arial" w:eastAsia="Arial" w:hAnsi="Arial"/>
                <w:sz w:val="18"/>
                <w:szCs w:val="18"/>
                <w:color w:val="auto"/>
              </w:rPr>
              <w:t>Capital (gains) losses distributed</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b w:val="1"/>
                <w:bCs w:val="1"/>
                <w:color w:val="auto"/>
              </w:rPr>
              <w:t>29.6</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gridSpan w:val="2"/>
          </w:tcPr>
          <w:p>
            <w:pPr>
              <w:jc w:val="right"/>
              <w:ind w:right="200"/>
              <w:spacing w:after="0"/>
              <w:rPr>
                <w:sz w:val="20"/>
                <w:szCs w:val="20"/>
                <w:color w:val="auto"/>
              </w:rPr>
            </w:pPr>
            <w:r>
              <w:rPr>
                <w:rFonts w:ascii="Arial" w:cs="Arial" w:eastAsia="Arial" w:hAnsi="Arial"/>
                <w:sz w:val="18"/>
                <w:szCs w:val="18"/>
                <w:color w:val="auto"/>
              </w:rPr>
              <w:t>(32.9)</w:t>
            </w:r>
          </w:p>
        </w:tc>
        <w:tc>
          <w:tcPr>
            <w:tcW w:w="16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120.6</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(53.3)</w:t>
            </w:r>
          </w:p>
        </w:tc>
      </w:tr>
      <w:tr>
        <w:trPr>
          <w:trHeight w:val="216"/>
        </w:trPr>
        <w:tc>
          <w:tcPr>
            <w:tcW w:w="53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Market value adjustments of embedded derivatives</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(21.5)</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(41.3)</w:t>
            </w: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w:t>
            </w:r>
          </w:p>
        </w:tc>
      </w:tr>
      <w:tr>
        <w:trPr>
          <w:trHeight w:val="210"/>
        </w:trPr>
        <w:tc>
          <w:tcPr>
            <w:tcW w:w="5360" w:type="dxa"/>
            <w:vAlign w:val="bottom"/>
            <w:gridSpan w:val="2"/>
          </w:tcPr>
          <w:p>
            <w:pPr>
              <w:ind w:left="120"/>
              <w:spacing w:after="0"/>
              <w:rPr>
                <w:sz w:val="20"/>
                <w:szCs w:val="20"/>
                <w:color w:val="auto"/>
              </w:rPr>
            </w:pPr>
            <w:r>
              <w:rPr>
                <w:rFonts w:ascii="Arial" w:cs="Arial" w:eastAsia="Arial" w:hAnsi="Arial"/>
                <w:sz w:val="18"/>
                <w:szCs w:val="18"/>
                <w:color w:val="auto"/>
              </w:rPr>
              <w:t>Pre-tax net realized capital losses, as adjusted (a)</w:t>
            </w:r>
          </w:p>
        </w:tc>
        <w:tc>
          <w:tcPr>
            <w:tcW w:w="260" w:type="dxa"/>
            <w:vAlign w:val="bottom"/>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(277.4)</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Borders>
              <w:top w:val="single" w:sz="8" w:color="auto"/>
              <w:bottom w:val="single" w:sz="8" w:color="auto"/>
            </w:tcBorders>
          </w:tcPr>
          <w:p>
            <w:pPr>
              <w:jc w:val="right"/>
              <w:ind w:right="67"/>
              <w:spacing w:after="0"/>
              <w:rPr>
                <w:sz w:val="20"/>
                <w:szCs w:val="20"/>
                <w:color w:val="auto"/>
              </w:rPr>
            </w:pPr>
            <w:r>
              <w:rPr>
                <w:rFonts w:ascii="Arial" w:cs="Arial" w:eastAsia="Arial" w:hAnsi="Arial"/>
                <w:sz w:val="15"/>
                <w:szCs w:val="15"/>
                <w:color w:val="auto"/>
                <w:w w:val="71"/>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(123.</w:t>
            </w:r>
            <w:r>
              <w:rPr>
                <w:rFonts w:ascii="Arial" w:cs="Arial" w:eastAsia="Arial" w:hAnsi="Arial"/>
                <w:sz w:val="18"/>
                <w:szCs w:val="18"/>
                <w:u w:val="single" w:color="auto"/>
                <w:color w:val="auto"/>
              </w:rPr>
              <w:t>1)</w:t>
            </w:r>
          </w:p>
        </w:tc>
        <w:tc>
          <w:tcPr>
            <w:tcW w:w="200" w:type="dxa"/>
            <w:vAlign w:val="bottom"/>
          </w:tcPr>
          <w:p>
            <w:pPr>
              <w:spacing w:after="0"/>
              <w:rPr>
                <w:sz w:val="18"/>
                <w:szCs w:val="18"/>
                <w:color w:val="auto"/>
              </w:rPr>
            </w:pPr>
          </w:p>
        </w:tc>
        <w:tc>
          <w:tcPr>
            <w:tcW w:w="160" w:type="dxa"/>
            <w:vAlign w:val="bottom"/>
            <w:tcBorders>
              <w:top w:val="single" w:sz="8" w:color="auto"/>
              <w:bottom w:val="single" w:sz="8" w:color="auto"/>
            </w:tcBorders>
          </w:tcPr>
          <w:p>
            <w:pPr>
              <w:jc w:val="right"/>
              <w:ind w:right="7"/>
              <w:spacing w:after="0"/>
              <w:rPr>
                <w:sz w:val="20"/>
                <w:szCs w:val="20"/>
                <w:color w:val="auto"/>
              </w:rPr>
            </w:pPr>
            <w:r>
              <w:rPr>
                <w:rFonts w:ascii="Arial" w:cs="Arial" w:eastAsia="Arial" w:hAnsi="Arial"/>
                <w:sz w:val="15"/>
                <w:szCs w:val="15"/>
                <w:b w:val="1"/>
                <w:bCs w:val="1"/>
                <w:color w:val="auto"/>
                <w:w w:val="71"/>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(357.</w:t>
            </w:r>
            <w:r>
              <w:rPr>
                <w:rFonts w:ascii="Arial" w:cs="Arial" w:eastAsia="Arial" w:hAnsi="Arial"/>
                <w:sz w:val="18"/>
                <w:szCs w:val="18"/>
                <w:b w:val="1"/>
                <w:bCs w:val="1"/>
                <w:u w:val="single" w:color="auto"/>
                <w:color w:val="auto"/>
              </w:rPr>
              <w:t>8)</w:t>
            </w:r>
          </w:p>
        </w:tc>
        <w:tc>
          <w:tcPr>
            <w:tcW w:w="20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220" w:type="dxa"/>
            <w:vAlign w:val="bottom"/>
            <w:tcBorders>
              <w:top w:val="single" w:sz="8" w:color="auto"/>
              <w:bottom w:val="single" w:sz="8" w:color="auto"/>
            </w:tcBorders>
          </w:tcPr>
          <w:p>
            <w:pPr>
              <w:jc w:val="right"/>
              <w:ind w:right="109"/>
              <w:spacing w:after="0"/>
              <w:rPr>
                <w:sz w:val="20"/>
                <w:szCs w:val="20"/>
                <w:color w:val="auto"/>
              </w:rPr>
            </w:pPr>
            <w:r>
              <w:rPr>
                <w:rFonts w:ascii="Arial" w:cs="Arial" w:eastAsia="Arial" w:hAnsi="Arial"/>
                <w:sz w:val="10"/>
                <w:szCs w:val="10"/>
                <w:color w:val="auto"/>
                <w:w w:val="71"/>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(8.2)</w:t>
            </w:r>
          </w:p>
        </w:tc>
      </w:tr>
      <w:tr>
        <w:trPr>
          <w:trHeight w:val="20"/>
        </w:trPr>
        <w:tc>
          <w:tcPr>
            <w:tcW w:w="2480" w:type="dxa"/>
            <w:vAlign w:val="bottom"/>
          </w:tcPr>
          <w:p>
            <w:pPr>
              <w:spacing w:after="0" w:line="20" w:lineRule="exact"/>
              <w:rPr>
                <w:sz w:val="1"/>
                <w:szCs w:val="1"/>
                <w:color w:val="auto"/>
              </w:rPr>
            </w:pPr>
          </w:p>
        </w:tc>
        <w:tc>
          <w:tcPr>
            <w:tcW w:w="28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r>
      <w:tr>
        <w:trPr>
          <w:trHeight w:val="88"/>
        </w:trPr>
        <w:tc>
          <w:tcPr>
            <w:tcW w:w="2480" w:type="dxa"/>
            <w:vAlign w:val="bottom"/>
            <w:tcBorders>
              <w:bottom w:val="single" w:sz="8" w:color="auto"/>
            </w:tcBorders>
          </w:tcPr>
          <w:p>
            <w:pPr>
              <w:spacing w:after="0"/>
              <w:rPr>
                <w:sz w:val="7"/>
                <w:szCs w:val="7"/>
                <w:color w:val="auto"/>
              </w:rPr>
            </w:pPr>
          </w:p>
        </w:tc>
        <w:tc>
          <w:tcPr>
            <w:tcW w:w="2880" w:type="dxa"/>
            <w:vAlign w:val="bottom"/>
          </w:tcPr>
          <w:p>
            <w:pPr>
              <w:spacing w:after="0"/>
              <w:rPr>
                <w:sz w:val="7"/>
                <w:szCs w:val="7"/>
                <w:color w:val="auto"/>
              </w:rPr>
            </w:pPr>
          </w:p>
        </w:tc>
        <w:tc>
          <w:tcPr>
            <w:tcW w:w="260" w:type="dxa"/>
            <w:vAlign w:val="bottom"/>
          </w:tcPr>
          <w:p>
            <w:pPr>
              <w:spacing w:after="0"/>
              <w:rPr>
                <w:sz w:val="7"/>
                <w:szCs w:val="7"/>
                <w:color w:val="auto"/>
              </w:rPr>
            </w:pPr>
          </w:p>
        </w:tc>
        <w:tc>
          <w:tcPr>
            <w:tcW w:w="140" w:type="dxa"/>
            <w:vAlign w:val="bottom"/>
          </w:tcPr>
          <w:p>
            <w:pPr>
              <w:spacing w:after="0"/>
              <w:rPr>
                <w:sz w:val="7"/>
                <w:szCs w:val="7"/>
                <w:color w:val="auto"/>
              </w:rPr>
            </w:pPr>
          </w:p>
        </w:tc>
        <w:tc>
          <w:tcPr>
            <w:tcW w:w="7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2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0" w:type="dxa"/>
            <w:vAlign w:val="bottom"/>
          </w:tcPr>
          <w:p>
            <w:pPr>
              <w:spacing w:after="0"/>
              <w:rPr>
                <w:sz w:val="7"/>
                <w:szCs w:val="7"/>
                <w:color w:val="auto"/>
              </w:rPr>
            </w:pPr>
          </w:p>
        </w:tc>
        <w:tc>
          <w:tcPr>
            <w:tcW w:w="160" w:type="dxa"/>
            <w:vAlign w:val="bottom"/>
          </w:tcPr>
          <w:p>
            <w:pPr>
              <w:spacing w:after="0"/>
              <w:rPr>
                <w:sz w:val="7"/>
                <w:szCs w:val="7"/>
                <w:color w:val="auto"/>
              </w:rPr>
            </w:pPr>
          </w:p>
        </w:tc>
        <w:tc>
          <w:tcPr>
            <w:tcW w:w="760" w:type="dxa"/>
            <w:vAlign w:val="bottom"/>
          </w:tcPr>
          <w:p>
            <w:pPr>
              <w:spacing w:after="0"/>
              <w:rPr>
                <w:sz w:val="7"/>
                <w:szCs w:val="7"/>
                <w:color w:val="auto"/>
              </w:rPr>
            </w:pPr>
          </w:p>
        </w:tc>
        <w:tc>
          <w:tcPr>
            <w:tcW w:w="200" w:type="dxa"/>
            <w:vAlign w:val="bottom"/>
          </w:tcPr>
          <w:p>
            <w:pPr>
              <w:spacing w:after="0"/>
              <w:rPr>
                <w:sz w:val="7"/>
                <w:szCs w:val="7"/>
                <w:color w:val="auto"/>
              </w:rPr>
            </w:pPr>
          </w:p>
        </w:tc>
        <w:tc>
          <w:tcPr>
            <w:tcW w:w="20" w:type="dxa"/>
            <w:vAlign w:val="bottom"/>
          </w:tcPr>
          <w:p>
            <w:pPr>
              <w:spacing w:after="0"/>
              <w:rPr>
                <w:sz w:val="7"/>
                <w:szCs w:val="7"/>
                <w:color w:val="auto"/>
              </w:rPr>
            </w:pPr>
          </w:p>
        </w:tc>
        <w:tc>
          <w:tcPr>
            <w:tcW w:w="220" w:type="dxa"/>
            <w:vAlign w:val="bottom"/>
          </w:tcPr>
          <w:p>
            <w:pPr>
              <w:spacing w:after="0"/>
              <w:rPr>
                <w:sz w:val="7"/>
                <w:szCs w:val="7"/>
                <w:color w:val="auto"/>
              </w:rPr>
            </w:pPr>
          </w:p>
        </w:tc>
        <w:tc>
          <w:tcPr>
            <w:tcW w:w="700" w:type="dxa"/>
            <w:vAlign w:val="bottom"/>
          </w:tcPr>
          <w:p>
            <w:pPr>
              <w:spacing w:after="0"/>
              <w:rPr>
                <w:sz w:val="7"/>
                <w:szCs w:val="7"/>
                <w:color w:val="auto"/>
              </w:rPr>
            </w:pPr>
          </w:p>
        </w:tc>
      </w:tr>
    </w:tbl>
    <w:p>
      <w:pPr>
        <w:spacing w:after="0" w:line="80" w:lineRule="exact"/>
        <w:rPr>
          <w:sz w:val="20"/>
          <w:szCs w:val="20"/>
          <w:color w:val="auto"/>
        </w:rPr>
      </w:pPr>
    </w:p>
    <w:p>
      <w:pPr>
        <w:ind w:left="680" w:hanging="321"/>
        <w:spacing w:after="0"/>
        <w:tabs>
          <w:tab w:leader="none" w:pos="680" w:val="left"/>
        </w:tabs>
        <w:numPr>
          <w:ilvl w:val="1"/>
          <w:numId w:val="40"/>
        </w:numPr>
        <w:rPr>
          <w:rFonts w:ascii="Arial" w:cs="Arial" w:eastAsia="Arial" w:hAnsi="Arial"/>
          <w:sz w:val="18"/>
          <w:szCs w:val="18"/>
          <w:color w:val="auto"/>
        </w:rPr>
      </w:pPr>
      <w:r>
        <w:rPr>
          <w:rFonts w:ascii="Arial" w:cs="Arial" w:eastAsia="Arial" w:hAnsi="Arial"/>
          <w:sz w:val="18"/>
          <w:szCs w:val="18"/>
          <w:color w:val="auto"/>
        </w:rPr>
        <w:t>As adjusted before noncontrolling interest capital gains (losses).</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41"/>
        </w:numPr>
        <w:rPr>
          <w:rFonts w:ascii="Arial" w:cs="Arial" w:eastAsia="Arial" w:hAnsi="Arial"/>
          <w:sz w:val="18"/>
          <w:szCs w:val="18"/>
          <w:color w:val="auto"/>
        </w:rPr>
      </w:pPr>
      <w:r>
        <w:rPr>
          <w:rFonts w:ascii="Arial" w:cs="Arial" w:eastAsia="Arial" w:hAnsi="Arial"/>
          <w:sz w:val="18"/>
          <w:szCs w:val="18"/>
          <w:color w:val="auto"/>
        </w:rPr>
        <w:t>Pre-tax income (loss) from exited business included:</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6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80" w:type="dxa"/>
            <w:vAlign w:val="bottom"/>
            <w:gridSpan w:val="4"/>
          </w:tcPr>
          <w:p>
            <w:pPr>
              <w:ind w:left="20"/>
              <w:spacing w:after="0"/>
              <w:rPr>
                <w:sz w:val="20"/>
                <w:szCs w:val="20"/>
                <w:color w:val="auto"/>
              </w:rPr>
            </w:pPr>
            <w:r>
              <w:rPr>
                <w:rFonts w:ascii="Arial" w:cs="Arial" w:eastAsia="Arial" w:hAnsi="Arial"/>
                <w:sz w:val="14"/>
                <w:szCs w:val="14"/>
                <w:b w:val="1"/>
                <w:bCs w:val="1"/>
                <w:color w:val="auto"/>
                <w:w w:val="99"/>
              </w:rPr>
              <w:t>For the three months ended</w:t>
            </w:r>
          </w:p>
        </w:tc>
        <w:tc>
          <w:tcPr>
            <w:tcW w:w="1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860" w:type="dxa"/>
            <w:vAlign w:val="bottom"/>
            <w:gridSpan w:val="4"/>
          </w:tcPr>
          <w:p>
            <w:pPr>
              <w:ind w:left="80"/>
              <w:spacing w:after="0"/>
              <w:rPr>
                <w:sz w:val="20"/>
                <w:szCs w:val="20"/>
                <w:color w:val="auto"/>
              </w:rPr>
            </w:pPr>
            <w:r>
              <w:rPr>
                <w:rFonts w:ascii="Arial" w:cs="Arial" w:eastAsia="Arial" w:hAnsi="Arial"/>
                <w:sz w:val="14"/>
                <w:szCs w:val="14"/>
                <w:b w:val="1"/>
                <w:bCs w:val="1"/>
                <w:color w:val="auto"/>
              </w:rPr>
              <w:t>For the six months ended</w:t>
            </w:r>
          </w:p>
        </w:tc>
        <w:tc>
          <w:tcPr>
            <w:tcW w:w="0" w:type="dxa"/>
            <w:vAlign w:val="bottom"/>
          </w:tcPr>
          <w:p>
            <w:pPr>
              <w:spacing w:after="0"/>
              <w:rPr>
                <w:sz w:val="1"/>
                <w:szCs w:val="1"/>
                <w:color w:val="auto"/>
              </w:rPr>
            </w:pPr>
          </w:p>
        </w:tc>
      </w:tr>
      <w:tr>
        <w:trPr>
          <w:trHeight w:val="171"/>
        </w:trPr>
        <w:tc>
          <w:tcPr>
            <w:tcW w:w="46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June 30,</w:t>
            </w:r>
          </w:p>
        </w:tc>
        <w:tc>
          <w:tcPr>
            <w:tcW w:w="680" w:type="dxa"/>
            <w:vAlign w:val="bottom"/>
            <w:tcBorders>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gridSpan w:val="3"/>
          </w:tcPr>
          <w:p>
            <w:pPr>
              <w:jc w:val="right"/>
              <w:ind w:right="7"/>
              <w:spacing w:after="0"/>
              <w:rPr>
                <w:sz w:val="20"/>
                <w:szCs w:val="20"/>
                <w:color w:val="auto"/>
              </w:rPr>
            </w:pPr>
            <w:r>
              <w:rPr>
                <w:rFonts w:ascii="Arial" w:cs="Arial" w:eastAsia="Arial" w:hAnsi="Arial"/>
                <w:sz w:val="14"/>
                <w:szCs w:val="14"/>
                <w:b w:val="1"/>
                <w:bCs w:val="1"/>
                <w:color w:val="auto"/>
              </w:rPr>
              <w:t>June 30,</w:t>
            </w:r>
          </w:p>
        </w:tc>
        <w:tc>
          <w:tcPr>
            <w:tcW w:w="68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46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ind w:right="216"/>
              <w:spacing w:after="0" w:line="142" w:lineRule="exact"/>
              <w:rPr>
                <w:sz w:val="20"/>
                <w:szCs w:val="20"/>
                <w:color w:val="auto"/>
              </w:rPr>
            </w:pPr>
            <w:r>
              <w:rPr>
                <w:rFonts w:ascii="Arial" w:cs="Arial" w:eastAsia="Arial" w:hAnsi="Arial"/>
                <w:sz w:val="14"/>
                <w:szCs w:val="14"/>
                <w:b w:val="1"/>
                <w:bCs w:val="1"/>
                <w:color w:val="auto"/>
              </w:rPr>
              <w:t>2022</w:t>
            </w:r>
          </w:p>
        </w:tc>
        <w:tc>
          <w:tcPr>
            <w:tcW w:w="200" w:type="dxa"/>
            <w:vAlign w:val="bottom"/>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ind w:left="80"/>
              <w:spacing w:after="0" w:line="142" w:lineRule="exact"/>
              <w:rPr>
                <w:sz w:val="20"/>
                <w:szCs w:val="20"/>
                <w:color w:val="auto"/>
              </w:rPr>
            </w:pPr>
            <w:r>
              <w:rPr>
                <w:rFonts w:ascii="Arial" w:cs="Arial" w:eastAsia="Arial" w:hAnsi="Arial"/>
                <w:sz w:val="14"/>
                <w:szCs w:val="14"/>
                <w:b w:val="1"/>
                <w:bCs w:val="1"/>
                <w:color w:val="auto"/>
              </w:rPr>
              <w:t>2021</w:t>
            </w:r>
          </w:p>
        </w:tc>
        <w:tc>
          <w:tcPr>
            <w:tcW w:w="18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ind w:right="236"/>
              <w:spacing w:after="0" w:line="142" w:lineRule="exact"/>
              <w:rPr>
                <w:sz w:val="20"/>
                <w:szCs w:val="20"/>
                <w:color w:val="auto"/>
              </w:rPr>
            </w:pPr>
            <w:r>
              <w:rPr>
                <w:rFonts w:ascii="Arial" w:cs="Arial" w:eastAsia="Arial" w:hAnsi="Arial"/>
                <w:sz w:val="14"/>
                <w:szCs w:val="14"/>
                <w:b w:val="1"/>
                <w:bCs w:val="1"/>
                <w:color w:val="auto"/>
              </w:rPr>
              <w:t>2022</w:t>
            </w:r>
          </w:p>
        </w:tc>
        <w:tc>
          <w:tcPr>
            <w:tcW w:w="180" w:type="dxa"/>
            <w:vAlign w:val="bottom"/>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ind w:left="80"/>
              <w:spacing w:after="0" w:line="142" w:lineRule="exact"/>
              <w:rPr>
                <w:sz w:val="20"/>
                <w:szCs w:val="20"/>
                <w:color w:val="auto"/>
              </w:rPr>
            </w:pPr>
            <w:r>
              <w:rPr>
                <w:rFonts w:ascii="Arial" w:cs="Arial" w:eastAsia="Arial" w:hAnsi="Arial"/>
                <w:sz w:val="14"/>
                <w:szCs w:val="14"/>
                <w:b w:val="1"/>
                <w:bCs w:val="1"/>
                <w:color w:val="auto"/>
              </w:rPr>
              <w:t>2021</w:t>
            </w:r>
          </w:p>
        </w:tc>
        <w:tc>
          <w:tcPr>
            <w:tcW w:w="0" w:type="dxa"/>
            <w:vAlign w:val="bottom"/>
          </w:tcPr>
          <w:p>
            <w:pPr>
              <w:spacing w:after="0"/>
              <w:rPr>
                <w:sz w:val="1"/>
                <w:szCs w:val="1"/>
                <w:color w:val="auto"/>
              </w:rPr>
            </w:pPr>
          </w:p>
        </w:tc>
      </w:tr>
      <w:tr>
        <w:trPr>
          <w:trHeight w:val="128"/>
        </w:trPr>
        <w:tc>
          <w:tcPr>
            <w:tcW w:w="46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780" w:type="dxa"/>
            <w:vAlign w:val="bottom"/>
            <w:gridSpan w:val="4"/>
          </w:tcPr>
          <w:p>
            <w:pPr>
              <w:ind w:left="420"/>
              <w:spacing w:after="0" w:line="129" w:lineRule="exact"/>
              <w:rPr>
                <w:sz w:val="20"/>
                <w:szCs w:val="20"/>
                <w:color w:val="auto"/>
              </w:rPr>
            </w:pPr>
            <w:r>
              <w:rPr>
                <w:rFonts w:ascii="Arial" w:cs="Arial" w:eastAsia="Arial" w:hAnsi="Arial"/>
                <w:sz w:val="14"/>
                <w:szCs w:val="14"/>
                <w:i w:val="1"/>
                <w:iCs w:val="1"/>
                <w:color w:val="auto"/>
              </w:rPr>
              <w:t>(in millions)</w:t>
            </w:r>
          </w:p>
        </w:tc>
        <w:tc>
          <w:tcPr>
            <w:tcW w:w="1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46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Pre-tax income (loss) from exited business:</w:t>
            </w:r>
          </w:p>
        </w:tc>
        <w:tc>
          <w:tcPr>
            <w:tcW w:w="1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00" w:type="dxa"/>
            <w:vAlign w:val="bottom"/>
          </w:tcPr>
          <w:p>
            <w:pPr>
              <w:spacing w:after="0"/>
              <w:rPr>
                <w:sz w:val="20"/>
                <w:szCs w:val="20"/>
                <w:color w:val="auto"/>
              </w:rPr>
            </w:pPr>
            <w:r>
              <w:rPr>
                <w:rFonts w:ascii="Arial" w:cs="Arial" w:eastAsia="Arial" w:hAnsi="Arial"/>
                <w:sz w:val="18"/>
                <w:szCs w:val="18"/>
                <w:color w:val="auto"/>
                <w:w w:val="96"/>
              </w:rPr>
              <w:t>Change in fair value of funds withheld embedded derivative</w:t>
            </w:r>
          </w:p>
        </w:tc>
        <w:tc>
          <w:tcPr>
            <w:tcW w:w="124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780" w:type="dxa"/>
            <w:vAlign w:val="bottom"/>
          </w:tcPr>
          <w:p>
            <w:pPr>
              <w:jc w:val="right"/>
              <w:spacing w:after="0"/>
              <w:rPr>
                <w:sz w:val="20"/>
                <w:szCs w:val="20"/>
                <w:color w:val="auto"/>
              </w:rPr>
            </w:pPr>
            <w:r>
              <w:rPr>
                <w:rFonts w:ascii="Arial" w:cs="Arial" w:eastAsia="Arial" w:hAnsi="Arial"/>
                <w:sz w:val="18"/>
                <w:szCs w:val="18"/>
                <w:b w:val="1"/>
                <w:bCs w:val="1"/>
                <w:color w:val="auto"/>
              </w:rPr>
              <w:t>3,067.3</w:t>
            </w:r>
          </w:p>
        </w:tc>
        <w:tc>
          <w:tcPr>
            <w:tcW w:w="420" w:type="dxa"/>
            <w:vAlign w:val="bottom"/>
            <w:gridSpan w:val="2"/>
          </w:tcPr>
          <w:p>
            <w:pPr>
              <w:jc w:val="right"/>
              <w:ind w:right="67"/>
              <w:spacing w:after="0"/>
              <w:rPr>
                <w:sz w:val="20"/>
                <w:szCs w:val="20"/>
                <w:color w:val="auto"/>
              </w:rPr>
            </w:pPr>
            <w:r>
              <w:rPr>
                <w:rFonts w:ascii="Arial" w:cs="Arial" w:eastAsia="Arial" w:hAnsi="Arial"/>
                <w:sz w:val="18"/>
                <w:szCs w:val="18"/>
                <w:color w:val="auto"/>
              </w:rPr>
              <w:t>$</w:t>
            </w:r>
          </w:p>
        </w:tc>
        <w:tc>
          <w:tcPr>
            <w:tcW w:w="680" w:type="dxa"/>
            <w:vAlign w:val="bottom"/>
          </w:tcPr>
          <w:p>
            <w:pPr>
              <w:ind w:left="440"/>
              <w:spacing w:after="0"/>
              <w:rPr>
                <w:sz w:val="20"/>
                <w:szCs w:val="20"/>
                <w:color w:val="auto"/>
              </w:rPr>
            </w:pPr>
            <w:r>
              <w:rPr>
                <w:rFonts w:ascii="Arial" w:cs="Arial" w:eastAsia="Arial" w:hAnsi="Arial"/>
                <w:sz w:val="18"/>
                <w:szCs w:val="18"/>
                <w:color w:val="auto"/>
              </w:rPr>
              <w:t>—</w:t>
            </w:r>
          </w:p>
        </w:tc>
        <w:tc>
          <w:tcPr>
            <w:tcW w:w="34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3,067.3</w:t>
            </w:r>
          </w:p>
        </w:tc>
        <w:tc>
          <w:tcPr>
            <w:tcW w:w="420" w:type="dxa"/>
            <w:vAlign w:val="bottom"/>
            <w:gridSpan w:val="2"/>
          </w:tcPr>
          <w:p>
            <w:pPr>
              <w:jc w:val="right"/>
              <w:ind w:right="87"/>
              <w:spacing w:after="0"/>
              <w:rPr>
                <w:sz w:val="20"/>
                <w:szCs w:val="20"/>
                <w:color w:val="auto"/>
              </w:rPr>
            </w:pPr>
            <w:r>
              <w:rPr>
                <w:rFonts w:ascii="Arial" w:cs="Arial" w:eastAsia="Arial" w:hAnsi="Arial"/>
                <w:sz w:val="18"/>
                <w:szCs w:val="18"/>
                <w:color w:val="auto"/>
              </w:rPr>
              <w:t>$</w:t>
            </w:r>
          </w:p>
        </w:tc>
        <w:tc>
          <w:tcPr>
            <w:tcW w:w="680" w:type="dxa"/>
            <w:vAlign w:val="bottom"/>
          </w:tcPr>
          <w:p>
            <w:pPr>
              <w:ind w:left="4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4600" w:type="dxa"/>
            <w:vAlign w:val="bottom"/>
            <w:shd w:val="clear" w:color="auto" w:fill="CCEEFF"/>
          </w:tcPr>
          <w:p>
            <w:pPr>
              <w:spacing w:after="0"/>
              <w:rPr>
                <w:sz w:val="20"/>
                <w:szCs w:val="20"/>
                <w:color w:val="auto"/>
              </w:rPr>
            </w:pPr>
            <w:r>
              <w:rPr>
                <w:rFonts w:ascii="Arial" w:cs="Arial" w:eastAsia="Arial" w:hAnsi="Arial"/>
                <w:sz w:val="18"/>
                <w:szCs w:val="18"/>
                <w:color w:val="auto"/>
              </w:rPr>
              <w:t>Net realized capital gains on funds withheld assets</w:t>
            </w:r>
          </w:p>
        </w:tc>
        <w:tc>
          <w:tcPr>
            <w:tcW w:w="1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689.0</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689.0</w:t>
            </w:r>
          </w:p>
        </w:tc>
        <w:tc>
          <w:tcPr>
            <w:tcW w:w="1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80" w:type="dxa"/>
            <w:vAlign w:val="bottom"/>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4600" w:type="dxa"/>
            <w:vAlign w:val="bottom"/>
          </w:tcPr>
          <w:p>
            <w:pPr>
              <w:spacing w:after="0"/>
              <w:rPr>
                <w:sz w:val="20"/>
                <w:szCs w:val="20"/>
                <w:color w:val="auto"/>
              </w:rPr>
            </w:pPr>
            <w:r>
              <w:rPr>
                <w:rFonts w:ascii="Arial" w:cs="Arial" w:eastAsia="Arial" w:hAnsi="Arial"/>
                <w:sz w:val="18"/>
                <w:szCs w:val="18"/>
                <w:color w:val="auto"/>
              </w:rPr>
              <w:t>Strategic review costs and impacts</w:t>
            </w:r>
          </w:p>
        </w:tc>
        <w:tc>
          <w:tcPr>
            <w:tcW w:w="1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b w:val="1"/>
                <w:bCs w:val="1"/>
                <w:color w:val="auto"/>
              </w:rPr>
              <w:t>(67.4)</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80" w:type="dxa"/>
            <w:vAlign w:val="bottom"/>
          </w:tcPr>
          <w:p>
            <w:pPr>
              <w:ind w:left="44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(67.4)</w:t>
            </w:r>
          </w:p>
        </w:tc>
        <w:tc>
          <w:tcPr>
            <w:tcW w:w="1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80" w:type="dxa"/>
            <w:vAlign w:val="bottom"/>
          </w:tcPr>
          <w:p>
            <w:pPr>
              <w:ind w:left="4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4600" w:type="dxa"/>
            <w:vAlign w:val="bottom"/>
            <w:shd w:val="clear" w:color="auto" w:fill="CCEEFF"/>
          </w:tcPr>
          <w:p>
            <w:pPr>
              <w:spacing w:after="0"/>
              <w:rPr>
                <w:sz w:val="20"/>
                <w:szCs w:val="20"/>
                <w:color w:val="auto"/>
              </w:rPr>
            </w:pPr>
            <w:r>
              <w:rPr>
                <w:rFonts w:ascii="Arial" w:cs="Arial" w:eastAsia="Arial" w:hAnsi="Arial"/>
                <w:sz w:val="18"/>
                <w:szCs w:val="18"/>
                <w:color w:val="auto"/>
              </w:rPr>
              <w:t>Amortization of reinsurance loss</w:t>
            </w:r>
          </w:p>
        </w:tc>
        <w:tc>
          <w:tcPr>
            <w:tcW w:w="1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(41.4)</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(41.4)</w:t>
            </w:r>
          </w:p>
        </w:tc>
        <w:tc>
          <w:tcPr>
            <w:tcW w:w="1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80" w:type="dxa"/>
            <w:vAlign w:val="bottom"/>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46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Impacts to actuarial balances of reinsured business</w:t>
            </w:r>
          </w:p>
        </w:tc>
        <w:tc>
          <w:tcPr>
            <w:tcW w:w="112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(29.0)</w:t>
            </w:r>
          </w:p>
        </w:tc>
        <w:tc>
          <w:tcPr>
            <w:tcW w:w="2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ind w:left="44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(29.0)</w:t>
            </w:r>
          </w:p>
        </w:tc>
        <w:tc>
          <w:tcPr>
            <w:tcW w:w="18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ind w:left="4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0"/>
        </w:trPr>
        <w:tc>
          <w:tcPr>
            <w:tcW w:w="460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Total pre-tax income from exited business</w:t>
            </w:r>
          </w:p>
        </w:tc>
        <w:tc>
          <w:tcPr>
            <w:tcW w:w="112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3,618.</w:t>
            </w:r>
            <w:r>
              <w:rPr>
                <w:rFonts w:ascii="Arial" w:cs="Arial" w:eastAsia="Arial" w:hAnsi="Arial"/>
                <w:sz w:val="18"/>
                <w:szCs w:val="18"/>
                <w:b w:val="1"/>
                <w:bCs w:val="1"/>
                <w:u w:val="single" w:color="auto"/>
                <w:color w:val="auto"/>
              </w:rPr>
              <w:t>5</w:t>
            </w:r>
          </w:p>
        </w:tc>
        <w:tc>
          <w:tcPr>
            <w:tcW w:w="20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680" w:type="dxa"/>
            <w:vAlign w:val="bottom"/>
            <w:tcBorders>
              <w:bottom w:val="single" w:sz="8" w:color="auto"/>
            </w:tcBorders>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3,618.</w:t>
            </w:r>
            <w:r>
              <w:rPr>
                <w:rFonts w:ascii="Arial" w:cs="Arial" w:eastAsia="Arial" w:hAnsi="Arial"/>
                <w:sz w:val="18"/>
                <w:szCs w:val="18"/>
                <w:b w:val="1"/>
                <w:bCs w:val="1"/>
                <w:u w:val="single" w:color="auto"/>
                <w:color w:val="auto"/>
              </w:rPr>
              <w:t>5</w:t>
            </w:r>
          </w:p>
        </w:tc>
        <w:tc>
          <w:tcPr>
            <w:tcW w:w="180" w:type="dxa"/>
            <w:vAlign w:val="bottom"/>
            <w:tcBorders>
              <w:bottom w:val="single" w:sz="8" w:color="CCEEFF"/>
            </w:tcBorders>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680" w:type="dxa"/>
            <w:vAlign w:val="bottom"/>
            <w:tcBorders>
              <w:bottom w:val="single" w:sz="8" w:color="auto"/>
            </w:tcBorders>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4600" w:type="dxa"/>
            <w:vAlign w:val="bottom"/>
          </w:tcPr>
          <w:p>
            <w:pPr>
              <w:spacing w:after="0" w:line="20" w:lineRule="exact"/>
              <w:rPr>
                <w:sz w:val="1"/>
                <w:szCs w:val="1"/>
                <w:color w:val="auto"/>
              </w:rPr>
            </w:pPr>
          </w:p>
        </w:tc>
        <w:tc>
          <w:tcPr>
            <w:tcW w:w="1120" w:type="dxa"/>
            <w:vAlign w:val="bottom"/>
            <w:vMerge w:val="restart"/>
          </w:tcPr>
          <w:p>
            <w:pPr>
              <w:jc w:val="right"/>
              <w:ind w:right="570"/>
              <w:spacing w:after="0"/>
              <w:rPr>
                <w:sz w:val="20"/>
                <w:szCs w:val="20"/>
                <w:color w:val="auto"/>
              </w:rPr>
            </w:pPr>
            <w:r>
              <w:rPr>
                <w:rFonts w:ascii="Arial" w:cs="Arial" w:eastAsia="Arial" w:hAnsi="Arial"/>
                <w:sz w:val="18"/>
                <w:szCs w:val="18"/>
                <w:color w:val="auto"/>
              </w:rPr>
              <w:t>81</w:t>
            </w: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85"/>
        </w:trPr>
        <w:tc>
          <w:tcPr>
            <w:tcW w:w="4600" w:type="dxa"/>
            <w:vAlign w:val="bottom"/>
          </w:tcPr>
          <w:p>
            <w:pPr>
              <w:spacing w:after="0"/>
              <w:rPr>
                <w:sz w:val="24"/>
                <w:szCs w:val="24"/>
                <w:color w:val="auto"/>
              </w:rPr>
            </w:pPr>
          </w:p>
        </w:tc>
        <w:tc>
          <w:tcPr>
            <w:tcW w:w="1120" w:type="dxa"/>
            <w:vAlign w:val="bottom"/>
            <w:vMerge w:val="continue"/>
          </w:tcPr>
          <w:p>
            <w:pPr>
              <w:spacing w:after="0"/>
              <w:rPr>
                <w:sz w:val="24"/>
                <w:szCs w:val="24"/>
                <w:color w:val="auto"/>
              </w:rPr>
            </w:pPr>
          </w:p>
        </w:tc>
        <w:tc>
          <w:tcPr>
            <w:tcW w:w="1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47"/>
        </w:trPr>
        <w:tc>
          <w:tcPr>
            <w:tcW w:w="460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920"/>
          </w:cols>
          <w:pgMar w:left="980" w:top="665" w:right="999" w:bottom="1440" w:gutter="0" w:footer="0" w:header="0"/>
        </w:sectPr>
      </w:pPr>
    </w:p>
    <w:bookmarkStart w:id="81" w:name="page82"/>
    <w:bookmarkEnd w:id="81"/>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14. Revenues from Contracts with Customers</w:t>
      </w:r>
    </w:p>
    <w:p>
      <w:pPr>
        <w:spacing w:after="0" w:line="229" w:lineRule="exact"/>
        <w:rPr>
          <w:sz w:val="20"/>
          <w:szCs w:val="20"/>
          <w:color w:val="auto"/>
        </w:rPr>
      </w:pPr>
    </w:p>
    <w:p>
      <w:pPr>
        <w:ind w:right="320" w:firstLine="648"/>
        <w:spacing w:after="0" w:line="286" w:lineRule="auto"/>
        <w:rPr>
          <w:sz w:val="20"/>
          <w:szCs w:val="20"/>
          <w:color w:val="auto"/>
        </w:rPr>
      </w:pPr>
      <w:r>
        <w:rPr>
          <w:rFonts w:ascii="Arial" w:cs="Arial" w:eastAsia="Arial" w:hAnsi="Arial"/>
          <w:sz w:val="17"/>
          <w:szCs w:val="17"/>
          <w:color w:val="auto"/>
        </w:rPr>
        <w:t>The following tables summarize disaggregation of revenues from contracts with customers, including select financial information by segment, and reconcile totals to those reported in the consolidated financial statements. Revenues from contracts with customers are included in fees and other revenues on the consolidated statements of operations.</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480" w:type="dxa"/>
            <w:vAlign w:val="bottom"/>
          </w:tcPr>
          <w:p>
            <w:pPr>
              <w:spacing w:after="0"/>
              <w:rPr>
                <w:sz w:val="14"/>
                <w:szCs w:val="14"/>
                <w:color w:val="auto"/>
              </w:rPr>
            </w:pPr>
          </w:p>
        </w:tc>
        <w:tc>
          <w:tcPr>
            <w:tcW w:w="29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100" w:type="dxa"/>
            <w:vAlign w:val="bottom"/>
            <w:gridSpan w:val="6"/>
          </w:tcPr>
          <w:p>
            <w:pPr>
              <w:jc w:val="right"/>
              <w:ind w:right="360"/>
              <w:spacing w:after="0"/>
              <w:rPr>
                <w:sz w:val="20"/>
                <w:szCs w:val="20"/>
                <w:color w:val="auto"/>
              </w:rPr>
            </w:pPr>
            <w:r>
              <w:rPr>
                <w:rFonts w:ascii="Arial" w:cs="Arial" w:eastAsia="Arial" w:hAnsi="Arial"/>
                <w:sz w:val="14"/>
                <w:szCs w:val="14"/>
                <w:b w:val="1"/>
                <w:bCs w:val="1"/>
                <w:color w:val="auto"/>
                <w:w w:val="92"/>
              </w:rPr>
              <w:t>For the three months ended</w:t>
            </w:r>
          </w:p>
        </w:tc>
        <w:tc>
          <w:tcPr>
            <w:tcW w:w="160" w:type="dxa"/>
            <w:vAlign w:val="bottom"/>
          </w:tcPr>
          <w:p>
            <w:pPr>
              <w:spacing w:after="0"/>
              <w:rPr>
                <w:sz w:val="14"/>
                <w:szCs w:val="14"/>
                <w:color w:val="auto"/>
              </w:rPr>
            </w:pPr>
          </w:p>
        </w:tc>
        <w:tc>
          <w:tcPr>
            <w:tcW w:w="1900" w:type="dxa"/>
            <w:vAlign w:val="bottom"/>
            <w:gridSpan w:val="5"/>
          </w:tcPr>
          <w:p>
            <w:pPr>
              <w:jc w:val="right"/>
              <w:ind w:right="171"/>
              <w:spacing w:after="0"/>
              <w:rPr>
                <w:sz w:val="20"/>
                <w:szCs w:val="20"/>
                <w:color w:val="auto"/>
              </w:rPr>
            </w:pPr>
            <w:r>
              <w:rPr>
                <w:rFonts w:ascii="Arial" w:cs="Arial" w:eastAsia="Arial" w:hAnsi="Arial"/>
                <w:sz w:val="14"/>
                <w:szCs w:val="14"/>
                <w:b w:val="1"/>
                <w:bCs w:val="1"/>
                <w:color w:val="auto"/>
                <w:w w:val="95"/>
              </w:rPr>
              <w:t>For the six months ended</w:t>
            </w:r>
          </w:p>
        </w:tc>
        <w:tc>
          <w:tcPr>
            <w:tcW w:w="0" w:type="dxa"/>
            <w:vAlign w:val="bottom"/>
          </w:tcPr>
          <w:p>
            <w:pPr>
              <w:spacing w:after="0"/>
              <w:rPr>
                <w:sz w:val="1"/>
                <w:szCs w:val="1"/>
                <w:color w:val="auto"/>
              </w:rPr>
            </w:pPr>
          </w:p>
        </w:tc>
      </w:tr>
      <w:tr>
        <w:trPr>
          <w:trHeight w:val="171"/>
        </w:trPr>
        <w:tc>
          <w:tcPr>
            <w:tcW w:w="2480" w:type="dxa"/>
            <w:vAlign w:val="bottom"/>
          </w:tcPr>
          <w:p>
            <w:pPr>
              <w:spacing w:after="0"/>
              <w:rPr>
                <w:sz w:val="14"/>
                <w:szCs w:val="14"/>
                <w:color w:val="auto"/>
              </w:rPr>
            </w:pPr>
          </w:p>
        </w:tc>
        <w:tc>
          <w:tcPr>
            <w:tcW w:w="29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gridSpan w:val="4"/>
          </w:tcPr>
          <w:p>
            <w:pPr>
              <w:jc w:val="right"/>
              <w:ind w:right="7"/>
              <w:spacing w:after="0"/>
              <w:rPr>
                <w:sz w:val="20"/>
                <w:szCs w:val="20"/>
                <w:color w:val="auto"/>
              </w:rPr>
            </w:pPr>
            <w:r>
              <w:rPr>
                <w:rFonts w:ascii="Arial" w:cs="Arial" w:eastAsia="Arial" w:hAnsi="Arial"/>
                <w:sz w:val="14"/>
                <w:szCs w:val="14"/>
                <w:b w:val="1"/>
                <w:bCs w:val="1"/>
                <w:color w:val="auto"/>
              </w:rPr>
              <w:t>June 30,</w:t>
            </w:r>
          </w:p>
        </w:tc>
        <w:tc>
          <w:tcPr>
            <w:tcW w:w="70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gridSpan w:val="4"/>
          </w:tcPr>
          <w:p>
            <w:pPr>
              <w:jc w:val="right"/>
              <w:ind w:right="27"/>
              <w:spacing w:after="0"/>
              <w:rPr>
                <w:sz w:val="20"/>
                <w:szCs w:val="20"/>
                <w:color w:val="auto"/>
              </w:rPr>
            </w:pPr>
            <w:r>
              <w:rPr>
                <w:rFonts w:ascii="Arial" w:cs="Arial" w:eastAsia="Arial" w:hAnsi="Arial"/>
                <w:sz w:val="14"/>
                <w:szCs w:val="14"/>
                <w:b w:val="1"/>
                <w:bCs w:val="1"/>
                <w:color w:val="auto"/>
              </w:rPr>
              <w:t>June 30,</w:t>
            </w:r>
          </w:p>
        </w:tc>
        <w:tc>
          <w:tcPr>
            <w:tcW w:w="70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480" w:type="dxa"/>
            <w:vAlign w:val="bottom"/>
          </w:tcPr>
          <w:p>
            <w:pPr>
              <w:spacing w:after="0"/>
              <w:rPr>
                <w:sz w:val="12"/>
                <w:szCs w:val="12"/>
                <w:color w:val="auto"/>
              </w:rPr>
            </w:pPr>
          </w:p>
        </w:tc>
        <w:tc>
          <w:tcPr>
            <w:tcW w:w="29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ind w:right="233"/>
              <w:spacing w:after="0" w:line="142" w:lineRule="exact"/>
              <w:rPr>
                <w:sz w:val="20"/>
                <w:szCs w:val="20"/>
                <w:color w:val="auto"/>
              </w:rPr>
            </w:pPr>
            <w:r>
              <w:rPr>
                <w:rFonts w:ascii="Arial" w:cs="Arial" w:eastAsia="Arial" w:hAnsi="Arial"/>
                <w:sz w:val="14"/>
                <w:szCs w:val="14"/>
                <w:b w:val="1"/>
                <w:bCs w:val="1"/>
                <w:color w:val="auto"/>
              </w:rPr>
              <w:t>2022</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ind w:right="232"/>
              <w:spacing w:after="0" w:line="142" w:lineRule="exact"/>
              <w:rPr>
                <w:sz w:val="20"/>
                <w:szCs w:val="20"/>
                <w:color w:val="auto"/>
              </w:rPr>
            </w:pPr>
            <w:r>
              <w:rPr>
                <w:rFonts w:ascii="Arial" w:cs="Arial" w:eastAsia="Arial" w:hAnsi="Arial"/>
                <w:sz w:val="14"/>
                <w:szCs w:val="14"/>
                <w:b w:val="1"/>
                <w:bCs w:val="1"/>
                <w:color w:val="auto"/>
              </w:rPr>
              <w:t>2021</w:t>
            </w:r>
          </w:p>
        </w:tc>
        <w:tc>
          <w:tcPr>
            <w:tcW w:w="20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ind w:right="233"/>
              <w:spacing w:after="0" w:line="142" w:lineRule="exact"/>
              <w:rPr>
                <w:sz w:val="20"/>
                <w:szCs w:val="20"/>
                <w:color w:val="auto"/>
              </w:rPr>
            </w:pPr>
            <w:r>
              <w:rPr>
                <w:rFonts w:ascii="Arial" w:cs="Arial" w:eastAsia="Arial" w:hAnsi="Arial"/>
                <w:sz w:val="14"/>
                <w:szCs w:val="14"/>
                <w:b w:val="1"/>
                <w:bCs w:val="1"/>
                <w:color w:val="auto"/>
              </w:rPr>
              <w:t>2022</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ind w:right="251"/>
              <w:spacing w:after="0" w:line="142" w:lineRule="exact"/>
              <w:rPr>
                <w:sz w:val="20"/>
                <w:szCs w:val="20"/>
                <w:color w:val="auto"/>
              </w:rPr>
            </w:pPr>
            <w:r>
              <w:rPr>
                <w:rFonts w:ascii="Arial" w:cs="Arial" w:eastAsia="Arial" w:hAnsi="Arial"/>
                <w:sz w:val="14"/>
                <w:szCs w:val="14"/>
                <w:b w:val="1"/>
                <w:bCs w:val="1"/>
                <w:color w:val="auto"/>
              </w:rPr>
              <w:t>2021</w:t>
            </w:r>
          </w:p>
        </w:tc>
        <w:tc>
          <w:tcPr>
            <w:tcW w:w="0" w:type="dxa"/>
            <w:vAlign w:val="bottom"/>
          </w:tcPr>
          <w:p>
            <w:pPr>
              <w:spacing w:after="0"/>
              <w:rPr>
                <w:sz w:val="1"/>
                <w:szCs w:val="1"/>
                <w:color w:val="auto"/>
              </w:rPr>
            </w:pPr>
          </w:p>
        </w:tc>
      </w:tr>
      <w:tr>
        <w:trPr>
          <w:trHeight w:val="128"/>
        </w:trPr>
        <w:tc>
          <w:tcPr>
            <w:tcW w:w="2480" w:type="dxa"/>
            <w:vAlign w:val="bottom"/>
          </w:tcPr>
          <w:p>
            <w:pPr>
              <w:spacing w:after="0"/>
              <w:rPr>
                <w:sz w:val="11"/>
                <w:szCs w:val="11"/>
                <w:color w:val="auto"/>
              </w:rPr>
            </w:pPr>
          </w:p>
        </w:tc>
        <w:tc>
          <w:tcPr>
            <w:tcW w:w="29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820" w:type="dxa"/>
            <w:vAlign w:val="bottom"/>
            <w:gridSpan w:val="4"/>
          </w:tcPr>
          <w:p>
            <w:pPr>
              <w:jc w:val="right"/>
              <w:ind w:right="573"/>
              <w:spacing w:after="0" w:line="129" w:lineRule="exact"/>
              <w:rPr>
                <w:sz w:val="20"/>
                <w:szCs w:val="20"/>
                <w:color w:val="auto"/>
              </w:rPr>
            </w:pPr>
            <w:r>
              <w:rPr>
                <w:rFonts w:ascii="Arial" w:cs="Arial" w:eastAsia="Arial" w:hAnsi="Arial"/>
                <w:sz w:val="14"/>
                <w:szCs w:val="14"/>
                <w:i w:val="1"/>
                <w:iCs w:val="1"/>
                <w:color w:val="auto"/>
              </w:rPr>
              <w:t>(in millions)</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54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Revenue from contracts with customers by segment:</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440" w:type="dxa"/>
            <w:vAlign w:val="bottom"/>
            <w:gridSpan w:val="2"/>
          </w:tcPr>
          <w:p>
            <w:pPr>
              <w:spacing w:after="0"/>
              <w:rPr>
                <w:sz w:val="20"/>
                <w:szCs w:val="20"/>
                <w:color w:val="auto"/>
              </w:rPr>
            </w:pPr>
            <w:r>
              <w:rPr>
                <w:rFonts w:ascii="Arial" w:cs="Arial" w:eastAsia="Arial" w:hAnsi="Arial"/>
                <w:sz w:val="18"/>
                <w:szCs w:val="18"/>
                <w:color w:val="auto"/>
              </w:rPr>
              <w:t>Retirement and Income Solutions:</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44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Retirement and Income Solutions – Fee</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138.5</w:t>
            </w:r>
          </w:p>
        </w:tc>
        <w:tc>
          <w:tcPr>
            <w:tcW w:w="100" w:type="dxa"/>
            <w:vAlign w:val="bottom"/>
            <w:shd w:val="clear" w:color="auto" w:fill="CCEEFF"/>
          </w:tcPr>
          <w:p>
            <w:pPr>
              <w:spacing w:after="0"/>
              <w:rPr>
                <w:sz w:val="18"/>
                <w:szCs w:val="18"/>
                <w:color w:val="auto"/>
              </w:rPr>
            </w:pPr>
          </w:p>
        </w:tc>
        <w:tc>
          <w:tcPr>
            <w:tcW w:w="320" w:type="dxa"/>
            <w:vAlign w:val="bottom"/>
            <w:gridSpan w:val="2"/>
            <w:shd w:val="clear" w:color="auto" w:fill="CCEEFF"/>
          </w:tcPr>
          <w:p>
            <w:pPr>
              <w:jc w:val="right"/>
              <w:ind w:right="67"/>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147.7</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jc w:val="right"/>
              <w:ind w:right="7"/>
              <w:spacing w:after="0"/>
              <w:rPr>
                <w:sz w:val="20"/>
                <w:szCs w:val="20"/>
                <w:color w:val="auto"/>
              </w:rPr>
            </w:pPr>
            <w:r>
              <w:rPr>
                <w:rFonts w:ascii="Arial" w:cs="Arial" w:eastAsia="Arial" w:hAnsi="Arial"/>
                <w:sz w:val="15"/>
                <w:szCs w:val="15"/>
                <w:b w:val="1"/>
                <w:bCs w:val="1"/>
                <w:color w:val="auto"/>
                <w:w w:val="71"/>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280.2</w:t>
            </w:r>
          </w:p>
        </w:tc>
        <w:tc>
          <w:tcPr>
            <w:tcW w:w="100" w:type="dxa"/>
            <w:vAlign w:val="bottom"/>
            <w:shd w:val="clear" w:color="auto" w:fill="CCEEFF"/>
          </w:tcPr>
          <w:p>
            <w:pPr>
              <w:spacing w:after="0"/>
              <w:rPr>
                <w:sz w:val="18"/>
                <w:szCs w:val="18"/>
                <w:color w:val="auto"/>
              </w:rPr>
            </w:pPr>
          </w:p>
        </w:tc>
        <w:tc>
          <w:tcPr>
            <w:tcW w:w="340" w:type="dxa"/>
            <w:vAlign w:val="bottom"/>
            <w:gridSpan w:val="2"/>
            <w:shd w:val="clear" w:color="auto" w:fill="CCEEFF"/>
          </w:tcPr>
          <w:p>
            <w:pPr>
              <w:jc w:val="right"/>
              <w:ind w:right="87"/>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289.6</w:t>
            </w:r>
          </w:p>
        </w:tc>
        <w:tc>
          <w:tcPr>
            <w:tcW w:w="0" w:type="dxa"/>
            <w:vAlign w:val="bottom"/>
          </w:tcPr>
          <w:p>
            <w:pPr>
              <w:spacing w:after="0"/>
              <w:rPr>
                <w:sz w:val="1"/>
                <w:szCs w:val="1"/>
                <w:color w:val="auto"/>
              </w:rPr>
            </w:pPr>
          </w:p>
        </w:tc>
      </w:tr>
      <w:tr>
        <w:trPr>
          <w:trHeight w:val="216"/>
        </w:trPr>
        <w:tc>
          <w:tcPr>
            <w:tcW w:w="5440" w:type="dxa"/>
            <w:vAlign w:val="bottom"/>
            <w:tcBorders>
              <w:bottom w:val="single" w:sz="8" w:color="CCEEFF"/>
            </w:tcBorders>
            <w:gridSpan w:val="2"/>
          </w:tcPr>
          <w:p>
            <w:pPr>
              <w:ind w:left="120"/>
              <w:spacing w:after="0"/>
              <w:rPr>
                <w:sz w:val="20"/>
                <w:szCs w:val="20"/>
                <w:color w:val="auto"/>
              </w:rPr>
            </w:pPr>
            <w:r>
              <w:rPr>
                <w:rFonts w:ascii="Arial" w:cs="Arial" w:eastAsia="Arial" w:hAnsi="Arial"/>
                <w:sz w:val="18"/>
                <w:szCs w:val="18"/>
                <w:color w:val="auto"/>
              </w:rPr>
              <w:t>Retirement and Income Solutions – Spread</w:t>
            </w:r>
          </w:p>
        </w:tc>
        <w:tc>
          <w:tcPr>
            <w:tcW w:w="18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2.8</w:t>
            </w:r>
          </w:p>
        </w:tc>
        <w:tc>
          <w:tcPr>
            <w:tcW w:w="10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w:t>
            </w:r>
          </w:p>
        </w:tc>
        <w:tc>
          <w:tcPr>
            <w:tcW w:w="20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5.5</w:t>
            </w:r>
          </w:p>
        </w:tc>
        <w:tc>
          <w:tcPr>
            <w:tcW w:w="10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4.8</w:t>
            </w:r>
          </w:p>
        </w:tc>
        <w:tc>
          <w:tcPr>
            <w:tcW w:w="0" w:type="dxa"/>
            <w:vAlign w:val="bottom"/>
          </w:tcPr>
          <w:p>
            <w:pPr>
              <w:spacing w:after="0"/>
              <w:rPr>
                <w:sz w:val="1"/>
                <w:szCs w:val="1"/>
                <w:color w:val="auto"/>
              </w:rPr>
            </w:pPr>
          </w:p>
        </w:tc>
      </w:tr>
      <w:tr>
        <w:trPr>
          <w:trHeight w:val="209"/>
        </w:trPr>
        <w:tc>
          <w:tcPr>
            <w:tcW w:w="544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Total Retirement and Income Solutions</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141.3</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150.1</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285.7</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294.4</w:t>
            </w:r>
          </w:p>
        </w:tc>
        <w:tc>
          <w:tcPr>
            <w:tcW w:w="0" w:type="dxa"/>
            <w:vAlign w:val="bottom"/>
          </w:tcPr>
          <w:p>
            <w:pPr>
              <w:spacing w:after="0"/>
              <w:rPr>
                <w:sz w:val="1"/>
                <w:szCs w:val="1"/>
                <w:color w:val="auto"/>
              </w:rPr>
            </w:pPr>
          </w:p>
        </w:tc>
      </w:tr>
      <w:tr>
        <w:trPr>
          <w:trHeight w:val="216"/>
        </w:trPr>
        <w:tc>
          <w:tcPr>
            <w:tcW w:w="5440" w:type="dxa"/>
            <w:vAlign w:val="bottom"/>
            <w:gridSpan w:val="2"/>
          </w:tcPr>
          <w:p>
            <w:pPr>
              <w:spacing w:after="0"/>
              <w:rPr>
                <w:sz w:val="20"/>
                <w:szCs w:val="20"/>
                <w:color w:val="auto"/>
              </w:rPr>
            </w:pPr>
            <w:r>
              <w:rPr>
                <w:rFonts w:ascii="Arial" w:cs="Arial" w:eastAsia="Arial" w:hAnsi="Arial"/>
                <w:sz w:val="18"/>
                <w:szCs w:val="18"/>
                <w:color w:val="auto"/>
              </w:rPr>
              <w:t>Principal Global Investors</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b w:val="1"/>
                <w:bCs w:val="1"/>
                <w:color w:val="auto"/>
              </w:rPr>
              <w:t>451.6</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444.0</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881.2</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850.1</w:t>
            </w:r>
          </w:p>
        </w:tc>
        <w:tc>
          <w:tcPr>
            <w:tcW w:w="0" w:type="dxa"/>
            <w:vAlign w:val="bottom"/>
          </w:tcPr>
          <w:p>
            <w:pPr>
              <w:spacing w:after="0"/>
              <w:rPr>
                <w:sz w:val="1"/>
                <w:szCs w:val="1"/>
                <w:color w:val="auto"/>
              </w:rPr>
            </w:pPr>
          </w:p>
        </w:tc>
      </w:tr>
      <w:tr>
        <w:trPr>
          <w:trHeight w:val="216"/>
        </w:trPr>
        <w:tc>
          <w:tcPr>
            <w:tcW w:w="54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International</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109.2</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126.5</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219.6</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248.4</w:t>
            </w:r>
          </w:p>
        </w:tc>
        <w:tc>
          <w:tcPr>
            <w:tcW w:w="0" w:type="dxa"/>
            <w:vAlign w:val="bottom"/>
          </w:tcPr>
          <w:p>
            <w:pPr>
              <w:spacing w:after="0"/>
              <w:rPr>
                <w:sz w:val="1"/>
                <w:szCs w:val="1"/>
                <w:color w:val="auto"/>
              </w:rPr>
            </w:pPr>
          </w:p>
        </w:tc>
      </w:tr>
      <w:tr>
        <w:trPr>
          <w:trHeight w:val="216"/>
        </w:trPr>
        <w:tc>
          <w:tcPr>
            <w:tcW w:w="5440" w:type="dxa"/>
            <w:vAlign w:val="bottom"/>
            <w:gridSpan w:val="2"/>
          </w:tcPr>
          <w:p>
            <w:pPr>
              <w:spacing w:after="0"/>
              <w:rPr>
                <w:sz w:val="20"/>
                <w:szCs w:val="20"/>
                <w:color w:val="auto"/>
              </w:rPr>
            </w:pPr>
            <w:r>
              <w:rPr>
                <w:rFonts w:ascii="Arial" w:cs="Arial" w:eastAsia="Arial" w:hAnsi="Arial"/>
                <w:sz w:val="18"/>
                <w:szCs w:val="18"/>
                <w:color w:val="auto"/>
              </w:rPr>
              <w:t>U.S. Insurance Solutions:</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44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Specialty Benefits insurance</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3.7</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7.7</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w:t>
            </w:r>
          </w:p>
        </w:tc>
        <w:tc>
          <w:tcPr>
            <w:tcW w:w="0" w:type="dxa"/>
            <w:vAlign w:val="bottom"/>
          </w:tcPr>
          <w:p>
            <w:pPr>
              <w:spacing w:after="0"/>
              <w:rPr>
                <w:sz w:val="1"/>
                <w:szCs w:val="1"/>
                <w:color w:val="auto"/>
              </w:rPr>
            </w:pPr>
          </w:p>
        </w:tc>
      </w:tr>
      <w:tr>
        <w:trPr>
          <w:trHeight w:val="216"/>
        </w:trPr>
        <w:tc>
          <w:tcPr>
            <w:tcW w:w="5440" w:type="dxa"/>
            <w:vAlign w:val="bottom"/>
            <w:gridSpan w:val="2"/>
          </w:tcPr>
          <w:p>
            <w:pPr>
              <w:ind w:left="120"/>
              <w:spacing w:after="0"/>
              <w:rPr>
                <w:sz w:val="20"/>
                <w:szCs w:val="20"/>
                <w:color w:val="auto"/>
              </w:rPr>
            </w:pPr>
            <w:r>
              <w:rPr>
                <w:rFonts w:ascii="Arial" w:cs="Arial" w:eastAsia="Arial" w:hAnsi="Arial"/>
                <w:sz w:val="18"/>
                <w:szCs w:val="18"/>
                <w:color w:val="auto"/>
              </w:rPr>
              <w:t>Individual Life insurance</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b w:val="1"/>
                <w:bCs w:val="1"/>
                <w:color w:val="auto"/>
              </w:rPr>
              <w:t>16.2</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15.0</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31.6</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28.7</w:t>
            </w:r>
          </w:p>
        </w:tc>
        <w:tc>
          <w:tcPr>
            <w:tcW w:w="0" w:type="dxa"/>
            <w:vAlign w:val="bottom"/>
          </w:tcPr>
          <w:p>
            <w:pPr>
              <w:spacing w:after="0"/>
              <w:rPr>
                <w:sz w:val="1"/>
                <w:szCs w:val="1"/>
                <w:color w:val="auto"/>
              </w:rPr>
            </w:pPr>
          </w:p>
        </w:tc>
      </w:tr>
      <w:tr>
        <w:trPr>
          <w:trHeight w:val="216"/>
        </w:trPr>
        <w:tc>
          <w:tcPr>
            <w:tcW w:w="544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Eliminations</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(0.1)</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(0.1)</w:t>
            </w:r>
          </w:p>
        </w:tc>
        <w:tc>
          <w:tcPr>
            <w:tcW w:w="1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(0.1)</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0" w:type="dxa"/>
            <w:vAlign w:val="bottom"/>
          </w:tcPr>
          <w:p>
            <w:pPr>
              <w:spacing w:after="0"/>
              <w:rPr>
                <w:sz w:val="1"/>
                <w:szCs w:val="1"/>
                <w:color w:val="auto"/>
              </w:rPr>
            </w:pPr>
          </w:p>
        </w:tc>
      </w:tr>
      <w:tr>
        <w:trPr>
          <w:trHeight w:val="210"/>
        </w:trPr>
        <w:tc>
          <w:tcPr>
            <w:tcW w:w="5440" w:type="dxa"/>
            <w:vAlign w:val="bottom"/>
            <w:gridSpan w:val="2"/>
          </w:tcPr>
          <w:p>
            <w:pPr>
              <w:ind w:left="220"/>
              <w:spacing w:after="0"/>
              <w:rPr>
                <w:sz w:val="20"/>
                <w:szCs w:val="20"/>
                <w:color w:val="auto"/>
              </w:rPr>
            </w:pPr>
            <w:r>
              <w:rPr>
                <w:rFonts w:ascii="Arial" w:cs="Arial" w:eastAsia="Arial" w:hAnsi="Arial"/>
                <w:sz w:val="18"/>
                <w:szCs w:val="18"/>
                <w:color w:val="auto"/>
              </w:rPr>
              <w:t>Total U.S. Insurance Solutions</w:t>
            </w:r>
          </w:p>
        </w:tc>
        <w:tc>
          <w:tcPr>
            <w:tcW w:w="18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19.8</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18.7</w:t>
            </w:r>
          </w:p>
        </w:tc>
        <w:tc>
          <w:tcPr>
            <w:tcW w:w="2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39.2</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36.1</w:t>
            </w:r>
          </w:p>
        </w:tc>
        <w:tc>
          <w:tcPr>
            <w:tcW w:w="0" w:type="dxa"/>
            <w:vAlign w:val="bottom"/>
          </w:tcPr>
          <w:p>
            <w:pPr>
              <w:spacing w:after="0"/>
              <w:rPr>
                <w:sz w:val="1"/>
                <w:szCs w:val="1"/>
                <w:color w:val="auto"/>
              </w:rPr>
            </w:pPr>
          </w:p>
        </w:tc>
      </w:tr>
      <w:tr>
        <w:trPr>
          <w:trHeight w:val="216"/>
        </w:trPr>
        <w:tc>
          <w:tcPr>
            <w:tcW w:w="54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Corporate</w:t>
            </w:r>
          </w:p>
        </w:tc>
        <w:tc>
          <w:tcPr>
            <w:tcW w:w="18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27.7</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55.9</w:t>
            </w:r>
          </w:p>
        </w:tc>
        <w:tc>
          <w:tcPr>
            <w:tcW w:w="20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75.6</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104.3</w:t>
            </w:r>
          </w:p>
        </w:tc>
        <w:tc>
          <w:tcPr>
            <w:tcW w:w="0" w:type="dxa"/>
            <w:vAlign w:val="bottom"/>
          </w:tcPr>
          <w:p>
            <w:pPr>
              <w:spacing w:after="0"/>
              <w:rPr>
                <w:sz w:val="1"/>
                <w:szCs w:val="1"/>
                <w:color w:val="auto"/>
              </w:rPr>
            </w:pPr>
          </w:p>
        </w:tc>
      </w:tr>
      <w:tr>
        <w:trPr>
          <w:trHeight w:val="210"/>
        </w:trPr>
        <w:tc>
          <w:tcPr>
            <w:tcW w:w="5440" w:type="dxa"/>
            <w:vAlign w:val="bottom"/>
            <w:gridSpan w:val="2"/>
          </w:tcPr>
          <w:p>
            <w:pPr>
              <w:ind w:left="120"/>
              <w:spacing w:after="0"/>
              <w:rPr>
                <w:sz w:val="20"/>
                <w:szCs w:val="20"/>
                <w:color w:val="auto"/>
              </w:rPr>
            </w:pPr>
            <w:r>
              <w:rPr>
                <w:rFonts w:ascii="Arial" w:cs="Arial" w:eastAsia="Arial" w:hAnsi="Arial"/>
                <w:sz w:val="18"/>
                <w:szCs w:val="18"/>
                <w:color w:val="auto"/>
              </w:rPr>
              <w:t>Total segment revenue from contracts with customers</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b w:val="1"/>
                <w:bCs w:val="1"/>
                <w:color w:val="auto"/>
              </w:rPr>
              <w:t>749.6</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795.2</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1,501.3</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1,533.3</w:t>
            </w:r>
          </w:p>
        </w:tc>
        <w:tc>
          <w:tcPr>
            <w:tcW w:w="0" w:type="dxa"/>
            <w:vAlign w:val="bottom"/>
          </w:tcPr>
          <w:p>
            <w:pPr>
              <w:spacing w:after="0"/>
              <w:rPr>
                <w:sz w:val="1"/>
                <w:szCs w:val="1"/>
                <w:color w:val="auto"/>
              </w:rPr>
            </w:pPr>
          </w:p>
        </w:tc>
      </w:tr>
      <w:tr>
        <w:trPr>
          <w:trHeight w:val="202"/>
        </w:trPr>
        <w:tc>
          <w:tcPr>
            <w:tcW w:w="544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w w:val="93"/>
              </w:rPr>
              <w:t>Adjustments for fees and other revenues not within the scope of revenue</w:t>
            </w: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8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162.1</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6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627.3</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544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recognition guidance (1)</w:t>
            </w:r>
          </w:p>
        </w:tc>
        <w:tc>
          <w:tcPr>
            <w:tcW w:w="18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780" w:type="dxa"/>
            <w:vAlign w:val="bottom"/>
            <w:vMerge w:val="continue"/>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466.1</w:t>
            </w:r>
          </w:p>
        </w:tc>
        <w:tc>
          <w:tcPr>
            <w:tcW w:w="20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760" w:type="dxa"/>
            <w:vAlign w:val="bottom"/>
            <w:vMerge w:val="continue"/>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929.8</w:t>
            </w:r>
          </w:p>
        </w:tc>
        <w:tc>
          <w:tcPr>
            <w:tcW w:w="0" w:type="dxa"/>
            <w:vAlign w:val="bottom"/>
          </w:tcPr>
          <w:p>
            <w:pPr>
              <w:spacing w:after="0"/>
              <w:rPr>
                <w:sz w:val="1"/>
                <w:szCs w:val="1"/>
                <w:color w:val="auto"/>
              </w:rPr>
            </w:pPr>
          </w:p>
        </w:tc>
      </w:tr>
      <w:tr>
        <w:trPr>
          <w:trHeight w:val="216"/>
        </w:trPr>
        <w:tc>
          <w:tcPr>
            <w:tcW w:w="5440" w:type="dxa"/>
            <w:vAlign w:val="bottom"/>
            <w:tcBorders>
              <w:bottom w:val="single" w:sz="8" w:color="CCEEFF"/>
            </w:tcBorders>
            <w:gridSpan w:val="2"/>
          </w:tcPr>
          <w:p>
            <w:pPr>
              <w:spacing w:after="0"/>
              <w:rPr>
                <w:sz w:val="20"/>
                <w:szCs w:val="20"/>
                <w:color w:val="auto"/>
              </w:rPr>
            </w:pPr>
            <w:r>
              <w:rPr>
                <w:rFonts w:ascii="Arial" w:cs="Arial" w:eastAsia="Arial" w:hAnsi="Arial"/>
                <w:sz w:val="18"/>
                <w:szCs w:val="18"/>
                <w:color w:val="auto"/>
              </w:rPr>
              <w:t>Pre-tax other adjustments (2)</w:t>
            </w:r>
          </w:p>
        </w:tc>
        <w:tc>
          <w:tcPr>
            <w:tcW w:w="18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35.9</w:t>
            </w:r>
          </w:p>
        </w:tc>
        <w:tc>
          <w:tcPr>
            <w:tcW w:w="10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4.0</w:t>
            </w:r>
          </w:p>
        </w:tc>
        <w:tc>
          <w:tcPr>
            <w:tcW w:w="20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34.0</w:t>
            </w:r>
          </w:p>
        </w:tc>
        <w:tc>
          <w:tcPr>
            <w:tcW w:w="10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(3.9)</w:t>
            </w:r>
          </w:p>
        </w:tc>
        <w:tc>
          <w:tcPr>
            <w:tcW w:w="0" w:type="dxa"/>
            <w:vAlign w:val="bottom"/>
          </w:tcPr>
          <w:p>
            <w:pPr>
              <w:spacing w:after="0"/>
              <w:rPr>
                <w:sz w:val="1"/>
                <w:szCs w:val="1"/>
                <w:color w:val="auto"/>
              </w:rPr>
            </w:pPr>
          </w:p>
        </w:tc>
      </w:tr>
      <w:tr>
        <w:trPr>
          <w:trHeight w:val="210"/>
        </w:trPr>
        <w:tc>
          <w:tcPr>
            <w:tcW w:w="5440" w:type="dxa"/>
            <w:vAlign w:val="bottom"/>
            <w:tcBorders>
              <w:bottom w:val="single" w:sz="8" w:color="CCEEFF"/>
            </w:tcBorders>
            <w:gridSpan w:val="2"/>
            <w:shd w:val="clear" w:color="auto" w:fill="CCEEFF"/>
          </w:tcPr>
          <w:p>
            <w:pPr>
              <w:ind w:left="120"/>
              <w:spacing w:after="0"/>
              <w:rPr>
                <w:sz w:val="20"/>
                <w:szCs w:val="20"/>
                <w:color w:val="auto"/>
              </w:rPr>
            </w:pPr>
            <w:r>
              <w:rPr>
                <w:rFonts w:ascii="Arial" w:cs="Arial" w:eastAsia="Arial" w:hAnsi="Arial"/>
                <w:sz w:val="18"/>
                <w:szCs w:val="18"/>
                <w:color w:val="auto"/>
                <w:w w:val="91"/>
              </w:rPr>
              <w:t>Total fees and other revenues per consolidated statements of operations</w:t>
            </w:r>
          </w:p>
        </w:tc>
        <w:tc>
          <w:tcPr>
            <w:tcW w:w="18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947.6</w:t>
            </w:r>
          </w:p>
        </w:tc>
        <w:tc>
          <w:tcPr>
            <w:tcW w:w="10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1,265.</w:t>
            </w:r>
            <w:r>
              <w:rPr>
                <w:rFonts w:ascii="Arial" w:cs="Arial" w:eastAsia="Arial" w:hAnsi="Arial"/>
                <w:sz w:val="18"/>
                <w:szCs w:val="18"/>
                <w:u w:val="single" w:color="auto"/>
                <w:color w:val="auto"/>
              </w:rPr>
              <w:t>3</w:t>
            </w:r>
          </w:p>
        </w:tc>
        <w:tc>
          <w:tcPr>
            <w:tcW w:w="20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jc w:val="right"/>
              <w:ind w:right="7"/>
              <w:spacing w:after="0"/>
              <w:rPr>
                <w:sz w:val="20"/>
                <w:szCs w:val="20"/>
                <w:color w:val="auto"/>
              </w:rPr>
            </w:pPr>
            <w:r>
              <w:rPr>
                <w:rFonts w:ascii="Arial" w:cs="Arial" w:eastAsia="Arial" w:hAnsi="Arial"/>
                <w:sz w:val="15"/>
                <w:szCs w:val="15"/>
                <w:b w:val="1"/>
                <w:bCs w:val="1"/>
                <w:color w:val="auto"/>
                <w:w w:val="71"/>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2,162.6</w:t>
            </w:r>
          </w:p>
        </w:tc>
        <w:tc>
          <w:tcPr>
            <w:tcW w:w="10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2,459.</w:t>
            </w:r>
            <w:r>
              <w:rPr>
                <w:rFonts w:ascii="Arial" w:cs="Arial" w:eastAsia="Arial" w:hAnsi="Arial"/>
                <w:sz w:val="18"/>
                <w:szCs w:val="18"/>
                <w:u w:val="single" w:color="auto"/>
                <w:color w:val="auto"/>
              </w:rPr>
              <w:t>2</w:t>
            </w:r>
          </w:p>
        </w:tc>
        <w:tc>
          <w:tcPr>
            <w:tcW w:w="0" w:type="dxa"/>
            <w:vAlign w:val="bottom"/>
          </w:tcPr>
          <w:p>
            <w:pPr>
              <w:spacing w:after="0"/>
              <w:rPr>
                <w:sz w:val="1"/>
                <w:szCs w:val="1"/>
                <w:color w:val="auto"/>
              </w:rPr>
            </w:pPr>
          </w:p>
        </w:tc>
      </w:tr>
      <w:tr>
        <w:trPr>
          <w:trHeight w:val="20"/>
        </w:trPr>
        <w:tc>
          <w:tcPr>
            <w:tcW w:w="2480" w:type="dxa"/>
            <w:vAlign w:val="bottom"/>
          </w:tcPr>
          <w:p>
            <w:pPr>
              <w:spacing w:after="0" w:line="20" w:lineRule="exact"/>
              <w:rPr>
                <w:sz w:val="1"/>
                <w:szCs w:val="1"/>
                <w:color w:val="auto"/>
              </w:rPr>
            </w:pPr>
          </w:p>
        </w:tc>
        <w:tc>
          <w:tcPr>
            <w:tcW w:w="29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8"/>
        </w:trPr>
        <w:tc>
          <w:tcPr>
            <w:tcW w:w="2480" w:type="dxa"/>
            <w:vAlign w:val="bottom"/>
            <w:tcBorders>
              <w:bottom w:val="single" w:sz="8" w:color="auto"/>
            </w:tcBorders>
          </w:tcPr>
          <w:p>
            <w:pPr>
              <w:spacing w:after="0"/>
              <w:rPr>
                <w:sz w:val="7"/>
                <w:szCs w:val="7"/>
                <w:color w:val="auto"/>
              </w:rPr>
            </w:pPr>
          </w:p>
        </w:tc>
        <w:tc>
          <w:tcPr>
            <w:tcW w:w="2960" w:type="dxa"/>
            <w:vAlign w:val="bottom"/>
          </w:tcPr>
          <w:p>
            <w:pPr>
              <w:spacing w:after="0"/>
              <w:rPr>
                <w:sz w:val="7"/>
                <w:szCs w:val="7"/>
                <w:color w:val="auto"/>
              </w:rPr>
            </w:pPr>
          </w:p>
        </w:tc>
        <w:tc>
          <w:tcPr>
            <w:tcW w:w="180" w:type="dxa"/>
            <w:vAlign w:val="bottom"/>
          </w:tcPr>
          <w:p>
            <w:pPr>
              <w:spacing w:after="0"/>
              <w:rPr>
                <w:sz w:val="7"/>
                <w:szCs w:val="7"/>
                <w:color w:val="auto"/>
              </w:rPr>
            </w:pPr>
          </w:p>
        </w:tc>
        <w:tc>
          <w:tcPr>
            <w:tcW w:w="140" w:type="dxa"/>
            <w:vAlign w:val="bottom"/>
          </w:tcPr>
          <w:p>
            <w:pPr>
              <w:spacing w:after="0"/>
              <w:rPr>
                <w:sz w:val="7"/>
                <w:szCs w:val="7"/>
                <w:color w:val="auto"/>
              </w:rPr>
            </w:pPr>
          </w:p>
        </w:tc>
        <w:tc>
          <w:tcPr>
            <w:tcW w:w="7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2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0" w:type="dxa"/>
            <w:vAlign w:val="bottom"/>
          </w:tcPr>
          <w:p>
            <w:pPr>
              <w:spacing w:after="0"/>
              <w:rPr>
                <w:sz w:val="7"/>
                <w:szCs w:val="7"/>
                <w:color w:val="auto"/>
              </w:rPr>
            </w:pPr>
          </w:p>
        </w:tc>
        <w:tc>
          <w:tcPr>
            <w:tcW w:w="160" w:type="dxa"/>
            <w:vAlign w:val="bottom"/>
          </w:tcPr>
          <w:p>
            <w:pPr>
              <w:spacing w:after="0"/>
              <w:rPr>
                <w:sz w:val="7"/>
                <w:szCs w:val="7"/>
                <w:color w:val="auto"/>
              </w:rPr>
            </w:pPr>
          </w:p>
        </w:tc>
        <w:tc>
          <w:tcPr>
            <w:tcW w:w="76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240" w:type="dxa"/>
            <w:vAlign w:val="bottom"/>
          </w:tcPr>
          <w:p>
            <w:pPr>
              <w:spacing w:after="0"/>
              <w:rPr>
                <w:sz w:val="7"/>
                <w:szCs w:val="7"/>
                <w:color w:val="auto"/>
              </w:rPr>
            </w:pPr>
          </w:p>
        </w:tc>
        <w:tc>
          <w:tcPr>
            <w:tcW w:w="70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80" w:lineRule="exact"/>
        <w:rPr>
          <w:sz w:val="20"/>
          <w:szCs w:val="20"/>
          <w:color w:val="auto"/>
        </w:rPr>
      </w:pPr>
    </w:p>
    <w:p>
      <w:pPr>
        <w:ind w:left="340" w:right="760" w:hanging="332"/>
        <w:spacing w:after="0" w:line="258" w:lineRule="auto"/>
        <w:tabs>
          <w:tab w:leader="none" w:pos="340" w:val="left"/>
        </w:tabs>
        <w:numPr>
          <w:ilvl w:val="0"/>
          <w:numId w:val="42"/>
        </w:numPr>
        <w:rPr>
          <w:rFonts w:ascii="Arial" w:cs="Arial" w:eastAsia="Arial" w:hAnsi="Arial"/>
          <w:sz w:val="18"/>
          <w:szCs w:val="18"/>
          <w:color w:val="auto"/>
        </w:rPr>
      </w:pPr>
      <w:r>
        <w:rPr>
          <w:rFonts w:ascii="Arial" w:cs="Arial" w:eastAsia="Arial" w:hAnsi="Arial"/>
          <w:sz w:val="18"/>
          <w:szCs w:val="18"/>
          <w:color w:val="auto"/>
        </w:rPr>
        <w:t>Fees and other revenues not within the scope of the revenue recognition guidance primarily represent revenue on contracts accounted for under the financial instruments or insurance contracts standards.</w:t>
      </w:r>
    </w:p>
    <w:p>
      <w:pPr>
        <w:spacing w:after="0" w:line="1" w:lineRule="exact"/>
        <w:rPr>
          <w:rFonts w:ascii="Arial" w:cs="Arial" w:eastAsia="Arial" w:hAnsi="Arial"/>
          <w:sz w:val="18"/>
          <w:szCs w:val="18"/>
          <w:color w:val="auto"/>
        </w:rPr>
      </w:pPr>
    </w:p>
    <w:p>
      <w:pPr>
        <w:ind w:left="340" w:right="640" w:hanging="332"/>
        <w:spacing w:after="0" w:line="260" w:lineRule="auto"/>
        <w:tabs>
          <w:tab w:leader="none" w:pos="340" w:val="left"/>
        </w:tabs>
        <w:numPr>
          <w:ilvl w:val="0"/>
          <w:numId w:val="42"/>
        </w:numPr>
        <w:rPr>
          <w:rFonts w:ascii="Arial" w:cs="Arial" w:eastAsia="Arial" w:hAnsi="Arial"/>
          <w:sz w:val="18"/>
          <w:szCs w:val="18"/>
          <w:color w:val="auto"/>
        </w:rPr>
      </w:pPr>
      <w:r>
        <w:rPr>
          <w:rFonts w:ascii="Arial" w:cs="Arial" w:eastAsia="Arial" w:hAnsi="Arial"/>
          <w:sz w:val="18"/>
          <w:szCs w:val="18"/>
          <w:color w:val="auto"/>
        </w:rPr>
        <w:t>Pre-tax other adjustments relate to the recognition of deferred front-end fee revenues for sales charges on retirement and life insurance products and certain market value adjustments to fee revenues.</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Retirement and Income Solutions – Fee</w:t>
      </w:r>
    </w:p>
    <w:p>
      <w:pPr>
        <w:spacing w:after="0" w:line="225" w:lineRule="exact"/>
        <w:rPr>
          <w:sz w:val="20"/>
          <w:szCs w:val="20"/>
          <w:color w:val="auto"/>
        </w:rPr>
      </w:pPr>
    </w:p>
    <w:p>
      <w:pPr>
        <w:ind w:right="20" w:firstLine="648"/>
        <w:spacing w:after="0" w:line="257" w:lineRule="auto"/>
        <w:rPr>
          <w:sz w:val="20"/>
          <w:szCs w:val="20"/>
          <w:color w:val="auto"/>
        </w:rPr>
      </w:pPr>
      <w:r>
        <w:rPr>
          <w:rFonts w:ascii="Arial" w:cs="Arial" w:eastAsia="Arial" w:hAnsi="Arial"/>
          <w:sz w:val="18"/>
          <w:szCs w:val="18"/>
          <w:color w:val="auto"/>
        </w:rPr>
        <w:t>Retirement and Income Solutions – Fee offers service and trust agreements for defined contribution retirement plans, including 401(k) plans, 403(b) plans, and employee stock ownership plans. The investment components of these service agreements are in the form of mutual fund offerings. In addition, plan sponsor retirement plan trust and custody services are also available through our trust company. Furthermore, services and trust agreements are offered to non-retirement customers including insurance companies, endowments and other financial institutions.</w:t>
      </w:r>
    </w:p>
    <w:p>
      <w:pPr>
        <w:spacing w:after="0" w:line="188" w:lineRule="exact"/>
        <w:rPr>
          <w:sz w:val="20"/>
          <w:szCs w:val="20"/>
          <w:color w:val="auto"/>
        </w:rPr>
      </w:pPr>
    </w:p>
    <w:p>
      <w:pPr>
        <w:ind w:right="60" w:firstLine="648"/>
        <w:spacing w:after="0" w:line="272" w:lineRule="auto"/>
        <w:rPr>
          <w:sz w:val="20"/>
          <w:szCs w:val="20"/>
          <w:color w:val="auto"/>
        </w:rPr>
      </w:pPr>
      <w:r>
        <w:rPr>
          <w:rFonts w:ascii="Arial" w:cs="Arial" w:eastAsia="Arial" w:hAnsi="Arial"/>
          <w:sz w:val="17"/>
          <w:szCs w:val="17"/>
          <w:color w:val="auto"/>
        </w:rPr>
        <w:t>Fees and other revenues are earned for administrative activities performed for the defined contribution retirement plans including recordkeeping and reporting as well as trust and custody, asset management and investment services. Fees and other revenues are earned for administrative activities performed for non-retirement plan customers including trust and custody services, defined benefit administration and investment management activities. The majority of these activities are performed daily over time. Fee-for-service transactions are also provided upon client request. These services are considered distinct or grouped into a bundle until a distinct performance obligation is identified. Some performance obligations are considered a series of distinct services, which are substantially the same and have the same pattern of transfer to the customer.</w:t>
      </w:r>
    </w:p>
    <w:p>
      <w:pPr>
        <w:spacing w:after="0" w:line="3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540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82" w:name="page83"/>
    <w:bookmarkEnd w:id="82"/>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right="40" w:firstLine="648"/>
        <w:spacing w:after="0" w:line="293" w:lineRule="auto"/>
        <w:rPr>
          <w:sz w:val="20"/>
          <w:szCs w:val="20"/>
          <w:color w:val="auto"/>
        </w:rPr>
      </w:pPr>
      <w:r>
        <w:rPr>
          <w:rFonts w:ascii="Arial" w:cs="Arial" w:eastAsia="Arial" w:hAnsi="Arial"/>
          <w:sz w:val="16"/>
          <w:szCs w:val="16"/>
          <w:color w:val="auto"/>
        </w:rPr>
        <w:t>Fees and other revenues can be based on a fixed contractual rate for these services or can be variable based upon contractual rates applied to the market value of the client’s investment portfolio each day. If the consideration for this series of performance obligations is based on daily market value, it is considered variable each day as the services are performed over time. The consideration becomes unconstrained and thus recognized as revenue for each day’s series of distinct services once the market value of the clients’ investment portfolios is determined at market close or carried over at the end of the day for days when the market is closed. Additionally, fixed fees and other revenues are recognized point-in-time as fee-for-service transactions upon completion.</w:t>
      </w:r>
    </w:p>
    <w:p>
      <w:pPr>
        <w:spacing w:after="0" w:line="16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types of revenues from contracts with customers were as follows:</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2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140" w:type="dxa"/>
            <w:vAlign w:val="bottom"/>
            <w:gridSpan w:val="5"/>
          </w:tcPr>
          <w:p>
            <w:pPr>
              <w:ind w:left="60"/>
              <w:spacing w:after="0"/>
              <w:rPr>
                <w:sz w:val="20"/>
                <w:szCs w:val="20"/>
                <w:color w:val="auto"/>
              </w:rPr>
            </w:pPr>
            <w:r>
              <w:rPr>
                <w:rFonts w:ascii="Arial" w:cs="Arial" w:eastAsia="Arial" w:hAnsi="Arial"/>
                <w:sz w:val="14"/>
                <w:szCs w:val="14"/>
                <w:b w:val="1"/>
                <w:bCs w:val="1"/>
                <w:color w:val="auto"/>
              </w:rPr>
              <w:t>For the three months ended</w:t>
            </w:r>
          </w:p>
        </w:tc>
        <w:tc>
          <w:tcPr>
            <w:tcW w:w="280" w:type="dxa"/>
            <w:vAlign w:val="bottom"/>
          </w:tcPr>
          <w:p>
            <w:pPr>
              <w:spacing w:after="0"/>
              <w:rPr>
                <w:sz w:val="14"/>
                <w:szCs w:val="14"/>
                <w:color w:val="auto"/>
              </w:rPr>
            </w:pPr>
          </w:p>
        </w:tc>
        <w:tc>
          <w:tcPr>
            <w:tcW w:w="1840" w:type="dxa"/>
            <w:vAlign w:val="bottom"/>
            <w:gridSpan w:val="5"/>
          </w:tcPr>
          <w:p>
            <w:pPr>
              <w:jc w:val="right"/>
              <w:ind w:right="192"/>
              <w:spacing w:after="0"/>
              <w:rPr>
                <w:sz w:val="20"/>
                <w:szCs w:val="20"/>
                <w:color w:val="auto"/>
              </w:rPr>
            </w:pPr>
            <w:r>
              <w:rPr>
                <w:rFonts w:ascii="Arial" w:cs="Arial" w:eastAsia="Arial" w:hAnsi="Arial"/>
                <w:sz w:val="14"/>
                <w:szCs w:val="14"/>
                <w:b w:val="1"/>
                <w:bCs w:val="1"/>
                <w:color w:val="auto"/>
                <w:w w:val="90"/>
              </w:rPr>
              <w:t>For the six months ended</w:t>
            </w:r>
          </w:p>
        </w:tc>
        <w:tc>
          <w:tcPr>
            <w:tcW w:w="0" w:type="dxa"/>
            <w:vAlign w:val="bottom"/>
          </w:tcPr>
          <w:p>
            <w:pPr>
              <w:spacing w:after="0"/>
              <w:rPr>
                <w:sz w:val="1"/>
                <w:szCs w:val="1"/>
                <w:color w:val="auto"/>
              </w:rPr>
            </w:pPr>
          </w:p>
        </w:tc>
      </w:tr>
      <w:tr>
        <w:trPr>
          <w:trHeight w:val="171"/>
        </w:trPr>
        <w:tc>
          <w:tcPr>
            <w:tcW w:w="52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240" w:type="dxa"/>
            <w:vAlign w:val="bottom"/>
            <w:tcBorders>
              <w:bottom w:val="single" w:sz="8" w:color="auto"/>
            </w:tcBorders>
            <w:gridSpan w:val="3"/>
          </w:tcPr>
          <w:p>
            <w:pPr>
              <w:jc w:val="right"/>
              <w:ind w:right="27"/>
              <w:spacing w:after="0"/>
              <w:rPr>
                <w:sz w:val="20"/>
                <w:szCs w:val="20"/>
                <w:color w:val="auto"/>
              </w:rPr>
            </w:pPr>
            <w:r>
              <w:rPr>
                <w:rFonts w:ascii="Arial" w:cs="Arial" w:eastAsia="Arial" w:hAnsi="Arial"/>
                <w:sz w:val="14"/>
                <w:szCs w:val="14"/>
                <w:b w:val="1"/>
                <w:bCs w:val="1"/>
                <w:color w:val="auto"/>
              </w:rPr>
              <w:t>June 30,</w:t>
            </w:r>
          </w:p>
        </w:tc>
        <w:tc>
          <w:tcPr>
            <w:tcW w:w="70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gridSpan w:val="4"/>
          </w:tcPr>
          <w:p>
            <w:pPr>
              <w:jc w:val="right"/>
              <w:ind w:right="47"/>
              <w:spacing w:after="0"/>
              <w:rPr>
                <w:sz w:val="20"/>
                <w:szCs w:val="20"/>
                <w:color w:val="auto"/>
              </w:rPr>
            </w:pPr>
            <w:r>
              <w:rPr>
                <w:rFonts w:ascii="Arial" w:cs="Arial" w:eastAsia="Arial" w:hAnsi="Arial"/>
                <w:sz w:val="14"/>
                <w:szCs w:val="14"/>
                <w:b w:val="1"/>
                <w:bCs w:val="1"/>
                <w:color w:val="auto"/>
              </w:rPr>
              <w:t>June 30,</w:t>
            </w:r>
          </w:p>
        </w:tc>
        <w:tc>
          <w:tcPr>
            <w:tcW w:w="70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52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jc w:val="right"/>
              <w:ind w:right="235"/>
              <w:spacing w:after="0" w:line="142" w:lineRule="exact"/>
              <w:rPr>
                <w:sz w:val="20"/>
                <w:szCs w:val="20"/>
                <w:color w:val="auto"/>
              </w:rPr>
            </w:pPr>
            <w:r>
              <w:rPr>
                <w:rFonts w:ascii="Arial" w:cs="Arial" w:eastAsia="Arial" w:hAnsi="Arial"/>
                <w:sz w:val="14"/>
                <w:szCs w:val="14"/>
                <w:b w:val="1"/>
                <w:bCs w:val="1"/>
                <w:color w:val="auto"/>
              </w:rPr>
              <w:t>2022</w:t>
            </w:r>
          </w:p>
        </w:tc>
        <w:tc>
          <w:tcPr>
            <w:tcW w:w="200" w:type="dxa"/>
            <w:vAlign w:val="bottom"/>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ind w:right="234"/>
              <w:spacing w:after="0" w:line="142" w:lineRule="exact"/>
              <w:rPr>
                <w:sz w:val="20"/>
                <w:szCs w:val="20"/>
                <w:color w:val="auto"/>
              </w:rPr>
            </w:pPr>
            <w:r>
              <w:rPr>
                <w:rFonts w:ascii="Arial" w:cs="Arial" w:eastAsia="Arial" w:hAnsi="Arial"/>
                <w:sz w:val="14"/>
                <w:szCs w:val="14"/>
                <w:b w:val="1"/>
                <w:bCs w:val="1"/>
                <w:color w:val="auto"/>
              </w:rPr>
              <w:t>2021</w:t>
            </w:r>
          </w:p>
        </w:tc>
        <w:tc>
          <w:tcPr>
            <w:tcW w:w="200" w:type="dxa"/>
            <w:vAlign w:val="bottom"/>
          </w:tcPr>
          <w:p>
            <w:pPr>
              <w:spacing w:after="0"/>
              <w:rPr>
                <w:sz w:val="12"/>
                <w:szCs w:val="12"/>
                <w:color w:val="auto"/>
              </w:rPr>
            </w:pPr>
          </w:p>
        </w:tc>
        <w:tc>
          <w:tcPr>
            <w:tcW w:w="28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ind w:right="255"/>
              <w:spacing w:after="0" w:line="142" w:lineRule="exact"/>
              <w:rPr>
                <w:sz w:val="20"/>
                <w:szCs w:val="20"/>
                <w:color w:val="auto"/>
              </w:rPr>
            </w:pPr>
            <w:r>
              <w:rPr>
                <w:rFonts w:ascii="Arial" w:cs="Arial" w:eastAsia="Arial" w:hAnsi="Arial"/>
                <w:sz w:val="14"/>
                <w:szCs w:val="14"/>
                <w:b w:val="1"/>
                <w:bCs w:val="1"/>
                <w:color w:val="auto"/>
              </w:rPr>
              <w:t>2022</w:t>
            </w:r>
          </w:p>
        </w:tc>
        <w:tc>
          <w:tcPr>
            <w:tcW w:w="1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ind w:right="192"/>
              <w:spacing w:after="0" w:line="142" w:lineRule="exact"/>
              <w:rPr>
                <w:sz w:val="20"/>
                <w:szCs w:val="20"/>
                <w:color w:val="auto"/>
              </w:rPr>
            </w:pPr>
            <w:r>
              <w:rPr>
                <w:rFonts w:ascii="Arial" w:cs="Arial" w:eastAsia="Arial" w:hAnsi="Arial"/>
                <w:sz w:val="14"/>
                <w:szCs w:val="14"/>
                <w:b w:val="1"/>
                <w:bCs w:val="1"/>
                <w:color w:val="auto"/>
              </w:rPr>
              <w:t>2021</w:t>
            </w:r>
          </w:p>
        </w:tc>
        <w:tc>
          <w:tcPr>
            <w:tcW w:w="0" w:type="dxa"/>
            <w:vAlign w:val="bottom"/>
          </w:tcPr>
          <w:p>
            <w:pPr>
              <w:spacing w:after="0"/>
              <w:rPr>
                <w:sz w:val="1"/>
                <w:szCs w:val="1"/>
                <w:color w:val="auto"/>
              </w:rPr>
            </w:pPr>
          </w:p>
        </w:tc>
      </w:tr>
      <w:tr>
        <w:trPr>
          <w:trHeight w:val="129"/>
        </w:trPr>
        <w:tc>
          <w:tcPr>
            <w:tcW w:w="52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80" w:type="dxa"/>
            <w:vAlign w:val="bottom"/>
            <w:gridSpan w:val="3"/>
          </w:tcPr>
          <w:p>
            <w:pPr>
              <w:jc w:val="right"/>
              <w:spacing w:after="0" w:line="129" w:lineRule="exact"/>
              <w:rPr>
                <w:sz w:val="20"/>
                <w:szCs w:val="20"/>
                <w:color w:val="auto"/>
              </w:rPr>
            </w:pPr>
            <w:r>
              <w:rPr>
                <w:rFonts w:ascii="Arial" w:cs="Arial" w:eastAsia="Arial" w:hAnsi="Arial"/>
                <w:sz w:val="14"/>
                <w:szCs w:val="14"/>
                <w:i w:val="1"/>
                <w:iCs w:val="1"/>
                <w:color w:val="auto"/>
              </w:rPr>
              <w:t>(in millions)</w:t>
            </w:r>
          </w:p>
        </w:tc>
        <w:tc>
          <w:tcPr>
            <w:tcW w:w="6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5220" w:type="dxa"/>
            <w:vAlign w:val="bottom"/>
            <w:shd w:val="clear" w:color="auto" w:fill="CCEEFF"/>
          </w:tcPr>
          <w:p>
            <w:pPr>
              <w:spacing w:after="0"/>
              <w:rPr>
                <w:sz w:val="20"/>
                <w:szCs w:val="20"/>
                <w:color w:val="auto"/>
              </w:rPr>
            </w:pPr>
            <w:r>
              <w:rPr>
                <w:rFonts w:ascii="Arial" w:cs="Arial" w:eastAsia="Arial" w:hAnsi="Arial"/>
                <w:sz w:val="18"/>
                <w:szCs w:val="18"/>
                <w:color w:val="auto"/>
              </w:rPr>
              <w:t>Administrative service fee revenue</w:t>
            </w:r>
          </w:p>
        </w:tc>
        <w:tc>
          <w:tcPr>
            <w:tcW w:w="44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137.5</w:t>
            </w:r>
          </w:p>
        </w:tc>
        <w:tc>
          <w:tcPr>
            <w:tcW w:w="440" w:type="dxa"/>
            <w:vAlign w:val="bottom"/>
            <w:gridSpan w:val="2"/>
            <w:shd w:val="clear" w:color="auto" w:fill="CCEEFF"/>
          </w:tcPr>
          <w:p>
            <w:pPr>
              <w:jc w:val="right"/>
              <w:ind w:right="87"/>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145.4</w:t>
            </w:r>
          </w:p>
        </w:tc>
        <w:tc>
          <w:tcPr>
            <w:tcW w:w="20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127"/>
              <w:spacing w:after="0"/>
              <w:rPr>
                <w:sz w:val="20"/>
                <w:szCs w:val="20"/>
                <w:color w:val="auto"/>
              </w:rPr>
            </w:pPr>
            <w:r>
              <w:rPr>
                <w:rFonts w:ascii="Arial" w:cs="Arial" w:eastAsia="Arial" w:hAnsi="Arial"/>
                <w:sz w:val="15"/>
                <w:szCs w:val="15"/>
                <w:b w:val="1"/>
                <w:bCs w:val="1"/>
                <w:color w:val="auto"/>
                <w:w w:val="71"/>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279.0</w:t>
            </w:r>
          </w:p>
        </w:tc>
        <w:tc>
          <w:tcPr>
            <w:tcW w:w="180" w:type="dxa"/>
            <w:vAlign w:val="bottom"/>
            <w:shd w:val="clear" w:color="auto" w:fill="CCEEFF"/>
          </w:tcPr>
          <w:p>
            <w:pPr>
              <w:spacing w:after="0"/>
              <w:rPr>
                <w:sz w:val="18"/>
                <w:szCs w:val="18"/>
                <w:color w:val="auto"/>
              </w:rPr>
            </w:pPr>
          </w:p>
        </w:tc>
        <w:tc>
          <w:tcPr>
            <w:tcW w:w="280" w:type="dxa"/>
            <w:vAlign w:val="bottom"/>
            <w:gridSpan w:val="2"/>
            <w:shd w:val="clear" w:color="auto" w:fill="CCEEFF"/>
          </w:tcPr>
          <w:p>
            <w:pPr>
              <w:jc w:val="right"/>
              <w:ind w:right="107"/>
              <w:spacing w:after="0"/>
              <w:rPr>
                <w:sz w:val="20"/>
                <w:szCs w:val="20"/>
                <w:color w:val="auto"/>
              </w:rPr>
            </w:pPr>
            <w:r>
              <w:rPr>
                <w:rFonts w:ascii="Arial" w:cs="Arial" w:eastAsia="Arial" w:hAnsi="Arial"/>
                <w:sz w:val="18"/>
                <w:szCs w:val="18"/>
                <w:color w:val="auto"/>
                <w:w w:val="79"/>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287.2</w:t>
            </w:r>
          </w:p>
        </w:tc>
        <w:tc>
          <w:tcPr>
            <w:tcW w:w="0" w:type="dxa"/>
            <w:vAlign w:val="bottom"/>
          </w:tcPr>
          <w:p>
            <w:pPr>
              <w:spacing w:after="0"/>
              <w:rPr>
                <w:sz w:val="1"/>
                <w:szCs w:val="1"/>
                <w:color w:val="auto"/>
              </w:rPr>
            </w:pPr>
          </w:p>
        </w:tc>
      </w:tr>
      <w:tr>
        <w:trPr>
          <w:trHeight w:val="216"/>
        </w:trPr>
        <w:tc>
          <w:tcPr>
            <w:tcW w:w="52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Other fee revenue</w:t>
            </w:r>
          </w:p>
        </w:tc>
        <w:tc>
          <w:tcPr>
            <w:tcW w:w="30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1.0</w:t>
            </w:r>
          </w:p>
        </w:tc>
        <w:tc>
          <w:tcPr>
            <w:tcW w:w="20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w:t>
            </w:r>
          </w:p>
        </w:tc>
        <w:tc>
          <w:tcPr>
            <w:tcW w:w="20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1.2</w:t>
            </w:r>
          </w:p>
        </w:tc>
        <w:tc>
          <w:tcPr>
            <w:tcW w:w="180" w:type="dxa"/>
            <w:vAlign w:val="bottom"/>
            <w:tcBorders>
              <w:bottom w:val="single" w:sz="8" w:color="CCEEFF"/>
            </w:tcBorders>
          </w:tcPr>
          <w:p>
            <w:pPr>
              <w:spacing w:after="0"/>
              <w:rPr>
                <w:sz w:val="18"/>
                <w:szCs w:val="18"/>
                <w:color w:val="auto"/>
              </w:rPr>
            </w:pPr>
          </w:p>
        </w:tc>
        <w:tc>
          <w:tcPr>
            <w:tcW w:w="20" w:type="dxa"/>
            <w:vAlign w:val="bottom"/>
            <w:tcBorders>
              <w:bottom w:val="single" w:sz="8" w:color="CCEEFF"/>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w:t>
            </w:r>
          </w:p>
        </w:tc>
        <w:tc>
          <w:tcPr>
            <w:tcW w:w="0" w:type="dxa"/>
            <w:vAlign w:val="bottom"/>
          </w:tcPr>
          <w:p>
            <w:pPr>
              <w:spacing w:after="0"/>
              <w:rPr>
                <w:sz w:val="1"/>
                <w:szCs w:val="1"/>
                <w:color w:val="auto"/>
              </w:rPr>
            </w:pPr>
          </w:p>
        </w:tc>
      </w:tr>
      <w:tr>
        <w:trPr>
          <w:trHeight w:val="209"/>
        </w:trPr>
        <w:tc>
          <w:tcPr>
            <w:tcW w:w="5220" w:type="dxa"/>
            <w:vAlign w:val="bottom"/>
            <w:shd w:val="clear" w:color="auto" w:fill="CCEEFF"/>
          </w:tcPr>
          <w:p>
            <w:pPr>
              <w:ind w:left="120"/>
              <w:spacing w:after="0"/>
              <w:rPr>
                <w:sz w:val="20"/>
                <w:szCs w:val="20"/>
                <w:color w:val="auto"/>
              </w:rPr>
            </w:pPr>
            <w:r>
              <w:rPr>
                <w:rFonts w:ascii="Arial" w:cs="Arial" w:eastAsia="Arial" w:hAnsi="Arial"/>
                <w:sz w:val="18"/>
                <w:szCs w:val="18"/>
                <w:color w:val="auto"/>
              </w:rPr>
              <w:t>Total revenues from contracts with customers</w:t>
            </w: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138.5</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147.7</w:t>
            </w:r>
          </w:p>
        </w:tc>
        <w:tc>
          <w:tcPr>
            <w:tcW w:w="2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280.2</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289.6</w:t>
            </w:r>
          </w:p>
        </w:tc>
        <w:tc>
          <w:tcPr>
            <w:tcW w:w="0" w:type="dxa"/>
            <w:vAlign w:val="bottom"/>
          </w:tcPr>
          <w:p>
            <w:pPr>
              <w:spacing w:after="0"/>
              <w:rPr>
                <w:sz w:val="1"/>
                <w:szCs w:val="1"/>
                <w:color w:val="auto"/>
              </w:rPr>
            </w:pPr>
          </w:p>
        </w:tc>
      </w:tr>
      <w:tr>
        <w:trPr>
          <w:trHeight w:val="202"/>
        </w:trPr>
        <w:tc>
          <w:tcPr>
            <w:tcW w:w="5220" w:type="dxa"/>
            <w:vAlign w:val="bottom"/>
          </w:tcPr>
          <w:p>
            <w:pPr>
              <w:spacing w:after="0" w:line="201" w:lineRule="exact"/>
              <w:rPr>
                <w:sz w:val="20"/>
                <w:szCs w:val="20"/>
                <w:color w:val="auto"/>
              </w:rPr>
            </w:pPr>
            <w:r>
              <w:rPr>
                <w:rFonts w:ascii="Arial" w:cs="Arial" w:eastAsia="Arial" w:hAnsi="Arial"/>
                <w:sz w:val="18"/>
                <w:szCs w:val="18"/>
                <w:color w:val="auto"/>
                <w:w w:val="95"/>
              </w:rPr>
              <w:t>Fees and other revenues not within the scope of revenue recognition</w:t>
            </w:r>
          </w:p>
        </w:tc>
        <w:tc>
          <w:tcPr>
            <w:tcW w:w="3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290.9</w:t>
            </w: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8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609.2</w:t>
            </w: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5220" w:type="dxa"/>
            <w:vAlign w:val="bottom"/>
            <w:tcBorders>
              <w:bottom w:val="single" w:sz="8" w:color="CCEEFF"/>
            </w:tcBorders>
          </w:tcPr>
          <w:p>
            <w:pPr>
              <w:ind w:left="140"/>
              <w:spacing w:after="0"/>
              <w:rPr>
                <w:sz w:val="20"/>
                <w:szCs w:val="20"/>
                <w:color w:val="auto"/>
              </w:rPr>
            </w:pPr>
            <w:r>
              <w:rPr>
                <w:rFonts w:ascii="Arial" w:cs="Arial" w:eastAsia="Arial" w:hAnsi="Arial"/>
                <w:sz w:val="18"/>
                <w:szCs w:val="18"/>
                <w:color w:val="auto"/>
              </w:rPr>
              <w:t>guidance</w:t>
            </w:r>
          </w:p>
        </w:tc>
        <w:tc>
          <w:tcPr>
            <w:tcW w:w="300" w:type="dxa"/>
            <w:vAlign w:val="bottom"/>
            <w:tcBorders>
              <w:bottom w:val="single" w:sz="8" w:color="CCEEFF"/>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800" w:type="dxa"/>
            <w:vAlign w:val="bottom"/>
            <w:tcBorders>
              <w:bottom w:val="single" w:sz="8" w:color="auto"/>
            </w:tcBorders>
            <w:vMerge w:val="continue"/>
          </w:tcPr>
          <w:p>
            <w:pPr>
              <w:spacing w:after="0"/>
              <w:rPr>
                <w:sz w:val="20"/>
                <w:szCs w:val="20"/>
                <w:color w:val="auto"/>
              </w:rPr>
            </w:pPr>
          </w:p>
        </w:tc>
        <w:tc>
          <w:tcPr>
            <w:tcW w:w="200" w:type="dxa"/>
            <w:vAlign w:val="bottom"/>
            <w:tcBorders>
              <w:bottom w:val="single" w:sz="8" w:color="CCEEFF"/>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326.5</w:t>
            </w:r>
          </w:p>
        </w:tc>
        <w:tc>
          <w:tcPr>
            <w:tcW w:w="200" w:type="dxa"/>
            <w:vAlign w:val="bottom"/>
            <w:tcBorders>
              <w:bottom w:val="single" w:sz="8" w:color="CCEEFF"/>
            </w:tcBorders>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680" w:type="dxa"/>
            <w:vAlign w:val="bottom"/>
            <w:tcBorders>
              <w:bottom w:val="single" w:sz="8" w:color="auto"/>
            </w:tcBorders>
            <w:vMerge w:val="continue"/>
          </w:tcPr>
          <w:p>
            <w:pPr>
              <w:spacing w:after="0"/>
              <w:rPr>
                <w:sz w:val="20"/>
                <w:szCs w:val="20"/>
                <w:color w:val="auto"/>
              </w:rPr>
            </w:pPr>
          </w:p>
        </w:tc>
        <w:tc>
          <w:tcPr>
            <w:tcW w:w="180" w:type="dxa"/>
            <w:vAlign w:val="bottom"/>
            <w:tcBorders>
              <w:bottom w:val="single" w:sz="8" w:color="CCEEFF"/>
            </w:tcBorders>
          </w:tcPr>
          <w:p>
            <w:pPr>
              <w:spacing w:after="0"/>
              <w:rPr>
                <w:sz w:val="20"/>
                <w:szCs w:val="20"/>
                <w:color w:val="auto"/>
              </w:rPr>
            </w:pPr>
          </w:p>
        </w:tc>
        <w:tc>
          <w:tcPr>
            <w:tcW w:w="20" w:type="dxa"/>
            <w:vAlign w:val="bottom"/>
            <w:tcBorders>
              <w:bottom w:val="single" w:sz="8" w:color="CCEEFF"/>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640.2</w:t>
            </w:r>
          </w:p>
        </w:tc>
        <w:tc>
          <w:tcPr>
            <w:tcW w:w="0" w:type="dxa"/>
            <w:vAlign w:val="bottom"/>
          </w:tcPr>
          <w:p>
            <w:pPr>
              <w:spacing w:after="0"/>
              <w:rPr>
                <w:sz w:val="1"/>
                <w:szCs w:val="1"/>
                <w:color w:val="auto"/>
              </w:rPr>
            </w:pPr>
          </w:p>
        </w:tc>
      </w:tr>
      <w:tr>
        <w:trPr>
          <w:trHeight w:val="209"/>
        </w:trPr>
        <w:tc>
          <w:tcPr>
            <w:tcW w:w="5220" w:type="dxa"/>
            <w:vAlign w:val="bottom"/>
            <w:shd w:val="clear" w:color="auto" w:fill="CCEEFF"/>
          </w:tcPr>
          <w:p>
            <w:pPr>
              <w:spacing w:after="0"/>
              <w:rPr>
                <w:sz w:val="20"/>
                <w:szCs w:val="20"/>
                <w:color w:val="auto"/>
              </w:rPr>
            </w:pPr>
            <w:r>
              <w:rPr>
                <w:rFonts w:ascii="Arial" w:cs="Arial" w:eastAsia="Arial" w:hAnsi="Arial"/>
                <w:sz w:val="18"/>
                <w:szCs w:val="18"/>
                <w:color w:val="auto"/>
              </w:rPr>
              <w:t>Total fees and other revenues</w:t>
            </w: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429.4</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474.2</w:t>
            </w:r>
          </w:p>
        </w:tc>
        <w:tc>
          <w:tcPr>
            <w:tcW w:w="2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889.4</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929.8</w:t>
            </w:r>
          </w:p>
        </w:tc>
        <w:tc>
          <w:tcPr>
            <w:tcW w:w="0" w:type="dxa"/>
            <w:vAlign w:val="bottom"/>
          </w:tcPr>
          <w:p>
            <w:pPr>
              <w:spacing w:after="0"/>
              <w:rPr>
                <w:sz w:val="1"/>
                <w:szCs w:val="1"/>
                <w:color w:val="auto"/>
              </w:rPr>
            </w:pPr>
          </w:p>
        </w:tc>
      </w:tr>
      <w:tr>
        <w:trPr>
          <w:trHeight w:val="216"/>
        </w:trPr>
        <w:tc>
          <w:tcPr>
            <w:tcW w:w="5220" w:type="dxa"/>
            <w:vAlign w:val="bottom"/>
          </w:tcPr>
          <w:p>
            <w:pPr>
              <w:spacing w:after="0"/>
              <w:rPr>
                <w:sz w:val="20"/>
                <w:szCs w:val="20"/>
                <w:color w:val="auto"/>
              </w:rPr>
            </w:pPr>
            <w:r>
              <w:rPr>
                <w:rFonts w:ascii="Arial" w:cs="Arial" w:eastAsia="Arial" w:hAnsi="Arial"/>
                <w:sz w:val="18"/>
                <w:szCs w:val="18"/>
                <w:color w:val="auto"/>
              </w:rPr>
              <w:t>Premiums and other considerations</w:t>
            </w: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86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w:t>
            </w: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0.5</w:t>
            </w:r>
          </w:p>
        </w:tc>
        <w:tc>
          <w:tcPr>
            <w:tcW w:w="0" w:type="dxa"/>
            <w:vAlign w:val="bottom"/>
          </w:tcPr>
          <w:p>
            <w:pPr>
              <w:spacing w:after="0"/>
              <w:rPr>
                <w:sz w:val="1"/>
                <w:szCs w:val="1"/>
                <w:color w:val="auto"/>
              </w:rPr>
            </w:pPr>
          </w:p>
        </w:tc>
      </w:tr>
      <w:tr>
        <w:trPr>
          <w:trHeight w:val="216"/>
        </w:trPr>
        <w:tc>
          <w:tcPr>
            <w:tcW w:w="5220" w:type="dxa"/>
            <w:vAlign w:val="bottom"/>
            <w:shd w:val="clear" w:color="auto" w:fill="CCEEFF"/>
          </w:tcPr>
          <w:p>
            <w:pPr>
              <w:spacing w:after="0"/>
              <w:rPr>
                <w:sz w:val="20"/>
                <w:szCs w:val="20"/>
                <w:color w:val="auto"/>
              </w:rPr>
            </w:pPr>
            <w:r>
              <w:rPr>
                <w:rFonts w:ascii="Arial" w:cs="Arial" w:eastAsia="Arial" w:hAnsi="Arial"/>
                <w:sz w:val="18"/>
                <w:szCs w:val="18"/>
                <w:color w:val="auto"/>
              </w:rPr>
              <w:t>Net investment income</w:t>
            </w:r>
          </w:p>
        </w:tc>
        <w:tc>
          <w:tcPr>
            <w:tcW w:w="30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134.1</w:t>
            </w:r>
          </w:p>
        </w:tc>
        <w:tc>
          <w:tcPr>
            <w:tcW w:w="20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105.7</w:t>
            </w:r>
          </w:p>
        </w:tc>
        <w:tc>
          <w:tcPr>
            <w:tcW w:w="20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252.9</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212.7</w:t>
            </w:r>
          </w:p>
        </w:tc>
        <w:tc>
          <w:tcPr>
            <w:tcW w:w="0" w:type="dxa"/>
            <w:vAlign w:val="bottom"/>
          </w:tcPr>
          <w:p>
            <w:pPr>
              <w:spacing w:after="0"/>
              <w:rPr>
                <w:sz w:val="1"/>
                <w:szCs w:val="1"/>
                <w:color w:val="auto"/>
              </w:rPr>
            </w:pPr>
          </w:p>
        </w:tc>
      </w:tr>
      <w:tr>
        <w:trPr>
          <w:trHeight w:val="210"/>
        </w:trPr>
        <w:tc>
          <w:tcPr>
            <w:tcW w:w="5220" w:type="dxa"/>
            <w:vAlign w:val="bottom"/>
          </w:tcPr>
          <w:p>
            <w:pPr>
              <w:spacing w:after="0"/>
              <w:rPr>
                <w:sz w:val="20"/>
                <w:szCs w:val="20"/>
                <w:color w:val="auto"/>
              </w:rPr>
            </w:pPr>
            <w:r>
              <w:rPr>
                <w:rFonts w:ascii="Arial" w:cs="Arial" w:eastAsia="Arial" w:hAnsi="Arial"/>
                <w:sz w:val="18"/>
                <w:szCs w:val="18"/>
                <w:color w:val="auto"/>
              </w:rPr>
              <w:t>Total operating revenues</w:t>
            </w:r>
          </w:p>
        </w:tc>
        <w:tc>
          <w:tcPr>
            <w:tcW w:w="30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563.5</w:t>
            </w:r>
          </w:p>
        </w:tc>
        <w:tc>
          <w:tcPr>
            <w:tcW w:w="200" w:type="dxa"/>
            <w:vAlign w:val="bottom"/>
          </w:tcPr>
          <w:p>
            <w:pPr>
              <w:spacing w:after="0"/>
              <w:rPr>
                <w:sz w:val="18"/>
                <w:szCs w:val="18"/>
                <w:color w:val="auto"/>
              </w:rPr>
            </w:pPr>
          </w:p>
        </w:tc>
        <w:tc>
          <w:tcPr>
            <w:tcW w:w="240" w:type="dxa"/>
            <w:vAlign w:val="bottom"/>
            <w:tcBorders>
              <w:bottom w:val="single" w:sz="8" w:color="auto"/>
            </w:tcBorders>
          </w:tcPr>
          <w:p>
            <w:pPr>
              <w:jc w:val="right"/>
              <w:ind w:right="87"/>
              <w:spacing w:after="0"/>
              <w:rPr>
                <w:sz w:val="20"/>
                <w:szCs w:val="20"/>
                <w:color w:val="auto"/>
              </w:rPr>
            </w:pPr>
            <w:r>
              <w:rPr>
                <w:rFonts w:ascii="Arial" w:cs="Arial" w:eastAsia="Arial" w:hAnsi="Arial"/>
                <w:sz w:val="15"/>
                <w:szCs w:val="15"/>
                <w:color w:val="auto"/>
                <w:w w:val="71"/>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579.9</w:t>
            </w:r>
          </w:p>
        </w:tc>
        <w:tc>
          <w:tcPr>
            <w:tcW w:w="200" w:type="dxa"/>
            <w:vAlign w:val="bottom"/>
          </w:tcPr>
          <w:p>
            <w:pPr>
              <w:spacing w:after="0"/>
              <w:rPr>
                <w:sz w:val="18"/>
                <w:szCs w:val="18"/>
                <w:color w:val="auto"/>
              </w:rPr>
            </w:pPr>
          </w:p>
        </w:tc>
        <w:tc>
          <w:tcPr>
            <w:tcW w:w="280" w:type="dxa"/>
            <w:vAlign w:val="bottom"/>
            <w:tcBorders>
              <w:bottom w:val="single" w:sz="8" w:color="auto"/>
            </w:tcBorders>
          </w:tcPr>
          <w:p>
            <w:pPr>
              <w:jc w:val="right"/>
              <w:ind w:right="127"/>
              <w:spacing w:after="0"/>
              <w:rPr>
                <w:sz w:val="20"/>
                <w:szCs w:val="20"/>
                <w:color w:val="auto"/>
              </w:rPr>
            </w:pPr>
            <w:r>
              <w:rPr>
                <w:rFonts w:ascii="Arial" w:cs="Arial" w:eastAsia="Arial" w:hAnsi="Arial"/>
                <w:sz w:val="15"/>
                <w:szCs w:val="15"/>
                <w:b w:val="1"/>
                <w:bCs w:val="1"/>
                <w:color w:val="auto"/>
                <w:w w:val="71"/>
              </w:rPr>
              <w:t>$</w:t>
            </w: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99"/>
              </w:rPr>
              <w:t>1,142.3</w:t>
            </w:r>
          </w:p>
        </w:tc>
        <w:tc>
          <w:tcPr>
            <w:tcW w:w="18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260" w:type="dxa"/>
            <w:vAlign w:val="bottom"/>
            <w:tcBorders>
              <w:bottom w:val="single" w:sz="8" w:color="auto"/>
            </w:tcBorders>
          </w:tcPr>
          <w:p>
            <w:pPr>
              <w:jc w:val="right"/>
              <w:ind w:right="107"/>
              <w:spacing w:after="0"/>
              <w:rPr>
                <w:sz w:val="20"/>
                <w:szCs w:val="20"/>
                <w:color w:val="auto"/>
              </w:rPr>
            </w:pPr>
            <w:r>
              <w:rPr>
                <w:rFonts w:ascii="Arial" w:cs="Arial" w:eastAsia="Arial" w:hAnsi="Arial"/>
                <w:sz w:val="15"/>
                <w:szCs w:val="15"/>
                <w:color w:val="auto"/>
                <w:w w:val="71"/>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1,143.</w:t>
            </w:r>
            <w:r>
              <w:rPr>
                <w:rFonts w:ascii="Arial" w:cs="Arial" w:eastAsia="Arial" w:hAnsi="Arial"/>
                <w:sz w:val="18"/>
                <w:szCs w:val="18"/>
                <w:u w:val="single" w:color="auto"/>
                <w:color w:val="auto"/>
              </w:rPr>
              <w:t>0</w:t>
            </w:r>
          </w:p>
        </w:tc>
        <w:tc>
          <w:tcPr>
            <w:tcW w:w="0" w:type="dxa"/>
            <w:vAlign w:val="bottom"/>
          </w:tcPr>
          <w:p>
            <w:pPr>
              <w:spacing w:after="0"/>
              <w:rPr>
                <w:sz w:val="1"/>
                <w:szCs w:val="1"/>
                <w:color w:val="auto"/>
              </w:rPr>
            </w:pPr>
          </w:p>
        </w:tc>
      </w:tr>
      <w:tr>
        <w:trPr>
          <w:trHeight w:val="20"/>
        </w:trPr>
        <w:tc>
          <w:tcPr>
            <w:tcW w:w="52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Retirement and Income Solutions - Spread</w:t>
      </w:r>
    </w:p>
    <w:p>
      <w:pPr>
        <w:spacing w:after="0" w:line="225" w:lineRule="exact"/>
        <w:rPr>
          <w:sz w:val="20"/>
          <w:szCs w:val="20"/>
          <w:color w:val="auto"/>
        </w:rPr>
      </w:pPr>
    </w:p>
    <w:p>
      <w:pPr>
        <w:ind w:firstLine="648"/>
        <w:spacing w:after="0" w:line="269" w:lineRule="auto"/>
        <w:rPr>
          <w:sz w:val="20"/>
          <w:szCs w:val="20"/>
          <w:color w:val="auto"/>
        </w:rPr>
      </w:pPr>
      <w:r>
        <w:rPr>
          <w:rFonts w:ascii="Arial" w:cs="Arial" w:eastAsia="Arial" w:hAnsi="Arial"/>
          <w:sz w:val="17"/>
          <w:szCs w:val="17"/>
          <w:color w:val="auto"/>
        </w:rPr>
        <w:t>Retirement and Income Solutions – Spread offers individual retirement accounts (“IRAs”) through Principal Bank, which are primarily funded by retirement savings rolled over from qualified retirement plans. The IRAs are held in savings accounts, money market accounts and certificates of deposit. Revenues are earned through fees as the performance of establishing and maintaining IRA accounts is completed. Fee-for-service transactions are also provided upon client request. The establishment fees and annual maintenance fees are accrued into earnings over a period of time using the average account life. Upfront and recurring bank fees are related to performance obligations that have the same pattern of transfer to the customer and are recognized in income over time with control transferred to the customers utilizing the output method. These fees are based on a fixed contractual rate. Fixed fees and other revenues are also recognized point-in-time as fee-for-service transactions upon completion. Additionally, commission income is earned on advisory services provided to customers. The revenues are earned over time as the service is performed based upon contractual rates applied to the market value of the clients’ portfolios.</w:t>
      </w:r>
    </w:p>
    <w:p>
      <w:pPr>
        <w:spacing w:after="0" w:line="18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types of revenues from contracts with customers were as follows:</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4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240" w:type="dxa"/>
            <w:vAlign w:val="bottom"/>
            <w:gridSpan w:val="5"/>
          </w:tcPr>
          <w:p>
            <w:pPr>
              <w:ind w:left="80"/>
              <w:spacing w:after="0"/>
              <w:rPr>
                <w:sz w:val="20"/>
                <w:szCs w:val="20"/>
                <w:color w:val="auto"/>
              </w:rPr>
            </w:pPr>
            <w:r>
              <w:rPr>
                <w:rFonts w:ascii="Arial" w:cs="Arial" w:eastAsia="Arial" w:hAnsi="Arial"/>
                <w:sz w:val="14"/>
                <w:szCs w:val="14"/>
                <w:b w:val="1"/>
                <w:bCs w:val="1"/>
                <w:color w:val="auto"/>
              </w:rPr>
              <w:t>For the three months ended</w:t>
            </w:r>
          </w:p>
        </w:tc>
        <w:tc>
          <w:tcPr>
            <w:tcW w:w="200" w:type="dxa"/>
            <w:vAlign w:val="bottom"/>
          </w:tcPr>
          <w:p>
            <w:pPr>
              <w:spacing w:after="0"/>
              <w:rPr>
                <w:sz w:val="14"/>
                <w:szCs w:val="14"/>
                <w:color w:val="auto"/>
              </w:rPr>
            </w:pPr>
          </w:p>
        </w:tc>
        <w:tc>
          <w:tcPr>
            <w:tcW w:w="1820" w:type="dxa"/>
            <w:vAlign w:val="bottom"/>
            <w:gridSpan w:val="5"/>
          </w:tcPr>
          <w:p>
            <w:pPr>
              <w:jc w:val="right"/>
              <w:ind w:right="152"/>
              <w:spacing w:after="0"/>
              <w:rPr>
                <w:sz w:val="20"/>
                <w:szCs w:val="20"/>
                <w:color w:val="auto"/>
              </w:rPr>
            </w:pPr>
            <w:r>
              <w:rPr>
                <w:rFonts w:ascii="Arial" w:cs="Arial" w:eastAsia="Arial" w:hAnsi="Arial"/>
                <w:sz w:val="14"/>
                <w:szCs w:val="14"/>
                <w:b w:val="1"/>
                <w:bCs w:val="1"/>
                <w:color w:val="auto"/>
                <w:w w:val="91"/>
              </w:rPr>
              <w:t>For the six months ended</w:t>
            </w:r>
          </w:p>
        </w:tc>
        <w:tc>
          <w:tcPr>
            <w:tcW w:w="0" w:type="dxa"/>
            <w:vAlign w:val="bottom"/>
          </w:tcPr>
          <w:p>
            <w:pPr>
              <w:spacing w:after="0"/>
              <w:rPr>
                <w:sz w:val="1"/>
                <w:szCs w:val="1"/>
                <w:color w:val="auto"/>
              </w:rPr>
            </w:pPr>
          </w:p>
        </w:tc>
      </w:tr>
      <w:tr>
        <w:trPr>
          <w:trHeight w:val="171"/>
        </w:trPr>
        <w:tc>
          <w:tcPr>
            <w:tcW w:w="548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280" w:type="dxa"/>
            <w:vAlign w:val="bottom"/>
            <w:tcBorders>
              <w:bottom w:val="single" w:sz="8" w:color="auto"/>
            </w:tcBorders>
            <w:gridSpan w:val="3"/>
          </w:tcPr>
          <w:p>
            <w:pPr>
              <w:jc w:val="right"/>
              <w:ind w:right="27"/>
              <w:spacing w:after="0"/>
              <w:rPr>
                <w:sz w:val="20"/>
                <w:szCs w:val="20"/>
                <w:color w:val="auto"/>
              </w:rPr>
            </w:pPr>
            <w:r>
              <w:rPr>
                <w:rFonts w:ascii="Arial" w:cs="Arial" w:eastAsia="Arial" w:hAnsi="Arial"/>
                <w:sz w:val="14"/>
                <w:szCs w:val="14"/>
                <w:b w:val="1"/>
                <w:bCs w:val="1"/>
                <w:color w:val="auto"/>
              </w:rPr>
              <w:t>June 30,</w:t>
            </w:r>
          </w:p>
        </w:tc>
        <w:tc>
          <w:tcPr>
            <w:tcW w:w="780" w:type="dxa"/>
            <w:vAlign w:val="bottom"/>
            <w:tcBorders>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gridSpan w:val="4"/>
          </w:tcPr>
          <w:p>
            <w:pPr>
              <w:jc w:val="right"/>
              <w:ind w:right="7"/>
              <w:spacing w:after="0"/>
              <w:rPr>
                <w:sz w:val="20"/>
                <w:szCs w:val="20"/>
                <w:color w:val="auto"/>
              </w:rPr>
            </w:pPr>
            <w:r>
              <w:rPr>
                <w:rFonts w:ascii="Arial" w:cs="Arial" w:eastAsia="Arial" w:hAnsi="Arial"/>
                <w:sz w:val="14"/>
                <w:szCs w:val="14"/>
                <w:b w:val="1"/>
                <w:bCs w:val="1"/>
                <w:color w:val="auto"/>
              </w:rPr>
              <w:t>June 30,</w:t>
            </w:r>
          </w:p>
        </w:tc>
        <w:tc>
          <w:tcPr>
            <w:tcW w:w="68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5480" w:type="dxa"/>
            <w:vAlign w:val="bottom"/>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840" w:type="dxa"/>
            <w:vAlign w:val="bottom"/>
            <w:tcBorders>
              <w:bottom w:val="single" w:sz="8" w:color="auto"/>
            </w:tcBorders>
          </w:tcPr>
          <w:p>
            <w:pPr>
              <w:jc w:val="right"/>
              <w:ind w:right="275"/>
              <w:spacing w:after="0" w:line="142" w:lineRule="exact"/>
              <w:rPr>
                <w:sz w:val="20"/>
                <w:szCs w:val="20"/>
                <w:color w:val="auto"/>
              </w:rPr>
            </w:pPr>
            <w:r>
              <w:rPr>
                <w:rFonts w:ascii="Arial" w:cs="Arial" w:eastAsia="Arial" w:hAnsi="Arial"/>
                <w:sz w:val="14"/>
                <w:szCs w:val="14"/>
                <w:b w:val="1"/>
                <w:bCs w:val="1"/>
                <w:color w:val="auto"/>
              </w:rPr>
              <w:t>2022</w:t>
            </w:r>
          </w:p>
        </w:tc>
        <w:tc>
          <w:tcPr>
            <w:tcW w:w="200" w:type="dxa"/>
            <w:vAlign w:val="bottom"/>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ind w:right="294"/>
              <w:spacing w:after="0" w:line="142" w:lineRule="exact"/>
              <w:rPr>
                <w:sz w:val="20"/>
                <w:szCs w:val="20"/>
                <w:color w:val="auto"/>
              </w:rPr>
            </w:pPr>
            <w:r>
              <w:rPr>
                <w:rFonts w:ascii="Arial" w:cs="Arial" w:eastAsia="Arial" w:hAnsi="Arial"/>
                <w:sz w:val="14"/>
                <w:szCs w:val="14"/>
                <w:b w:val="1"/>
                <w:bCs w:val="1"/>
                <w:color w:val="auto"/>
              </w:rPr>
              <w:t>2021</w:t>
            </w:r>
          </w:p>
        </w:tc>
        <w:tc>
          <w:tcPr>
            <w:tcW w:w="180" w:type="dxa"/>
            <w:vAlign w:val="bottom"/>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tcPr>
          <w:p>
            <w:pPr>
              <w:jc w:val="right"/>
              <w:ind w:right="235"/>
              <w:spacing w:after="0" w:line="142" w:lineRule="exact"/>
              <w:rPr>
                <w:sz w:val="20"/>
                <w:szCs w:val="20"/>
                <w:color w:val="auto"/>
              </w:rPr>
            </w:pPr>
            <w:r>
              <w:rPr>
                <w:rFonts w:ascii="Arial" w:cs="Arial" w:eastAsia="Arial" w:hAnsi="Arial"/>
                <w:sz w:val="14"/>
                <w:szCs w:val="14"/>
                <w:b w:val="1"/>
                <w:bCs w:val="1"/>
                <w:color w:val="auto"/>
              </w:rPr>
              <w:t>2022</w:t>
            </w:r>
          </w:p>
        </w:tc>
        <w:tc>
          <w:tcPr>
            <w:tcW w:w="1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ind w:right="232"/>
              <w:spacing w:after="0" w:line="142" w:lineRule="exact"/>
              <w:rPr>
                <w:sz w:val="20"/>
                <w:szCs w:val="20"/>
                <w:color w:val="auto"/>
              </w:rPr>
            </w:pPr>
            <w:r>
              <w:rPr>
                <w:rFonts w:ascii="Arial" w:cs="Arial" w:eastAsia="Arial" w:hAnsi="Arial"/>
                <w:sz w:val="14"/>
                <w:szCs w:val="14"/>
                <w:b w:val="1"/>
                <w:bCs w:val="1"/>
                <w:color w:val="auto"/>
              </w:rPr>
              <w:t>2021</w:t>
            </w:r>
          </w:p>
        </w:tc>
        <w:tc>
          <w:tcPr>
            <w:tcW w:w="0" w:type="dxa"/>
            <w:vAlign w:val="bottom"/>
          </w:tcPr>
          <w:p>
            <w:pPr>
              <w:spacing w:after="0"/>
              <w:rPr>
                <w:sz w:val="1"/>
                <w:szCs w:val="1"/>
                <w:color w:val="auto"/>
              </w:rPr>
            </w:pPr>
          </w:p>
        </w:tc>
      </w:tr>
      <w:tr>
        <w:trPr>
          <w:trHeight w:val="129"/>
        </w:trPr>
        <w:tc>
          <w:tcPr>
            <w:tcW w:w="54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60" w:type="dxa"/>
            <w:vAlign w:val="bottom"/>
            <w:gridSpan w:val="3"/>
          </w:tcPr>
          <w:p>
            <w:pPr>
              <w:jc w:val="right"/>
              <w:spacing w:after="0" w:line="129" w:lineRule="exact"/>
              <w:rPr>
                <w:sz w:val="20"/>
                <w:szCs w:val="20"/>
                <w:color w:val="auto"/>
              </w:rPr>
            </w:pPr>
            <w:r>
              <w:rPr>
                <w:rFonts w:ascii="Arial" w:cs="Arial" w:eastAsia="Arial" w:hAnsi="Arial"/>
                <w:sz w:val="14"/>
                <w:szCs w:val="14"/>
                <w:i w:val="1"/>
                <w:iCs w:val="1"/>
                <w:color w:val="auto"/>
              </w:rPr>
              <w:t>(in millions)</w:t>
            </w:r>
          </w:p>
        </w:tc>
        <w:tc>
          <w:tcPr>
            <w:tcW w:w="7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5480" w:type="dxa"/>
            <w:vAlign w:val="bottom"/>
            <w:shd w:val="clear" w:color="auto" w:fill="CCEEFF"/>
          </w:tcPr>
          <w:p>
            <w:pPr>
              <w:spacing w:after="0"/>
              <w:rPr>
                <w:sz w:val="20"/>
                <w:szCs w:val="20"/>
                <w:color w:val="auto"/>
              </w:rPr>
            </w:pPr>
            <w:r>
              <w:rPr>
                <w:rFonts w:ascii="Arial" w:cs="Arial" w:eastAsia="Arial" w:hAnsi="Arial"/>
                <w:sz w:val="18"/>
                <w:szCs w:val="18"/>
                <w:color w:val="auto"/>
              </w:rPr>
              <w:t>Deposit account fee revenue</w:t>
            </w:r>
          </w:p>
        </w:tc>
        <w:tc>
          <w:tcPr>
            <w:tcW w:w="180" w:type="dxa"/>
            <w:vAlign w:val="bottom"/>
            <w:shd w:val="clear" w:color="auto" w:fill="CCEEFF"/>
          </w:tcPr>
          <w:p>
            <w:pPr>
              <w:jc w:val="right"/>
              <w:ind w:right="27"/>
              <w:spacing w:after="0"/>
              <w:rPr>
                <w:sz w:val="20"/>
                <w:szCs w:val="20"/>
                <w:color w:val="auto"/>
              </w:rPr>
            </w:pPr>
            <w:r>
              <w:rPr>
                <w:rFonts w:ascii="Arial" w:cs="Arial" w:eastAsia="Arial" w:hAnsi="Arial"/>
                <w:sz w:val="15"/>
                <w:szCs w:val="15"/>
                <w:b w:val="1"/>
                <w:bCs w:val="1"/>
                <w:color w:val="auto"/>
                <w:w w:val="71"/>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2.5</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w:t>
            </w: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79"/>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5.0</w:t>
            </w:r>
          </w:p>
        </w:tc>
        <w:tc>
          <w:tcPr>
            <w:tcW w:w="180" w:type="dxa"/>
            <w:vAlign w:val="bottom"/>
            <w:shd w:val="clear" w:color="auto" w:fill="CCEEFF"/>
          </w:tcPr>
          <w:p>
            <w:pPr>
              <w:spacing w:after="0"/>
              <w:rPr>
                <w:sz w:val="18"/>
                <w:szCs w:val="18"/>
                <w:color w:val="auto"/>
              </w:rPr>
            </w:pPr>
          </w:p>
        </w:tc>
        <w:tc>
          <w:tcPr>
            <w:tcW w:w="240" w:type="dxa"/>
            <w:vAlign w:val="bottom"/>
            <w:gridSpan w:val="2"/>
            <w:shd w:val="clear" w:color="auto" w:fill="CCEEFF"/>
          </w:tcPr>
          <w:p>
            <w:pPr>
              <w:jc w:val="right"/>
              <w:ind w:right="67"/>
              <w:spacing w:after="0"/>
              <w:rPr>
                <w:sz w:val="20"/>
                <w:szCs w:val="20"/>
                <w:color w:val="auto"/>
              </w:rPr>
            </w:pPr>
            <w:r>
              <w:rPr>
                <w:rFonts w:ascii="Arial" w:cs="Arial" w:eastAsia="Arial" w:hAnsi="Arial"/>
                <w:sz w:val="18"/>
                <w:szCs w:val="18"/>
                <w:color w:val="auto"/>
                <w:w w:val="79"/>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w:t>
            </w:r>
          </w:p>
        </w:tc>
        <w:tc>
          <w:tcPr>
            <w:tcW w:w="0" w:type="dxa"/>
            <w:vAlign w:val="bottom"/>
          </w:tcPr>
          <w:p>
            <w:pPr>
              <w:spacing w:after="0"/>
              <w:rPr>
                <w:sz w:val="1"/>
                <w:szCs w:val="1"/>
                <w:color w:val="auto"/>
              </w:rPr>
            </w:pPr>
          </w:p>
        </w:tc>
      </w:tr>
      <w:tr>
        <w:trPr>
          <w:trHeight w:val="216"/>
        </w:trPr>
        <w:tc>
          <w:tcPr>
            <w:tcW w:w="548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Commission income</w:t>
            </w:r>
          </w:p>
        </w:tc>
        <w:tc>
          <w:tcPr>
            <w:tcW w:w="18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0.3</w:t>
            </w:r>
          </w:p>
        </w:tc>
        <w:tc>
          <w:tcPr>
            <w:tcW w:w="20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0.2</w:t>
            </w:r>
          </w:p>
        </w:tc>
        <w:tc>
          <w:tcPr>
            <w:tcW w:w="18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0.5</w:t>
            </w:r>
          </w:p>
        </w:tc>
        <w:tc>
          <w:tcPr>
            <w:tcW w:w="180" w:type="dxa"/>
            <w:vAlign w:val="bottom"/>
            <w:tcBorders>
              <w:bottom w:val="single" w:sz="8" w:color="CCEEFF"/>
            </w:tcBorders>
          </w:tcPr>
          <w:p>
            <w:pPr>
              <w:spacing w:after="0"/>
              <w:rPr>
                <w:sz w:val="18"/>
                <w:szCs w:val="18"/>
                <w:color w:val="auto"/>
              </w:rPr>
            </w:pPr>
          </w:p>
        </w:tc>
        <w:tc>
          <w:tcPr>
            <w:tcW w:w="2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0.3</w:t>
            </w:r>
          </w:p>
        </w:tc>
        <w:tc>
          <w:tcPr>
            <w:tcW w:w="0" w:type="dxa"/>
            <w:vAlign w:val="bottom"/>
          </w:tcPr>
          <w:p>
            <w:pPr>
              <w:spacing w:after="0"/>
              <w:rPr>
                <w:sz w:val="1"/>
                <w:szCs w:val="1"/>
                <w:color w:val="auto"/>
              </w:rPr>
            </w:pPr>
          </w:p>
        </w:tc>
      </w:tr>
      <w:tr>
        <w:trPr>
          <w:trHeight w:val="209"/>
        </w:trPr>
        <w:tc>
          <w:tcPr>
            <w:tcW w:w="54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Total revenues from contracts with customers</w:t>
            </w:r>
          </w:p>
        </w:tc>
        <w:tc>
          <w:tcPr>
            <w:tcW w:w="18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2.8</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w:t>
            </w: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5.5</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w:t>
            </w:r>
          </w:p>
        </w:tc>
        <w:tc>
          <w:tcPr>
            <w:tcW w:w="0" w:type="dxa"/>
            <w:vAlign w:val="bottom"/>
          </w:tcPr>
          <w:p>
            <w:pPr>
              <w:spacing w:after="0"/>
              <w:rPr>
                <w:sz w:val="1"/>
                <w:szCs w:val="1"/>
                <w:color w:val="auto"/>
              </w:rPr>
            </w:pPr>
          </w:p>
        </w:tc>
      </w:tr>
      <w:tr>
        <w:trPr>
          <w:trHeight w:val="202"/>
        </w:trPr>
        <w:tc>
          <w:tcPr>
            <w:tcW w:w="5480" w:type="dxa"/>
            <w:vAlign w:val="bottom"/>
          </w:tcPr>
          <w:p>
            <w:pPr>
              <w:spacing w:after="0" w:line="201" w:lineRule="exact"/>
              <w:rPr>
                <w:sz w:val="20"/>
                <w:szCs w:val="20"/>
                <w:color w:val="auto"/>
              </w:rPr>
            </w:pPr>
            <w:r>
              <w:rPr>
                <w:rFonts w:ascii="Arial" w:cs="Arial" w:eastAsia="Arial" w:hAnsi="Arial"/>
                <w:sz w:val="18"/>
                <w:szCs w:val="18"/>
                <w:color w:val="auto"/>
                <w:w w:val="99"/>
              </w:rPr>
              <w:t>Fees and other revenues not within the scope of revenue recognition</w:t>
            </w:r>
          </w:p>
        </w:tc>
        <w:tc>
          <w:tcPr>
            <w:tcW w:w="180" w:type="dxa"/>
            <w:vAlign w:val="bottom"/>
          </w:tcPr>
          <w:p>
            <w:pPr>
              <w:spacing w:after="0"/>
              <w:rPr>
                <w:sz w:val="17"/>
                <w:szCs w:val="17"/>
                <w:color w:val="auto"/>
              </w:rPr>
            </w:pPr>
          </w:p>
        </w:tc>
        <w:tc>
          <w:tcPr>
            <w:tcW w:w="84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0.1</w:t>
            </w: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2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1.2</w:t>
            </w: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5480" w:type="dxa"/>
            <w:vAlign w:val="bottom"/>
            <w:tcBorders>
              <w:bottom w:val="single" w:sz="8" w:color="CCEEFF"/>
            </w:tcBorders>
          </w:tcPr>
          <w:p>
            <w:pPr>
              <w:ind w:left="140"/>
              <w:spacing w:after="0"/>
              <w:rPr>
                <w:sz w:val="20"/>
                <w:szCs w:val="20"/>
                <w:color w:val="auto"/>
              </w:rPr>
            </w:pPr>
            <w:r>
              <w:rPr>
                <w:rFonts w:ascii="Arial" w:cs="Arial" w:eastAsia="Arial" w:hAnsi="Arial"/>
                <w:sz w:val="18"/>
                <w:szCs w:val="18"/>
                <w:color w:val="auto"/>
              </w:rPr>
              <w:t>guidance</w:t>
            </w:r>
          </w:p>
        </w:tc>
        <w:tc>
          <w:tcPr>
            <w:tcW w:w="18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vMerge w:val="continue"/>
          </w:tcPr>
          <w:p>
            <w:pPr>
              <w:spacing w:after="0"/>
              <w:rPr>
                <w:sz w:val="20"/>
                <w:szCs w:val="20"/>
                <w:color w:val="auto"/>
              </w:rPr>
            </w:pPr>
          </w:p>
        </w:tc>
        <w:tc>
          <w:tcPr>
            <w:tcW w:w="200" w:type="dxa"/>
            <w:vAlign w:val="bottom"/>
            <w:tcBorders>
              <w:bottom w:val="single" w:sz="8" w:color="CCEEFF"/>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w:t>
            </w:r>
          </w:p>
        </w:tc>
        <w:tc>
          <w:tcPr>
            <w:tcW w:w="180" w:type="dxa"/>
            <w:vAlign w:val="bottom"/>
            <w:tcBorders>
              <w:bottom w:val="single" w:sz="8" w:color="CCEEFF"/>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720" w:type="dxa"/>
            <w:vAlign w:val="bottom"/>
            <w:tcBorders>
              <w:bottom w:val="single" w:sz="8" w:color="auto"/>
            </w:tcBorders>
            <w:vMerge w:val="continue"/>
          </w:tcPr>
          <w:p>
            <w:pPr>
              <w:spacing w:after="0"/>
              <w:rPr>
                <w:sz w:val="20"/>
                <w:szCs w:val="20"/>
                <w:color w:val="auto"/>
              </w:rPr>
            </w:pPr>
          </w:p>
        </w:tc>
        <w:tc>
          <w:tcPr>
            <w:tcW w:w="180" w:type="dxa"/>
            <w:vAlign w:val="bottom"/>
            <w:tcBorders>
              <w:bottom w:val="single" w:sz="8" w:color="CCEEFF"/>
            </w:tcBorders>
          </w:tcPr>
          <w:p>
            <w:pPr>
              <w:spacing w:after="0"/>
              <w:rPr>
                <w:sz w:val="20"/>
                <w:szCs w:val="20"/>
                <w:color w:val="auto"/>
              </w:rPr>
            </w:pPr>
          </w:p>
        </w:tc>
        <w:tc>
          <w:tcPr>
            <w:tcW w:w="20" w:type="dxa"/>
            <w:vAlign w:val="bottom"/>
            <w:tcBorders>
              <w:bottom w:val="single" w:sz="8" w:color="CCEEFF"/>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4.7</w:t>
            </w:r>
          </w:p>
        </w:tc>
        <w:tc>
          <w:tcPr>
            <w:tcW w:w="0" w:type="dxa"/>
            <w:vAlign w:val="bottom"/>
          </w:tcPr>
          <w:p>
            <w:pPr>
              <w:spacing w:after="0"/>
              <w:rPr>
                <w:sz w:val="1"/>
                <w:szCs w:val="1"/>
                <w:color w:val="auto"/>
              </w:rPr>
            </w:pPr>
          </w:p>
        </w:tc>
      </w:tr>
      <w:tr>
        <w:trPr>
          <w:trHeight w:val="210"/>
        </w:trPr>
        <w:tc>
          <w:tcPr>
            <w:tcW w:w="5480" w:type="dxa"/>
            <w:vAlign w:val="bottom"/>
            <w:shd w:val="clear" w:color="auto" w:fill="CCEEFF"/>
          </w:tcPr>
          <w:p>
            <w:pPr>
              <w:spacing w:after="0"/>
              <w:rPr>
                <w:sz w:val="20"/>
                <w:szCs w:val="20"/>
                <w:color w:val="auto"/>
              </w:rPr>
            </w:pPr>
            <w:r>
              <w:rPr>
                <w:rFonts w:ascii="Arial" w:cs="Arial" w:eastAsia="Arial" w:hAnsi="Arial"/>
                <w:sz w:val="18"/>
                <w:szCs w:val="18"/>
                <w:color w:val="auto"/>
              </w:rPr>
              <w:t>Total fees and other revenues</w:t>
            </w:r>
          </w:p>
        </w:tc>
        <w:tc>
          <w:tcPr>
            <w:tcW w:w="18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2.9</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w:t>
            </w: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6.7</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w:t>
            </w:r>
          </w:p>
        </w:tc>
        <w:tc>
          <w:tcPr>
            <w:tcW w:w="0" w:type="dxa"/>
            <w:vAlign w:val="bottom"/>
          </w:tcPr>
          <w:p>
            <w:pPr>
              <w:spacing w:after="0"/>
              <w:rPr>
                <w:sz w:val="1"/>
                <w:szCs w:val="1"/>
                <w:color w:val="auto"/>
              </w:rPr>
            </w:pPr>
          </w:p>
        </w:tc>
      </w:tr>
      <w:tr>
        <w:trPr>
          <w:trHeight w:val="216"/>
        </w:trPr>
        <w:tc>
          <w:tcPr>
            <w:tcW w:w="5480" w:type="dxa"/>
            <w:vAlign w:val="bottom"/>
          </w:tcPr>
          <w:p>
            <w:pPr>
              <w:spacing w:after="0"/>
              <w:rPr>
                <w:sz w:val="20"/>
                <w:szCs w:val="20"/>
                <w:color w:val="auto"/>
              </w:rPr>
            </w:pPr>
            <w:r>
              <w:rPr>
                <w:rFonts w:ascii="Arial" w:cs="Arial" w:eastAsia="Arial" w:hAnsi="Arial"/>
                <w:sz w:val="18"/>
                <w:szCs w:val="18"/>
                <w:color w:val="auto"/>
              </w:rPr>
              <w:t>Premiums and other considerations</w:t>
            </w:r>
          </w:p>
        </w:tc>
        <w:tc>
          <w:tcPr>
            <w:tcW w:w="18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b w:val="1"/>
                <w:bCs w:val="1"/>
                <w:color w:val="auto"/>
              </w:rPr>
              <w:t>467.0</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525.0</w:t>
            </w: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rPr>
              <w:t>590.3</w:t>
            </w: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629.8</w:t>
            </w:r>
          </w:p>
        </w:tc>
        <w:tc>
          <w:tcPr>
            <w:tcW w:w="0" w:type="dxa"/>
            <w:vAlign w:val="bottom"/>
          </w:tcPr>
          <w:p>
            <w:pPr>
              <w:spacing w:after="0"/>
              <w:rPr>
                <w:sz w:val="1"/>
                <w:szCs w:val="1"/>
                <w:color w:val="auto"/>
              </w:rPr>
            </w:pPr>
          </w:p>
        </w:tc>
      </w:tr>
      <w:tr>
        <w:trPr>
          <w:trHeight w:val="216"/>
        </w:trPr>
        <w:tc>
          <w:tcPr>
            <w:tcW w:w="5480" w:type="dxa"/>
            <w:vAlign w:val="bottom"/>
            <w:shd w:val="clear" w:color="auto" w:fill="CCEEFF"/>
          </w:tcPr>
          <w:p>
            <w:pPr>
              <w:spacing w:after="0"/>
              <w:rPr>
                <w:sz w:val="20"/>
                <w:szCs w:val="20"/>
                <w:color w:val="auto"/>
              </w:rPr>
            </w:pPr>
            <w:r>
              <w:rPr>
                <w:rFonts w:ascii="Arial" w:cs="Arial" w:eastAsia="Arial" w:hAnsi="Arial"/>
                <w:sz w:val="18"/>
                <w:szCs w:val="18"/>
                <w:color w:val="auto"/>
              </w:rPr>
              <w:t>Net investment income</w:t>
            </w:r>
          </w:p>
        </w:tc>
        <w:tc>
          <w:tcPr>
            <w:tcW w:w="18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303.5</w:t>
            </w:r>
          </w:p>
        </w:tc>
        <w:tc>
          <w:tcPr>
            <w:tcW w:w="20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560.9</w:t>
            </w:r>
          </w:p>
        </w:tc>
        <w:tc>
          <w:tcPr>
            <w:tcW w:w="18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880.6</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1,112.6</w:t>
            </w:r>
          </w:p>
        </w:tc>
        <w:tc>
          <w:tcPr>
            <w:tcW w:w="0" w:type="dxa"/>
            <w:vAlign w:val="bottom"/>
          </w:tcPr>
          <w:p>
            <w:pPr>
              <w:spacing w:after="0"/>
              <w:rPr>
                <w:sz w:val="1"/>
                <w:szCs w:val="1"/>
                <w:color w:val="auto"/>
              </w:rPr>
            </w:pPr>
          </w:p>
        </w:tc>
      </w:tr>
      <w:tr>
        <w:trPr>
          <w:trHeight w:val="210"/>
        </w:trPr>
        <w:tc>
          <w:tcPr>
            <w:tcW w:w="5480" w:type="dxa"/>
            <w:vAlign w:val="bottom"/>
          </w:tcPr>
          <w:p>
            <w:pPr>
              <w:spacing w:after="0"/>
              <w:rPr>
                <w:sz w:val="20"/>
                <w:szCs w:val="20"/>
                <w:color w:val="auto"/>
              </w:rPr>
            </w:pPr>
            <w:r>
              <w:rPr>
                <w:rFonts w:ascii="Arial" w:cs="Arial" w:eastAsia="Arial" w:hAnsi="Arial"/>
                <w:sz w:val="18"/>
                <w:szCs w:val="18"/>
                <w:color w:val="auto"/>
              </w:rPr>
              <w:t>Total operating revenues</w:t>
            </w:r>
          </w:p>
        </w:tc>
        <w:tc>
          <w:tcPr>
            <w:tcW w:w="180" w:type="dxa"/>
            <w:vAlign w:val="bottom"/>
            <w:tcBorders>
              <w:bottom w:val="single" w:sz="8" w:color="auto"/>
            </w:tcBorders>
          </w:tcPr>
          <w:p>
            <w:pPr>
              <w:jc w:val="right"/>
              <w:ind w:right="27"/>
              <w:spacing w:after="0"/>
              <w:rPr>
                <w:sz w:val="20"/>
                <w:szCs w:val="20"/>
                <w:color w:val="auto"/>
              </w:rPr>
            </w:pPr>
            <w:r>
              <w:rPr>
                <w:rFonts w:ascii="Arial" w:cs="Arial" w:eastAsia="Arial" w:hAnsi="Arial"/>
                <w:sz w:val="15"/>
                <w:szCs w:val="15"/>
                <w:b w:val="1"/>
                <w:bCs w:val="1"/>
                <w:color w:val="auto"/>
                <w:w w:val="71"/>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773.4</w:t>
            </w:r>
          </w:p>
        </w:tc>
        <w:tc>
          <w:tcPr>
            <w:tcW w:w="200" w:type="dxa"/>
            <w:vAlign w:val="bottom"/>
          </w:tcPr>
          <w:p>
            <w:pPr>
              <w:spacing w:after="0"/>
              <w:rPr>
                <w:sz w:val="18"/>
                <w:szCs w:val="18"/>
                <w:color w:val="auto"/>
              </w:rPr>
            </w:pPr>
          </w:p>
        </w:tc>
        <w:tc>
          <w:tcPr>
            <w:tcW w:w="240" w:type="dxa"/>
            <w:vAlign w:val="bottom"/>
            <w:tcBorders>
              <w:bottom w:val="single" w:sz="8" w:color="auto"/>
            </w:tcBorders>
          </w:tcPr>
          <w:p>
            <w:pPr>
              <w:jc w:val="right"/>
              <w:ind w:right="87"/>
              <w:spacing w:after="0"/>
              <w:rPr>
                <w:sz w:val="20"/>
                <w:szCs w:val="20"/>
                <w:color w:val="auto"/>
              </w:rPr>
            </w:pPr>
            <w:r>
              <w:rPr>
                <w:rFonts w:ascii="Arial" w:cs="Arial" w:eastAsia="Arial" w:hAnsi="Arial"/>
                <w:sz w:val="15"/>
                <w:szCs w:val="15"/>
                <w:color w:val="auto"/>
                <w:w w:val="71"/>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1,091.0</w:t>
            </w:r>
          </w:p>
        </w:tc>
        <w:tc>
          <w:tcPr>
            <w:tcW w:w="180" w:type="dxa"/>
            <w:vAlign w:val="bottom"/>
          </w:tcPr>
          <w:p>
            <w:pPr>
              <w:spacing w:after="0"/>
              <w:rPr>
                <w:sz w:val="18"/>
                <w:szCs w:val="18"/>
                <w:color w:val="auto"/>
              </w:rPr>
            </w:pPr>
          </w:p>
        </w:tc>
        <w:tc>
          <w:tcPr>
            <w:tcW w:w="2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w w:val="79"/>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1,477.6</w:t>
            </w:r>
          </w:p>
        </w:tc>
        <w:tc>
          <w:tcPr>
            <w:tcW w:w="18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220" w:type="dxa"/>
            <w:vAlign w:val="bottom"/>
            <w:tcBorders>
              <w:bottom w:val="single" w:sz="8" w:color="auto"/>
            </w:tcBorders>
          </w:tcPr>
          <w:p>
            <w:pPr>
              <w:jc w:val="right"/>
              <w:ind w:right="67"/>
              <w:spacing w:after="0"/>
              <w:rPr>
                <w:sz w:val="20"/>
                <w:szCs w:val="20"/>
                <w:color w:val="auto"/>
              </w:rPr>
            </w:pPr>
            <w:r>
              <w:rPr>
                <w:rFonts w:ascii="Arial" w:cs="Arial" w:eastAsia="Arial" w:hAnsi="Arial"/>
                <w:sz w:val="15"/>
                <w:szCs w:val="15"/>
                <w:color w:val="auto"/>
                <w:w w:val="71"/>
              </w:rPr>
              <w:t>$</w:t>
            </w: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1,751.9</w:t>
            </w:r>
          </w:p>
        </w:tc>
        <w:tc>
          <w:tcPr>
            <w:tcW w:w="0" w:type="dxa"/>
            <w:vAlign w:val="bottom"/>
          </w:tcPr>
          <w:p>
            <w:pPr>
              <w:spacing w:after="0"/>
              <w:rPr>
                <w:sz w:val="1"/>
                <w:szCs w:val="1"/>
                <w:color w:val="auto"/>
              </w:rPr>
            </w:pPr>
          </w:p>
        </w:tc>
      </w:tr>
      <w:tr>
        <w:trPr>
          <w:trHeight w:val="20"/>
        </w:trPr>
        <w:tc>
          <w:tcPr>
            <w:tcW w:w="54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9920"/>
          </w:cols>
          <w:pgMar w:left="980" w:top="665" w:right="999" w:bottom="1440" w:gutter="0" w:footer="0" w:header="0"/>
        </w:sectPr>
      </w:pPr>
    </w:p>
    <w:p>
      <w:pPr>
        <w:spacing w:after="0" w:line="200" w:lineRule="exact"/>
        <w:rPr>
          <w:sz w:val="20"/>
          <w:szCs w:val="20"/>
          <w:color w:val="auto"/>
        </w:rPr>
      </w:pPr>
    </w:p>
    <w:p>
      <w:pPr>
        <w:spacing w:after="0" w:line="234"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372110</wp:posOffset>
            </wp:positionV>
            <wp:extent cx="6292215" cy="2603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type w:val="continuous"/>
        </w:sectPr>
      </w:pPr>
    </w:p>
    <w:bookmarkStart w:id="83" w:name="page84"/>
    <w:bookmarkEnd w:id="83"/>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Principal Global Investors</w:t>
      </w:r>
    </w:p>
    <w:p>
      <w:pPr>
        <w:spacing w:after="0" w:line="229" w:lineRule="exact"/>
        <w:rPr>
          <w:sz w:val="20"/>
          <w:szCs w:val="20"/>
          <w:color w:val="auto"/>
        </w:rPr>
      </w:pPr>
    </w:p>
    <w:p>
      <w:pPr>
        <w:ind w:right="160" w:firstLine="648"/>
        <w:spacing w:after="0" w:line="287" w:lineRule="auto"/>
        <w:rPr>
          <w:sz w:val="20"/>
          <w:szCs w:val="20"/>
          <w:color w:val="auto"/>
        </w:rPr>
      </w:pPr>
      <w:r>
        <w:rPr>
          <w:rFonts w:ascii="Arial" w:cs="Arial" w:eastAsia="Arial" w:hAnsi="Arial"/>
          <w:sz w:val="16"/>
          <w:szCs w:val="16"/>
          <w:color w:val="auto"/>
        </w:rPr>
        <w:t>Fees and other revenues earned for asset management, investment advisory and distribution services provided to institutional and retail clients are based largely upon contractual rates applied to the specified amounts of the clients’ portfolios. Each service is a distinct performance obligation, or a series of distinct services that are a single performance obligation in that the services are substantially the same and have the same pattern of transfer to the customer. Fees and other revenues received for performance obligations such as asset management and other services are typically recognized over time utilizing the output method as the service is performed. Performance fees and transaction fees on certain accounts are recognized in income when the probability of significant reversal will not occur upon resolution of the uncertainty, which could be based on a variety of factors such as market performance or other internal metrics. Asset management fees are accrued each month based on the fee terms within the applicable agreement and are generally billed quarterly when values used for the calculation are available. Management fees and performance fees are variable consideration as they are subject to fluctuation based on assets under management (“AUM”) and other constraints. These fees are not recognized until unconstrained at the end of each reporting period.</w:t>
      </w:r>
    </w:p>
    <w:p>
      <w:pPr>
        <w:spacing w:after="0" w:line="17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types of revenues from contracts with customers were as follows:</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2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100" w:type="dxa"/>
            <w:vAlign w:val="bottom"/>
            <w:gridSpan w:val="5"/>
          </w:tcPr>
          <w:p>
            <w:pPr>
              <w:ind w:left="40"/>
              <w:spacing w:after="0"/>
              <w:rPr>
                <w:sz w:val="20"/>
                <w:szCs w:val="20"/>
                <w:color w:val="auto"/>
              </w:rPr>
            </w:pPr>
            <w:r>
              <w:rPr>
                <w:rFonts w:ascii="Arial" w:cs="Arial" w:eastAsia="Arial" w:hAnsi="Arial"/>
                <w:sz w:val="14"/>
                <w:szCs w:val="14"/>
                <w:b w:val="1"/>
                <w:bCs w:val="1"/>
                <w:color w:val="auto"/>
              </w:rPr>
              <w:t>For the three months ended</w:t>
            </w:r>
          </w:p>
        </w:tc>
        <w:tc>
          <w:tcPr>
            <w:tcW w:w="160" w:type="dxa"/>
            <w:vAlign w:val="bottom"/>
          </w:tcPr>
          <w:p>
            <w:pPr>
              <w:spacing w:after="0"/>
              <w:rPr>
                <w:sz w:val="14"/>
                <w:szCs w:val="14"/>
                <w:color w:val="auto"/>
              </w:rPr>
            </w:pPr>
          </w:p>
        </w:tc>
        <w:tc>
          <w:tcPr>
            <w:tcW w:w="1900" w:type="dxa"/>
            <w:vAlign w:val="bottom"/>
            <w:gridSpan w:val="4"/>
          </w:tcPr>
          <w:p>
            <w:pPr>
              <w:jc w:val="right"/>
              <w:ind w:right="172"/>
              <w:spacing w:after="0"/>
              <w:rPr>
                <w:sz w:val="20"/>
                <w:szCs w:val="20"/>
                <w:color w:val="auto"/>
              </w:rPr>
            </w:pPr>
            <w:r>
              <w:rPr>
                <w:rFonts w:ascii="Arial" w:cs="Arial" w:eastAsia="Arial" w:hAnsi="Arial"/>
                <w:sz w:val="14"/>
                <w:szCs w:val="14"/>
                <w:b w:val="1"/>
                <w:bCs w:val="1"/>
                <w:color w:val="auto"/>
                <w:w w:val="95"/>
              </w:rPr>
              <w:t>For the six months ended</w:t>
            </w:r>
          </w:p>
        </w:tc>
        <w:tc>
          <w:tcPr>
            <w:tcW w:w="0" w:type="dxa"/>
            <w:vAlign w:val="bottom"/>
          </w:tcPr>
          <w:p>
            <w:pPr>
              <w:spacing w:after="0"/>
              <w:rPr>
                <w:sz w:val="1"/>
                <w:szCs w:val="1"/>
                <w:color w:val="auto"/>
              </w:rPr>
            </w:pPr>
          </w:p>
        </w:tc>
      </w:tr>
      <w:tr>
        <w:trPr>
          <w:trHeight w:val="171"/>
        </w:trPr>
        <w:tc>
          <w:tcPr>
            <w:tcW w:w="52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gridSpan w:val="3"/>
          </w:tcPr>
          <w:p>
            <w:pPr>
              <w:jc w:val="right"/>
              <w:ind w:right="7"/>
              <w:spacing w:after="0"/>
              <w:rPr>
                <w:sz w:val="20"/>
                <w:szCs w:val="20"/>
                <w:color w:val="auto"/>
              </w:rPr>
            </w:pPr>
            <w:r>
              <w:rPr>
                <w:rFonts w:ascii="Arial" w:cs="Arial" w:eastAsia="Arial" w:hAnsi="Arial"/>
                <w:sz w:val="14"/>
                <w:szCs w:val="14"/>
                <w:b w:val="1"/>
                <w:bCs w:val="1"/>
                <w:color w:val="auto"/>
              </w:rPr>
              <w:t>June 30,</w:t>
            </w:r>
          </w:p>
        </w:tc>
        <w:tc>
          <w:tcPr>
            <w:tcW w:w="70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gridSpan w:val="3"/>
          </w:tcPr>
          <w:p>
            <w:pPr>
              <w:jc w:val="right"/>
              <w:ind w:right="27"/>
              <w:spacing w:after="0"/>
              <w:rPr>
                <w:sz w:val="20"/>
                <w:szCs w:val="20"/>
                <w:color w:val="auto"/>
              </w:rPr>
            </w:pPr>
            <w:r>
              <w:rPr>
                <w:rFonts w:ascii="Arial" w:cs="Arial" w:eastAsia="Arial" w:hAnsi="Arial"/>
                <w:sz w:val="14"/>
                <w:szCs w:val="14"/>
                <w:b w:val="1"/>
                <w:bCs w:val="1"/>
                <w:color w:val="auto"/>
              </w:rPr>
              <w:t>June 30,</w:t>
            </w:r>
          </w:p>
        </w:tc>
        <w:tc>
          <w:tcPr>
            <w:tcW w:w="70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52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ind w:right="235"/>
              <w:spacing w:after="0" w:line="142" w:lineRule="exact"/>
              <w:rPr>
                <w:sz w:val="20"/>
                <w:szCs w:val="20"/>
                <w:color w:val="auto"/>
              </w:rPr>
            </w:pPr>
            <w:r>
              <w:rPr>
                <w:rFonts w:ascii="Arial" w:cs="Arial" w:eastAsia="Arial" w:hAnsi="Arial"/>
                <w:sz w:val="14"/>
                <w:szCs w:val="14"/>
                <w:b w:val="1"/>
                <w:bCs w:val="1"/>
                <w:color w:val="auto"/>
              </w:rPr>
              <w:t>2022</w:t>
            </w:r>
          </w:p>
        </w:tc>
        <w:tc>
          <w:tcPr>
            <w:tcW w:w="200" w:type="dxa"/>
            <w:vAlign w:val="bottom"/>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ind w:right="234"/>
              <w:spacing w:after="0" w:line="142" w:lineRule="exact"/>
              <w:rPr>
                <w:sz w:val="20"/>
                <w:szCs w:val="20"/>
                <w:color w:val="auto"/>
              </w:rPr>
            </w:pPr>
            <w:r>
              <w:rPr>
                <w:rFonts w:ascii="Arial" w:cs="Arial" w:eastAsia="Arial" w:hAnsi="Arial"/>
                <w:sz w:val="14"/>
                <w:szCs w:val="14"/>
                <w:b w:val="1"/>
                <w:bCs w:val="1"/>
                <w:color w:val="auto"/>
              </w:rPr>
              <w:t>2021</w:t>
            </w:r>
          </w:p>
        </w:tc>
        <w:tc>
          <w:tcPr>
            <w:tcW w:w="20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ind w:right="235"/>
              <w:spacing w:after="0" w:line="142" w:lineRule="exact"/>
              <w:rPr>
                <w:sz w:val="20"/>
                <w:szCs w:val="20"/>
                <w:color w:val="auto"/>
              </w:rPr>
            </w:pPr>
            <w:r>
              <w:rPr>
                <w:rFonts w:ascii="Arial" w:cs="Arial" w:eastAsia="Arial" w:hAnsi="Arial"/>
                <w:sz w:val="14"/>
                <w:szCs w:val="14"/>
                <w:b w:val="1"/>
                <w:bCs w:val="1"/>
                <w:color w:val="auto"/>
              </w:rPr>
              <w:t>2022</w:t>
            </w:r>
          </w:p>
        </w:tc>
        <w:tc>
          <w:tcPr>
            <w:tcW w:w="200" w:type="dxa"/>
            <w:vAlign w:val="bottom"/>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ind w:right="252"/>
              <w:spacing w:after="0" w:line="142" w:lineRule="exact"/>
              <w:rPr>
                <w:sz w:val="20"/>
                <w:szCs w:val="20"/>
                <w:color w:val="auto"/>
              </w:rPr>
            </w:pPr>
            <w:r>
              <w:rPr>
                <w:rFonts w:ascii="Arial" w:cs="Arial" w:eastAsia="Arial" w:hAnsi="Arial"/>
                <w:sz w:val="14"/>
                <w:szCs w:val="14"/>
                <w:b w:val="1"/>
                <w:bCs w:val="1"/>
                <w:color w:val="auto"/>
              </w:rPr>
              <w:t>2021</w:t>
            </w:r>
          </w:p>
        </w:tc>
        <w:tc>
          <w:tcPr>
            <w:tcW w:w="0" w:type="dxa"/>
            <w:vAlign w:val="bottom"/>
          </w:tcPr>
          <w:p>
            <w:pPr>
              <w:spacing w:after="0"/>
              <w:rPr>
                <w:sz w:val="1"/>
                <w:szCs w:val="1"/>
                <w:color w:val="auto"/>
              </w:rPr>
            </w:pPr>
          </w:p>
        </w:tc>
      </w:tr>
      <w:tr>
        <w:trPr>
          <w:trHeight w:val="128"/>
        </w:trPr>
        <w:tc>
          <w:tcPr>
            <w:tcW w:w="5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820" w:type="dxa"/>
            <w:vAlign w:val="bottom"/>
            <w:gridSpan w:val="4"/>
          </w:tcPr>
          <w:p>
            <w:pPr>
              <w:jc w:val="right"/>
              <w:ind w:right="575"/>
              <w:spacing w:after="0" w:line="129" w:lineRule="exact"/>
              <w:rPr>
                <w:sz w:val="20"/>
                <w:szCs w:val="20"/>
                <w:color w:val="auto"/>
              </w:rPr>
            </w:pPr>
            <w:r>
              <w:rPr>
                <w:rFonts w:ascii="Arial" w:cs="Arial" w:eastAsia="Arial" w:hAnsi="Arial"/>
                <w:sz w:val="14"/>
                <w:szCs w:val="14"/>
                <w:i w:val="1"/>
                <w:iCs w:val="1"/>
                <w:color w:val="auto"/>
              </w:rPr>
              <w:t>(in millions)</w:t>
            </w:r>
          </w:p>
        </w:tc>
        <w:tc>
          <w:tcPr>
            <w:tcW w:w="2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5280" w:type="dxa"/>
            <w:vAlign w:val="bottom"/>
            <w:shd w:val="clear" w:color="auto" w:fill="CCEEFF"/>
          </w:tcPr>
          <w:p>
            <w:pPr>
              <w:spacing w:after="0"/>
              <w:rPr>
                <w:sz w:val="20"/>
                <w:szCs w:val="20"/>
                <w:color w:val="auto"/>
              </w:rPr>
            </w:pPr>
            <w:r>
              <w:rPr>
                <w:rFonts w:ascii="Arial" w:cs="Arial" w:eastAsia="Arial" w:hAnsi="Arial"/>
                <w:sz w:val="18"/>
                <w:szCs w:val="18"/>
                <w:color w:val="auto"/>
              </w:rPr>
              <w:t>Management fee revenue</w:t>
            </w:r>
          </w:p>
        </w:tc>
        <w:tc>
          <w:tcPr>
            <w:tcW w:w="4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364.5</w:t>
            </w:r>
          </w:p>
        </w:tc>
        <w:tc>
          <w:tcPr>
            <w:tcW w:w="420" w:type="dxa"/>
            <w:vAlign w:val="bottom"/>
            <w:gridSpan w:val="2"/>
            <w:shd w:val="clear" w:color="auto" w:fill="CCEEFF"/>
          </w:tcPr>
          <w:p>
            <w:pPr>
              <w:jc w:val="right"/>
              <w:ind w:right="67"/>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374.1</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jc w:val="right"/>
              <w:ind w:right="7"/>
              <w:spacing w:after="0"/>
              <w:rPr>
                <w:sz w:val="20"/>
                <w:szCs w:val="20"/>
                <w:color w:val="auto"/>
              </w:rPr>
            </w:pPr>
            <w:r>
              <w:rPr>
                <w:rFonts w:ascii="Arial" w:cs="Arial" w:eastAsia="Arial" w:hAnsi="Arial"/>
                <w:sz w:val="15"/>
                <w:szCs w:val="15"/>
                <w:b w:val="1"/>
                <w:bCs w:val="1"/>
                <w:color w:val="auto"/>
                <w:w w:val="71"/>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743.5</w:t>
            </w:r>
          </w:p>
        </w:tc>
        <w:tc>
          <w:tcPr>
            <w:tcW w:w="440" w:type="dxa"/>
            <w:vAlign w:val="bottom"/>
            <w:gridSpan w:val="2"/>
            <w:shd w:val="clear" w:color="auto" w:fill="CCEEFF"/>
          </w:tcPr>
          <w:p>
            <w:pPr>
              <w:jc w:val="right"/>
              <w:ind w:right="87"/>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730.0</w:t>
            </w:r>
          </w:p>
        </w:tc>
        <w:tc>
          <w:tcPr>
            <w:tcW w:w="0" w:type="dxa"/>
            <w:vAlign w:val="bottom"/>
          </w:tcPr>
          <w:p>
            <w:pPr>
              <w:spacing w:after="0"/>
              <w:rPr>
                <w:sz w:val="1"/>
                <w:szCs w:val="1"/>
                <w:color w:val="auto"/>
              </w:rPr>
            </w:pPr>
          </w:p>
        </w:tc>
      </w:tr>
      <w:tr>
        <w:trPr>
          <w:trHeight w:val="216"/>
        </w:trPr>
        <w:tc>
          <w:tcPr>
            <w:tcW w:w="528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Other fee revenue</w:t>
            </w:r>
          </w:p>
        </w:tc>
        <w:tc>
          <w:tcPr>
            <w:tcW w:w="34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87.1</w:t>
            </w:r>
          </w:p>
        </w:tc>
        <w:tc>
          <w:tcPr>
            <w:tcW w:w="2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ind w:right="14"/>
              <w:spacing w:after="0"/>
              <w:rPr>
                <w:sz w:val="20"/>
                <w:szCs w:val="20"/>
                <w:color w:val="auto"/>
              </w:rPr>
            </w:pPr>
            <w:r>
              <w:rPr>
                <w:rFonts w:ascii="Arial" w:cs="Arial" w:eastAsia="Arial" w:hAnsi="Arial"/>
                <w:sz w:val="18"/>
                <w:szCs w:val="18"/>
                <w:color w:val="auto"/>
              </w:rPr>
              <w:t>69.9</w:t>
            </w:r>
          </w:p>
        </w:tc>
        <w:tc>
          <w:tcPr>
            <w:tcW w:w="20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137.7</w:t>
            </w:r>
          </w:p>
        </w:tc>
        <w:tc>
          <w:tcPr>
            <w:tcW w:w="20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color w:val="auto"/>
              </w:rPr>
              <w:t>120.1</w:t>
            </w:r>
          </w:p>
        </w:tc>
        <w:tc>
          <w:tcPr>
            <w:tcW w:w="0" w:type="dxa"/>
            <w:vAlign w:val="bottom"/>
          </w:tcPr>
          <w:p>
            <w:pPr>
              <w:spacing w:after="0"/>
              <w:rPr>
                <w:sz w:val="1"/>
                <w:szCs w:val="1"/>
                <w:color w:val="auto"/>
              </w:rPr>
            </w:pPr>
          </w:p>
        </w:tc>
      </w:tr>
      <w:tr>
        <w:trPr>
          <w:trHeight w:val="210"/>
        </w:trPr>
        <w:tc>
          <w:tcPr>
            <w:tcW w:w="52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Total revenues from contracts with customers</w:t>
            </w:r>
          </w:p>
        </w:tc>
        <w:tc>
          <w:tcPr>
            <w:tcW w:w="3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451.6</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444.0</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881.2</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0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850.1</w:t>
            </w:r>
          </w:p>
        </w:tc>
        <w:tc>
          <w:tcPr>
            <w:tcW w:w="0" w:type="dxa"/>
            <w:vAlign w:val="bottom"/>
          </w:tcPr>
          <w:p>
            <w:pPr>
              <w:spacing w:after="0"/>
              <w:rPr>
                <w:sz w:val="1"/>
                <w:szCs w:val="1"/>
                <w:color w:val="auto"/>
              </w:rPr>
            </w:pPr>
          </w:p>
        </w:tc>
      </w:tr>
      <w:tr>
        <w:trPr>
          <w:trHeight w:val="202"/>
        </w:trPr>
        <w:tc>
          <w:tcPr>
            <w:tcW w:w="5280" w:type="dxa"/>
            <w:vAlign w:val="bottom"/>
          </w:tcPr>
          <w:p>
            <w:pPr>
              <w:spacing w:after="0" w:line="201" w:lineRule="exact"/>
              <w:rPr>
                <w:sz w:val="20"/>
                <w:szCs w:val="20"/>
                <w:color w:val="auto"/>
              </w:rPr>
            </w:pPr>
            <w:r>
              <w:rPr>
                <w:rFonts w:ascii="Arial" w:cs="Arial" w:eastAsia="Arial" w:hAnsi="Arial"/>
                <w:sz w:val="18"/>
                <w:szCs w:val="18"/>
                <w:color w:val="auto"/>
                <w:w w:val="96"/>
              </w:rPr>
              <w:t>Fees and other revenues not within the scope of revenue recognition</w:t>
            </w:r>
          </w:p>
        </w:tc>
        <w:tc>
          <w:tcPr>
            <w:tcW w:w="3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8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8.9</w:t>
            </w: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6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14.2</w:t>
            </w: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5280" w:type="dxa"/>
            <w:vAlign w:val="bottom"/>
            <w:tcBorders>
              <w:bottom w:val="single" w:sz="8" w:color="CCEEFF"/>
            </w:tcBorders>
          </w:tcPr>
          <w:p>
            <w:pPr>
              <w:ind w:left="140"/>
              <w:spacing w:after="0"/>
              <w:rPr>
                <w:sz w:val="20"/>
                <w:szCs w:val="20"/>
                <w:color w:val="auto"/>
              </w:rPr>
            </w:pPr>
            <w:r>
              <w:rPr>
                <w:rFonts w:ascii="Arial" w:cs="Arial" w:eastAsia="Arial" w:hAnsi="Arial"/>
                <w:sz w:val="18"/>
                <w:szCs w:val="18"/>
                <w:color w:val="auto"/>
              </w:rPr>
              <w:t>guidance</w:t>
            </w:r>
          </w:p>
        </w:tc>
        <w:tc>
          <w:tcPr>
            <w:tcW w:w="340" w:type="dxa"/>
            <w:vAlign w:val="bottom"/>
            <w:tcBorders>
              <w:bottom w:val="single" w:sz="8" w:color="CCEEFF"/>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780" w:type="dxa"/>
            <w:vAlign w:val="bottom"/>
            <w:tcBorders>
              <w:bottom w:val="single" w:sz="8" w:color="auto"/>
            </w:tcBorders>
            <w:vMerge w:val="continue"/>
          </w:tcPr>
          <w:p>
            <w:pPr>
              <w:spacing w:after="0"/>
              <w:rPr>
                <w:sz w:val="20"/>
                <w:szCs w:val="20"/>
                <w:color w:val="auto"/>
              </w:rPr>
            </w:pPr>
          </w:p>
        </w:tc>
        <w:tc>
          <w:tcPr>
            <w:tcW w:w="200" w:type="dxa"/>
            <w:vAlign w:val="bottom"/>
            <w:tcBorders>
              <w:bottom w:val="single" w:sz="8" w:color="CCEEFF"/>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jc w:val="right"/>
              <w:ind w:right="14"/>
              <w:spacing w:after="0"/>
              <w:rPr>
                <w:sz w:val="20"/>
                <w:szCs w:val="20"/>
                <w:color w:val="auto"/>
              </w:rPr>
            </w:pPr>
            <w:r>
              <w:rPr>
                <w:rFonts w:ascii="Arial" w:cs="Arial" w:eastAsia="Arial" w:hAnsi="Arial"/>
                <w:sz w:val="18"/>
                <w:szCs w:val="18"/>
                <w:color w:val="auto"/>
              </w:rPr>
              <w:t>8.1</w:t>
            </w:r>
          </w:p>
        </w:tc>
        <w:tc>
          <w:tcPr>
            <w:tcW w:w="200" w:type="dxa"/>
            <w:vAlign w:val="bottom"/>
            <w:tcBorders>
              <w:bottom w:val="single" w:sz="8" w:color="CCEEFF"/>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vMerge w:val="continue"/>
          </w:tcPr>
          <w:p>
            <w:pPr>
              <w:spacing w:after="0"/>
              <w:rPr>
                <w:sz w:val="20"/>
                <w:szCs w:val="20"/>
                <w:color w:val="auto"/>
              </w:rPr>
            </w:pPr>
          </w:p>
        </w:tc>
        <w:tc>
          <w:tcPr>
            <w:tcW w:w="200" w:type="dxa"/>
            <w:vAlign w:val="bottom"/>
            <w:tcBorders>
              <w:bottom w:val="single" w:sz="8" w:color="CCEEFF"/>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color w:val="auto"/>
              </w:rPr>
              <w:t>16.1</w:t>
            </w:r>
          </w:p>
        </w:tc>
        <w:tc>
          <w:tcPr>
            <w:tcW w:w="0" w:type="dxa"/>
            <w:vAlign w:val="bottom"/>
          </w:tcPr>
          <w:p>
            <w:pPr>
              <w:spacing w:after="0"/>
              <w:rPr>
                <w:sz w:val="1"/>
                <w:szCs w:val="1"/>
                <w:color w:val="auto"/>
              </w:rPr>
            </w:pPr>
          </w:p>
        </w:tc>
      </w:tr>
      <w:tr>
        <w:trPr>
          <w:trHeight w:val="210"/>
        </w:trPr>
        <w:tc>
          <w:tcPr>
            <w:tcW w:w="5280" w:type="dxa"/>
            <w:vAlign w:val="bottom"/>
            <w:shd w:val="clear" w:color="auto" w:fill="CCEEFF"/>
          </w:tcPr>
          <w:p>
            <w:pPr>
              <w:spacing w:after="0"/>
              <w:rPr>
                <w:sz w:val="20"/>
                <w:szCs w:val="20"/>
                <w:color w:val="auto"/>
              </w:rPr>
            </w:pPr>
            <w:r>
              <w:rPr>
                <w:rFonts w:ascii="Arial" w:cs="Arial" w:eastAsia="Arial" w:hAnsi="Arial"/>
                <w:sz w:val="18"/>
                <w:szCs w:val="18"/>
                <w:color w:val="auto"/>
              </w:rPr>
              <w:t>Total fees and other revenues</w:t>
            </w:r>
          </w:p>
        </w:tc>
        <w:tc>
          <w:tcPr>
            <w:tcW w:w="3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460.5</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452.1</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895.4</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0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866.2</w:t>
            </w:r>
          </w:p>
        </w:tc>
        <w:tc>
          <w:tcPr>
            <w:tcW w:w="0" w:type="dxa"/>
            <w:vAlign w:val="bottom"/>
          </w:tcPr>
          <w:p>
            <w:pPr>
              <w:spacing w:after="0"/>
              <w:rPr>
                <w:sz w:val="1"/>
                <w:szCs w:val="1"/>
                <w:color w:val="auto"/>
              </w:rPr>
            </w:pPr>
          </w:p>
        </w:tc>
      </w:tr>
      <w:tr>
        <w:trPr>
          <w:trHeight w:val="216"/>
        </w:trPr>
        <w:tc>
          <w:tcPr>
            <w:tcW w:w="528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Net investment income</w:t>
            </w:r>
          </w:p>
        </w:tc>
        <w:tc>
          <w:tcPr>
            <w:tcW w:w="34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3.1</w:t>
            </w:r>
          </w:p>
        </w:tc>
        <w:tc>
          <w:tcPr>
            <w:tcW w:w="2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ind w:right="14"/>
              <w:spacing w:after="0"/>
              <w:rPr>
                <w:sz w:val="20"/>
                <w:szCs w:val="20"/>
                <w:color w:val="auto"/>
              </w:rPr>
            </w:pPr>
            <w:r>
              <w:rPr>
                <w:rFonts w:ascii="Arial" w:cs="Arial" w:eastAsia="Arial" w:hAnsi="Arial"/>
                <w:sz w:val="18"/>
                <w:szCs w:val="18"/>
                <w:color w:val="auto"/>
              </w:rPr>
              <w:t>1.6</w:t>
            </w:r>
          </w:p>
        </w:tc>
        <w:tc>
          <w:tcPr>
            <w:tcW w:w="20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3.5</w:t>
            </w:r>
          </w:p>
        </w:tc>
        <w:tc>
          <w:tcPr>
            <w:tcW w:w="20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color w:val="auto"/>
              </w:rPr>
              <w:t>2.7</w:t>
            </w:r>
          </w:p>
        </w:tc>
        <w:tc>
          <w:tcPr>
            <w:tcW w:w="0" w:type="dxa"/>
            <w:vAlign w:val="bottom"/>
          </w:tcPr>
          <w:p>
            <w:pPr>
              <w:spacing w:after="0"/>
              <w:rPr>
                <w:sz w:val="1"/>
                <w:szCs w:val="1"/>
                <w:color w:val="auto"/>
              </w:rPr>
            </w:pPr>
          </w:p>
        </w:tc>
      </w:tr>
      <w:tr>
        <w:trPr>
          <w:trHeight w:val="210"/>
        </w:trPr>
        <w:tc>
          <w:tcPr>
            <w:tcW w:w="52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operating revenues</w:t>
            </w:r>
          </w:p>
        </w:tc>
        <w:tc>
          <w:tcPr>
            <w:tcW w:w="34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463.6</w:t>
            </w:r>
          </w:p>
        </w:tc>
        <w:tc>
          <w:tcPr>
            <w:tcW w:w="20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70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453.7</w:t>
            </w:r>
          </w:p>
        </w:tc>
        <w:tc>
          <w:tcPr>
            <w:tcW w:w="20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jc w:val="right"/>
              <w:ind w:right="7"/>
              <w:spacing w:after="0"/>
              <w:rPr>
                <w:sz w:val="20"/>
                <w:szCs w:val="20"/>
                <w:color w:val="auto"/>
              </w:rPr>
            </w:pPr>
            <w:r>
              <w:rPr>
                <w:rFonts w:ascii="Arial" w:cs="Arial" w:eastAsia="Arial" w:hAnsi="Arial"/>
                <w:sz w:val="15"/>
                <w:szCs w:val="15"/>
                <w:b w:val="1"/>
                <w:bCs w:val="1"/>
                <w:color w:val="auto"/>
                <w:w w:val="71"/>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898.9</w:t>
            </w:r>
          </w:p>
        </w:tc>
        <w:tc>
          <w:tcPr>
            <w:tcW w:w="200" w:type="dxa"/>
            <w:vAlign w:val="bottom"/>
            <w:tcBorders>
              <w:bottom w:val="single" w:sz="8" w:color="CCEEFF"/>
            </w:tcBorders>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70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868.9</w:t>
            </w:r>
          </w:p>
        </w:tc>
        <w:tc>
          <w:tcPr>
            <w:tcW w:w="0" w:type="dxa"/>
            <w:vAlign w:val="bottom"/>
          </w:tcPr>
          <w:p>
            <w:pPr>
              <w:spacing w:after="0"/>
              <w:rPr>
                <w:sz w:val="1"/>
                <w:szCs w:val="1"/>
                <w:color w:val="auto"/>
              </w:rPr>
            </w:pPr>
          </w:p>
        </w:tc>
      </w:tr>
      <w:tr>
        <w:trPr>
          <w:trHeight w:val="20"/>
        </w:trPr>
        <w:tc>
          <w:tcPr>
            <w:tcW w:w="52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Principal International</w:t>
      </w:r>
    </w:p>
    <w:p>
      <w:pPr>
        <w:spacing w:after="0" w:line="229" w:lineRule="exact"/>
        <w:rPr>
          <w:sz w:val="20"/>
          <w:szCs w:val="20"/>
          <w:color w:val="auto"/>
        </w:rPr>
      </w:pPr>
    </w:p>
    <w:p>
      <w:pPr>
        <w:ind w:right="20" w:firstLine="648"/>
        <w:spacing w:after="0" w:line="269" w:lineRule="auto"/>
        <w:rPr>
          <w:sz w:val="20"/>
          <w:szCs w:val="20"/>
          <w:color w:val="auto"/>
        </w:rPr>
      </w:pPr>
      <w:r>
        <w:rPr>
          <w:rFonts w:ascii="Arial" w:cs="Arial" w:eastAsia="Arial" w:hAnsi="Arial"/>
          <w:sz w:val="17"/>
          <w:szCs w:val="17"/>
          <w:color w:val="auto"/>
        </w:rPr>
        <w:t>Fees and other revenues are earned for asset management and distribution services provided to retail and institutional clients in addition to trustee and/or administrative services performed for retirement savings plans. Each service is considered a distinct performance obligation; however, if the services are not distinct on their own, we combine them into a distinct bundle or we have a series of distinct services that are substantially the same and have the same pattern of transfer to the customer. Fees and other revenues are typically based upon contractual rates applied to the market value of the clients’ investment portfolios and are considered variable consideration. The transaction price generally includes the amount determined at the end of the reporting period, whereby fees are deducted from the clients’ investment portfolios and are recognized as revenue when no longer constrained and satisfied as the services are performed over time utilizing the output method. In addition, payments to customers can take the form of an incentive given by us to entice the customer to purchase its goods or services. Incentives offered to customers are recognized as part of the transaction price as a reduction of revenue either over the period the customer remains in order to receive the incentive or monthly throughout the life of the contract.</w:t>
      </w:r>
    </w:p>
    <w:p>
      <w:pPr>
        <w:spacing w:after="0" w:line="182" w:lineRule="exact"/>
        <w:rPr>
          <w:sz w:val="20"/>
          <w:szCs w:val="20"/>
          <w:color w:val="auto"/>
        </w:rPr>
      </w:pPr>
    </w:p>
    <w:p>
      <w:pPr>
        <w:ind w:right="120" w:firstLine="648"/>
        <w:spacing w:after="0" w:line="277" w:lineRule="auto"/>
        <w:rPr>
          <w:sz w:val="20"/>
          <w:szCs w:val="20"/>
          <w:color w:val="auto"/>
        </w:rPr>
      </w:pPr>
      <w:r>
        <w:rPr>
          <w:rFonts w:ascii="Arial" w:cs="Arial" w:eastAsia="Arial" w:hAnsi="Arial"/>
          <w:sz w:val="18"/>
          <w:szCs w:val="18"/>
          <w:color w:val="auto"/>
        </w:rPr>
        <w:t>Incentive-based fees are recognized in income when the probability of significant reversal will not occur upon the resolution of the uncertainty, which is based on market performance.</w:t>
      </w:r>
    </w:p>
    <w:p>
      <w:pPr>
        <w:spacing w:after="0" w:line="170" w:lineRule="exact"/>
        <w:rPr>
          <w:sz w:val="20"/>
          <w:szCs w:val="20"/>
          <w:color w:val="auto"/>
        </w:rPr>
      </w:pPr>
    </w:p>
    <w:p>
      <w:pPr>
        <w:ind w:right="40" w:firstLine="648"/>
        <w:spacing w:after="0" w:line="286" w:lineRule="auto"/>
        <w:rPr>
          <w:sz w:val="20"/>
          <w:szCs w:val="20"/>
          <w:color w:val="auto"/>
        </w:rPr>
      </w:pPr>
      <w:r>
        <w:rPr>
          <w:rFonts w:ascii="Arial" w:cs="Arial" w:eastAsia="Arial" w:hAnsi="Arial"/>
          <w:sz w:val="17"/>
          <w:szCs w:val="17"/>
          <w:color w:val="auto"/>
        </w:rPr>
        <w:t>Fees for managing customers’ mandatory retirement savings accounts in Chile are collected with each monthly deposit made by our customers. If a customer stops contributing before retirement age, we collect no fees but services are still provided. We recognize revenue from these contracts as services are performed over the life of the contract and review annually.</w:t>
      </w: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540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84" w:name="page85"/>
    <w:bookmarkEnd w:id="84"/>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types of revenues from contracts with customers were as follows:</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3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100" w:type="dxa"/>
            <w:vAlign w:val="bottom"/>
            <w:gridSpan w:val="6"/>
          </w:tcPr>
          <w:p>
            <w:pPr>
              <w:jc w:val="right"/>
              <w:ind w:right="360"/>
              <w:spacing w:after="0"/>
              <w:rPr>
                <w:sz w:val="20"/>
                <w:szCs w:val="20"/>
                <w:color w:val="auto"/>
              </w:rPr>
            </w:pPr>
            <w:r>
              <w:rPr>
                <w:rFonts w:ascii="Arial" w:cs="Arial" w:eastAsia="Arial" w:hAnsi="Arial"/>
                <w:sz w:val="14"/>
                <w:szCs w:val="14"/>
                <w:b w:val="1"/>
                <w:bCs w:val="1"/>
                <w:color w:val="auto"/>
                <w:w w:val="92"/>
              </w:rPr>
              <w:t>For the three months ended</w:t>
            </w:r>
          </w:p>
        </w:tc>
        <w:tc>
          <w:tcPr>
            <w:tcW w:w="160" w:type="dxa"/>
            <w:vAlign w:val="bottom"/>
          </w:tcPr>
          <w:p>
            <w:pPr>
              <w:spacing w:after="0"/>
              <w:rPr>
                <w:sz w:val="14"/>
                <w:szCs w:val="14"/>
                <w:color w:val="auto"/>
              </w:rPr>
            </w:pPr>
          </w:p>
        </w:tc>
        <w:tc>
          <w:tcPr>
            <w:tcW w:w="1900" w:type="dxa"/>
            <w:vAlign w:val="bottom"/>
            <w:gridSpan w:val="5"/>
          </w:tcPr>
          <w:p>
            <w:pPr>
              <w:jc w:val="right"/>
              <w:ind w:right="171"/>
              <w:spacing w:after="0"/>
              <w:rPr>
                <w:sz w:val="20"/>
                <w:szCs w:val="20"/>
                <w:color w:val="auto"/>
              </w:rPr>
            </w:pPr>
            <w:r>
              <w:rPr>
                <w:rFonts w:ascii="Arial" w:cs="Arial" w:eastAsia="Arial" w:hAnsi="Arial"/>
                <w:sz w:val="14"/>
                <w:szCs w:val="14"/>
                <w:b w:val="1"/>
                <w:bCs w:val="1"/>
                <w:color w:val="auto"/>
                <w:w w:val="95"/>
              </w:rPr>
              <w:t>For the six months ended</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53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gridSpan w:val="4"/>
          </w:tcPr>
          <w:p>
            <w:pPr>
              <w:jc w:val="right"/>
              <w:ind w:right="7"/>
              <w:spacing w:after="0"/>
              <w:rPr>
                <w:sz w:val="20"/>
                <w:szCs w:val="20"/>
                <w:color w:val="auto"/>
              </w:rPr>
            </w:pPr>
            <w:r>
              <w:rPr>
                <w:rFonts w:ascii="Arial" w:cs="Arial" w:eastAsia="Arial" w:hAnsi="Arial"/>
                <w:sz w:val="14"/>
                <w:szCs w:val="14"/>
                <w:b w:val="1"/>
                <w:bCs w:val="1"/>
                <w:color w:val="auto"/>
              </w:rPr>
              <w:t>June 30,</w:t>
            </w:r>
          </w:p>
        </w:tc>
        <w:tc>
          <w:tcPr>
            <w:tcW w:w="70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gridSpan w:val="4"/>
          </w:tcPr>
          <w:p>
            <w:pPr>
              <w:jc w:val="right"/>
              <w:ind w:right="27"/>
              <w:spacing w:after="0"/>
              <w:rPr>
                <w:sz w:val="20"/>
                <w:szCs w:val="20"/>
                <w:color w:val="auto"/>
              </w:rPr>
            </w:pPr>
            <w:r>
              <w:rPr>
                <w:rFonts w:ascii="Arial" w:cs="Arial" w:eastAsia="Arial" w:hAnsi="Arial"/>
                <w:sz w:val="14"/>
                <w:szCs w:val="14"/>
                <w:b w:val="1"/>
                <w:bCs w:val="1"/>
                <w:color w:val="auto"/>
              </w:rPr>
              <w:t>June 30,</w:t>
            </w:r>
          </w:p>
        </w:tc>
        <w:tc>
          <w:tcPr>
            <w:tcW w:w="70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ind w:right="233"/>
              <w:spacing w:after="0" w:line="142" w:lineRule="exact"/>
              <w:rPr>
                <w:sz w:val="20"/>
                <w:szCs w:val="20"/>
                <w:color w:val="auto"/>
              </w:rPr>
            </w:pPr>
            <w:r>
              <w:rPr>
                <w:rFonts w:ascii="Arial" w:cs="Arial" w:eastAsia="Arial" w:hAnsi="Arial"/>
                <w:sz w:val="14"/>
                <w:szCs w:val="14"/>
                <w:b w:val="1"/>
                <w:bCs w:val="1"/>
                <w:color w:val="auto"/>
              </w:rPr>
              <w:t>2022</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ind w:right="232"/>
              <w:spacing w:after="0" w:line="142" w:lineRule="exact"/>
              <w:rPr>
                <w:sz w:val="20"/>
                <w:szCs w:val="20"/>
                <w:color w:val="auto"/>
              </w:rPr>
            </w:pPr>
            <w:r>
              <w:rPr>
                <w:rFonts w:ascii="Arial" w:cs="Arial" w:eastAsia="Arial" w:hAnsi="Arial"/>
                <w:sz w:val="14"/>
                <w:szCs w:val="14"/>
                <w:b w:val="1"/>
                <w:bCs w:val="1"/>
                <w:color w:val="auto"/>
              </w:rPr>
              <w:t>2021</w:t>
            </w:r>
          </w:p>
        </w:tc>
        <w:tc>
          <w:tcPr>
            <w:tcW w:w="20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ind w:right="233"/>
              <w:spacing w:after="0" w:line="142" w:lineRule="exact"/>
              <w:rPr>
                <w:sz w:val="20"/>
                <w:szCs w:val="20"/>
                <w:color w:val="auto"/>
              </w:rPr>
            </w:pPr>
            <w:r>
              <w:rPr>
                <w:rFonts w:ascii="Arial" w:cs="Arial" w:eastAsia="Arial" w:hAnsi="Arial"/>
                <w:sz w:val="14"/>
                <w:szCs w:val="14"/>
                <w:b w:val="1"/>
                <w:bCs w:val="1"/>
                <w:color w:val="auto"/>
              </w:rPr>
              <w:t>2022</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ind w:right="251"/>
              <w:spacing w:after="0" w:line="142" w:lineRule="exact"/>
              <w:rPr>
                <w:sz w:val="20"/>
                <w:szCs w:val="20"/>
                <w:color w:val="auto"/>
              </w:rPr>
            </w:pPr>
            <w:r>
              <w:rPr>
                <w:rFonts w:ascii="Arial" w:cs="Arial" w:eastAsia="Arial" w:hAnsi="Arial"/>
                <w:sz w:val="14"/>
                <w:szCs w:val="14"/>
                <w:b w:val="1"/>
                <w:bCs w:val="1"/>
                <w:color w:val="auto"/>
              </w:rPr>
              <w:t>2021</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53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820" w:type="dxa"/>
            <w:vAlign w:val="bottom"/>
            <w:gridSpan w:val="4"/>
          </w:tcPr>
          <w:p>
            <w:pPr>
              <w:jc w:val="right"/>
              <w:ind w:right="573"/>
              <w:spacing w:after="0" w:line="129" w:lineRule="exact"/>
              <w:rPr>
                <w:sz w:val="20"/>
                <w:szCs w:val="20"/>
                <w:color w:val="auto"/>
              </w:rPr>
            </w:pPr>
            <w:r>
              <w:rPr>
                <w:rFonts w:ascii="Arial" w:cs="Arial" w:eastAsia="Arial" w:hAnsi="Arial"/>
                <w:sz w:val="14"/>
                <w:szCs w:val="14"/>
                <w:i w:val="1"/>
                <w:iCs w:val="1"/>
                <w:color w:val="auto"/>
              </w:rPr>
              <w:t>(in millions)</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shd w:val="clear" w:color="auto" w:fill="CCEEFF"/>
          </w:tcPr>
          <w:p>
            <w:pPr>
              <w:ind w:left="100"/>
              <w:spacing w:after="0"/>
              <w:rPr>
                <w:sz w:val="20"/>
                <w:szCs w:val="20"/>
                <w:color w:val="auto"/>
              </w:rPr>
            </w:pPr>
            <w:r>
              <w:rPr>
                <w:rFonts w:ascii="Arial" w:cs="Arial" w:eastAsia="Arial" w:hAnsi="Arial"/>
                <w:sz w:val="18"/>
                <w:szCs w:val="18"/>
                <w:color w:val="auto"/>
              </w:rPr>
              <w:t>Management fee revenue</w:t>
            </w:r>
          </w:p>
        </w:tc>
        <w:tc>
          <w:tcPr>
            <w:tcW w:w="44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106.8</w:t>
            </w:r>
          </w:p>
        </w:tc>
        <w:tc>
          <w:tcPr>
            <w:tcW w:w="100" w:type="dxa"/>
            <w:vAlign w:val="bottom"/>
            <w:shd w:val="clear" w:color="auto" w:fill="CCEEFF"/>
          </w:tcPr>
          <w:p>
            <w:pPr>
              <w:spacing w:after="0"/>
              <w:rPr>
                <w:sz w:val="18"/>
                <w:szCs w:val="18"/>
                <w:color w:val="auto"/>
              </w:rPr>
            </w:pPr>
          </w:p>
        </w:tc>
        <w:tc>
          <w:tcPr>
            <w:tcW w:w="320" w:type="dxa"/>
            <w:vAlign w:val="bottom"/>
            <w:gridSpan w:val="2"/>
            <w:shd w:val="clear" w:color="auto" w:fill="CCEEFF"/>
          </w:tcPr>
          <w:p>
            <w:pPr>
              <w:jc w:val="right"/>
              <w:ind w:right="67"/>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124.7</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jc w:val="right"/>
              <w:ind w:right="7"/>
              <w:spacing w:after="0"/>
              <w:rPr>
                <w:sz w:val="20"/>
                <w:szCs w:val="20"/>
                <w:color w:val="auto"/>
              </w:rPr>
            </w:pPr>
            <w:r>
              <w:rPr>
                <w:rFonts w:ascii="Arial" w:cs="Arial" w:eastAsia="Arial" w:hAnsi="Arial"/>
                <w:sz w:val="15"/>
                <w:szCs w:val="15"/>
                <w:b w:val="1"/>
                <w:bCs w:val="1"/>
                <w:color w:val="auto"/>
                <w:w w:val="71"/>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214.5</w:t>
            </w:r>
          </w:p>
        </w:tc>
        <w:tc>
          <w:tcPr>
            <w:tcW w:w="100" w:type="dxa"/>
            <w:vAlign w:val="bottom"/>
            <w:shd w:val="clear" w:color="auto" w:fill="CCEEFF"/>
          </w:tcPr>
          <w:p>
            <w:pPr>
              <w:spacing w:after="0"/>
              <w:rPr>
                <w:sz w:val="18"/>
                <w:szCs w:val="18"/>
                <w:color w:val="auto"/>
              </w:rPr>
            </w:pPr>
          </w:p>
        </w:tc>
        <w:tc>
          <w:tcPr>
            <w:tcW w:w="340" w:type="dxa"/>
            <w:vAlign w:val="bottom"/>
            <w:gridSpan w:val="2"/>
            <w:shd w:val="clear" w:color="auto" w:fill="CCEEFF"/>
          </w:tcPr>
          <w:p>
            <w:pPr>
              <w:jc w:val="right"/>
              <w:ind w:right="87"/>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244.8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tcBorders>
              <w:bottom w:val="single" w:sz="8" w:color="CCEEFF"/>
            </w:tcBorders>
          </w:tcPr>
          <w:p>
            <w:pPr>
              <w:ind w:left="100"/>
              <w:spacing w:after="0"/>
              <w:rPr>
                <w:sz w:val="20"/>
                <w:szCs w:val="20"/>
                <w:color w:val="auto"/>
              </w:rPr>
            </w:pPr>
            <w:r>
              <w:rPr>
                <w:rFonts w:ascii="Arial" w:cs="Arial" w:eastAsia="Arial" w:hAnsi="Arial"/>
                <w:sz w:val="18"/>
                <w:szCs w:val="18"/>
                <w:color w:val="auto"/>
              </w:rPr>
              <w:t>Other fee revenue</w:t>
            </w:r>
          </w:p>
        </w:tc>
        <w:tc>
          <w:tcPr>
            <w:tcW w:w="30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2.4</w:t>
            </w:r>
          </w:p>
        </w:tc>
        <w:tc>
          <w:tcPr>
            <w:tcW w:w="10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w:t>
            </w:r>
          </w:p>
        </w:tc>
        <w:tc>
          <w:tcPr>
            <w:tcW w:w="20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5.1</w:t>
            </w:r>
          </w:p>
        </w:tc>
        <w:tc>
          <w:tcPr>
            <w:tcW w:w="10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3.6</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53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Total revenues from contracts with customers</w:t>
            </w: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109.2</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126.5</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219.6</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248.4</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5300" w:type="dxa"/>
            <w:vAlign w:val="bottom"/>
          </w:tcPr>
          <w:p>
            <w:pPr>
              <w:ind w:left="100"/>
              <w:spacing w:after="0" w:line="201" w:lineRule="exact"/>
              <w:rPr>
                <w:sz w:val="20"/>
                <w:szCs w:val="20"/>
                <w:color w:val="auto"/>
              </w:rPr>
            </w:pPr>
            <w:r>
              <w:rPr>
                <w:rFonts w:ascii="Arial" w:cs="Arial" w:eastAsia="Arial" w:hAnsi="Arial"/>
                <w:sz w:val="18"/>
                <w:szCs w:val="18"/>
                <w:color w:val="auto"/>
                <w:w w:val="94"/>
              </w:rPr>
              <w:t>Fees and other revenues not within the scope of revenue recognition</w:t>
            </w:r>
          </w:p>
        </w:tc>
        <w:tc>
          <w:tcPr>
            <w:tcW w:w="3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8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1.1</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6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2.3</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300" w:type="dxa"/>
            <w:vAlign w:val="bottom"/>
            <w:tcBorders>
              <w:bottom w:val="single" w:sz="8" w:color="CCEEFF"/>
            </w:tcBorders>
          </w:tcPr>
          <w:p>
            <w:pPr>
              <w:ind w:left="220"/>
              <w:spacing w:after="0"/>
              <w:rPr>
                <w:sz w:val="20"/>
                <w:szCs w:val="20"/>
                <w:color w:val="auto"/>
              </w:rPr>
            </w:pPr>
            <w:r>
              <w:rPr>
                <w:rFonts w:ascii="Arial" w:cs="Arial" w:eastAsia="Arial" w:hAnsi="Arial"/>
                <w:sz w:val="18"/>
                <w:szCs w:val="18"/>
                <w:color w:val="auto"/>
              </w:rPr>
              <w:t>guidance</w:t>
            </w:r>
          </w:p>
        </w:tc>
        <w:tc>
          <w:tcPr>
            <w:tcW w:w="300" w:type="dxa"/>
            <w:vAlign w:val="bottom"/>
            <w:tcBorders>
              <w:bottom w:val="single" w:sz="8" w:color="CCEEFF"/>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780" w:type="dxa"/>
            <w:vAlign w:val="bottom"/>
            <w:tcBorders>
              <w:bottom w:val="single" w:sz="8" w:color="auto"/>
            </w:tcBorders>
            <w:vMerge w:val="continue"/>
          </w:tcPr>
          <w:p>
            <w:pPr>
              <w:spacing w:after="0"/>
              <w:rPr>
                <w:sz w:val="20"/>
                <w:szCs w:val="20"/>
                <w:color w:val="auto"/>
              </w:rPr>
            </w:pPr>
          </w:p>
        </w:tc>
        <w:tc>
          <w:tcPr>
            <w:tcW w:w="100" w:type="dxa"/>
            <w:vAlign w:val="bottom"/>
            <w:tcBorders>
              <w:bottom w:val="single" w:sz="8" w:color="CCEEFF"/>
            </w:tcBorders>
          </w:tcPr>
          <w:p>
            <w:pPr>
              <w:spacing w:after="0"/>
              <w:rPr>
                <w:sz w:val="20"/>
                <w:szCs w:val="20"/>
                <w:color w:val="auto"/>
              </w:rPr>
            </w:pPr>
          </w:p>
        </w:tc>
        <w:tc>
          <w:tcPr>
            <w:tcW w:w="100" w:type="dxa"/>
            <w:vAlign w:val="bottom"/>
            <w:tcBorders>
              <w:bottom w:val="single" w:sz="8" w:color="CCEEFF"/>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w:t>
            </w:r>
          </w:p>
        </w:tc>
        <w:tc>
          <w:tcPr>
            <w:tcW w:w="200" w:type="dxa"/>
            <w:vAlign w:val="bottom"/>
            <w:tcBorders>
              <w:bottom w:val="single" w:sz="8" w:color="CCEEFF"/>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vMerge w:val="continue"/>
          </w:tcPr>
          <w:p>
            <w:pPr>
              <w:spacing w:after="0"/>
              <w:rPr>
                <w:sz w:val="20"/>
                <w:szCs w:val="20"/>
                <w:color w:val="auto"/>
              </w:rPr>
            </w:pPr>
          </w:p>
        </w:tc>
        <w:tc>
          <w:tcPr>
            <w:tcW w:w="100" w:type="dxa"/>
            <w:vAlign w:val="bottom"/>
            <w:tcBorders>
              <w:bottom w:val="single" w:sz="8" w:color="CCEEFF"/>
            </w:tcBorders>
          </w:tcPr>
          <w:p>
            <w:pPr>
              <w:spacing w:after="0"/>
              <w:rPr>
                <w:sz w:val="20"/>
                <w:szCs w:val="20"/>
                <w:color w:val="auto"/>
              </w:rPr>
            </w:pPr>
          </w:p>
        </w:tc>
        <w:tc>
          <w:tcPr>
            <w:tcW w:w="100" w:type="dxa"/>
            <w:vAlign w:val="bottom"/>
            <w:tcBorders>
              <w:bottom w:val="single" w:sz="8" w:color="CCEEFF"/>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300" w:type="dxa"/>
            <w:vAlign w:val="bottom"/>
            <w:shd w:val="clear" w:color="auto" w:fill="CCEEFF"/>
          </w:tcPr>
          <w:p>
            <w:pPr>
              <w:ind w:left="100"/>
              <w:spacing w:after="0"/>
              <w:rPr>
                <w:sz w:val="20"/>
                <w:szCs w:val="20"/>
                <w:color w:val="auto"/>
              </w:rPr>
            </w:pPr>
            <w:r>
              <w:rPr>
                <w:rFonts w:ascii="Arial" w:cs="Arial" w:eastAsia="Arial" w:hAnsi="Arial"/>
                <w:sz w:val="18"/>
                <w:szCs w:val="18"/>
                <w:color w:val="auto"/>
              </w:rPr>
              <w:t>Total fees and other revenues</w:t>
            </w: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110.3</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127.6</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221.9</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250.5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tcPr>
          <w:p>
            <w:pPr>
              <w:ind w:left="100"/>
              <w:spacing w:after="0"/>
              <w:rPr>
                <w:sz w:val="20"/>
                <w:szCs w:val="20"/>
                <w:color w:val="auto"/>
              </w:rPr>
            </w:pPr>
            <w:r>
              <w:rPr>
                <w:rFonts w:ascii="Arial" w:cs="Arial" w:eastAsia="Arial" w:hAnsi="Arial"/>
                <w:sz w:val="18"/>
                <w:szCs w:val="18"/>
                <w:color w:val="auto"/>
              </w:rPr>
              <w:t>Premiums and other considerations</w:t>
            </w: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b w:val="1"/>
                <w:bCs w:val="1"/>
                <w:color w:val="auto"/>
              </w:rPr>
              <w:t>30.1</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41.9</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40.4</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69.2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shd w:val="clear" w:color="auto" w:fill="CCEEFF"/>
          </w:tcPr>
          <w:p>
            <w:pPr>
              <w:ind w:left="100"/>
              <w:spacing w:after="0"/>
              <w:rPr>
                <w:sz w:val="20"/>
                <w:szCs w:val="20"/>
                <w:color w:val="auto"/>
              </w:rPr>
            </w:pPr>
            <w:r>
              <w:rPr>
                <w:rFonts w:ascii="Arial" w:cs="Arial" w:eastAsia="Arial" w:hAnsi="Arial"/>
                <w:sz w:val="18"/>
                <w:szCs w:val="18"/>
                <w:color w:val="auto"/>
              </w:rPr>
              <w:t>Net investment income</w:t>
            </w:r>
          </w:p>
        </w:tc>
        <w:tc>
          <w:tcPr>
            <w:tcW w:w="30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298.7</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136.7</w:t>
            </w:r>
          </w:p>
        </w:tc>
        <w:tc>
          <w:tcPr>
            <w:tcW w:w="20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491.7</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294.5</w:t>
            </w: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5300" w:type="dxa"/>
            <w:vAlign w:val="bottom"/>
            <w:tcBorders>
              <w:bottom w:val="single" w:sz="8" w:color="CCEEFF"/>
            </w:tcBorders>
          </w:tcPr>
          <w:p>
            <w:pPr>
              <w:ind w:left="100"/>
              <w:spacing w:after="0"/>
              <w:rPr>
                <w:sz w:val="20"/>
                <w:szCs w:val="20"/>
                <w:color w:val="auto"/>
              </w:rPr>
            </w:pPr>
            <w:r>
              <w:rPr>
                <w:rFonts w:ascii="Arial" w:cs="Arial" w:eastAsia="Arial" w:hAnsi="Arial"/>
                <w:sz w:val="18"/>
                <w:szCs w:val="18"/>
                <w:color w:val="auto"/>
              </w:rPr>
              <w:t>Total operating revenues</w:t>
            </w:r>
          </w:p>
        </w:tc>
        <w:tc>
          <w:tcPr>
            <w:tcW w:w="300" w:type="dxa"/>
            <w:vAlign w:val="bottom"/>
            <w:tcBorders>
              <w:bottom w:val="single" w:sz="8" w:color="CCEEFF"/>
            </w:tcBorders>
          </w:tcPr>
          <w:p>
            <w:pPr>
              <w:spacing w:after="0"/>
              <w:rPr>
                <w:sz w:val="21"/>
                <w:szCs w:val="21"/>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439.1</w:t>
            </w:r>
          </w:p>
        </w:tc>
        <w:tc>
          <w:tcPr>
            <w:tcW w:w="100" w:type="dxa"/>
            <w:vAlign w:val="bottom"/>
            <w:tcBorders>
              <w:bottom w:val="single" w:sz="8" w:color="CCEEFF"/>
            </w:tcBorders>
          </w:tcPr>
          <w:p>
            <w:pPr>
              <w:spacing w:after="0"/>
              <w:rPr>
                <w:sz w:val="21"/>
                <w:szCs w:val="21"/>
                <w:color w:val="auto"/>
              </w:rPr>
            </w:pPr>
          </w:p>
        </w:tc>
        <w:tc>
          <w:tcPr>
            <w:tcW w:w="100" w:type="dxa"/>
            <w:vAlign w:val="bottom"/>
            <w:tcBorders>
              <w:bottom w:val="single" w:sz="8" w:color="CCEEFF"/>
            </w:tcBorders>
          </w:tcPr>
          <w:p>
            <w:pPr>
              <w:spacing w:after="0"/>
              <w:rPr>
                <w:sz w:val="21"/>
                <w:szCs w:val="21"/>
                <w:color w:val="auto"/>
              </w:rPr>
            </w:pPr>
          </w:p>
        </w:tc>
        <w:tc>
          <w:tcPr>
            <w:tcW w:w="220" w:type="dxa"/>
            <w:vAlign w:val="bottom"/>
            <w:tcBorders>
              <w:bottom w:val="single" w:sz="8" w:color="auto"/>
            </w:tcBorders>
          </w:tcPr>
          <w:p>
            <w:pPr>
              <w:jc w:val="right"/>
              <w:ind w:right="67"/>
              <w:spacing w:after="0"/>
              <w:rPr>
                <w:sz w:val="20"/>
                <w:szCs w:val="20"/>
                <w:color w:val="auto"/>
              </w:rPr>
            </w:pPr>
            <w:r>
              <w:rPr>
                <w:rFonts w:ascii="Arial" w:cs="Arial" w:eastAsia="Arial" w:hAnsi="Arial"/>
                <w:sz w:val="15"/>
                <w:szCs w:val="15"/>
                <w:color w:val="auto"/>
                <w:w w:val="71"/>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306.2</w:t>
            </w:r>
          </w:p>
        </w:tc>
        <w:tc>
          <w:tcPr>
            <w:tcW w:w="200" w:type="dxa"/>
            <w:vAlign w:val="bottom"/>
            <w:tcBorders>
              <w:bottom w:val="single" w:sz="8" w:color="CCEEFF"/>
            </w:tcBorders>
          </w:tcPr>
          <w:p>
            <w:pPr>
              <w:spacing w:after="0"/>
              <w:rPr>
                <w:sz w:val="21"/>
                <w:szCs w:val="21"/>
                <w:color w:val="auto"/>
              </w:rPr>
            </w:pPr>
          </w:p>
        </w:tc>
        <w:tc>
          <w:tcPr>
            <w:tcW w:w="160" w:type="dxa"/>
            <w:vAlign w:val="bottom"/>
            <w:tcBorders>
              <w:bottom w:val="single" w:sz="8" w:color="auto"/>
            </w:tcBorders>
          </w:tcPr>
          <w:p>
            <w:pPr>
              <w:jc w:val="right"/>
              <w:ind w:right="7"/>
              <w:spacing w:after="0"/>
              <w:rPr>
                <w:sz w:val="20"/>
                <w:szCs w:val="20"/>
                <w:color w:val="auto"/>
              </w:rPr>
            </w:pPr>
            <w:r>
              <w:rPr>
                <w:rFonts w:ascii="Arial" w:cs="Arial" w:eastAsia="Arial" w:hAnsi="Arial"/>
                <w:sz w:val="15"/>
                <w:szCs w:val="15"/>
                <w:b w:val="1"/>
                <w:bCs w:val="1"/>
                <w:color w:val="auto"/>
                <w:w w:val="71"/>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754.0</w:t>
            </w:r>
          </w:p>
        </w:tc>
        <w:tc>
          <w:tcPr>
            <w:tcW w:w="100" w:type="dxa"/>
            <w:vAlign w:val="bottom"/>
            <w:tcBorders>
              <w:bottom w:val="single" w:sz="8" w:color="CCEEFF"/>
            </w:tcBorders>
          </w:tcPr>
          <w:p>
            <w:pPr>
              <w:spacing w:after="0"/>
              <w:rPr>
                <w:sz w:val="21"/>
                <w:szCs w:val="21"/>
                <w:color w:val="auto"/>
              </w:rPr>
            </w:pPr>
          </w:p>
        </w:tc>
        <w:tc>
          <w:tcPr>
            <w:tcW w:w="100" w:type="dxa"/>
            <w:vAlign w:val="bottom"/>
            <w:tcBorders>
              <w:bottom w:val="single" w:sz="8" w:color="CCEEFF"/>
            </w:tcBorders>
          </w:tcPr>
          <w:p>
            <w:pPr>
              <w:spacing w:after="0"/>
              <w:rPr>
                <w:sz w:val="21"/>
                <w:szCs w:val="21"/>
                <w:color w:val="auto"/>
              </w:rPr>
            </w:pPr>
          </w:p>
        </w:tc>
        <w:tc>
          <w:tcPr>
            <w:tcW w:w="240" w:type="dxa"/>
            <w:vAlign w:val="bottom"/>
            <w:tcBorders>
              <w:bottom w:val="single" w:sz="8" w:color="auto"/>
            </w:tcBorders>
          </w:tcPr>
          <w:p>
            <w:pPr>
              <w:jc w:val="right"/>
              <w:ind w:right="87"/>
              <w:spacing w:after="0"/>
              <w:rPr>
                <w:sz w:val="20"/>
                <w:szCs w:val="20"/>
                <w:color w:val="auto"/>
              </w:rPr>
            </w:pPr>
            <w:r>
              <w:rPr>
                <w:rFonts w:ascii="Arial" w:cs="Arial" w:eastAsia="Arial" w:hAnsi="Arial"/>
                <w:sz w:val="15"/>
                <w:szCs w:val="15"/>
                <w:color w:val="auto"/>
                <w:w w:val="71"/>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614.2</w:t>
            </w:r>
          </w:p>
        </w:tc>
        <w:tc>
          <w:tcPr>
            <w:tcW w:w="0" w:type="dxa"/>
            <w:vAlign w:val="bottom"/>
          </w:tcPr>
          <w:p>
            <w:pPr>
              <w:spacing w:after="0"/>
              <w:rPr>
                <w:sz w:val="1"/>
                <w:szCs w:val="1"/>
                <w:color w:val="auto"/>
              </w:rPr>
            </w:pPr>
          </w:p>
        </w:tc>
      </w:tr>
      <w:tr>
        <w:trPr>
          <w:trHeight w:val="196"/>
        </w:trPr>
        <w:tc>
          <w:tcPr>
            <w:tcW w:w="20" w:type="dxa"/>
            <w:vAlign w:val="bottom"/>
            <w:vMerge w:val="restart"/>
          </w:tcPr>
          <w:p>
            <w:pPr>
              <w:spacing w:after="0"/>
              <w:rPr>
                <w:sz w:val="17"/>
                <w:szCs w:val="17"/>
                <w:color w:val="auto"/>
              </w:rPr>
            </w:pPr>
          </w:p>
        </w:tc>
        <w:tc>
          <w:tcPr>
            <w:tcW w:w="53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300" w:type="dxa"/>
            <w:vAlign w:val="bottom"/>
          </w:tcPr>
          <w:p>
            <w:pPr>
              <w:spacing w:after="0"/>
              <w:rPr>
                <w:sz w:val="20"/>
                <w:szCs w:val="20"/>
                <w:color w:val="auto"/>
              </w:rPr>
            </w:pPr>
            <w:r>
              <w:rPr>
                <w:rFonts w:ascii="Arial" w:cs="Arial" w:eastAsia="Arial" w:hAnsi="Arial"/>
                <w:sz w:val="18"/>
                <w:szCs w:val="18"/>
                <w:color w:val="auto"/>
              </w:rPr>
              <w:t>Revenues from contracts with customers by region:</w:t>
            </w: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shd w:val="clear" w:color="auto" w:fill="CCEEFF"/>
          </w:tcPr>
          <w:p>
            <w:pPr>
              <w:ind w:left="100"/>
              <w:spacing w:after="0"/>
              <w:rPr>
                <w:sz w:val="20"/>
                <w:szCs w:val="20"/>
                <w:color w:val="auto"/>
              </w:rPr>
            </w:pPr>
            <w:r>
              <w:rPr>
                <w:rFonts w:ascii="Arial" w:cs="Arial" w:eastAsia="Arial" w:hAnsi="Arial"/>
                <w:sz w:val="18"/>
                <w:szCs w:val="18"/>
                <w:color w:val="auto"/>
              </w:rPr>
              <w:t>Latin America</w:t>
            </w:r>
          </w:p>
        </w:tc>
        <w:tc>
          <w:tcPr>
            <w:tcW w:w="44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81.7</w:t>
            </w:r>
          </w:p>
        </w:tc>
        <w:tc>
          <w:tcPr>
            <w:tcW w:w="100" w:type="dxa"/>
            <w:vAlign w:val="bottom"/>
            <w:shd w:val="clear" w:color="auto" w:fill="CCEEFF"/>
          </w:tcPr>
          <w:p>
            <w:pPr>
              <w:spacing w:after="0"/>
              <w:rPr>
                <w:sz w:val="18"/>
                <w:szCs w:val="18"/>
                <w:color w:val="auto"/>
              </w:rPr>
            </w:pPr>
          </w:p>
        </w:tc>
        <w:tc>
          <w:tcPr>
            <w:tcW w:w="320" w:type="dxa"/>
            <w:vAlign w:val="bottom"/>
            <w:gridSpan w:val="2"/>
            <w:shd w:val="clear" w:color="auto" w:fill="CCEEFF"/>
          </w:tcPr>
          <w:p>
            <w:pPr>
              <w:jc w:val="right"/>
              <w:ind w:right="67"/>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92.7</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jc w:val="right"/>
              <w:ind w:right="7"/>
              <w:spacing w:after="0"/>
              <w:rPr>
                <w:sz w:val="20"/>
                <w:szCs w:val="20"/>
                <w:color w:val="auto"/>
              </w:rPr>
            </w:pPr>
            <w:r>
              <w:rPr>
                <w:rFonts w:ascii="Arial" w:cs="Arial" w:eastAsia="Arial" w:hAnsi="Arial"/>
                <w:sz w:val="15"/>
                <w:szCs w:val="15"/>
                <w:b w:val="1"/>
                <w:bCs w:val="1"/>
                <w:color w:val="auto"/>
                <w:w w:val="71"/>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163.7</w:t>
            </w:r>
          </w:p>
        </w:tc>
        <w:tc>
          <w:tcPr>
            <w:tcW w:w="100" w:type="dxa"/>
            <w:vAlign w:val="bottom"/>
            <w:shd w:val="clear" w:color="auto" w:fill="CCEEFF"/>
          </w:tcPr>
          <w:p>
            <w:pPr>
              <w:spacing w:after="0"/>
              <w:rPr>
                <w:sz w:val="18"/>
                <w:szCs w:val="18"/>
                <w:color w:val="auto"/>
              </w:rPr>
            </w:pPr>
          </w:p>
        </w:tc>
        <w:tc>
          <w:tcPr>
            <w:tcW w:w="340" w:type="dxa"/>
            <w:vAlign w:val="bottom"/>
            <w:gridSpan w:val="2"/>
            <w:shd w:val="clear" w:color="auto" w:fill="CCEEFF"/>
          </w:tcPr>
          <w:p>
            <w:pPr>
              <w:jc w:val="right"/>
              <w:ind w:right="87"/>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181.8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tcPr>
          <w:p>
            <w:pPr>
              <w:ind w:left="100"/>
              <w:spacing w:after="0"/>
              <w:rPr>
                <w:sz w:val="20"/>
                <w:szCs w:val="20"/>
                <w:color w:val="auto"/>
              </w:rPr>
            </w:pPr>
            <w:r>
              <w:rPr>
                <w:rFonts w:ascii="Arial" w:cs="Arial" w:eastAsia="Arial" w:hAnsi="Arial"/>
                <w:sz w:val="18"/>
                <w:szCs w:val="18"/>
                <w:color w:val="auto"/>
              </w:rPr>
              <w:t>Asia</w:t>
            </w: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b w:val="1"/>
                <w:bCs w:val="1"/>
                <w:color w:val="auto"/>
              </w:rPr>
              <w:t>27.3</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33.5</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55.6</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65.8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shd w:val="clear" w:color="auto" w:fill="CCEEFF"/>
          </w:tcPr>
          <w:p>
            <w:pPr>
              <w:ind w:left="100"/>
              <w:spacing w:after="0"/>
              <w:rPr>
                <w:sz w:val="20"/>
                <w:szCs w:val="20"/>
                <w:color w:val="auto"/>
              </w:rPr>
            </w:pPr>
            <w:r>
              <w:rPr>
                <w:rFonts w:ascii="Arial" w:cs="Arial" w:eastAsia="Arial" w:hAnsi="Arial"/>
                <w:sz w:val="18"/>
                <w:szCs w:val="18"/>
                <w:color w:val="auto"/>
              </w:rPr>
              <w:t>Principal International corporate / regional offices</w:t>
            </w: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0.5</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0.7</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0.9</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tcPr>
          <w:p>
            <w:pPr>
              <w:ind w:left="100"/>
              <w:spacing w:after="0"/>
              <w:rPr>
                <w:sz w:val="20"/>
                <w:szCs w:val="20"/>
                <w:color w:val="auto"/>
              </w:rPr>
            </w:pPr>
            <w:r>
              <w:rPr>
                <w:rFonts w:ascii="Arial" w:cs="Arial" w:eastAsia="Arial" w:hAnsi="Arial"/>
                <w:sz w:val="18"/>
                <w:szCs w:val="18"/>
                <w:color w:val="auto"/>
              </w:rPr>
              <w:t>Eliminations</w:t>
            </w: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(0.3)</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gridSpan w:val="2"/>
          </w:tcPr>
          <w:p>
            <w:pPr>
              <w:jc w:val="right"/>
              <w:ind w:right="200"/>
              <w:spacing w:after="0"/>
              <w:rPr>
                <w:sz w:val="20"/>
                <w:szCs w:val="20"/>
                <w:color w:val="auto"/>
              </w:rPr>
            </w:pPr>
            <w:r>
              <w:rPr>
                <w:rFonts w:ascii="Arial" w:cs="Arial" w:eastAsia="Arial" w:hAnsi="Arial"/>
                <w:sz w:val="18"/>
                <w:szCs w:val="18"/>
                <w:color w:val="auto"/>
              </w:rPr>
              <w:t>(0.4)</w:t>
            </w:r>
          </w:p>
        </w:tc>
        <w:tc>
          <w:tcPr>
            <w:tcW w:w="160" w:type="dxa"/>
            <w:vAlign w:val="bottom"/>
          </w:tcPr>
          <w:p>
            <w:pPr>
              <w:spacing w:after="0"/>
              <w:rPr>
                <w:sz w:val="18"/>
                <w:szCs w:val="18"/>
                <w:color w:val="auto"/>
              </w:rPr>
            </w:pPr>
          </w:p>
        </w:tc>
        <w:tc>
          <w:tcPr>
            <w:tcW w:w="8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(0.6)</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(0.7)</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300" w:type="dxa"/>
            <w:vAlign w:val="bottom"/>
            <w:tcBorders>
              <w:top w:val="single" w:sz="8" w:color="CCEEFF"/>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Total revenues from contracts with customers</w:t>
            </w:r>
          </w:p>
        </w:tc>
        <w:tc>
          <w:tcPr>
            <w:tcW w:w="30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109.2</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220" w:type="dxa"/>
            <w:vAlign w:val="bottom"/>
            <w:tcBorders>
              <w:top w:val="single" w:sz="8" w:color="auto"/>
              <w:bottom w:val="single" w:sz="8" w:color="auto"/>
            </w:tcBorders>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126.5</w:t>
            </w:r>
          </w:p>
        </w:tc>
        <w:tc>
          <w:tcPr>
            <w:tcW w:w="200" w:type="dxa"/>
            <w:vAlign w:val="bottom"/>
            <w:tcBorders>
              <w:top w:val="single" w:sz="8" w:color="CCEEFF"/>
              <w:bottom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jc w:val="right"/>
              <w:ind w:right="7"/>
              <w:spacing w:after="0"/>
              <w:rPr>
                <w:sz w:val="20"/>
                <w:szCs w:val="20"/>
                <w:color w:val="auto"/>
              </w:rPr>
            </w:pPr>
            <w:r>
              <w:rPr>
                <w:rFonts w:ascii="Arial" w:cs="Arial" w:eastAsia="Arial" w:hAnsi="Arial"/>
                <w:sz w:val="15"/>
                <w:szCs w:val="15"/>
                <w:b w:val="1"/>
                <w:bCs w:val="1"/>
                <w:color w:val="auto"/>
                <w:w w:val="71"/>
              </w:rPr>
              <w:t>$</w:t>
            </w: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219.6</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240" w:type="dxa"/>
            <w:vAlign w:val="bottom"/>
            <w:tcBorders>
              <w:top w:val="single" w:sz="8" w:color="auto"/>
              <w:bottom w:val="single" w:sz="8" w:color="auto"/>
            </w:tcBorders>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248.4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3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 Insurance Solutions</w:t>
      </w:r>
    </w:p>
    <w:p>
      <w:pPr>
        <w:spacing w:after="0" w:line="229" w:lineRule="exact"/>
        <w:rPr>
          <w:sz w:val="20"/>
          <w:szCs w:val="20"/>
          <w:color w:val="auto"/>
        </w:rPr>
      </w:pPr>
    </w:p>
    <w:p>
      <w:pPr>
        <w:ind w:right="100" w:firstLine="648"/>
        <w:spacing w:after="0" w:line="255" w:lineRule="auto"/>
        <w:rPr>
          <w:sz w:val="20"/>
          <w:szCs w:val="20"/>
          <w:color w:val="auto"/>
        </w:rPr>
      </w:pPr>
      <w:r>
        <w:rPr>
          <w:rFonts w:ascii="Arial" w:cs="Arial" w:eastAsia="Arial" w:hAnsi="Arial"/>
          <w:sz w:val="18"/>
          <w:szCs w:val="18"/>
          <w:color w:val="auto"/>
        </w:rPr>
        <w:t>Fees and other revenues are earned for administrative services performed including recordkeeping and reporting services for fee-for-service products, nonqualified benefit plans, separate accounts and dental networks. Services within contracts are not distinct on their own; however, we combine the services into a distinct bundle and account for the bundle as a single performance obligation, which is satisfied over time utilizing the output method as services are rendered. The transaction price corresponds with the performance completed to date, for which the value is recognized as revenue during the period. Variability of consideration is resolved at the end of each period and payments are due when billed.</w:t>
      </w:r>
    </w:p>
    <w:p>
      <w:pPr>
        <w:spacing w:after="0" w:line="192" w:lineRule="exact"/>
        <w:rPr>
          <w:sz w:val="20"/>
          <w:szCs w:val="20"/>
          <w:color w:val="auto"/>
        </w:rPr>
      </w:pPr>
    </w:p>
    <w:p>
      <w:pPr>
        <w:ind w:right="240" w:firstLine="648"/>
        <w:spacing w:after="0" w:line="342" w:lineRule="auto"/>
        <w:rPr>
          <w:sz w:val="20"/>
          <w:szCs w:val="20"/>
          <w:color w:val="auto"/>
        </w:rPr>
      </w:pPr>
      <w:r>
        <w:rPr>
          <w:rFonts w:ascii="Arial" w:cs="Arial" w:eastAsia="Arial" w:hAnsi="Arial"/>
          <w:sz w:val="16"/>
          <w:szCs w:val="16"/>
          <w:color w:val="auto"/>
        </w:rPr>
        <w:t>Commission income is earned through sponsored brokerage services. Performance obligations are satisfied at a point in time, upon delivery of a placed case, and the transaction price calculated per the compensation schedule is recognized as revenue.</w:t>
      </w: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540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85" w:name="page86"/>
    <w:bookmarkEnd w:id="85"/>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types of revenues from contracts with customers were as follows:</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3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100" w:type="dxa"/>
            <w:vAlign w:val="bottom"/>
            <w:gridSpan w:val="6"/>
          </w:tcPr>
          <w:p>
            <w:pPr>
              <w:jc w:val="center"/>
              <w:ind w:right="320"/>
              <w:spacing w:after="0"/>
              <w:rPr>
                <w:sz w:val="20"/>
                <w:szCs w:val="20"/>
                <w:color w:val="auto"/>
              </w:rPr>
            </w:pPr>
            <w:r>
              <w:rPr>
                <w:rFonts w:ascii="Arial" w:cs="Arial" w:eastAsia="Arial" w:hAnsi="Arial"/>
                <w:sz w:val="14"/>
                <w:szCs w:val="14"/>
                <w:b w:val="1"/>
                <w:bCs w:val="1"/>
                <w:color w:val="auto"/>
                <w:w w:val="91"/>
              </w:rPr>
              <w:t>For the three months ended</w:t>
            </w:r>
          </w:p>
        </w:tc>
        <w:tc>
          <w:tcPr>
            <w:tcW w:w="160" w:type="dxa"/>
            <w:vAlign w:val="bottom"/>
          </w:tcPr>
          <w:p>
            <w:pPr>
              <w:spacing w:after="0"/>
              <w:rPr>
                <w:sz w:val="14"/>
                <w:szCs w:val="14"/>
                <w:color w:val="auto"/>
              </w:rPr>
            </w:pPr>
          </w:p>
        </w:tc>
        <w:tc>
          <w:tcPr>
            <w:tcW w:w="1900" w:type="dxa"/>
            <w:vAlign w:val="bottom"/>
            <w:gridSpan w:val="5"/>
          </w:tcPr>
          <w:p>
            <w:pPr>
              <w:jc w:val="center"/>
              <w:ind w:right="72"/>
              <w:spacing w:after="0"/>
              <w:rPr>
                <w:sz w:val="20"/>
                <w:szCs w:val="20"/>
                <w:color w:val="auto"/>
              </w:rPr>
            </w:pPr>
            <w:r>
              <w:rPr>
                <w:rFonts w:ascii="Arial" w:cs="Arial" w:eastAsia="Arial" w:hAnsi="Arial"/>
                <w:sz w:val="14"/>
                <w:szCs w:val="14"/>
                <w:b w:val="1"/>
                <w:bCs w:val="1"/>
                <w:color w:val="auto"/>
                <w:w w:val="90"/>
              </w:rPr>
              <w:t>For the six months ended</w:t>
            </w:r>
          </w:p>
        </w:tc>
        <w:tc>
          <w:tcPr>
            <w:tcW w:w="0" w:type="dxa"/>
            <w:vAlign w:val="bottom"/>
          </w:tcPr>
          <w:p>
            <w:pPr>
              <w:spacing w:after="0"/>
              <w:rPr>
                <w:sz w:val="1"/>
                <w:szCs w:val="1"/>
                <w:color w:val="auto"/>
              </w:rPr>
            </w:pPr>
          </w:p>
        </w:tc>
      </w:tr>
      <w:tr>
        <w:trPr>
          <w:trHeight w:val="171"/>
        </w:trPr>
        <w:tc>
          <w:tcPr>
            <w:tcW w:w="53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gridSpan w:val="4"/>
          </w:tcPr>
          <w:p>
            <w:pPr>
              <w:jc w:val="center"/>
              <w:ind w:left="455"/>
              <w:spacing w:after="0"/>
              <w:rPr>
                <w:sz w:val="20"/>
                <w:szCs w:val="20"/>
                <w:color w:val="auto"/>
              </w:rPr>
            </w:pPr>
            <w:r>
              <w:rPr>
                <w:rFonts w:ascii="Arial" w:cs="Arial" w:eastAsia="Arial" w:hAnsi="Arial"/>
                <w:sz w:val="14"/>
                <w:szCs w:val="14"/>
                <w:b w:val="1"/>
                <w:bCs w:val="1"/>
                <w:color w:val="auto"/>
                <w:w w:val="89"/>
              </w:rPr>
              <w:t>June 30,</w:t>
            </w:r>
          </w:p>
        </w:tc>
        <w:tc>
          <w:tcPr>
            <w:tcW w:w="70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gridSpan w:val="4"/>
          </w:tcPr>
          <w:p>
            <w:pPr>
              <w:jc w:val="center"/>
              <w:ind w:left="415"/>
              <w:spacing w:after="0"/>
              <w:rPr>
                <w:sz w:val="20"/>
                <w:szCs w:val="20"/>
                <w:color w:val="auto"/>
              </w:rPr>
            </w:pPr>
            <w:r>
              <w:rPr>
                <w:rFonts w:ascii="Arial" w:cs="Arial" w:eastAsia="Arial" w:hAnsi="Arial"/>
                <w:sz w:val="14"/>
                <w:szCs w:val="14"/>
                <w:b w:val="1"/>
                <w:bCs w:val="1"/>
                <w:color w:val="auto"/>
                <w:w w:val="89"/>
              </w:rPr>
              <w:t>June 30,</w:t>
            </w:r>
          </w:p>
        </w:tc>
        <w:tc>
          <w:tcPr>
            <w:tcW w:w="70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53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ind w:right="235"/>
              <w:spacing w:after="0" w:line="142" w:lineRule="exact"/>
              <w:rPr>
                <w:sz w:val="20"/>
                <w:szCs w:val="20"/>
                <w:color w:val="auto"/>
              </w:rPr>
            </w:pPr>
            <w:r>
              <w:rPr>
                <w:rFonts w:ascii="Arial" w:cs="Arial" w:eastAsia="Arial" w:hAnsi="Arial"/>
                <w:sz w:val="14"/>
                <w:szCs w:val="14"/>
                <w:b w:val="1"/>
                <w:bCs w:val="1"/>
                <w:color w:val="auto"/>
              </w:rPr>
              <w:t>2022</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ind w:right="234"/>
              <w:spacing w:after="0" w:line="142" w:lineRule="exact"/>
              <w:rPr>
                <w:sz w:val="20"/>
                <w:szCs w:val="20"/>
                <w:color w:val="auto"/>
              </w:rPr>
            </w:pPr>
            <w:r>
              <w:rPr>
                <w:rFonts w:ascii="Arial" w:cs="Arial" w:eastAsia="Arial" w:hAnsi="Arial"/>
                <w:sz w:val="14"/>
                <w:szCs w:val="14"/>
                <w:b w:val="1"/>
                <w:bCs w:val="1"/>
                <w:color w:val="auto"/>
              </w:rPr>
              <w:t>2021</w:t>
            </w:r>
          </w:p>
        </w:tc>
        <w:tc>
          <w:tcPr>
            <w:tcW w:w="20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ind w:right="235"/>
              <w:spacing w:after="0" w:line="142" w:lineRule="exact"/>
              <w:rPr>
                <w:sz w:val="20"/>
                <w:szCs w:val="20"/>
                <w:color w:val="auto"/>
              </w:rPr>
            </w:pPr>
            <w:r>
              <w:rPr>
                <w:rFonts w:ascii="Arial" w:cs="Arial" w:eastAsia="Arial" w:hAnsi="Arial"/>
                <w:sz w:val="14"/>
                <w:szCs w:val="14"/>
                <w:b w:val="1"/>
                <w:bCs w:val="1"/>
                <w:color w:val="auto"/>
              </w:rPr>
              <w:t>2022</w:t>
            </w:r>
          </w:p>
        </w:tc>
        <w:tc>
          <w:tcPr>
            <w:tcW w:w="2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ind w:right="252"/>
              <w:spacing w:after="0" w:line="142" w:lineRule="exact"/>
              <w:rPr>
                <w:sz w:val="20"/>
                <w:szCs w:val="20"/>
                <w:color w:val="auto"/>
              </w:rPr>
            </w:pPr>
            <w:r>
              <w:rPr>
                <w:rFonts w:ascii="Arial" w:cs="Arial" w:eastAsia="Arial" w:hAnsi="Arial"/>
                <w:sz w:val="14"/>
                <w:szCs w:val="14"/>
                <w:b w:val="1"/>
                <w:bCs w:val="1"/>
                <w:color w:val="auto"/>
              </w:rPr>
              <w:t>2021</w:t>
            </w:r>
          </w:p>
        </w:tc>
        <w:tc>
          <w:tcPr>
            <w:tcW w:w="0" w:type="dxa"/>
            <w:vAlign w:val="bottom"/>
          </w:tcPr>
          <w:p>
            <w:pPr>
              <w:spacing w:after="0"/>
              <w:rPr>
                <w:sz w:val="1"/>
                <w:szCs w:val="1"/>
                <w:color w:val="auto"/>
              </w:rPr>
            </w:pPr>
          </w:p>
        </w:tc>
      </w:tr>
      <w:tr>
        <w:trPr>
          <w:trHeight w:val="128"/>
        </w:trPr>
        <w:tc>
          <w:tcPr>
            <w:tcW w:w="53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820" w:type="dxa"/>
            <w:vAlign w:val="bottom"/>
            <w:gridSpan w:val="4"/>
          </w:tcPr>
          <w:p>
            <w:pPr>
              <w:jc w:val="right"/>
              <w:ind w:right="575"/>
              <w:spacing w:after="0" w:line="129" w:lineRule="exact"/>
              <w:rPr>
                <w:sz w:val="20"/>
                <w:szCs w:val="20"/>
                <w:color w:val="auto"/>
              </w:rPr>
            </w:pPr>
            <w:r>
              <w:rPr>
                <w:rFonts w:ascii="Arial" w:cs="Arial" w:eastAsia="Arial" w:hAnsi="Arial"/>
                <w:sz w:val="14"/>
                <w:szCs w:val="14"/>
                <w:i w:val="1"/>
                <w:iCs w:val="1"/>
                <w:color w:val="auto"/>
              </w:rPr>
              <w:t>(in millions)</w:t>
            </w:r>
          </w:p>
        </w:tc>
        <w:tc>
          <w:tcPr>
            <w:tcW w:w="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53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Specialty Benefits insurance:</w:t>
            </w: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320" w:type="dxa"/>
            <w:vAlign w:val="bottom"/>
          </w:tcPr>
          <w:p>
            <w:pPr>
              <w:ind w:left="120"/>
              <w:spacing w:after="0"/>
              <w:rPr>
                <w:sz w:val="20"/>
                <w:szCs w:val="20"/>
                <w:color w:val="auto"/>
              </w:rPr>
            </w:pPr>
            <w:r>
              <w:rPr>
                <w:rFonts w:ascii="Arial" w:cs="Arial" w:eastAsia="Arial" w:hAnsi="Arial"/>
                <w:sz w:val="18"/>
                <w:szCs w:val="18"/>
                <w:color w:val="auto"/>
              </w:rPr>
              <w:t>Administrative service fees</w:t>
            </w:r>
          </w:p>
        </w:tc>
        <w:tc>
          <w:tcPr>
            <w:tcW w:w="44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780" w:type="dxa"/>
            <w:vAlign w:val="bottom"/>
          </w:tcPr>
          <w:p>
            <w:pPr>
              <w:jc w:val="right"/>
              <w:spacing w:after="0"/>
              <w:rPr>
                <w:sz w:val="20"/>
                <w:szCs w:val="20"/>
                <w:color w:val="auto"/>
              </w:rPr>
            </w:pPr>
            <w:r>
              <w:rPr>
                <w:rFonts w:ascii="Arial" w:cs="Arial" w:eastAsia="Arial" w:hAnsi="Arial"/>
                <w:sz w:val="18"/>
                <w:szCs w:val="18"/>
                <w:b w:val="1"/>
                <w:bCs w:val="1"/>
                <w:color w:val="auto"/>
              </w:rPr>
              <w:t>3.7</w:t>
            </w:r>
          </w:p>
        </w:tc>
        <w:tc>
          <w:tcPr>
            <w:tcW w:w="100" w:type="dxa"/>
            <w:vAlign w:val="bottom"/>
          </w:tcPr>
          <w:p>
            <w:pPr>
              <w:spacing w:after="0"/>
              <w:rPr>
                <w:sz w:val="18"/>
                <w:szCs w:val="18"/>
                <w:color w:val="auto"/>
              </w:rPr>
            </w:pPr>
          </w:p>
        </w:tc>
        <w:tc>
          <w:tcPr>
            <w:tcW w:w="320" w:type="dxa"/>
            <w:vAlign w:val="bottom"/>
            <w:gridSpan w:val="2"/>
          </w:tcPr>
          <w:p>
            <w:pPr>
              <w:jc w:val="right"/>
              <w:ind w:right="67"/>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3.8</w:t>
            </w:r>
          </w:p>
        </w:tc>
        <w:tc>
          <w:tcPr>
            <w:tcW w:w="200" w:type="dxa"/>
            <w:vAlign w:val="bottom"/>
          </w:tcPr>
          <w:p>
            <w:pPr>
              <w:spacing w:after="0"/>
              <w:rPr>
                <w:sz w:val="18"/>
                <w:szCs w:val="18"/>
                <w:color w:val="auto"/>
              </w:rPr>
            </w:pPr>
          </w:p>
        </w:tc>
        <w:tc>
          <w:tcPr>
            <w:tcW w:w="160" w:type="dxa"/>
            <w:vAlign w:val="bottom"/>
          </w:tcPr>
          <w:p>
            <w:pPr>
              <w:jc w:val="right"/>
              <w:ind w:right="7"/>
              <w:spacing w:after="0"/>
              <w:rPr>
                <w:sz w:val="20"/>
                <w:szCs w:val="20"/>
                <w:color w:val="auto"/>
              </w:rPr>
            </w:pPr>
            <w:r>
              <w:rPr>
                <w:rFonts w:ascii="Arial" w:cs="Arial" w:eastAsia="Arial" w:hAnsi="Arial"/>
                <w:sz w:val="15"/>
                <w:szCs w:val="15"/>
                <w:b w:val="1"/>
                <w:bCs w:val="1"/>
                <w:color w:val="auto"/>
                <w:w w:val="71"/>
              </w:rPr>
              <w:t>$</w:t>
            </w: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7.7</w:t>
            </w:r>
          </w:p>
        </w:tc>
        <w:tc>
          <w:tcPr>
            <w:tcW w:w="200" w:type="dxa"/>
            <w:vAlign w:val="bottom"/>
          </w:tcPr>
          <w:p>
            <w:pPr>
              <w:spacing w:after="0"/>
              <w:rPr>
                <w:sz w:val="18"/>
                <w:szCs w:val="18"/>
                <w:color w:val="auto"/>
              </w:rPr>
            </w:pPr>
          </w:p>
        </w:tc>
        <w:tc>
          <w:tcPr>
            <w:tcW w:w="240" w:type="dxa"/>
            <w:vAlign w:val="bottom"/>
            <w:gridSpan w:val="2"/>
          </w:tcPr>
          <w:p>
            <w:pPr>
              <w:jc w:val="right"/>
              <w:ind w:right="109"/>
              <w:spacing w:after="0"/>
              <w:rPr>
                <w:sz w:val="20"/>
                <w:szCs w:val="20"/>
                <w:color w:val="auto"/>
              </w:rPr>
            </w:pPr>
            <w:r>
              <w:rPr>
                <w:rFonts w:ascii="Arial" w:cs="Arial" w:eastAsia="Arial" w:hAnsi="Arial"/>
                <w:sz w:val="15"/>
                <w:szCs w:val="15"/>
                <w:color w:val="auto"/>
                <w:w w:val="71"/>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7.5</w:t>
            </w:r>
          </w:p>
        </w:tc>
        <w:tc>
          <w:tcPr>
            <w:tcW w:w="0" w:type="dxa"/>
            <w:vAlign w:val="bottom"/>
          </w:tcPr>
          <w:p>
            <w:pPr>
              <w:spacing w:after="0"/>
              <w:rPr>
                <w:sz w:val="1"/>
                <w:szCs w:val="1"/>
                <w:color w:val="auto"/>
              </w:rPr>
            </w:pPr>
          </w:p>
        </w:tc>
      </w:tr>
      <w:tr>
        <w:trPr>
          <w:trHeight w:val="209"/>
        </w:trPr>
        <w:tc>
          <w:tcPr>
            <w:tcW w:w="5320" w:type="dxa"/>
            <w:vAlign w:val="bottom"/>
            <w:tcBorders>
              <w:top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Total revenues from contracts with customers</w:t>
            </w:r>
          </w:p>
        </w:tc>
        <w:tc>
          <w:tcPr>
            <w:tcW w:w="30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3.7</w:t>
            </w:r>
          </w:p>
        </w:tc>
        <w:tc>
          <w:tcPr>
            <w:tcW w:w="1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3.8</w:t>
            </w:r>
          </w:p>
        </w:tc>
        <w:tc>
          <w:tcPr>
            <w:tcW w:w="20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7.7</w:t>
            </w:r>
          </w:p>
        </w:tc>
        <w:tc>
          <w:tcPr>
            <w:tcW w:w="20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7.5</w:t>
            </w:r>
          </w:p>
        </w:tc>
        <w:tc>
          <w:tcPr>
            <w:tcW w:w="0" w:type="dxa"/>
            <w:vAlign w:val="bottom"/>
          </w:tcPr>
          <w:p>
            <w:pPr>
              <w:spacing w:after="0"/>
              <w:rPr>
                <w:sz w:val="1"/>
                <w:szCs w:val="1"/>
                <w:color w:val="auto"/>
              </w:rPr>
            </w:pPr>
          </w:p>
        </w:tc>
      </w:tr>
      <w:tr>
        <w:trPr>
          <w:trHeight w:val="202"/>
        </w:trPr>
        <w:tc>
          <w:tcPr>
            <w:tcW w:w="5320" w:type="dxa"/>
            <w:vAlign w:val="bottom"/>
          </w:tcPr>
          <w:p>
            <w:pPr>
              <w:ind w:left="120"/>
              <w:spacing w:after="0" w:line="201" w:lineRule="exact"/>
              <w:rPr>
                <w:sz w:val="20"/>
                <w:szCs w:val="20"/>
                <w:color w:val="auto"/>
              </w:rPr>
            </w:pPr>
            <w:r>
              <w:rPr>
                <w:rFonts w:ascii="Arial" w:cs="Arial" w:eastAsia="Arial" w:hAnsi="Arial"/>
                <w:sz w:val="18"/>
                <w:szCs w:val="18"/>
                <w:color w:val="auto"/>
                <w:w w:val="94"/>
              </w:rPr>
              <w:t>Fees and other revenues not within the scope of revenue recognition</w:t>
            </w:r>
          </w:p>
        </w:tc>
        <w:tc>
          <w:tcPr>
            <w:tcW w:w="3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8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4.5</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6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9.2</w:t>
            </w:r>
          </w:p>
        </w:tc>
        <w:tc>
          <w:tcPr>
            <w:tcW w:w="2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5320" w:type="dxa"/>
            <w:vAlign w:val="bottom"/>
            <w:tcBorders>
              <w:bottom w:val="single" w:sz="8" w:color="CCEEFF"/>
            </w:tcBorders>
          </w:tcPr>
          <w:p>
            <w:pPr>
              <w:ind w:left="240"/>
              <w:spacing w:after="0"/>
              <w:rPr>
                <w:sz w:val="20"/>
                <w:szCs w:val="20"/>
                <w:color w:val="auto"/>
              </w:rPr>
            </w:pPr>
            <w:r>
              <w:rPr>
                <w:rFonts w:ascii="Arial" w:cs="Arial" w:eastAsia="Arial" w:hAnsi="Arial"/>
                <w:sz w:val="18"/>
                <w:szCs w:val="18"/>
                <w:color w:val="auto"/>
              </w:rPr>
              <w:t>guidance</w:t>
            </w:r>
          </w:p>
        </w:tc>
        <w:tc>
          <w:tcPr>
            <w:tcW w:w="300" w:type="dxa"/>
            <w:vAlign w:val="bottom"/>
            <w:tcBorders>
              <w:bottom w:val="single" w:sz="8" w:color="CCEEFF"/>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780" w:type="dxa"/>
            <w:vAlign w:val="bottom"/>
            <w:tcBorders>
              <w:bottom w:val="single" w:sz="8" w:color="auto"/>
            </w:tcBorders>
            <w:vMerge w:val="continue"/>
          </w:tcPr>
          <w:p>
            <w:pPr>
              <w:spacing w:after="0"/>
              <w:rPr>
                <w:sz w:val="20"/>
                <w:szCs w:val="20"/>
                <w:color w:val="auto"/>
              </w:rPr>
            </w:pPr>
          </w:p>
        </w:tc>
        <w:tc>
          <w:tcPr>
            <w:tcW w:w="100" w:type="dxa"/>
            <w:vAlign w:val="bottom"/>
            <w:tcBorders>
              <w:bottom w:val="single" w:sz="8" w:color="CCEEFF"/>
            </w:tcBorders>
          </w:tcPr>
          <w:p>
            <w:pPr>
              <w:spacing w:after="0"/>
              <w:rPr>
                <w:sz w:val="20"/>
                <w:szCs w:val="20"/>
                <w:color w:val="auto"/>
              </w:rPr>
            </w:pPr>
          </w:p>
        </w:tc>
        <w:tc>
          <w:tcPr>
            <w:tcW w:w="100" w:type="dxa"/>
            <w:vAlign w:val="bottom"/>
            <w:tcBorders>
              <w:bottom w:val="single" w:sz="8" w:color="CCEEFF"/>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4.7</w:t>
            </w:r>
          </w:p>
        </w:tc>
        <w:tc>
          <w:tcPr>
            <w:tcW w:w="200" w:type="dxa"/>
            <w:vAlign w:val="bottom"/>
            <w:tcBorders>
              <w:bottom w:val="single" w:sz="8" w:color="CCEEFF"/>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vMerge w:val="continue"/>
          </w:tcPr>
          <w:p>
            <w:pPr>
              <w:spacing w:after="0"/>
              <w:rPr>
                <w:sz w:val="20"/>
                <w:szCs w:val="20"/>
                <w:color w:val="auto"/>
              </w:rPr>
            </w:pPr>
          </w:p>
        </w:tc>
        <w:tc>
          <w:tcPr>
            <w:tcW w:w="200" w:type="dxa"/>
            <w:vAlign w:val="bottom"/>
            <w:tcBorders>
              <w:bottom w:val="single" w:sz="8" w:color="CCEEFF"/>
            </w:tcBorders>
          </w:tcPr>
          <w:p>
            <w:pPr>
              <w:spacing w:after="0"/>
              <w:rPr>
                <w:sz w:val="20"/>
                <w:szCs w:val="20"/>
                <w:color w:val="auto"/>
              </w:rPr>
            </w:pPr>
          </w:p>
        </w:tc>
        <w:tc>
          <w:tcPr>
            <w:tcW w:w="20" w:type="dxa"/>
            <w:vAlign w:val="bottom"/>
            <w:tcBorders>
              <w:bottom w:val="single" w:sz="8" w:color="CCEEFF"/>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9.5</w:t>
            </w:r>
          </w:p>
        </w:tc>
        <w:tc>
          <w:tcPr>
            <w:tcW w:w="0" w:type="dxa"/>
            <w:vAlign w:val="bottom"/>
          </w:tcPr>
          <w:p>
            <w:pPr>
              <w:spacing w:after="0"/>
              <w:rPr>
                <w:sz w:val="1"/>
                <w:szCs w:val="1"/>
                <w:color w:val="auto"/>
              </w:rPr>
            </w:pPr>
          </w:p>
        </w:tc>
      </w:tr>
      <w:tr>
        <w:trPr>
          <w:trHeight w:val="209"/>
        </w:trPr>
        <w:tc>
          <w:tcPr>
            <w:tcW w:w="5320" w:type="dxa"/>
            <w:vAlign w:val="bottom"/>
            <w:shd w:val="clear" w:color="auto" w:fill="CCEEFF"/>
          </w:tcPr>
          <w:p>
            <w:pPr>
              <w:ind w:left="120"/>
              <w:spacing w:after="0"/>
              <w:rPr>
                <w:sz w:val="20"/>
                <w:szCs w:val="20"/>
                <w:color w:val="auto"/>
              </w:rPr>
            </w:pPr>
            <w:r>
              <w:rPr>
                <w:rFonts w:ascii="Arial" w:cs="Arial" w:eastAsia="Arial" w:hAnsi="Arial"/>
                <w:sz w:val="18"/>
                <w:szCs w:val="18"/>
                <w:color w:val="auto"/>
              </w:rPr>
              <w:t>Total fees and other revenues</w:t>
            </w: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8.2</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8.5</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16.9</w:t>
            </w: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17.0</w:t>
            </w:r>
          </w:p>
        </w:tc>
        <w:tc>
          <w:tcPr>
            <w:tcW w:w="0" w:type="dxa"/>
            <w:vAlign w:val="bottom"/>
          </w:tcPr>
          <w:p>
            <w:pPr>
              <w:spacing w:after="0"/>
              <w:rPr>
                <w:sz w:val="1"/>
                <w:szCs w:val="1"/>
                <w:color w:val="auto"/>
              </w:rPr>
            </w:pPr>
          </w:p>
        </w:tc>
      </w:tr>
      <w:tr>
        <w:trPr>
          <w:trHeight w:val="216"/>
        </w:trPr>
        <w:tc>
          <w:tcPr>
            <w:tcW w:w="5320" w:type="dxa"/>
            <w:vAlign w:val="bottom"/>
          </w:tcPr>
          <w:p>
            <w:pPr>
              <w:ind w:left="120"/>
              <w:spacing w:after="0"/>
              <w:rPr>
                <w:sz w:val="20"/>
                <w:szCs w:val="20"/>
                <w:color w:val="auto"/>
              </w:rPr>
            </w:pPr>
            <w:r>
              <w:rPr>
                <w:rFonts w:ascii="Arial" w:cs="Arial" w:eastAsia="Arial" w:hAnsi="Arial"/>
                <w:sz w:val="18"/>
                <w:szCs w:val="18"/>
                <w:color w:val="auto"/>
              </w:rPr>
              <w:t>Premiums and other considerations</w:t>
            </w: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b w:val="1"/>
                <w:bCs w:val="1"/>
                <w:color w:val="auto"/>
              </w:rPr>
              <w:t>686.8</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616.8</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1,352.4</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1,222.1</w:t>
            </w:r>
          </w:p>
        </w:tc>
        <w:tc>
          <w:tcPr>
            <w:tcW w:w="0" w:type="dxa"/>
            <w:vAlign w:val="bottom"/>
          </w:tcPr>
          <w:p>
            <w:pPr>
              <w:spacing w:after="0"/>
              <w:rPr>
                <w:sz w:val="1"/>
                <w:szCs w:val="1"/>
                <w:color w:val="auto"/>
              </w:rPr>
            </w:pPr>
          </w:p>
        </w:tc>
      </w:tr>
      <w:tr>
        <w:trPr>
          <w:trHeight w:val="216"/>
        </w:trPr>
        <w:tc>
          <w:tcPr>
            <w:tcW w:w="5320" w:type="dxa"/>
            <w:vAlign w:val="bottom"/>
            <w:shd w:val="clear" w:color="auto" w:fill="CCEEFF"/>
          </w:tcPr>
          <w:p>
            <w:pPr>
              <w:ind w:left="120"/>
              <w:spacing w:after="0"/>
              <w:rPr>
                <w:sz w:val="20"/>
                <w:szCs w:val="20"/>
                <w:color w:val="auto"/>
              </w:rPr>
            </w:pPr>
            <w:r>
              <w:rPr>
                <w:rFonts w:ascii="Arial" w:cs="Arial" w:eastAsia="Arial" w:hAnsi="Arial"/>
                <w:sz w:val="18"/>
                <w:szCs w:val="18"/>
                <w:color w:val="auto"/>
              </w:rPr>
              <w:t>Net investment income</w:t>
            </w:r>
          </w:p>
        </w:tc>
        <w:tc>
          <w:tcPr>
            <w:tcW w:w="30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56.6</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42.6</w:t>
            </w:r>
          </w:p>
        </w:tc>
        <w:tc>
          <w:tcPr>
            <w:tcW w:w="20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100.0</w:t>
            </w: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84.4</w:t>
            </w:r>
          </w:p>
        </w:tc>
        <w:tc>
          <w:tcPr>
            <w:tcW w:w="0" w:type="dxa"/>
            <w:vAlign w:val="bottom"/>
          </w:tcPr>
          <w:p>
            <w:pPr>
              <w:spacing w:after="0"/>
              <w:rPr>
                <w:sz w:val="1"/>
                <w:szCs w:val="1"/>
                <w:color w:val="auto"/>
              </w:rPr>
            </w:pPr>
          </w:p>
        </w:tc>
      </w:tr>
      <w:tr>
        <w:trPr>
          <w:trHeight w:val="210"/>
        </w:trPr>
        <w:tc>
          <w:tcPr>
            <w:tcW w:w="5320" w:type="dxa"/>
            <w:vAlign w:val="bottom"/>
          </w:tcPr>
          <w:p>
            <w:pPr>
              <w:ind w:left="120"/>
              <w:spacing w:after="0"/>
              <w:rPr>
                <w:sz w:val="20"/>
                <w:szCs w:val="20"/>
                <w:color w:val="auto"/>
              </w:rPr>
            </w:pPr>
            <w:r>
              <w:rPr>
                <w:rFonts w:ascii="Arial" w:cs="Arial" w:eastAsia="Arial" w:hAnsi="Arial"/>
                <w:sz w:val="18"/>
                <w:szCs w:val="18"/>
                <w:color w:val="auto"/>
              </w:rPr>
              <w:t>Total operating revenues</w:t>
            </w:r>
          </w:p>
        </w:tc>
        <w:tc>
          <w:tcPr>
            <w:tcW w:w="30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751.6</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Borders>
              <w:bottom w:val="single" w:sz="8" w:color="auto"/>
            </w:tcBorders>
          </w:tcPr>
          <w:p>
            <w:pPr>
              <w:jc w:val="right"/>
              <w:ind w:right="67"/>
              <w:spacing w:after="0"/>
              <w:rPr>
                <w:sz w:val="20"/>
                <w:szCs w:val="20"/>
                <w:color w:val="auto"/>
              </w:rPr>
            </w:pPr>
            <w:r>
              <w:rPr>
                <w:rFonts w:ascii="Arial" w:cs="Arial" w:eastAsia="Arial" w:hAnsi="Arial"/>
                <w:sz w:val="15"/>
                <w:szCs w:val="15"/>
                <w:color w:val="auto"/>
                <w:w w:val="71"/>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667.9</w:t>
            </w:r>
          </w:p>
        </w:tc>
        <w:tc>
          <w:tcPr>
            <w:tcW w:w="200" w:type="dxa"/>
            <w:vAlign w:val="bottom"/>
          </w:tcPr>
          <w:p>
            <w:pPr>
              <w:spacing w:after="0"/>
              <w:rPr>
                <w:sz w:val="18"/>
                <w:szCs w:val="18"/>
                <w:color w:val="auto"/>
              </w:rPr>
            </w:pPr>
          </w:p>
        </w:tc>
        <w:tc>
          <w:tcPr>
            <w:tcW w:w="160" w:type="dxa"/>
            <w:vAlign w:val="bottom"/>
            <w:tcBorders>
              <w:bottom w:val="single" w:sz="8" w:color="auto"/>
            </w:tcBorders>
          </w:tcPr>
          <w:p>
            <w:pPr>
              <w:jc w:val="right"/>
              <w:ind w:right="7"/>
              <w:spacing w:after="0"/>
              <w:rPr>
                <w:sz w:val="20"/>
                <w:szCs w:val="20"/>
                <w:color w:val="auto"/>
              </w:rPr>
            </w:pPr>
            <w:r>
              <w:rPr>
                <w:rFonts w:ascii="Arial" w:cs="Arial" w:eastAsia="Arial" w:hAnsi="Arial"/>
                <w:sz w:val="15"/>
                <w:szCs w:val="15"/>
                <w:b w:val="1"/>
                <w:bCs w:val="1"/>
                <w:color w:val="auto"/>
                <w:w w:val="71"/>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1,469.</w:t>
            </w:r>
            <w:r>
              <w:rPr>
                <w:rFonts w:ascii="Arial" w:cs="Arial" w:eastAsia="Arial" w:hAnsi="Arial"/>
                <w:sz w:val="18"/>
                <w:szCs w:val="18"/>
                <w:b w:val="1"/>
                <w:bCs w:val="1"/>
                <w:u w:val="single" w:color="auto"/>
                <w:color w:val="auto"/>
              </w:rPr>
              <w:t>3</w:t>
            </w:r>
          </w:p>
        </w:tc>
        <w:tc>
          <w:tcPr>
            <w:tcW w:w="20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220" w:type="dxa"/>
            <w:vAlign w:val="bottom"/>
            <w:tcBorders>
              <w:bottom w:val="single" w:sz="8" w:color="auto"/>
            </w:tcBorders>
          </w:tcPr>
          <w:p>
            <w:pPr>
              <w:jc w:val="right"/>
              <w:ind w:right="109"/>
              <w:spacing w:after="0"/>
              <w:rPr>
                <w:sz w:val="20"/>
                <w:szCs w:val="20"/>
                <w:color w:val="auto"/>
              </w:rPr>
            </w:pPr>
            <w:r>
              <w:rPr>
                <w:rFonts w:ascii="Arial" w:cs="Arial" w:eastAsia="Arial" w:hAnsi="Arial"/>
                <w:sz w:val="10"/>
                <w:szCs w:val="10"/>
                <w:color w:val="auto"/>
                <w:w w:val="71"/>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1,323.5</w:t>
            </w:r>
          </w:p>
        </w:tc>
        <w:tc>
          <w:tcPr>
            <w:tcW w:w="0" w:type="dxa"/>
            <w:vAlign w:val="bottom"/>
          </w:tcPr>
          <w:p>
            <w:pPr>
              <w:spacing w:after="0"/>
              <w:rPr>
                <w:sz w:val="1"/>
                <w:szCs w:val="1"/>
                <w:color w:val="auto"/>
              </w:rPr>
            </w:pPr>
          </w:p>
        </w:tc>
      </w:tr>
      <w:tr>
        <w:trPr>
          <w:trHeight w:val="20"/>
        </w:trPr>
        <w:tc>
          <w:tcPr>
            <w:tcW w:w="53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920" w:type="dxa"/>
            <w:vAlign w:val="bottom"/>
            <w:tcBorders>
              <w:bottom w:val="single" w:sz="8" w:color="auto"/>
            </w:tcBorders>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920" w:type="dxa"/>
            <w:vAlign w:val="bottom"/>
            <w:tcBorders>
              <w:bottom w:val="single" w:sz="8" w:color="auto"/>
            </w:tcBorders>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6"/>
        </w:trPr>
        <w:tc>
          <w:tcPr>
            <w:tcW w:w="53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100" w:type="dxa"/>
            <w:vAlign w:val="bottom"/>
            <w:gridSpan w:val="6"/>
          </w:tcPr>
          <w:p>
            <w:pPr>
              <w:jc w:val="center"/>
              <w:ind w:right="320"/>
              <w:spacing w:after="0"/>
              <w:rPr>
                <w:sz w:val="20"/>
                <w:szCs w:val="20"/>
                <w:color w:val="auto"/>
              </w:rPr>
            </w:pPr>
            <w:r>
              <w:rPr>
                <w:rFonts w:ascii="Arial" w:cs="Arial" w:eastAsia="Arial" w:hAnsi="Arial"/>
                <w:sz w:val="14"/>
                <w:szCs w:val="14"/>
                <w:b w:val="1"/>
                <w:bCs w:val="1"/>
                <w:color w:val="auto"/>
                <w:w w:val="91"/>
              </w:rPr>
              <w:t>For the three months ended</w:t>
            </w:r>
          </w:p>
        </w:tc>
        <w:tc>
          <w:tcPr>
            <w:tcW w:w="160" w:type="dxa"/>
            <w:vAlign w:val="bottom"/>
          </w:tcPr>
          <w:p>
            <w:pPr>
              <w:spacing w:after="0"/>
              <w:rPr>
                <w:sz w:val="24"/>
                <w:szCs w:val="24"/>
                <w:color w:val="auto"/>
              </w:rPr>
            </w:pPr>
          </w:p>
        </w:tc>
        <w:tc>
          <w:tcPr>
            <w:tcW w:w="1900" w:type="dxa"/>
            <w:vAlign w:val="bottom"/>
            <w:gridSpan w:val="5"/>
          </w:tcPr>
          <w:p>
            <w:pPr>
              <w:jc w:val="center"/>
              <w:ind w:right="72"/>
              <w:spacing w:after="0"/>
              <w:rPr>
                <w:sz w:val="20"/>
                <w:szCs w:val="20"/>
                <w:color w:val="auto"/>
              </w:rPr>
            </w:pPr>
            <w:r>
              <w:rPr>
                <w:rFonts w:ascii="Arial" w:cs="Arial" w:eastAsia="Arial" w:hAnsi="Arial"/>
                <w:sz w:val="14"/>
                <w:szCs w:val="14"/>
                <w:b w:val="1"/>
                <w:bCs w:val="1"/>
                <w:color w:val="auto"/>
                <w:w w:val="90"/>
              </w:rPr>
              <w:t>For the six months ended</w:t>
            </w:r>
          </w:p>
        </w:tc>
        <w:tc>
          <w:tcPr>
            <w:tcW w:w="0" w:type="dxa"/>
            <w:vAlign w:val="bottom"/>
          </w:tcPr>
          <w:p>
            <w:pPr>
              <w:spacing w:after="0"/>
              <w:rPr>
                <w:sz w:val="1"/>
                <w:szCs w:val="1"/>
                <w:color w:val="auto"/>
              </w:rPr>
            </w:pPr>
          </w:p>
        </w:tc>
      </w:tr>
      <w:tr>
        <w:trPr>
          <w:trHeight w:val="171"/>
        </w:trPr>
        <w:tc>
          <w:tcPr>
            <w:tcW w:w="53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gridSpan w:val="4"/>
          </w:tcPr>
          <w:p>
            <w:pPr>
              <w:jc w:val="center"/>
              <w:ind w:left="455"/>
              <w:spacing w:after="0"/>
              <w:rPr>
                <w:sz w:val="20"/>
                <w:szCs w:val="20"/>
                <w:color w:val="auto"/>
              </w:rPr>
            </w:pPr>
            <w:r>
              <w:rPr>
                <w:rFonts w:ascii="Arial" w:cs="Arial" w:eastAsia="Arial" w:hAnsi="Arial"/>
                <w:sz w:val="14"/>
                <w:szCs w:val="14"/>
                <w:b w:val="1"/>
                <w:bCs w:val="1"/>
                <w:color w:val="auto"/>
                <w:w w:val="89"/>
              </w:rPr>
              <w:t>June 30,</w:t>
            </w:r>
          </w:p>
        </w:tc>
        <w:tc>
          <w:tcPr>
            <w:tcW w:w="70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gridSpan w:val="4"/>
          </w:tcPr>
          <w:p>
            <w:pPr>
              <w:jc w:val="center"/>
              <w:ind w:left="415"/>
              <w:spacing w:after="0"/>
              <w:rPr>
                <w:sz w:val="20"/>
                <w:szCs w:val="20"/>
                <w:color w:val="auto"/>
              </w:rPr>
            </w:pPr>
            <w:r>
              <w:rPr>
                <w:rFonts w:ascii="Arial" w:cs="Arial" w:eastAsia="Arial" w:hAnsi="Arial"/>
                <w:sz w:val="14"/>
                <w:szCs w:val="14"/>
                <w:b w:val="1"/>
                <w:bCs w:val="1"/>
                <w:color w:val="auto"/>
                <w:w w:val="89"/>
              </w:rPr>
              <w:t>June 30,</w:t>
            </w:r>
          </w:p>
        </w:tc>
        <w:tc>
          <w:tcPr>
            <w:tcW w:w="70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53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ind w:right="235"/>
              <w:spacing w:after="0" w:line="142" w:lineRule="exact"/>
              <w:rPr>
                <w:sz w:val="20"/>
                <w:szCs w:val="20"/>
                <w:color w:val="auto"/>
              </w:rPr>
            </w:pPr>
            <w:r>
              <w:rPr>
                <w:rFonts w:ascii="Arial" w:cs="Arial" w:eastAsia="Arial" w:hAnsi="Arial"/>
                <w:sz w:val="14"/>
                <w:szCs w:val="14"/>
                <w:b w:val="1"/>
                <w:bCs w:val="1"/>
                <w:color w:val="auto"/>
              </w:rPr>
              <w:t>2022</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ind w:right="234"/>
              <w:spacing w:after="0" w:line="142" w:lineRule="exact"/>
              <w:rPr>
                <w:sz w:val="20"/>
                <w:szCs w:val="20"/>
                <w:color w:val="auto"/>
              </w:rPr>
            </w:pPr>
            <w:r>
              <w:rPr>
                <w:rFonts w:ascii="Arial" w:cs="Arial" w:eastAsia="Arial" w:hAnsi="Arial"/>
                <w:sz w:val="14"/>
                <w:szCs w:val="14"/>
                <w:b w:val="1"/>
                <w:bCs w:val="1"/>
                <w:color w:val="auto"/>
              </w:rPr>
              <w:t>2021</w:t>
            </w:r>
          </w:p>
        </w:tc>
        <w:tc>
          <w:tcPr>
            <w:tcW w:w="20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ind w:right="235"/>
              <w:spacing w:after="0" w:line="142" w:lineRule="exact"/>
              <w:rPr>
                <w:sz w:val="20"/>
                <w:szCs w:val="20"/>
                <w:color w:val="auto"/>
              </w:rPr>
            </w:pPr>
            <w:r>
              <w:rPr>
                <w:rFonts w:ascii="Arial" w:cs="Arial" w:eastAsia="Arial" w:hAnsi="Arial"/>
                <w:sz w:val="14"/>
                <w:szCs w:val="14"/>
                <w:b w:val="1"/>
                <w:bCs w:val="1"/>
                <w:color w:val="auto"/>
              </w:rPr>
              <w:t>2022</w:t>
            </w:r>
          </w:p>
        </w:tc>
        <w:tc>
          <w:tcPr>
            <w:tcW w:w="2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ind w:right="252"/>
              <w:spacing w:after="0" w:line="142" w:lineRule="exact"/>
              <w:rPr>
                <w:sz w:val="20"/>
                <w:szCs w:val="20"/>
                <w:color w:val="auto"/>
              </w:rPr>
            </w:pPr>
            <w:r>
              <w:rPr>
                <w:rFonts w:ascii="Arial" w:cs="Arial" w:eastAsia="Arial" w:hAnsi="Arial"/>
                <w:sz w:val="14"/>
                <w:szCs w:val="14"/>
                <w:b w:val="1"/>
                <w:bCs w:val="1"/>
                <w:color w:val="auto"/>
              </w:rPr>
              <w:t>2021</w:t>
            </w:r>
          </w:p>
        </w:tc>
        <w:tc>
          <w:tcPr>
            <w:tcW w:w="0" w:type="dxa"/>
            <w:vAlign w:val="bottom"/>
          </w:tcPr>
          <w:p>
            <w:pPr>
              <w:spacing w:after="0"/>
              <w:rPr>
                <w:sz w:val="1"/>
                <w:szCs w:val="1"/>
                <w:color w:val="auto"/>
              </w:rPr>
            </w:pPr>
          </w:p>
        </w:tc>
      </w:tr>
      <w:tr>
        <w:trPr>
          <w:trHeight w:val="129"/>
        </w:trPr>
        <w:tc>
          <w:tcPr>
            <w:tcW w:w="53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820" w:type="dxa"/>
            <w:vAlign w:val="bottom"/>
            <w:gridSpan w:val="4"/>
          </w:tcPr>
          <w:p>
            <w:pPr>
              <w:jc w:val="right"/>
              <w:ind w:right="575"/>
              <w:spacing w:after="0" w:line="129" w:lineRule="exact"/>
              <w:rPr>
                <w:sz w:val="20"/>
                <w:szCs w:val="20"/>
                <w:color w:val="auto"/>
              </w:rPr>
            </w:pPr>
            <w:r>
              <w:rPr>
                <w:rFonts w:ascii="Arial" w:cs="Arial" w:eastAsia="Arial" w:hAnsi="Arial"/>
                <w:sz w:val="14"/>
                <w:szCs w:val="14"/>
                <w:i w:val="1"/>
                <w:iCs w:val="1"/>
                <w:color w:val="auto"/>
              </w:rPr>
              <w:t>(in millions)</w:t>
            </w:r>
          </w:p>
        </w:tc>
        <w:tc>
          <w:tcPr>
            <w:tcW w:w="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53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Individual Life insurance:</w:t>
            </w: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320" w:type="dxa"/>
            <w:vAlign w:val="bottom"/>
          </w:tcPr>
          <w:p>
            <w:pPr>
              <w:ind w:left="120"/>
              <w:spacing w:after="0"/>
              <w:rPr>
                <w:sz w:val="20"/>
                <w:szCs w:val="20"/>
                <w:color w:val="auto"/>
              </w:rPr>
            </w:pPr>
            <w:r>
              <w:rPr>
                <w:rFonts w:ascii="Arial" w:cs="Arial" w:eastAsia="Arial" w:hAnsi="Arial"/>
                <w:sz w:val="18"/>
                <w:szCs w:val="18"/>
                <w:color w:val="auto"/>
              </w:rPr>
              <w:t>Administrative service fees</w:t>
            </w:r>
          </w:p>
        </w:tc>
        <w:tc>
          <w:tcPr>
            <w:tcW w:w="44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780" w:type="dxa"/>
            <w:vAlign w:val="bottom"/>
          </w:tcPr>
          <w:p>
            <w:pPr>
              <w:jc w:val="right"/>
              <w:spacing w:after="0"/>
              <w:rPr>
                <w:sz w:val="20"/>
                <w:szCs w:val="20"/>
                <w:color w:val="auto"/>
              </w:rPr>
            </w:pPr>
            <w:r>
              <w:rPr>
                <w:rFonts w:ascii="Arial" w:cs="Arial" w:eastAsia="Arial" w:hAnsi="Arial"/>
                <w:sz w:val="18"/>
                <w:szCs w:val="18"/>
                <w:b w:val="1"/>
                <w:bCs w:val="1"/>
                <w:color w:val="auto"/>
              </w:rPr>
              <w:t>7.1</w:t>
            </w:r>
          </w:p>
        </w:tc>
        <w:tc>
          <w:tcPr>
            <w:tcW w:w="100" w:type="dxa"/>
            <w:vAlign w:val="bottom"/>
          </w:tcPr>
          <w:p>
            <w:pPr>
              <w:spacing w:after="0"/>
              <w:rPr>
                <w:sz w:val="18"/>
                <w:szCs w:val="18"/>
                <w:color w:val="auto"/>
              </w:rPr>
            </w:pPr>
          </w:p>
        </w:tc>
        <w:tc>
          <w:tcPr>
            <w:tcW w:w="320" w:type="dxa"/>
            <w:vAlign w:val="bottom"/>
            <w:gridSpan w:val="2"/>
          </w:tcPr>
          <w:p>
            <w:pPr>
              <w:jc w:val="right"/>
              <w:ind w:right="67"/>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6.6</w:t>
            </w:r>
          </w:p>
        </w:tc>
        <w:tc>
          <w:tcPr>
            <w:tcW w:w="200" w:type="dxa"/>
            <w:vAlign w:val="bottom"/>
          </w:tcPr>
          <w:p>
            <w:pPr>
              <w:spacing w:after="0"/>
              <w:rPr>
                <w:sz w:val="18"/>
                <w:szCs w:val="18"/>
                <w:color w:val="auto"/>
              </w:rPr>
            </w:pPr>
          </w:p>
        </w:tc>
        <w:tc>
          <w:tcPr>
            <w:tcW w:w="160" w:type="dxa"/>
            <w:vAlign w:val="bottom"/>
          </w:tcPr>
          <w:p>
            <w:pPr>
              <w:jc w:val="right"/>
              <w:ind w:right="7"/>
              <w:spacing w:after="0"/>
              <w:rPr>
                <w:sz w:val="20"/>
                <w:szCs w:val="20"/>
                <w:color w:val="auto"/>
              </w:rPr>
            </w:pPr>
            <w:r>
              <w:rPr>
                <w:rFonts w:ascii="Arial" w:cs="Arial" w:eastAsia="Arial" w:hAnsi="Arial"/>
                <w:sz w:val="15"/>
                <w:szCs w:val="15"/>
                <w:b w:val="1"/>
                <w:bCs w:val="1"/>
                <w:color w:val="auto"/>
                <w:w w:val="71"/>
              </w:rPr>
              <w:t>$</w:t>
            </w: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13.9</w:t>
            </w:r>
          </w:p>
        </w:tc>
        <w:tc>
          <w:tcPr>
            <w:tcW w:w="200" w:type="dxa"/>
            <w:vAlign w:val="bottom"/>
          </w:tcPr>
          <w:p>
            <w:pPr>
              <w:spacing w:after="0"/>
              <w:rPr>
                <w:sz w:val="18"/>
                <w:szCs w:val="18"/>
                <w:color w:val="auto"/>
              </w:rPr>
            </w:pPr>
          </w:p>
        </w:tc>
        <w:tc>
          <w:tcPr>
            <w:tcW w:w="240" w:type="dxa"/>
            <w:vAlign w:val="bottom"/>
            <w:gridSpan w:val="2"/>
          </w:tcPr>
          <w:p>
            <w:pPr>
              <w:jc w:val="right"/>
              <w:ind w:right="109"/>
              <w:spacing w:after="0"/>
              <w:rPr>
                <w:sz w:val="20"/>
                <w:szCs w:val="20"/>
                <w:color w:val="auto"/>
              </w:rPr>
            </w:pPr>
            <w:r>
              <w:rPr>
                <w:rFonts w:ascii="Arial" w:cs="Arial" w:eastAsia="Arial" w:hAnsi="Arial"/>
                <w:sz w:val="15"/>
                <w:szCs w:val="15"/>
                <w:color w:val="auto"/>
                <w:w w:val="71"/>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12.5</w:t>
            </w:r>
          </w:p>
        </w:tc>
        <w:tc>
          <w:tcPr>
            <w:tcW w:w="0" w:type="dxa"/>
            <w:vAlign w:val="bottom"/>
          </w:tcPr>
          <w:p>
            <w:pPr>
              <w:spacing w:after="0"/>
              <w:rPr>
                <w:sz w:val="1"/>
                <w:szCs w:val="1"/>
                <w:color w:val="auto"/>
              </w:rPr>
            </w:pPr>
          </w:p>
        </w:tc>
      </w:tr>
      <w:tr>
        <w:trPr>
          <w:trHeight w:val="216"/>
        </w:trPr>
        <w:tc>
          <w:tcPr>
            <w:tcW w:w="5320" w:type="dxa"/>
            <w:vAlign w:val="bottom"/>
            <w:shd w:val="clear" w:color="auto" w:fill="CCEEFF"/>
          </w:tcPr>
          <w:p>
            <w:pPr>
              <w:ind w:left="120"/>
              <w:spacing w:after="0"/>
              <w:rPr>
                <w:sz w:val="20"/>
                <w:szCs w:val="20"/>
                <w:color w:val="auto"/>
              </w:rPr>
            </w:pPr>
            <w:r>
              <w:rPr>
                <w:rFonts w:ascii="Arial" w:cs="Arial" w:eastAsia="Arial" w:hAnsi="Arial"/>
                <w:sz w:val="18"/>
                <w:szCs w:val="18"/>
                <w:color w:val="auto"/>
              </w:rPr>
              <w:t>Commission income</w:t>
            </w:r>
          </w:p>
        </w:tc>
        <w:tc>
          <w:tcPr>
            <w:tcW w:w="30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9.1</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8.4</w:t>
            </w:r>
          </w:p>
        </w:tc>
        <w:tc>
          <w:tcPr>
            <w:tcW w:w="20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17.7</w:t>
            </w: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16.2</w:t>
            </w:r>
          </w:p>
        </w:tc>
        <w:tc>
          <w:tcPr>
            <w:tcW w:w="0" w:type="dxa"/>
            <w:vAlign w:val="bottom"/>
          </w:tcPr>
          <w:p>
            <w:pPr>
              <w:spacing w:after="0"/>
              <w:rPr>
                <w:sz w:val="1"/>
                <w:szCs w:val="1"/>
                <w:color w:val="auto"/>
              </w:rPr>
            </w:pPr>
          </w:p>
        </w:tc>
      </w:tr>
      <w:tr>
        <w:trPr>
          <w:trHeight w:val="210"/>
        </w:trPr>
        <w:tc>
          <w:tcPr>
            <w:tcW w:w="5320" w:type="dxa"/>
            <w:vAlign w:val="bottom"/>
          </w:tcPr>
          <w:p>
            <w:pPr>
              <w:ind w:left="220"/>
              <w:spacing w:after="0"/>
              <w:rPr>
                <w:sz w:val="20"/>
                <w:szCs w:val="20"/>
                <w:color w:val="auto"/>
              </w:rPr>
            </w:pPr>
            <w:r>
              <w:rPr>
                <w:rFonts w:ascii="Arial" w:cs="Arial" w:eastAsia="Arial" w:hAnsi="Arial"/>
                <w:sz w:val="18"/>
                <w:szCs w:val="18"/>
                <w:color w:val="auto"/>
              </w:rPr>
              <w:t>Total revenues from contracts with customers</w:t>
            </w: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b w:val="1"/>
                <w:bCs w:val="1"/>
                <w:color w:val="auto"/>
              </w:rPr>
              <w:t>16.2</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15.0</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31.6</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28.7</w:t>
            </w:r>
          </w:p>
        </w:tc>
        <w:tc>
          <w:tcPr>
            <w:tcW w:w="0" w:type="dxa"/>
            <w:vAlign w:val="bottom"/>
          </w:tcPr>
          <w:p>
            <w:pPr>
              <w:spacing w:after="0"/>
              <w:rPr>
                <w:sz w:val="1"/>
                <w:szCs w:val="1"/>
                <w:color w:val="auto"/>
              </w:rPr>
            </w:pPr>
          </w:p>
        </w:tc>
      </w:tr>
      <w:tr>
        <w:trPr>
          <w:trHeight w:val="202"/>
        </w:trPr>
        <w:tc>
          <w:tcPr>
            <w:tcW w:w="5320" w:type="dxa"/>
            <w:vAlign w:val="bottom"/>
            <w:shd w:val="clear" w:color="auto" w:fill="CCEEFF"/>
          </w:tcPr>
          <w:p>
            <w:pPr>
              <w:ind w:left="120"/>
              <w:spacing w:after="0" w:line="201" w:lineRule="exact"/>
              <w:rPr>
                <w:sz w:val="20"/>
                <w:szCs w:val="20"/>
                <w:color w:val="auto"/>
              </w:rPr>
            </w:pPr>
            <w:r>
              <w:rPr>
                <w:rFonts w:ascii="Arial" w:cs="Arial" w:eastAsia="Arial" w:hAnsi="Arial"/>
                <w:sz w:val="18"/>
                <w:szCs w:val="18"/>
                <w:color w:val="auto"/>
                <w:w w:val="94"/>
              </w:rPr>
              <w:t>Fees and other revenues not within the scope of revenue recognition</w:t>
            </w:r>
          </w:p>
        </w:tc>
        <w:tc>
          <w:tcPr>
            <w:tcW w:w="3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8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(64.0)</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6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162.0</w:t>
            </w:r>
          </w:p>
        </w:tc>
        <w:tc>
          <w:tcPr>
            <w:tcW w:w="2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5320" w:type="dxa"/>
            <w:vAlign w:val="bottom"/>
            <w:shd w:val="clear" w:color="auto" w:fill="CCEEFF"/>
          </w:tcPr>
          <w:p>
            <w:pPr>
              <w:ind w:left="240"/>
              <w:spacing w:after="0"/>
              <w:rPr>
                <w:sz w:val="20"/>
                <w:szCs w:val="20"/>
                <w:color w:val="auto"/>
              </w:rPr>
            </w:pPr>
            <w:r>
              <w:rPr>
                <w:rFonts w:ascii="Arial" w:cs="Arial" w:eastAsia="Arial" w:hAnsi="Arial"/>
                <w:sz w:val="18"/>
                <w:szCs w:val="18"/>
                <w:color w:val="auto"/>
              </w:rPr>
              <w:t>guidance</w:t>
            </w:r>
          </w:p>
        </w:tc>
        <w:tc>
          <w:tcPr>
            <w:tcW w:w="3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880" w:type="dxa"/>
            <w:vAlign w:val="bottom"/>
            <w:gridSpan w:val="2"/>
            <w:vMerge w:val="continue"/>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211.5</w:t>
            </w:r>
          </w:p>
        </w:tc>
        <w:tc>
          <w:tcPr>
            <w:tcW w:w="20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760" w:type="dxa"/>
            <w:vAlign w:val="bottom"/>
            <w:vMerge w:val="continue"/>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431.7</w:t>
            </w:r>
          </w:p>
        </w:tc>
        <w:tc>
          <w:tcPr>
            <w:tcW w:w="0" w:type="dxa"/>
            <w:vAlign w:val="bottom"/>
          </w:tcPr>
          <w:p>
            <w:pPr>
              <w:spacing w:after="0"/>
              <w:rPr>
                <w:sz w:val="1"/>
                <w:szCs w:val="1"/>
                <w:color w:val="auto"/>
              </w:rPr>
            </w:pPr>
          </w:p>
        </w:tc>
      </w:tr>
      <w:tr>
        <w:trPr>
          <w:trHeight w:val="209"/>
        </w:trPr>
        <w:tc>
          <w:tcPr>
            <w:tcW w:w="5320" w:type="dxa"/>
            <w:vAlign w:val="bottom"/>
          </w:tcPr>
          <w:p>
            <w:pPr>
              <w:ind w:left="120"/>
              <w:spacing w:after="0"/>
              <w:rPr>
                <w:sz w:val="20"/>
                <w:szCs w:val="20"/>
                <w:color w:val="auto"/>
              </w:rPr>
            </w:pPr>
            <w:r>
              <w:rPr>
                <w:rFonts w:ascii="Arial" w:cs="Arial" w:eastAsia="Arial" w:hAnsi="Arial"/>
                <w:sz w:val="18"/>
                <w:szCs w:val="18"/>
                <w:color w:val="auto"/>
              </w:rPr>
              <w:t>Total fees and other revenues</w:t>
            </w:r>
          </w:p>
        </w:tc>
        <w:tc>
          <w:tcPr>
            <w:tcW w:w="3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(47.8)</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226.5</w:t>
            </w:r>
          </w:p>
        </w:tc>
        <w:tc>
          <w:tcPr>
            <w:tcW w:w="2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193.6</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460.4</w:t>
            </w:r>
          </w:p>
        </w:tc>
        <w:tc>
          <w:tcPr>
            <w:tcW w:w="0" w:type="dxa"/>
            <w:vAlign w:val="bottom"/>
          </w:tcPr>
          <w:p>
            <w:pPr>
              <w:spacing w:after="0"/>
              <w:rPr>
                <w:sz w:val="1"/>
                <w:szCs w:val="1"/>
                <w:color w:val="auto"/>
              </w:rPr>
            </w:pPr>
          </w:p>
        </w:tc>
      </w:tr>
      <w:tr>
        <w:trPr>
          <w:trHeight w:val="216"/>
        </w:trPr>
        <w:tc>
          <w:tcPr>
            <w:tcW w:w="5320" w:type="dxa"/>
            <w:vAlign w:val="bottom"/>
            <w:shd w:val="clear" w:color="auto" w:fill="CCEEFF"/>
          </w:tcPr>
          <w:p>
            <w:pPr>
              <w:ind w:left="120"/>
              <w:spacing w:after="0"/>
              <w:rPr>
                <w:sz w:val="20"/>
                <w:szCs w:val="20"/>
                <w:color w:val="auto"/>
              </w:rPr>
            </w:pPr>
            <w:r>
              <w:rPr>
                <w:rFonts w:ascii="Arial" w:cs="Arial" w:eastAsia="Arial" w:hAnsi="Arial"/>
                <w:sz w:val="18"/>
                <w:szCs w:val="18"/>
                <w:color w:val="auto"/>
              </w:rPr>
              <w:t>Premiums and other considerations</w:t>
            </w: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183.6</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86.0</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272.4</w:t>
            </w: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183.2</w:t>
            </w:r>
          </w:p>
        </w:tc>
        <w:tc>
          <w:tcPr>
            <w:tcW w:w="0" w:type="dxa"/>
            <w:vAlign w:val="bottom"/>
          </w:tcPr>
          <w:p>
            <w:pPr>
              <w:spacing w:after="0"/>
              <w:rPr>
                <w:sz w:val="1"/>
                <w:szCs w:val="1"/>
                <w:color w:val="auto"/>
              </w:rPr>
            </w:pPr>
          </w:p>
        </w:tc>
      </w:tr>
      <w:tr>
        <w:trPr>
          <w:trHeight w:val="216"/>
        </w:trPr>
        <w:tc>
          <w:tcPr>
            <w:tcW w:w="5320" w:type="dxa"/>
            <w:vAlign w:val="bottom"/>
            <w:tcBorders>
              <w:bottom w:val="single" w:sz="8" w:color="CCEEFF"/>
            </w:tcBorders>
          </w:tcPr>
          <w:p>
            <w:pPr>
              <w:ind w:left="120"/>
              <w:spacing w:after="0"/>
              <w:rPr>
                <w:sz w:val="20"/>
                <w:szCs w:val="20"/>
                <w:color w:val="auto"/>
              </w:rPr>
            </w:pPr>
            <w:r>
              <w:rPr>
                <w:rFonts w:ascii="Arial" w:cs="Arial" w:eastAsia="Arial" w:hAnsi="Arial"/>
                <w:sz w:val="18"/>
                <w:szCs w:val="18"/>
                <w:color w:val="auto"/>
              </w:rPr>
              <w:t>Net investment income</w:t>
            </w:r>
          </w:p>
        </w:tc>
        <w:tc>
          <w:tcPr>
            <w:tcW w:w="30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21.4</w:t>
            </w:r>
          </w:p>
        </w:tc>
        <w:tc>
          <w:tcPr>
            <w:tcW w:w="10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201.6</w:t>
            </w:r>
          </w:p>
        </w:tc>
        <w:tc>
          <w:tcPr>
            <w:tcW w:w="20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214.6</w:t>
            </w:r>
          </w:p>
        </w:tc>
        <w:tc>
          <w:tcPr>
            <w:tcW w:w="200" w:type="dxa"/>
            <w:vAlign w:val="bottom"/>
            <w:tcBorders>
              <w:bottom w:val="single" w:sz="8" w:color="CCEEFF"/>
            </w:tcBorders>
          </w:tcPr>
          <w:p>
            <w:pPr>
              <w:spacing w:after="0"/>
              <w:rPr>
                <w:sz w:val="18"/>
                <w:szCs w:val="18"/>
                <w:color w:val="auto"/>
              </w:rPr>
            </w:pPr>
          </w:p>
        </w:tc>
        <w:tc>
          <w:tcPr>
            <w:tcW w:w="2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389.8</w:t>
            </w:r>
          </w:p>
        </w:tc>
        <w:tc>
          <w:tcPr>
            <w:tcW w:w="0" w:type="dxa"/>
            <w:vAlign w:val="bottom"/>
          </w:tcPr>
          <w:p>
            <w:pPr>
              <w:spacing w:after="0"/>
              <w:rPr>
                <w:sz w:val="1"/>
                <w:szCs w:val="1"/>
                <w:color w:val="auto"/>
              </w:rPr>
            </w:pPr>
          </w:p>
        </w:tc>
      </w:tr>
      <w:tr>
        <w:trPr>
          <w:trHeight w:val="210"/>
        </w:trPr>
        <w:tc>
          <w:tcPr>
            <w:tcW w:w="532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Total operating revenues</w:t>
            </w:r>
          </w:p>
        </w:tc>
        <w:tc>
          <w:tcPr>
            <w:tcW w:w="30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157.2</w:t>
            </w:r>
          </w:p>
        </w:tc>
        <w:tc>
          <w:tcPr>
            <w:tcW w:w="10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514.1</w:t>
            </w:r>
          </w:p>
        </w:tc>
        <w:tc>
          <w:tcPr>
            <w:tcW w:w="20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jc w:val="right"/>
              <w:ind w:right="7"/>
              <w:spacing w:after="0"/>
              <w:rPr>
                <w:sz w:val="20"/>
                <w:szCs w:val="20"/>
                <w:color w:val="auto"/>
              </w:rPr>
            </w:pPr>
            <w:r>
              <w:rPr>
                <w:rFonts w:ascii="Arial" w:cs="Arial" w:eastAsia="Arial" w:hAnsi="Arial"/>
                <w:sz w:val="15"/>
                <w:szCs w:val="15"/>
                <w:b w:val="1"/>
                <w:bCs w:val="1"/>
                <w:color w:val="auto"/>
                <w:w w:val="71"/>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680.6</w:t>
            </w:r>
          </w:p>
        </w:tc>
        <w:tc>
          <w:tcPr>
            <w:tcW w:w="200" w:type="dxa"/>
            <w:vAlign w:val="bottom"/>
            <w:tcBorders>
              <w:bottom w:val="single" w:sz="8" w:color="CCEEFF"/>
            </w:tcBorders>
            <w:shd w:val="clear" w:color="auto" w:fill="CCEEFF"/>
          </w:tcPr>
          <w:p>
            <w:pPr>
              <w:spacing w:after="0"/>
              <w:rPr>
                <w:sz w:val="18"/>
                <w:szCs w:val="18"/>
                <w:color w:val="auto"/>
              </w:rPr>
            </w:pPr>
          </w:p>
        </w:tc>
        <w:tc>
          <w:tcPr>
            <w:tcW w:w="2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jc w:val="right"/>
              <w:ind w:right="109"/>
              <w:spacing w:after="0"/>
              <w:rPr>
                <w:sz w:val="20"/>
                <w:szCs w:val="20"/>
                <w:color w:val="auto"/>
              </w:rPr>
            </w:pPr>
            <w:r>
              <w:rPr>
                <w:rFonts w:ascii="Arial" w:cs="Arial" w:eastAsia="Arial" w:hAnsi="Arial"/>
                <w:sz w:val="10"/>
                <w:szCs w:val="10"/>
                <w:color w:val="auto"/>
                <w:w w:val="71"/>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1,033.</w:t>
            </w:r>
            <w:r>
              <w:rPr>
                <w:rFonts w:ascii="Arial" w:cs="Arial" w:eastAsia="Arial" w:hAnsi="Arial"/>
                <w:sz w:val="18"/>
                <w:szCs w:val="18"/>
                <w:u w:val="single" w:color="auto"/>
                <w:color w:val="auto"/>
              </w:rPr>
              <w:t>4</w:t>
            </w:r>
          </w:p>
        </w:tc>
        <w:tc>
          <w:tcPr>
            <w:tcW w:w="0" w:type="dxa"/>
            <w:vAlign w:val="bottom"/>
          </w:tcPr>
          <w:p>
            <w:pPr>
              <w:spacing w:after="0"/>
              <w:rPr>
                <w:sz w:val="1"/>
                <w:szCs w:val="1"/>
                <w:color w:val="auto"/>
              </w:rPr>
            </w:pPr>
          </w:p>
        </w:tc>
      </w:tr>
      <w:tr>
        <w:trPr>
          <w:trHeight w:val="20"/>
        </w:trPr>
        <w:tc>
          <w:tcPr>
            <w:tcW w:w="53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Corporate</w:t>
      </w:r>
    </w:p>
    <w:p>
      <w:pPr>
        <w:spacing w:after="0" w:line="229" w:lineRule="exact"/>
        <w:rPr>
          <w:sz w:val="20"/>
          <w:szCs w:val="20"/>
          <w:color w:val="auto"/>
        </w:rPr>
      </w:pPr>
    </w:p>
    <w:p>
      <w:pPr>
        <w:ind w:right="580" w:firstLine="648"/>
        <w:spacing w:after="0" w:line="277" w:lineRule="auto"/>
        <w:rPr>
          <w:sz w:val="20"/>
          <w:szCs w:val="20"/>
          <w:color w:val="auto"/>
        </w:rPr>
      </w:pPr>
      <w:r>
        <w:rPr>
          <w:rFonts w:ascii="Arial" w:cs="Arial" w:eastAsia="Arial" w:hAnsi="Arial"/>
          <w:sz w:val="18"/>
          <w:szCs w:val="18"/>
          <w:color w:val="auto"/>
        </w:rPr>
        <w:t>Fees and other revenues are earned on the performance of selling and servicing of securities and related products offered through PSI, an introducing broker-dealer registered with the FINRA.</w:t>
      </w:r>
    </w:p>
    <w:p>
      <w:pPr>
        <w:spacing w:after="0" w:line="170" w:lineRule="exact"/>
        <w:rPr>
          <w:sz w:val="20"/>
          <w:szCs w:val="20"/>
          <w:color w:val="auto"/>
        </w:rPr>
      </w:pPr>
    </w:p>
    <w:p>
      <w:pPr>
        <w:ind w:right="20" w:firstLine="648"/>
        <w:spacing w:after="0" w:line="293" w:lineRule="auto"/>
        <w:rPr>
          <w:sz w:val="20"/>
          <w:szCs w:val="20"/>
          <w:color w:val="auto"/>
        </w:rPr>
      </w:pPr>
      <w:r>
        <w:rPr>
          <w:rFonts w:ascii="Arial" w:cs="Arial" w:eastAsia="Arial" w:hAnsi="Arial"/>
          <w:sz w:val="16"/>
          <w:szCs w:val="16"/>
          <w:color w:val="auto"/>
        </w:rPr>
        <w:t>PSI enters into selling and distribution agreements with the obligation to sell or distribute the securities products, such as mutual funds, annuities and products sold through RIAs, to individual clients in return for front-end sales charges, 12b-1 service fees, annuity fees and asset-based fees. Front-end sales charges, 12b-1 fees and annuity fees are related to a single sale and are earned at the time of sale. PSI also enters into agreements with individual customers to provide securities trade execution and custody through a brokerage services platform in return for ticket charge and other service fee revenue. These services are bundled as one single distinct service referred to as brokerage services. This revenue is related to distinct transactions and is earned at a point in time.</w:t>
      </w:r>
    </w:p>
    <w:p>
      <w:pPr>
        <w:spacing w:after="0" w:line="164" w:lineRule="exact"/>
        <w:rPr>
          <w:sz w:val="20"/>
          <w:szCs w:val="20"/>
          <w:color w:val="auto"/>
        </w:rPr>
      </w:pPr>
    </w:p>
    <w:p>
      <w:pPr>
        <w:ind w:right="20" w:firstLine="648"/>
        <w:spacing w:after="0" w:line="259" w:lineRule="auto"/>
        <w:rPr>
          <w:sz w:val="20"/>
          <w:szCs w:val="20"/>
          <w:color w:val="auto"/>
        </w:rPr>
      </w:pPr>
      <w:r>
        <w:rPr>
          <w:rFonts w:ascii="Arial" w:cs="Arial" w:eastAsia="Arial" w:hAnsi="Arial"/>
          <w:sz w:val="18"/>
          <w:szCs w:val="18"/>
          <w:color w:val="auto"/>
        </w:rPr>
        <w:t>PSI also enters into agreements with individual customers to provide trade execution, clearing services, custody services and investment research services through our proprietary offered fee-based products. These services are bundled as one single distinct service referred to as advisory services. In addition, for outside RIA business PSI performs sales and distribution services only. The revenues are earned over time as the service is performed utilizing the output method.</w:t>
      </w:r>
    </w:p>
    <w:p>
      <w:pPr>
        <w:spacing w:after="0" w:line="187" w:lineRule="exact"/>
        <w:rPr>
          <w:sz w:val="20"/>
          <w:szCs w:val="20"/>
          <w:color w:val="auto"/>
        </w:rPr>
      </w:pPr>
    </w:p>
    <w:p>
      <w:pPr>
        <w:ind w:right="220" w:firstLine="648"/>
        <w:spacing w:after="0" w:line="277" w:lineRule="auto"/>
        <w:rPr>
          <w:sz w:val="20"/>
          <w:szCs w:val="20"/>
          <w:color w:val="auto"/>
        </w:rPr>
      </w:pPr>
      <w:r>
        <w:rPr>
          <w:rFonts w:ascii="Arial" w:cs="Arial" w:eastAsia="Arial" w:hAnsi="Arial"/>
          <w:sz w:val="18"/>
          <w:szCs w:val="18"/>
          <w:color w:val="auto"/>
        </w:rPr>
        <w:t>A majority of our revenue is based upon contractual rates applied to the market value of the clients’ portfolios and considered variable consideration.</w:t>
      </w: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540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86" w:name="page87"/>
    <w:bookmarkEnd w:id="86"/>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right="620" w:firstLine="648"/>
        <w:spacing w:after="0" w:line="277" w:lineRule="auto"/>
        <w:rPr>
          <w:sz w:val="20"/>
          <w:szCs w:val="20"/>
          <w:color w:val="auto"/>
        </w:rPr>
      </w:pPr>
      <w:r>
        <w:rPr>
          <w:rFonts w:ascii="Arial" w:cs="Arial" w:eastAsia="Arial" w:hAnsi="Arial"/>
          <w:sz w:val="18"/>
          <w:szCs w:val="18"/>
          <w:color w:val="auto"/>
        </w:rPr>
        <w:t>The Corporate segment also includes inter-segment eliminations of fees and other revenues. The types of revenues from contracts with customers were as follows:</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2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100" w:type="dxa"/>
            <w:vAlign w:val="bottom"/>
            <w:gridSpan w:val="6"/>
          </w:tcPr>
          <w:p>
            <w:pPr>
              <w:jc w:val="right"/>
              <w:ind w:right="360"/>
              <w:spacing w:after="0"/>
              <w:rPr>
                <w:sz w:val="20"/>
                <w:szCs w:val="20"/>
                <w:color w:val="auto"/>
              </w:rPr>
            </w:pPr>
            <w:r>
              <w:rPr>
                <w:rFonts w:ascii="Arial" w:cs="Arial" w:eastAsia="Arial" w:hAnsi="Arial"/>
                <w:sz w:val="14"/>
                <w:szCs w:val="14"/>
                <w:b w:val="1"/>
                <w:bCs w:val="1"/>
                <w:color w:val="auto"/>
                <w:w w:val="92"/>
              </w:rPr>
              <w:t>For the three months ended</w:t>
            </w:r>
          </w:p>
        </w:tc>
        <w:tc>
          <w:tcPr>
            <w:tcW w:w="160" w:type="dxa"/>
            <w:vAlign w:val="bottom"/>
          </w:tcPr>
          <w:p>
            <w:pPr>
              <w:spacing w:after="0"/>
              <w:rPr>
                <w:sz w:val="14"/>
                <w:szCs w:val="14"/>
                <w:color w:val="auto"/>
              </w:rPr>
            </w:pPr>
          </w:p>
        </w:tc>
        <w:tc>
          <w:tcPr>
            <w:tcW w:w="1900" w:type="dxa"/>
            <w:vAlign w:val="bottom"/>
            <w:gridSpan w:val="5"/>
          </w:tcPr>
          <w:p>
            <w:pPr>
              <w:jc w:val="right"/>
              <w:ind w:right="172"/>
              <w:spacing w:after="0"/>
              <w:rPr>
                <w:sz w:val="20"/>
                <w:szCs w:val="20"/>
                <w:color w:val="auto"/>
              </w:rPr>
            </w:pPr>
            <w:r>
              <w:rPr>
                <w:rFonts w:ascii="Arial" w:cs="Arial" w:eastAsia="Arial" w:hAnsi="Arial"/>
                <w:sz w:val="14"/>
                <w:szCs w:val="14"/>
                <w:b w:val="1"/>
                <w:bCs w:val="1"/>
                <w:color w:val="auto"/>
                <w:w w:val="95"/>
              </w:rPr>
              <w:t>For the six months ended</w:t>
            </w:r>
          </w:p>
        </w:tc>
        <w:tc>
          <w:tcPr>
            <w:tcW w:w="0" w:type="dxa"/>
            <w:vAlign w:val="bottom"/>
          </w:tcPr>
          <w:p>
            <w:pPr>
              <w:spacing w:after="0"/>
              <w:rPr>
                <w:sz w:val="1"/>
                <w:szCs w:val="1"/>
                <w:color w:val="auto"/>
              </w:rPr>
            </w:pPr>
          </w:p>
        </w:tc>
      </w:tr>
      <w:tr>
        <w:trPr>
          <w:trHeight w:val="171"/>
        </w:trPr>
        <w:tc>
          <w:tcPr>
            <w:tcW w:w="52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gridSpan w:val="4"/>
          </w:tcPr>
          <w:p>
            <w:pPr>
              <w:jc w:val="right"/>
              <w:ind w:right="7"/>
              <w:spacing w:after="0"/>
              <w:rPr>
                <w:sz w:val="20"/>
                <w:szCs w:val="20"/>
                <w:color w:val="auto"/>
              </w:rPr>
            </w:pPr>
            <w:r>
              <w:rPr>
                <w:rFonts w:ascii="Arial" w:cs="Arial" w:eastAsia="Arial" w:hAnsi="Arial"/>
                <w:sz w:val="14"/>
                <w:szCs w:val="14"/>
                <w:b w:val="1"/>
                <w:bCs w:val="1"/>
                <w:color w:val="auto"/>
              </w:rPr>
              <w:t>June 30,</w:t>
            </w:r>
          </w:p>
        </w:tc>
        <w:tc>
          <w:tcPr>
            <w:tcW w:w="70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220" w:type="dxa"/>
            <w:vAlign w:val="bottom"/>
            <w:tcBorders>
              <w:bottom w:val="single" w:sz="8" w:color="auto"/>
            </w:tcBorders>
            <w:gridSpan w:val="4"/>
          </w:tcPr>
          <w:p>
            <w:pPr>
              <w:jc w:val="right"/>
              <w:ind w:right="47"/>
              <w:spacing w:after="0"/>
              <w:rPr>
                <w:sz w:val="20"/>
                <w:szCs w:val="20"/>
                <w:color w:val="auto"/>
              </w:rPr>
            </w:pPr>
            <w:r>
              <w:rPr>
                <w:rFonts w:ascii="Arial" w:cs="Arial" w:eastAsia="Arial" w:hAnsi="Arial"/>
                <w:sz w:val="14"/>
                <w:szCs w:val="14"/>
                <w:b w:val="1"/>
                <w:bCs w:val="1"/>
                <w:color w:val="auto"/>
              </w:rPr>
              <w:t>June 30,</w:t>
            </w:r>
          </w:p>
        </w:tc>
        <w:tc>
          <w:tcPr>
            <w:tcW w:w="68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52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ind w:right="235"/>
              <w:spacing w:after="0" w:line="142" w:lineRule="exact"/>
              <w:rPr>
                <w:sz w:val="20"/>
                <w:szCs w:val="20"/>
                <w:color w:val="auto"/>
              </w:rPr>
            </w:pPr>
            <w:r>
              <w:rPr>
                <w:rFonts w:ascii="Arial" w:cs="Arial" w:eastAsia="Arial" w:hAnsi="Arial"/>
                <w:sz w:val="14"/>
                <w:szCs w:val="14"/>
                <w:b w:val="1"/>
                <w:bCs w:val="1"/>
                <w:color w:val="auto"/>
              </w:rPr>
              <w:t>2022</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ind w:right="233"/>
              <w:spacing w:after="0" w:line="142" w:lineRule="exact"/>
              <w:rPr>
                <w:sz w:val="20"/>
                <w:szCs w:val="20"/>
                <w:color w:val="auto"/>
              </w:rPr>
            </w:pPr>
            <w:r>
              <w:rPr>
                <w:rFonts w:ascii="Arial" w:cs="Arial" w:eastAsia="Arial" w:hAnsi="Arial"/>
                <w:sz w:val="14"/>
                <w:szCs w:val="14"/>
                <w:b w:val="1"/>
                <w:bCs w:val="1"/>
                <w:color w:val="auto"/>
              </w:rPr>
              <w:t>2021</w:t>
            </w:r>
          </w:p>
        </w:tc>
        <w:tc>
          <w:tcPr>
            <w:tcW w:w="20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ind w:right="235"/>
              <w:spacing w:after="0" w:line="142" w:lineRule="exact"/>
              <w:rPr>
                <w:sz w:val="20"/>
                <w:szCs w:val="20"/>
                <w:color w:val="auto"/>
              </w:rPr>
            </w:pPr>
            <w:r>
              <w:rPr>
                <w:rFonts w:ascii="Arial" w:cs="Arial" w:eastAsia="Arial" w:hAnsi="Arial"/>
                <w:sz w:val="14"/>
                <w:szCs w:val="14"/>
                <w:b w:val="1"/>
                <w:bCs w:val="1"/>
                <w:color w:val="auto"/>
              </w:rPr>
              <w:t>2022</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ind w:right="172"/>
              <w:spacing w:after="0" w:line="142" w:lineRule="exact"/>
              <w:rPr>
                <w:sz w:val="20"/>
                <w:szCs w:val="20"/>
                <w:color w:val="auto"/>
              </w:rPr>
            </w:pPr>
            <w:r>
              <w:rPr>
                <w:rFonts w:ascii="Arial" w:cs="Arial" w:eastAsia="Arial" w:hAnsi="Arial"/>
                <w:sz w:val="14"/>
                <w:szCs w:val="14"/>
                <w:b w:val="1"/>
                <w:bCs w:val="1"/>
                <w:color w:val="auto"/>
              </w:rPr>
              <w:t>2021</w:t>
            </w:r>
          </w:p>
        </w:tc>
        <w:tc>
          <w:tcPr>
            <w:tcW w:w="0" w:type="dxa"/>
            <w:vAlign w:val="bottom"/>
          </w:tcPr>
          <w:p>
            <w:pPr>
              <w:spacing w:after="0"/>
              <w:rPr>
                <w:sz w:val="1"/>
                <w:szCs w:val="1"/>
                <w:color w:val="auto"/>
              </w:rPr>
            </w:pPr>
          </w:p>
        </w:tc>
      </w:tr>
      <w:tr>
        <w:trPr>
          <w:trHeight w:val="129"/>
        </w:trPr>
        <w:tc>
          <w:tcPr>
            <w:tcW w:w="5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820" w:type="dxa"/>
            <w:vAlign w:val="bottom"/>
            <w:gridSpan w:val="4"/>
          </w:tcPr>
          <w:p>
            <w:pPr>
              <w:jc w:val="right"/>
              <w:ind w:right="575"/>
              <w:spacing w:after="0" w:line="129" w:lineRule="exact"/>
              <w:rPr>
                <w:sz w:val="20"/>
                <w:szCs w:val="20"/>
                <w:color w:val="auto"/>
              </w:rPr>
            </w:pPr>
            <w:r>
              <w:rPr>
                <w:rFonts w:ascii="Arial" w:cs="Arial" w:eastAsia="Arial" w:hAnsi="Arial"/>
                <w:sz w:val="14"/>
                <w:szCs w:val="14"/>
                <w:i w:val="1"/>
                <w:iCs w:val="1"/>
                <w:color w:val="auto"/>
              </w:rPr>
              <w:t>(in millions)</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5280" w:type="dxa"/>
            <w:vAlign w:val="bottom"/>
            <w:shd w:val="clear" w:color="auto" w:fill="CCEEFF"/>
          </w:tcPr>
          <w:p>
            <w:pPr>
              <w:spacing w:after="0"/>
              <w:rPr>
                <w:sz w:val="20"/>
                <w:szCs w:val="20"/>
                <w:color w:val="auto"/>
              </w:rPr>
            </w:pPr>
            <w:r>
              <w:rPr>
                <w:rFonts w:ascii="Arial" w:cs="Arial" w:eastAsia="Arial" w:hAnsi="Arial"/>
                <w:sz w:val="18"/>
                <w:szCs w:val="18"/>
                <w:color w:val="auto"/>
              </w:rPr>
              <w:t>Commission income</w:t>
            </w:r>
          </w:p>
        </w:tc>
        <w:tc>
          <w:tcPr>
            <w:tcW w:w="4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93.4</w:t>
            </w:r>
          </w:p>
        </w:tc>
        <w:tc>
          <w:tcPr>
            <w:tcW w:w="100" w:type="dxa"/>
            <w:vAlign w:val="bottom"/>
            <w:shd w:val="clear" w:color="auto" w:fill="CCEEFF"/>
          </w:tcPr>
          <w:p>
            <w:pPr>
              <w:spacing w:after="0"/>
              <w:rPr>
                <w:sz w:val="18"/>
                <w:szCs w:val="18"/>
                <w:color w:val="auto"/>
              </w:rPr>
            </w:pPr>
          </w:p>
        </w:tc>
        <w:tc>
          <w:tcPr>
            <w:tcW w:w="320" w:type="dxa"/>
            <w:vAlign w:val="bottom"/>
            <w:gridSpan w:val="2"/>
            <w:shd w:val="clear" w:color="auto" w:fill="CCEEFF"/>
          </w:tcPr>
          <w:p>
            <w:pPr>
              <w:jc w:val="right"/>
              <w:ind w:right="67"/>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95.7</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jc w:val="right"/>
              <w:ind w:right="7"/>
              <w:spacing w:after="0"/>
              <w:rPr>
                <w:sz w:val="20"/>
                <w:szCs w:val="20"/>
                <w:color w:val="auto"/>
              </w:rPr>
            </w:pPr>
            <w:r>
              <w:rPr>
                <w:rFonts w:ascii="Arial" w:cs="Arial" w:eastAsia="Arial" w:hAnsi="Arial"/>
                <w:sz w:val="15"/>
                <w:szCs w:val="15"/>
                <w:b w:val="1"/>
                <w:bCs w:val="1"/>
                <w:color w:val="auto"/>
                <w:w w:val="71"/>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190.6</w:t>
            </w:r>
          </w:p>
        </w:tc>
        <w:tc>
          <w:tcPr>
            <w:tcW w:w="100" w:type="dxa"/>
            <w:vAlign w:val="bottom"/>
            <w:shd w:val="clear" w:color="auto" w:fill="CCEEFF"/>
          </w:tcPr>
          <w:p>
            <w:pPr>
              <w:spacing w:after="0"/>
              <w:rPr>
                <w:sz w:val="18"/>
                <w:szCs w:val="18"/>
                <w:color w:val="auto"/>
              </w:rPr>
            </w:pPr>
          </w:p>
        </w:tc>
        <w:tc>
          <w:tcPr>
            <w:tcW w:w="360" w:type="dxa"/>
            <w:vAlign w:val="bottom"/>
            <w:gridSpan w:val="2"/>
            <w:shd w:val="clear" w:color="auto" w:fill="CCEEFF"/>
          </w:tcPr>
          <w:p>
            <w:pPr>
              <w:jc w:val="right"/>
              <w:ind w:right="107"/>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187.7</w:t>
            </w:r>
          </w:p>
        </w:tc>
        <w:tc>
          <w:tcPr>
            <w:tcW w:w="0" w:type="dxa"/>
            <w:vAlign w:val="bottom"/>
          </w:tcPr>
          <w:p>
            <w:pPr>
              <w:spacing w:after="0"/>
              <w:rPr>
                <w:sz w:val="1"/>
                <w:szCs w:val="1"/>
                <w:color w:val="auto"/>
              </w:rPr>
            </w:pPr>
          </w:p>
        </w:tc>
      </w:tr>
      <w:tr>
        <w:trPr>
          <w:trHeight w:val="216"/>
        </w:trPr>
        <w:tc>
          <w:tcPr>
            <w:tcW w:w="5280" w:type="dxa"/>
            <w:vAlign w:val="bottom"/>
          </w:tcPr>
          <w:p>
            <w:pPr>
              <w:spacing w:after="0"/>
              <w:rPr>
                <w:sz w:val="20"/>
                <w:szCs w:val="20"/>
                <w:color w:val="auto"/>
              </w:rPr>
            </w:pPr>
            <w:r>
              <w:rPr>
                <w:rFonts w:ascii="Arial" w:cs="Arial" w:eastAsia="Arial" w:hAnsi="Arial"/>
                <w:sz w:val="18"/>
                <w:szCs w:val="18"/>
                <w:color w:val="auto"/>
              </w:rPr>
              <w:t>Other fee revenue</w:t>
            </w: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b w:val="1"/>
                <w:bCs w:val="1"/>
                <w:color w:val="auto"/>
              </w:rPr>
              <w:t>18.9</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17.4</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38.7</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33.7</w:t>
            </w:r>
          </w:p>
        </w:tc>
        <w:tc>
          <w:tcPr>
            <w:tcW w:w="0" w:type="dxa"/>
            <w:vAlign w:val="bottom"/>
          </w:tcPr>
          <w:p>
            <w:pPr>
              <w:spacing w:after="0"/>
              <w:rPr>
                <w:sz w:val="1"/>
                <w:szCs w:val="1"/>
                <w:color w:val="auto"/>
              </w:rPr>
            </w:pPr>
          </w:p>
        </w:tc>
      </w:tr>
      <w:tr>
        <w:trPr>
          <w:trHeight w:val="216"/>
        </w:trPr>
        <w:tc>
          <w:tcPr>
            <w:tcW w:w="5280" w:type="dxa"/>
            <w:vAlign w:val="bottom"/>
            <w:shd w:val="clear" w:color="auto" w:fill="CCEEFF"/>
          </w:tcPr>
          <w:p>
            <w:pPr>
              <w:spacing w:after="0"/>
              <w:rPr>
                <w:sz w:val="20"/>
                <w:szCs w:val="20"/>
                <w:color w:val="auto"/>
              </w:rPr>
            </w:pPr>
            <w:r>
              <w:rPr>
                <w:rFonts w:ascii="Arial" w:cs="Arial" w:eastAsia="Arial" w:hAnsi="Arial"/>
                <w:sz w:val="18"/>
                <w:szCs w:val="18"/>
                <w:color w:val="auto"/>
              </w:rPr>
              <w:t>Eliminations</w:t>
            </w:r>
          </w:p>
        </w:tc>
        <w:tc>
          <w:tcPr>
            <w:tcW w:w="3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(84.6)</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(57.2)</w:t>
            </w:r>
          </w:p>
        </w:tc>
        <w:tc>
          <w:tcPr>
            <w:tcW w:w="1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(153.7)</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(117.1)</w:t>
            </w:r>
          </w:p>
        </w:tc>
        <w:tc>
          <w:tcPr>
            <w:tcW w:w="0" w:type="dxa"/>
            <w:vAlign w:val="bottom"/>
          </w:tcPr>
          <w:p>
            <w:pPr>
              <w:spacing w:after="0"/>
              <w:rPr>
                <w:sz w:val="1"/>
                <w:szCs w:val="1"/>
                <w:color w:val="auto"/>
              </w:rPr>
            </w:pPr>
          </w:p>
        </w:tc>
      </w:tr>
      <w:tr>
        <w:trPr>
          <w:trHeight w:val="210"/>
        </w:trPr>
        <w:tc>
          <w:tcPr>
            <w:tcW w:w="5280" w:type="dxa"/>
            <w:vAlign w:val="bottom"/>
          </w:tcPr>
          <w:p>
            <w:pPr>
              <w:ind w:left="120"/>
              <w:spacing w:after="0"/>
              <w:rPr>
                <w:sz w:val="20"/>
                <w:szCs w:val="20"/>
                <w:color w:val="auto"/>
              </w:rPr>
            </w:pPr>
            <w:r>
              <w:rPr>
                <w:rFonts w:ascii="Arial" w:cs="Arial" w:eastAsia="Arial" w:hAnsi="Arial"/>
                <w:sz w:val="18"/>
                <w:szCs w:val="18"/>
                <w:color w:val="auto"/>
              </w:rPr>
              <w:t>Total revenues from contracts with customers</w:t>
            </w:r>
          </w:p>
        </w:tc>
        <w:tc>
          <w:tcPr>
            <w:tcW w:w="34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27.7</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55.9</w:t>
            </w:r>
          </w:p>
        </w:tc>
        <w:tc>
          <w:tcPr>
            <w:tcW w:w="2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75.6</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104.3</w:t>
            </w:r>
          </w:p>
        </w:tc>
        <w:tc>
          <w:tcPr>
            <w:tcW w:w="0" w:type="dxa"/>
            <w:vAlign w:val="bottom"/>
          </w:tcPr>
          <w:p>
            <w:pPr>
              <w:spacing w:after="0"/>
              <w:rPr>
                <w:sz w:val="1"/>
                <w:szCs w:val="1"/>
                <w:color w:val="auto"/>
              </w:rPr>
            </w:pPr>
          </w:p>
        </w:tc>
      </w:tr>
      <w:tr>
        <w:trPr>
          <w:trHeight w:val="202"/>
        </w:trPr>
        <w:tc>
          <w:tcPr>
            <w:tcW w:w="52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6"/>
              </w:rPr>
              <w:t>Fees and other revenues not within the scope of revenue recognition</w:t>
            </w:r>
          </w:p>
        </w:tc>
        <w:tc>
          <w:tcPr>
            <w:tcW w:w="3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8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(79.4)</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6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(170.8)</w:t>
            </w: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5280" w:type="dxa"/>
            <w:vAlign w:val="bottom"/>
            <w:shd w:val="clear" w:color="auto" w:fill="CCEEFF"/>
          </w:tcPr>
          <w:p>
            <w:pPr>
              <w:ind w:left="140"/>
              <w:spacing w:after="0"/>
              <w:rPr>
                <w:sz w:val="20"/>
                <w:szCs w:val="20"/>
                <w:color w:val="auto"/>
              </w:rPr>
            </w:pPr>
            <w:r>
              <w:rPr>
                <w:rFonts w:ascii="Arial" w:cs="Arial" w:eastAsia="Arial" w:hAnsi="Arial"/>
                <w:sz w:val="18"/>
                <w:szCs w:val="18"/>
                <w:color w:val="auto"/>
              </w:rPr>
              <w:t>guidance</w:t>
            </w:r>
          </w:p>
        </w:tc>
        <w:tc>
          <w:tcPr>
            <w:tcW w:w="34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880" w:type="dxa"/>
            <w:vAlign w:val="bottom"/>
            <w:gridSpan w:val="2"/>
            <w:vMerge w:val="continue"/>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9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(88.5)</w:t>
            </w:r>
          </w:p>
        </w:tc>
        <w:tc>
          <w:tcPr>
            <w:tcW w:w="160" w:type="dxa"/>
            <w:vAlign w:val="bottom"/>
            <w:shd w:val="clear" w:color="auto" w:fill="CCEEFF"/>
          </w:tcPr>
          <w:p>
            <w:pPr>
              <w:spacing w:after="0"/>
              <w:rPr>
                <w:sz w:val="20"/>
                <w:szCs w:val="20"/>
                <w:color w:val="auto"/>
              </w:rPr>
            </w:pPr>
          </w:p>
        </w:tc>
        <w:tc>
          <w:tcPr>
            <w:tcW w:w="860" w:type="dxa"/>
            <w:vAlign w:val="bottom"/>
            <w:gridSpan w:val="2"/>
            <w:vMerge w:val="continue"/>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(174.5)</w:t>
            </w:r>
          </w:p>
        </w:tc>
        <w:tc>
          <w:tcPr>
            <w:tcW w:w="0" w:type="dxa"/>
            <w:vAlign w:val="bottom"/>
          </w:tcPr>
          <w:p>
            <w:pPr>
              <w:spacing w:after="0"/>
              <w:rPr>
                <w:sz w:val="1"/>
                <w:szCs w:val="1"/>
                <w:color w:val="auto"/>
              </w:rPr>
            </w:pPr>
          </w:p>
        </w:tc>
      </w:tr>
      <w:tr>
        <w:trPr>
          <w:trHeight w:val="209"/>
        </w:trPr>
        <w:tc>
          <w:tcPr>
            <w:tcW w:w="5280" w:type="dxa"/>
            <w:vAlign w:val="bottom"/>
          </w:tcPr>
          <w:p>
            <w:pPr>
              <w:spacing w:after="0"/>
              <w:rPr>
                <w:sz w:val="20"/>
                <w:szCs w:val="20"/>
                <w:color w:val="auto"/>
              </w:rPr>
            </w:pPr>
            <w:r>
              <w:rPr>
                <w:rFonts w:ascii="Arial" w:cs="Arial" w:eastAsia="Arial" w:hAnsi="Arial"/>
                <w:sz w:val="18"/>
                <w:szCs w:val="18"/>
                <w:color w:val="auto"/>
              </w:rPr>
              <w:t>Total fees and other revenues</w:t>
            </w:r>
          </w:p>
        </w:tc>
        <w:tc>
          <w:tcPr>
            <w:tcW w:w="34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(51.7)</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(32.6)</w:t>
            </w:r>
          </w:p>
        </w:tc>
        <w:tc>
          <w:tcPr>
            <w:tcW w:w="2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(95.2)</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(70.2)</w:t>
            </w:r>
          </w:p>
        </w:tc>
        <w:tc>
          <w:tcPr>
            <w:tcW w:w="0" w:type="dxa"/>
            <w:vAlign w:val="bottom"/>
          </w:tcPr>
          <w:p>
            <w:pPr>
              <w:spacing w:after="0"/>
              <w:rPr>
                <w:sz w:val="1"/>
                <w:szCs w:val="1"/>
                <w:color w:val="auto"/>
              </w:rPr>
            </w:pPr>
          </w:p>
        </w:tc>
      </w:tr>
      <w:tr>
        <w:trPr>
          <w:trHeight w:val="216"/>
        </w:trPr>
        <w:tc>
          <w:tcPr>
            <w:tcW w:w="5280" w:type="dxa"/>
            <w:vAlign w:val="bottom"/>
            <w:shd w:val="clear" w:color="auto" w:fill="CCEEFF"/>
          </w:tcPr>
          <w:p>
            <w:pPr>
              <w:spacing w:after="0"/>
              <w:rPr>
                <w:sz w:val="20"/>
                <w:szCs w:val="20"/>
                <w:color w:val="auto"/>
              </w:rPr>
            </w:pPr>
            <w:r>
              <w:rPr>
                <w:rFonts w:ascii="Arial" w:cs="Arial" w:eastAsia="Arial" w:hAnsi="Arial"/>
                <w:sz w:val="18"/>
                <w:szCs w:val="18"/>
                <w:color w:val="auto"/>
              </w:rPr>
              <w:t>Premiums and other considerations</w:t>
            </w:r>
          </w:p>
        </w:tc>
        <w:tc>
          <w:tcPr>
            <w:tcW w:w="3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(1.2)</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(1.7)</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528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Net investment income</w:t>
            </w:r>
          </w:p>
        </w:tc>
        <w:tc>
          <w:tcPr>
            <w:tcW w:w="34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45.9</w:t>
            </w:r>
          </w:p>
        </w:tc>
        <w:tc>
          <w:tcPr>
            <w:tcW w:w="10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33.7</w:t>
            </w:r>
          </w:p>
        </w:tc>
        <w:tc>
          <w:tcPr>
            <w:tcW w:w="20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89.6</w:t>
            </w:r>
          </w:p>
        </w:tc>
        <w:tc>
          <w:tcPr>
            <w:tcW w:w="10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62.7</w:t>
            </w:r>
          </w:p>
        </w:tc>
        <w:tc>
          <w:tcPr>
            <w:tcW w:w="0" w:type="dxa"/>
            <w:vAlign w:val="bottom"/>
          </w:tcPr>
          <w:p>
            <w:pPr>
              <w:spacing w:after="0"/>
              <w:rPr>
                <w:sz w:val="1"/>
                <w:szCs w:val="1"/>
                <w:color w:val="auto"/>
              </w:rPr>
            </w:pPr>
          </w:p>
        </w:tc>
      </w:tr>
      <w:tr>
        <w:trPr>
          <w:trHeight w:val="209"/>
        </w:trPr>
        <w:tc>
          <w:tcPr>
            <w:tcW w:w="52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operating revenues</w:t>
            </w:r>
          </w:p>
        </w:tc>
        <w:tc>
          <w:tcPr>
            <w:tcW w:w="34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(7.0)</w:t>
            </w:r>
          </w:p>
        </w:tc>
        <w:tc>
          <w:tcPr>
            <w:tcW w:w="10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w:t>
            </w:r>
          </w:p>
        </w:tc>
        <w:tc>
          <w:tcPr>
            <w:tcW w:w="20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jc w:val="right"/>
              <w:ind w:right="7"/>
              <w:spacing w:after="0"/>
              <w:rPr>
                <w:sz w:val="20"/>
                <w:szCs w:val="20"/>
                <w:color w:val="auto"/>
              </w:rPr>
            </w:pPr>
            <w:r>
              <w:rPr>
                <w:rFonts w:ascii="Arial" w:cs="Arial" w:eastAsia="Arial" w:hAnsi="Arial"/>
                <w:sz w:val="15"/>
                <w:szCs w:val="15"/>
                <w:b w:val="1"/>
                <w:bCs w:val="1"/>
                <w:color w:val="auto"/>
                <w:w w:val="71"/>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(7.3)</w:t>
            </w:r>
          </w:p>
        </w:tc>
        <w:tc>
          <w:tcPr>
            <w:tcW w:w="10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jc w:val="right"/>
              <w:ind w:right="107"/>
              <w:spacing w:after="0"/>
              <w:rPr>
                <w:sz w:val="20"/>
                <w:szCs w:val="20"/>
                <w:color w:val="auto"/>
              </w:rPr>
            </w:pPr>
            <w:r>
              <w:rPr>
                <w:rFonts w:ascii="Arial" w:cs="Arial" w:eastAsia="Arial" w:hAnsi="Arial"/>
                <w:sz w:val="15"/>
                <w:szCs w:val="15"/>
                <w:color w:val="auto"/>
                <w:w w:val="71"/>
              </w:rPr>
              <w:t>$</w:t>
            </w: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(7.5)</w:t>
            </w:r>
          </w:p>
        </w:tc>
        <w:tc>
          <w:tcPr>
            <w:tcW w:w="0" w:type="dxa"/>
            <w:vAlign w:val="bottom"/>
          </w:tcPr>
          <w:p>
            <w:pPr>
              <w:spacing w:after="0"/>
              <w:rPr>
                <w:sz w:val="1"/>
                <w:szCs w:val="1"/>
                <w:color w:val="auto"/>
              </w:rPr>
            </w:pPr>
          </w:p>
        </w:tc>
      </w:tr>
      <w:tr>
        <w:trPr>
          <w:trHeight w:val="20"/>
        </w:trPr>
        <w:tc>
          <w:tcPr>
            <w:tcW w:w="52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 Costs</w:t>
      </w:r>
    </w:p>
    <w:p>
      <w:pPr>
        <w:spacing w:after="0" w:line="229" w:lineRule="exact"/>
        <w:rPr>
          <w:sz w:val="20"/>
          <w:szCs w:val="20"/>
          <w:color w:val="auto"/>
        </w:rPr>
      </w:pPr>
    </w:p>
    <w:p>
      <w:pPr>
        <w:jc w:val="both"/>
        <w:ind w:right="40" w:firstLine="648"/>
        <w:spacing w:after="0" w:line="311" w:lineRule="auto"/>
        <w:rPr>
          <w:sz w:val="20"/>
          <w:szCs w:val="20"/>
          <w:color w:val="auto"/>
        </w:rPr>
      </w:pPr>
      <w:r>
        <w:rPr>
          <w:rFonts w:ascii="Arial" w:cs="Arial" w:eastAsia="Arial" w:hAnsi="Arial"/>
          <w:sz w:val="16"/>
          <w:szCs w:val="16"/>
          <w:color w:val="auto"/>
        </w:rPr>
        <w:t>Sales compensation and other incremental costs of obtaining a contract are capitalized and amortized over the period of contract benefit if the costs are expected to be recovered. The contract cost asset, which is included in other assets on the consolidated statements of financial position, was $201.4 million and $193.1 million as of June 30, 2022 and December 31, 2021, respectively.</w:t>
      </w:r>
    </w:p>
    <w:p>
      <w:pPr>
        <w:spacing w:after="0" w:line="149" w:lineRule="exact"/>
        <w:rPr>
          <w:sz w:val="20"/>
          <w:szCs w:val="20"/>
          <w:color w:val="auto"/>
        </w:rPr>
      </w:pPr>
    </w:p>
    <w:p>
      <w:pPr>
        <w:jc w:val="both"/>
        <w:ind w:right="240" w:firstLine="648"/>
        <w:spacing w:after="0" w:line="263" w:lineRule="auto"/>
        <w:rPr>
          <w:sz w:val="20"/>
          <w:szCs w:val="20"/>
          <w:color w:val="auto"/>
        </w:rPr>
      </w:pPr>
      <w:r>
        <w:rPr>
          <w:rFonts w:ascii="Arial" w:cs="Arial" w:eastAsia="Arial" w:hAnsi="Arial"/>
          <w:sz w:val="18"/>
          <w:szCs w:val="18"/>
          <w:color w:val="auto"/>
        </w:rPr>
        <w:t>We apply the practical expedient for certain costs where we recognize the incremental costs of obtaining these contracts as an expense when incurred if the amortization period of the assets is one year or less. These costs, along with costs that are not deferrable, are included in operating expenses on the consolidated statements of operations.</w:t>
      </w:r>
    </w:p>
    <w:p>
      <w:pPr>
        <w:spacing w:after="0" w:line="184" w:lineRule="exact"/>
        <w:rPr>
          <w:sz w:val="20"/>
          <w:szCs w:val="20"/>
          <w:color w:val="auto"/>
        </w:rPr>
      </w:pPr>
    </w:p>
    <w:p>
      <w:pPr>
        <w:ind w:right="40" w:firstLine="648"/>
        <w:spacing w:after="0" w:line="272" w:lineRule="auto"/>
        <w:rPr>
          <w:sz w:val="20"/>
          <w:szCs w:val="20"/>
          <w:color w:val="auto"/>
        </w:rPr>
      </w:pPr>
      <w:r>
        <w:rPr>
          <w:rFonts w:ascii="Arial" w:cs="Arial" w:eastAsia="Arial" w:hAnsi="Arial"/>
          <w:sz w:val="17"/>
          <w:szCs w:val="17"/>
          <w:color w:val="auto"/>
        </w:rPr>
        <w:t>Deferred contract costs consist primarily of commissions and variable compensation. We amortize capitalized contract costs on a straight-line basis over the expected contract life, reflecting lapses as they are incurred. Deferred contract costs are subject to impairment testing on an annual basis, or when a triggering event occurs that could warrant an impairment. To the extent future revenues less future maintenance expenses are not adequate to cover the asset balance, an impairment is recognized. Amortization expense of $8.6 million and $9.0 million for the three months ended June 30, 2022 and 2021 and $18.2 million and $16.1 million for the six months ended June 30, 2022 and 2021, respectively, was recorded in operating expenses on the consolidated statements of operations and no impairment loss was recognized in relation to the costs capitalized.</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15. Stock-Based Compensation Plans</w:t>
      </w:r>
    </w:p>
    <w:p>
      <w:pPr>
        <w:spacing w:after="0" w:line="229" w:lineRule="exact"/>
        <w:rPr>
          <w:sz w:val="20"/>
          <w:szCs w:val="20"/>
          <w:color w:val="auto"/>
        </w:rPr>
      </w:pPr>
    </w:p>
    <w:p>
      <w:pPr>
        <w:ind w:right="20" w:firstLine="648"/>
        <w:spacing w:after="0" w:line="269" w:lineRule="auto"/>
        <w:rPr>
          <w:sz w:val="20"/>
          <w:szCs w:val="20"/>
          <w:color w:val="auto"/>
        </w:rPr>
      </w:pPr>
      <w:r>
        <w:rPr>
          <w:rFonts w:ascii="Arial" w:cs="Arial" w:eastAsia="Arial" w:hAnsi="Arial"/>
          <w:sz w:val="17"/>
          <w:szCs w:val="17"/>
          <w:color w:val="auto"/>
        </w:rPr>
        <w:t>As of June 30, 2022, we had the 2021 Stock Incentive Plan, the 2020 Directors Stock Plan, the 2014 Stock Incentive Plan, the Employee Stock Purchase Plan, the 2014 Directors Stock Plan, the Amended and Restated 2010 Stock Incentive Plan, the 2005 Directors Stock Plan, the Stock Incentive Plan and the Directors Stock Plan (“Stock-Based Compensation Plans”). No new grants will be made under the 2020 Directors Stock Plan, the 2014 Stock Incentive Plan, the 2014 Directors Stock Plan, the Amended and Restated 2010 Stock Incentive Plan, the 2005 Directors Stock Plan, the Stock Incentive Plan or the Directors Stock Plan. Under the terms of the 2021 Stock Incentive Plan, grants may be nonqualified stock options, incentive stock options qualifying under Section 422 of the Internal Revenue Code, restricted stock, restricted stock units, stock appreciation rights, performance shares, performance units or other stock-based awards. To date, we have not granted any incentive stock options, restricted stock or performance units under any plans. As part of our fair value process, we assess the impact of material nonpublic information on our share price or expected volatility, as applicable, at the time of grant. No awards in 2022 required a fair value adjustment.</w:t>
      </w:r>
    </w:p>
    <w:p>
      <w:pPr>
        <w:spacing w:after="0" w:line="185" w:lineRule="exact"/>
        <w:rPr>
          <w:sz w:val="20"/>
          <w:szCs w:val="20"/>
          <w:color w:val="auto"/>
        </w:rPr>
      </w:pPr>
    </w:p>
    <w:p>
      <w:pPr>
        <w:ind w:right="160" w:firstLine="648"/>
        <w:spacing w:after="0" w:line="277" w:lineRule="auto"/>
        <w:rPr>
          <w:sz w:val="20"/>
          <w:szCs w:val="20"/>
          <w:color w:val="auto"/>
        </w:rPr>
      </w:pPr>
      <w:r>
        <w:rPr>
          <w:rFonts w:ascii="Arial" w:cs="Arial" w:eastAsia="Arial" w:hAnsi="Arial"/>
          <w:sz w:val="18"/>
          <w:szCs w:val="18"/>
          <w:color w:val="auto"/>
        </w:rPr>
        <w:t>As of June 30, 2022, the maximum number of new shares of common stock available for grant under the 2021 Stock Incentive Plan was 23.1 million.</w:t>
      </w:r>
    </w:p>
    <w:p>
      <w:pPr>
        <w:sectPr>
          <w:pgSz w:w="11900" w:h="16838" w:orient="portrait"/>
          <w:cols w:equalWidth="0" w:num="1">
            <w:col w:w="9920"/>
          </w:cols>
          <w:pgMar w:left="980" w:top="665" w:right="999" w:bottom="1440" w:gutter="0" w:footer="0" w:header="0"/>
        </w:sectPr>
      </w:pPr>
    </w:p>
    <w:p>
      <w:pPr>
        <w:spacing w:after="0" w:line="386"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372110</wp:posOffset>
            </wp:positionV>
            <wp:extent cx="6292215" cy="2540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type w:val="continuous"/>
        </w:sectPr>
      </w:pPr>
    </w:p>
    <w:bookmarkStart w:id="87" w:name="page88"/>
    <w:bookmarkEnd w:id="87"/>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right="340" w:firstLine="648"/>
        <w:spacing w:after="0" w:line="308" w:lineRule="auto"/>
        <w:rPr>
          <w:sz w:val="20"/>
          <w:szCs w:val="20"/>
          <w:color w:val="auto"/>
        </w:rPr>
      </w:pPr>
      <w:r>
        <w:rPr>
          <w:rFonts w:ascii="Arial" w:cs="Arial" w:eastAsia="Arial" w:hAnsi="Arial"/>
          <w:sz w:val="17"/>
          <w:szCs w:val="17"/>
          <w:color w:val="auto"/>
        </w:rPr>
        <w:t>For awards with graded vesting, we use an accelerated expense attribution method. The compensation cost that was charged against net income for stock-based awards granted under the Stock-Based Compensation Plans was as follows:</w:t>
      </w:r>
    </w:p>
    <w:p>
      <w:pPr>
        <w:spacing w:after="0" w:line="15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540" w:type="dxa"/>
            <w:vAlign w:val="bottom"/>
          </w:tcPr>
          <w:p>
            <w:pPr>
              <w:spacing w:after="0"/>
              <w:rPr>
                <w:sz w:val="14"/>
                <w:szCs w:val="14"/>
                <w:color w:val="auto"/>
              </w:rPr>
            </w:pPr>
          </w:p>
        </w:tc>
        <w:tc>
          <w:tcPr>
            <w:tcW w:w="2380" w:type="dxa"/>
            <w:vAlign w:val="bottom"/>
          </w:tcPr>
          <w:p>
            <w:pPr>
              <w:spacing w:after="0"/>
              <w:rPr>
                <w:sz w:val="14"/>
                <w:szCs w:val="14"/>
                <w:color w:val="auto"/>
              </w:rPr>
            </w:pPr>
          </w:p>
        </w:tc>
        <w:tc>
          <w:tcPr>
            <w:tcW w:w="2580" w:type="dxa"/>
            <w:vAlign w:val="bottom"/>
            <w:tcBorders>
              <w:bottom w:val="single" w:sz="8" w:color="auto"/>
            </w:tcBorders>
            <w:gridSpan w:val="4"/>
          </w:tcPr>
          <w:p>
            <w:pPr>
              <w:jc w:val="center"/>
              <w:ind w:left="328"/>
              <w:spacing w:after="0"/>
              <w:rPr>
                <w:sz w:val="20"/>
                <w:szCs w:val="20"/>
                <w:color w:val="auto"/>
              </w:rPr>
            </w:pPr>
            <w:r>
              <w:rPr>
                <w:rFonts w:ascii="Arial" w:cs="Arial" w:eastAsia="Arial" w:hAnsi="Arial"/>
                <w:sz w:val="14"/>
                <w:szCs w:val="14"/>
                <w:b w:val="1"/>
                <w:bCs w:val="1"/>
                <w:color w:val="auto"/>
                <w:w w:val="91"/>
              </w:rPr>
              <w:t>For the six months ended June 30,</w:t>
            </w:r>
          </w:p>
        </w:tc>
        <w:tc>
          <w:tcPr>
            <w:tcW w:w="420" w:type="dxa"/>
            <w:vAlign w:val="bottom"/>
            <w:tcBorders>
              <w:bottom w:val="single" w:sz="8" w:color="auto"/>
            </w:tcBorders>
          </w:tcPr>
          <w:p>
            <w:pPr>
              <w:spacing w:after="0"/>
              <w:rPr>
                <w:sz w:val="14"/>
                <w:szCs w:val="14"/>
                <w:color w:val="auto"/>
              </w:rPr>
            </w:pPr>
          </w:p>
        </w:tc>
      </w:tr>
      <w:tr>
        <w:trPr>
          <w:trHeight w:val="142"/>
        </w:trPr>
        <w:tc>
          <w:tcPr>
            <w:tcW w:w="4540" w:type="dxa"/>
            <w:vAlign w:val="bottom"/>
          </w:tcPr>
          <w:p>
            <w:pPr>
              <w:spacing w:after="0"/>
              <w:rPr>
                <w:sz w:val="12"/>
                <w:szCs w:val="12"/>
                <w:color w:val="auto"/>
              </w:rPr>
            </w:pPr>
          </w:p>
        </w:tc>
        <w:tc>
          <w:tcPr>
            <w:tcW w:w="2380" w:type="dxa"/>
            <w:vAlign w:val="bottom"/>
          </w:tcPr>
          <w:p>
            <w:pPr>
              <w:spacing w:after="0"/>
              <w:rPr>
                <w:sz w:val="12"/>
                <w:szCs w:val="12"/>
                <w:color w:val="auto"/>
              </w:rPr>
            </w:pPr>
          </w:p>
        </w:tc>
        <w:tc>
          <w:tcPr>
            <w:tcW w:w="920" w:type="dxa"/>
            <w:vAlign w:val="bottom"/>
            <w:tcBorders>
              <w:bottom w:val="single" w:sz="8" w:color="auto"/>
            </w:tcBorders>
          </w:tcPr>
          <w:p>
            <w:pPr>
              <w:jc w:val="right"/>
              <w:ind w:right="8"/>
              <w:spacing w:after="0" w:line="142" w:lineRule="exact"/>
              <w:rPr>
                <w:sz w:val="20"/>
                <w:szCs w:val="20"/>
                <w:color w:val="auto"/>
              </w:rPr>
            </w:pPr>
            <w:r>
              <w:rPr>
                <w:rFonts w:ascii="Arial" w:cs="Arial" w:eastAsia="Arial" w:hAnsi="Arial"/>
                <w:sz w:val="14"/>
                <w:szCs w:val="14"/>
                <w:b w:val="1"/>
                <w:bCs w:val="1"/>
                <w:color w:val="auto"/>
              </w:rPr>
              <w:t>2022</w:t>
            </w:r>
          </w:p>
        </w:tc>
        <w:tc>
          <w:tcPr>
            <w:tcW w:w="460" w:type="dxa"/>
            <w:vAlign w:val="bottom"/>
            <w:tcBorders>
              <w:bottom w:val="single" w:sz="8" w:color="auto"/>
            </w:tcBorders>
          </w:tcPr>
          <w:p>
            <w:pPr>
              <w:spacing w:after="0"/>
              <w:rPr>
                <w:sz w:val="12"/>
                <w:szCs w:val="12"/>
                <w:color w:val="auto"/>
              </w:rPr>
            </w:pPr>
          </w:p>
        </w:tc>
        <w:tc>
          <w:tcPr>
            <w:tcW w:w="240" w:type="dxa"/>
            <w:vAlign w:val="bottom"/>
          </w:tcPr>
          <w:p>
            <w:pPr>
              <w:spacing w:after="0"/>
              <w:rPr>
                <w:sz w:val="12"/>
                <w:szCs w:val="12"/>
                <w:color w:val="auto"/>
              </w:rPr>
            </w:pPr>
          </w:p>
        </w:tc>
        <w:tc>
          <w:tcPr>
            <w:tcW w:w="960" w:type="dxa"/>
            <w:vAlign w:val="bottom"/>
            <w:tcBorders>
              <w:bottom w:val="single" w:sz="8" w:color="auto"/>
            </w:tcBorders>
          </w:tcPr>
          <w:p>
            <w:pPr>
              <w:jc w:val="right"/>
              <w:ind w:right="48"/>
              <w:spacing w:after="0" w:line="142" w:lineRule="exact"/>
              <w:rPr>
                <w:sz w:val="20"/>
                <w:szCs w:val="20"/>
                <w:color w:val="auto"/>
              </w:rPr>
            </w:pPr>
            <w:r>
              <w:rPr>
                <w:rFonts w:ascii="Arial" w:cs="Arial" w:eastAsia="Arial" w:hAnsi="Arial"/>
                <w:sz w:val="14"/>
                <w:szCs w:val="14"/>
                <w:b w:val="1"/>
                <w:bCs w:val="1"/>
                <w:color w:val="auto"/>
              </w:rPr>
              <w:t>2021</w:t>
            </w:r>
          </w:p>
        </w:tc>
        <w:tc>
          <w:tcPr>
            <w:tcW w:w="420" w:type="dxa"/>
            <w:vAlign w:val="bottom"/>
            <w:tcBorders>
              <w:bottom w:val="single" w:sz="8" w:color="auto"/>
            </w:tcBorders>
          </w:tcPr>
          <w:p>
            <w:pPr>
              <w:spacing w:after="0"/>
              <w:rPr>
                <w:sz w:val="12"/>
                <w:szCs w:val="12"/>
                <w:color w:val="auto"/>
              </w:rPr>
            </w:pPr>
          </w:p>
        </w:tc>
      </w:tr>
      <w:tr>
        <w:trPr>
          <w:trHeight w:val="128"/>
        </w:trPr>
        <w:tc>
          <w:tcPr>
            <w:tcW w:w="4540" w:type="dxa"/>
            <w:vAlign w:val="bottom"/>
          </w:tcPr>
          <w:p>
            <w:pPr>
              <w:spacing w:after="0"/>
              <w:rPr>
                <w:sz w:val="11"/>
                <w:szCs w:val="11"/>
                <w:color w:val="auto"/>
              </w:rPr>
            </w:pPr>
          </w:p>
        </w:tc>
        <w:tc>
          <w:tcPr>
            <w:tcW w:w="23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60" w:type="dxa"/>
            <w:vAlign w:val="bottom"/>
            <w:gridSpan w:val="3"/>
          </w:tcPr>
          <w:p>
            <w:pPr>
              <w:jc w:val="center"/>
              <w:ind w:right="428"/>
              <w:spacing w:after="0" w:line="129" w:lineRule="exact"/>
              <w:rPr>
                <w:sz w:val="20"/>
                <w:szCs w:val="20"/>
                <w:color w:val="auto"/>
              </w:rPr>
            </w:pPr>
            <w:r>
              <w:rPr>
                <w:rFonts w:ascii="Arial" w:cs="Arial" w:eastAsia="Arial" w:hAnsi="Arial"/>
                <w:sz w:val="14"/>
                <w:szCs w:val="14"/>
                <w:i w:val="1"/>
                <w:iCs w:val="1"/>
                <w:color w:val="auto"/>
              </w:rPr>
              <w:t>(in millions)</w:t>
            </w:r>
          </w:p>
        </w:tc>
        <w:tc>
          <w:tcPr>
            <w:tcW w:w="420" w:type="dxa"/>
            <w:vAlign w:val="bottom"/>
          </w:tcPr>
          <w:p>
            <w:pPr>
              <w:spacing w:after="0"/>
              <w:rPr>
                <w:sz w:val="11"/>
                <w:szCs w:val="11"/>
                <w:color w:val="auto"/>
              </w:rPr>
            </w:pPr>
          </w:p>
        </w:tc>
      </w:tr>
      <w:tr>
        <w:trPr>
          <w:trHeight w:val="216"/>
        </w:trPr>
        <w:tc>
          <w:tcPr>
            <w:tcW w:w="4540" w:type="dxa"/>
            <w:vAlign w:val="bottom"/>
            <w:shd w:val="clear" w:color="auto" w:fill="CCEEFF"/>
          </w:tcPr>
          <w:p>
            <w:pPr>
              <w:spacing w:after="0"/>
              <w:rPr>
                <w:sz w:val="20"/>
                <w:szCs w:val="20"/>
                <w:color w:val="auto"/>
              </w:rPr>
            </w:pPr>
            <w:r>
              <w:rPr>
                <w:rFonts w:ascii="Arial" w:cs="Arial" w:eastAsia="Arial" w:hAnsi="Arial"/>
                <w:sz w:val="18"/>
                <w:szCs w:val="18"/>
                <w:color w:val="auto"/>
              </w:rPr>
              <w:t>Compensation cost</w:t>
            </w:r>
          </w:p>
        </w:tc>
        <w:tc>
          <w:tcPr>
            <w:tcW w:w="3300" w:type="dxa"/>
            <w:vAlign w:val="bottom"/>
            <w:gridSpan w:val="2"/>
            <w:shd w:val="clear" w:color="auto" w:fill="CCEEFF"/>
          </w:tcPr>
          <w:p>
            <w:pPr>
              <w:jc w:val="right"/>
              <w:ind w:right="748"/>
              <w:spacing w:after="0"/>
              <w:rPr>
                <w:sz w:val="20"/>
                <w:szCs w:val="20"/>
                <w:color w:val="auto"/>
              </w:rPr>
            </w:pPr>
            <w:r>
              <w:rPr>
                <w:rFonts w:ascii="Arial" w:cs="Arial" w:eastAsia="Arial" w:hAnsi="Arial"/>
                <w:sz w:val="18"/>
                <w:szCs w:val="18"/>
                <w:b w:val="1"/>
                <w:bCs w:val="1"/>
                <w:color w:val="auto"/>
              </w:rPr>
              <w:t>$</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50.2</w:t>
            </w:r>
          </w:p>
        </w:tc>
        <w:tc>
          <w:tcPr>
            <w:tcW w:w="1200" w:type="dxa"/>
            <w:vAlign w:val="bottom"/>
            <w:gridSpan w:val="2"/>
            <w:shd w:val="clear" w:color="auto" w:fill="CCEEFF"/>
          </w:tcPr>
          <w:p>
            <w:pPr>
              <w:jc w:val="right"/>
              <w:ind w:right="788"/>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6"/>
              </w:rPr>
              <w:t>53.6</w:t>
            </w:r>
          </w:p>
        </w:tc>
      </w:tr>
      <w:tr>
        <w:trPr>
          <w:trHeight w:val="216"/>
        </w:trPr>
        <w:tc>
          <w:tcPr>
            <w:tcW w:w="4540" w:type="dxa"/>
            <w:vAlign w:val="bottom"/>
          </w:tcPr>
          <w:p>
            <w:pPr>
              <w:spacing w:after="0"/>
              <w:rPr>
                <w:sz w:val="20"/>
                <w:szCs w:val="20"/>
                <w:color w:val="auto"/>
              </w:rPr>
            </w:pPr>
            <w:r>
              <w:rPr>
                <w:rFonts w:ascii="Arial" w:cs="Arial" w:eastAsia="Arial" w:hAnsi="Arial"/>
                <w:sz w:val="18"/>
                <w:szCs w:val="18"/>
                <w:color w:val="auto"/>
              </w:rPr>
              <w:t>Related income tax benefit</w:t>
            </w:r>
          </w:p>
        </w:tc>
        <w:tc>
          <w:tcPr>
            <w:tcW w:w="23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b w:val="1"/>
                <w:bCs w:val="1"/>
                <w:color w:val="auto"/>
              </w:rPr>
              <w:t>11.3</w:t>
            </w:r>
          </w:p>
        </w:tc>
        <w:tc>
          <w:tcPr>
            <w:tcW w:w="2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w w:val="96"/>
              </w:rPr>
              <w:t>10.6</w:t>
            </w:r>
          </w:p>
        </w:tc>
      </w:tr>
      <w:tr>
        <w:trPr>
          <w:trHeight w:val="216"/>
        </w:trPr>
        <w:tc>
          <w:tcPr>
            <w:tcW w:w="4540" w:type="dxa"/>
            <w:vAlign w:val="bottom"/>
            <w:shd w:val="clear" w:color="auto" w:fill="CCEEFF"/>
          </w:tcPr>
          <w:p>
            <w:pPr>
              <w:spacing w:after="0"/>
              <w:rPr>
                <w:sz w:val="20"/>
                <w:szCs w:val="20"/>
                <w:color w:val="auto"/>
              </w:rPr>
            </w:pPr>
            <w:r>
              <w:rPr>
                <w:rFonts w:ascii="Arial" w:cs="Arial" w:eastAsia="Arial" w:hAnsi="Arial"/>
                <w:sz w:val="18"/>
                <w:szCs w:val="18"/>
                <w:color w:val="auto"/>
              </w:rPr>
              <w:t>Capitalized as part of an asset</w:t>
            </w:r>
          </w:p>
        </w:tc>
        <w:tc>
          <w:tcPr>
            <w:tcW w:w="23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0.8</w:t>
            </w:r>
          </w:p>
        </w:tc>
        <w:tc>
          <w:tcPr>
            <w:tcW w:w="24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0.8</w:t>
            </w:r>
          </w:p>
        </w:tc>
      </w:tr>
    </w:tbl>
    <w:p>
      <w:pPr>
        <w:spacing w:after="0" w:line="13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Nonqualified Stock Options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 nonqualified stock options were granted to employees during the six months ended June 30, 2022.</w:t>
      </w:r>
    </w:p>
    <w:p>
      <w:pPr>
        <w:spacing w:after="0" w:line="225" w:lineRule="exact"/>
        <w:rPr>
          <w:sz w:val="20"/>
          <w:szCs w:val="20"/>
          <w:color w:val="auto"/>
        </w:rPr>
      </w:pPr>
    </w:p>
    <w:p>
      <w:pPr>
        <w:ind w:right="140" w:firstLine="648"/>
        <w:spacing w:after="0" w:line="277" w:lineRule="auto"/>
        <w:rPr>
          <w:sz w:val="20"/>
          <w:szCs w:val="20"/>
          <w:color w:val="auto"/>
        </w:rPr>
      </w:pPr>
      <w:r>
        <w:rPr>
          <w:rFonts w:ascii="Arial" w:cs="Arial" w:eastAsia="Arial" w:hAnsi="Arial"/>
          <w:sz w:val="18"/>
          <w:szCs w:val="18"/>
          <w:color w:val="auto"/>
        </w:rPr>
        <w:t>As of June 30, 2022, we had $1.7 million of total unrecognized compensation cost related to nonvested stock options. The cost is expected to be recognized over a weighted-average service period of approximately 1.4 years.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Performance Share Awards</w:t>
      </w:r>
    </w:p>
    <w:p>
      <w:pPr>
        <w:spacing w:after="0" w:line="229" w:lineRule="exact"/>
        <w:rPr>
          <w:sz w:val="20"/>
          <w:szCs w:val="20"/>
          <w:color w:val="auto"/>
        </w:rPr>
      </w:pPr>
    </w:p>
    <w:p>
      <w:pPr>
        <w:ind w:right="20" w:firstLine="648"/>
        <w:spacing w:after="0" w:line="290" w:lineRule="auto"/>
        <w:rPr>
          <w:sz w:val="20"/>
          <w:szCs w:val="20"/>
          <w:color w:val="auto"/>
        </w:rPr>
      </w:pPr>
      <w:r>
        <w:rPr>
          <w:rFonts w:ascii="Arial" w:cs="Arial" w:eastAsia="Arial" w:hAnsi="Arial"/>
          <w:sz w:val="16"/>
          <w:szCs w:val="16"/>
          <w:color w:val="auto"/>
        </w:rPr>
        <w:t>Performance share awards were granted to certain employees under the 2021 Stock Incentive Plan. Total performance share awards granted were 0.3 million for the six months ended June 30, 2022. The performance share awards granted represent initial target awards and do not reflect potential increases or decreases resulting from the final performance results to be determined at the end of the performance period. The actual number of common shares to be awarded at the end of each performance period will range between 0% and 180% of the initial target awards. Effective in 2022, we added a relative total shareholder return modifier to the performance share awards under which the number of shares ultimately granted is also impacted by our actual shareholder return relative to our S&amp;P 500 Financial Sector Index peer group. The fair value of performance share awards is determined using a Monte Carlo simulation model. The weighted-average grant date fair value of these performance share awards granted was $66.62 per common share.</w:t>
      </w:r>
    </w:p>
    <w:p>
      <w:pPr>
        <w:spacing w:after="0" w:line="165" w:lineRule="exact"/>
        <w:rPr>
          <w:sz w:val="20"/>
          <w:szCs w:val="20"/>
          <w:color w:val="auto"/>
        </w:rPr>
      </w:pPr>
    </w:p>
    <w:p>
      <w:pPr>
        <w:ind w:right="380" w:firstLine="648"/>
        <w:spacing w:after="0" w:line="342" w:lineRule="auto"/>
        <w:rPr>
          <w:sz w:val="20"/>
          <w:szCs w:val="20"/>
          <w:color w:val="auto"/>
        </w:rPr>
      </w:pPr>
      <w:r>
        <w:rPr>
          <w:rFonts w:ascii="Arial" w:cs="Arial" w:eastAsia="Arial" w:hAnsi="Arial"/>
          <w:sz w:val="16"/>
          <w:szCs w:val="16"/>
          <w:color w:val="auto"/>
        </w:rPr>
        <w:t>As of June 30, 2022, we had $18.5 million of total unrecognized compensation cost related to nonvested performance share awards granted. The cost is expected to be recognized over a weighted-average service period of approximately 1.7 years.</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Restricted Stock Units</w:t>
      </w:r>
    </w:p>
    <w:p>
      <w:pPr>
        <w:spacing w:after="0" w:line="229" w:lineRule="exact"/>
        <w:rPr>
          <w:sz w:val="20"/>
          <w:szCs w:val="20"/>
          <w:color w:val="auto"/>
        </w:rPr>
      </w:pPr>
    </w:p>
    <w:p>
      <w:pPr>
        <w:ind w:right="80" w:firstLine="648"/>
        <w:spacing w:after="0" w:line="259" w:lineRule="auto"/>
        <w:rPr>
          <w:sz w:val="20"/>
          <w:szCs w:val="20"/>
          <w:color w:val="auto"/>
        </w:rPr>
      </w:pPr>
      <w:r>
        <w:rPr>
          <w:rFonts w:ascii="Arial" w:cs="Arial" w:eastAsia="Arial" w:hAnsi="Arial"/>
          <w:sz w:val="18"/>
          <w:szCs w:val="18"/>
          <w:color w:val="auto"/>
        </w:rPr>
        <w:t>Restricted stock units were issued to certain employees and non-employee directors pursuant to the 2021 Stock Incentive Plan. Total restricted stock units granted were 1.1 million for the six months ended June 30, 2022. The fair value of restricted stock units is determined based on the closing stock price of our common shares on the grant date. The weighted-average grant date fair value of these restricted stock units granted was $70.54 per common share.</w:t>
      </w:r>
    </w:p>
    <w:p>
      <w:pPr>
        <w:spacing w:after="0" w:line="187" w:lineRule="exact"/>
        <w:rPr>
          <w:sz w:val="20"/>
          <w:szCs w:val="20"/>
          <w:color w:val="auto"/>
        </w:rPr>
      </w:pPr>
    </w:p>
    <w:p>
      <w:pPr>
        <w:ind w:right="280" w:firstLine="648"/>
        <w:spacing w:after="0" w:line="308" w:lineRule="auto"/>
        <w:rPr>
          <w:sz w:val="20"/>
          <w:szCs w:val="20"/>
          <w:color w:val="auto"/>
        </w:rPr>
      </w:pPr>
      <w:r>
        <w:rPr>
          <w:rFonts w:ascii="Arial" w:cs="Arial" w:eastAsia="Arial" w:hAnsi="Arial"/>
          <w:sz w:val="17"/>
          <w:szCs w:val="17"/>
          <w:color w:val="auto"/>
        </w:rPr>
        <w:t>As of June 30, 2022, we had $92.9 million of total unrecognized compensation cost related to nonvested restricted stock unit awards granted. The cost is expected to be recognized over a weighted-average period of approximately 1.9 years.</w:t>
      </w:r>
    </w:p>
    <w:p>
      <w:pPr>
        <w:spacing w:after="0" w:line="14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Employee Stock Purchase Plan</w:t>
      </w:r>
    </w:p>
    <w:p>
      <w:pPr>
        <w:spacing w:after="0" w:line="229" w:lineRule="exact"/>
        <w:rPr>
          <w:sz w:val="20"/>
          <w:szCs w:val="20"/>
          <w:color w:val="auto"/>
        </w:rPr>
      </w:pPr>
    </w:p>
    <w:p>
      <w:pPr>
        <w:ind w:right="60" w:firstLine="648"/>
        <w:spacing w:after="0" w:line="277" w:lineRule="auto"/>
        <w:rPr>
          <w:sz w:val="20"/>
          <w:szCs w:val="20"/>
          <w:color w:val="auto"/>
        </w:rPr>
      </w:pPr>
      <w:r>
        <w:rPr>
          <w:rFonts w:ascii="Arial" w:cs="Arial" w:eastAsia="Arial" w:hAnsi="Arial"/>
          <w:sz w:val="18"/>
          <w:szCs w:val="18"/>
          <w:color w:val="auto"/>
        </w:rPr>
        <w:t>Under the Employee Stock Purchase Plan, employees purchased 0.4 million shares for the six months ended June 30, 2022. The weighted average fair value of the discount on the stock purchased was $7.11 per share.</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As of June 30, 2022, a total of 3.6 million of new shares were available to be made issuable by us for this plan.</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603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88" w:name="page89"/>
    <w:bookmarkEnd w:id="88"/>
    <w:p>
      <w:pPr>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16. Earnings Per Common Share</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computations of the basic and diluted per share amounts were as follows:</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980" w:type="dxa"/>
            <w:vAlign w:val="bottom"/>
            <w:gridSpan w:val="5"/>
          </w:tcPr>
          <w:p>
            <w:pPr>
              <w:jc w:val="right"/>
              <w:ind w:right="240"/>
              <w:spacing w:after="0"/>
              <w:rPr>
                <w:sz w:val="20"/>
                <w:szCs w:val="20"/>
                <w:color w:val="auto"/>
              </w:rPr>
            </w:pPr>
            <w:r>
              <w:rPr>
                <w:rFonts w:ascii="Arial" w:cs="Arial" w:eastAsia="Arial" w:hAnsi="Arial"/>
                <w:sz w:val="14"/>
                <w:szCs w:val="14"/>
                <w:b w:val="1"/>
                <w:bCs w:val="1"/>
                <w:color w:val="auto"/>
                <w:w w:val="92"/>
              </w:rPr>
              <w:t>For the three months ended</w:t>
            </w:r>
          </w:p>
        </w:tc>
        <w:tc>
          <w:tcPr>
            <w:tcW w:w="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280" w:type="dxa"/>
            <w:vAlign w:val="bottom"/>
            <w:gridSpan w:val="4"/>
          </w:tcPr>
          <w:p>
            <w:pPr>
              <w:jc w:val="right"/>
              <w:ind w:right="412"/>
              <w:spacing w:after="0"/>
              <w:rPr>
                <w:sz w:val="20"/>
                <w:szCs w:val="20"/>
                <w:color w:val="auto"/>
              </w:rPr>
            </w:pPr>
            <w:r>
              <w:rPr>
                <w:rFonts w:ascii="Arial" w:cs="Arial" w:eastAsia="Arial" w:hAnsi="Arial"/>
                <w:sz w:val="14"/>
                <w:szCs w:val="14"/>
                <w:b w:val="1"/>
                <w:bCs w:val="1"/>
                <w:color w:val="auto"/>
              </w:rPr>
              <w:t>For the six months ended</w:t>
            </w:r>
          </w:p>
        </w:tc>
        <w:tc>
          <w:tcPr>
            <w:tcW w:w="0" w:type="dxa"/>
            <w:vAlign w:val="bottom"/>
          </w:tcPr>
          <w:p>
            <w:pPr>
              <w:spacing w:after="0"/>
              <w:rPr>
                <w:sz w:val="1"/>
                <w:szCs w:val="1"/>
                <w:color w:val="auto"/>
              </w:rPr>
            </w:pPr>
          </w:p>
        </w:tc>
      </w:tr>
      <w:tr>
        <w:trPr>
          <w:trHeight w:val="171"/>
        </w:trPr>
        <w:tc>
          <w:tcPr>
            <w:tcW w:w="52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June 30,</w:t>
            </w:r>
          </w:p>
        </w:tc>
        <w:tc>
          <w:tcPr>
            <w:tcW w:w="70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440" w:type="dxa"/>
            <w:vAlign w:val="bottom"/>
            <w:tcBorders>
              <w:bottom w:val="single" w:sz="8" w:color="auto"/>
            </w:tcBorders>
            <w:gridSpan w:val="3"/>
          </w:tcPr>
          <w:p>
            <w:pPr>
              <w:jc w:val="right"/>
              <w:ind w:right="110"/>
              <w:spacing w:after="0"/>
              <w:rPr>
                <w:sz w:val="20"/>
                <w:szCs w:val="20"/>
                <w:color w:val="auto"/>
              </w:rPr>
            </w:pPr>
            <w:r>
              <w:rPr>
                <w:rFonts w:ascii="Arial" w:cs="Arial" w:eastAsia="Arial" w:hAnsi="Arial"/>
                <w:sz w:val="14"/>
                <w:szCs w:val="14"/>
                <w:b w:val="1"/>
                <w:bCs w:val="1"/>
                <w:color w:val="auto"/>
              </w:rPr>
              <w:t>June 30,</w:t>
            </w:r>
          </w:p>
        </w:tc>
        <w:tc>
          <w:tcPr>
            <w:tcW w:w="84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520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jc w:val="right"/>
              <w:ind w:right="234"/>
              <w:spacing w:after="0" w:line="142" w:lineRule="exact"/>
              <w:rPr>
                <w:sz w:val="20"/>
                <w:szCs w:val="20"/>
                <w:color w:val="auto"/>
              </w:rPr>
            </w:pPr>
            <w:r>
              <w:rPr>
                <w:rFonts w:ascii="Arial" w:cs="Arial" w:eastAsia="Arial" w:hAnsi="Arial"/>
                <w:sz w:val="14"/>
                <w:szCs w:val="14"/>
                <w:b w:val="1"/>
                <w:bCs w:val="1"/>
                <w:color w:val="auto"/>
              </w:rPr>
              <w:t>2022</w:t>
            </w:r>
          </w:p>
        </w:tc>
        <w:tc>
          <w:tcPr>
            <w:tcW w:w="180" w:type="dxa"/>
            <w:vAlign w:val="bottom"/>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ind w:right="213"/>
              <w:spacing w:after="0" w:line="142" w:lineRule="exact"/>
              <w:rPr>
                <w:sz w:val="20"/>
                <w:szCs w:val="20"/>
                <w:color w:val="auto"/>
              </w:rPr>
            </w:pPr>
            <w:r>
              <w:rPr>
                <w:rFonts w:ascii="Arial" w:cs="Arial" w:eastAsia="Arial" w:hAnsi="Arial"/>
                <w:sz w:val="14"/>
                <w:szCs w:val="14"/>
                <w:b w:val="1"/>
                <w:bCs w:val="1"/>
                <w:color w:val="auto"/>
              </w:rPr>
              <w:t>2021</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tcPr>
          <w:p>
            <w:pPr>
              <w:jc w:val="right"/>
              <w:ind w:right="334"/>
              <w:spacing w:after="0" w:line="142" w:lineRule="exact"/>
              <w:rPr>
                <w:sz w:val="20"/>
                <w:szCs w:val="20"/>
                <w:color w:val="auto"/>
              </w:rPr>
            </w:pPr>
            <w:r>
              <w:rPr>
                <w:rFonts w:ascii="Arial" w:cs="Arial" w:eastAsia="Arial" w:hAnsi="Arial"/>
                <w:sz w:val="14"/>
                <w:szCs w:val="14"/>
                <w:b w:val="1"/>
                <w:bCs w:val="1"/>
                <w:color w:val="auto"/>
              </w:rPr>
              <w:t>2022</w:t>
            </w:r>
          </w:p>
        </w:tc>
        <w:tc>
          <w:tcPr>
            <w:tcW w:w="320" w:type="dxa"/>
            <w:vAlign w:val="bottom"/>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840" w:type="dxa"/>
            <w:vAlign w:val="bottom"/>
            <w:tcBorders>
              <w:bottom w:val="single" w:sz="8" w:color="auto"/>
            </w:tcBorders>
          </w:tcPr>
          <w:p>
            <w:pPr>
              <w:jc w:val="right"/>
              <w:ind w:right="312"/>
              <w:spacing w:after="0" w:line="142" w:lineRule="exact"/>
              <w:rPr>
                <w:sz w:val="20"/>
                <w:szCs w:val="20"/>
                <w:color w:val="auto"/>
              </w:rPr>
            </w:pPr>
            <w:r>
              <w:rPr>
                <w:rFonts w:ascii="Arial" w:cs="Arial" w:eastAsia="Arial" w:hAnsi="Arial"/>
                <w:sz w:val="14"/>
                <w:szCs w:val="14"/>
                <w:b w:val="1"/>
                <w:bCs w:val="1"/>
                <w:color w:val="auto"/>
              </w:rPr>
              <w:t>2021</w:t>
            </w:r>
          </w:p>
        </w:tc>
        <w:tc>
          <w:tcPr>
            <w:tcW w:w="0" w:type="dxa"/>
            <w:vAlign w:val="bottom"/>
          </w:tcPr>
          <w:p>
            <w:pPr>
              <w:spacing w:after="0"/>
              <w:rPr>
                <w:sz w:val="1"/>
                <w:szCs w:val="1"/>
                <w:color w:val="auto"/>
              </w:rPr>
            </w:pPr>
          </w:p>
        </w:tc>
      </w:tr>
      <w:tr>
        <w:trPr>
          <w:trHeight w:val="128"/>
        </w:trPr>
        <w:tc>
          <w:tcPr>
            <w:tcW w:w="52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000" w:type="dxa"/>
            <w:vAlign w:val="bottom"/>
            <w:gridSpan w:val="5"/>
          </w:tcPr>
          <w:p>
            <w:pPr>
              <w:jc w:val="right"/>
              <w:spacing w:after="0" w:line="129" w:lineRule="exact"/>
              <w:rPr>
                <w:sz w:val="20"/>
                <w:szCs w:val="20"/>
                <w:color w:val="auto"/>
              </w:rPr>
            </w:pPr>
            <w:r>
              <w:rPr>
                <w:rFonts w:ascii="Arial" w:cs="Arial" w:eastAsia="Arial" w:hAnsi="Arial"/>
                <w:sz w:val="14"/>
                <w:szCs w:val="14"/>
                <w:i w:val="1"/>
                <w:iCs w:val="1"/>
                <w:color w:val="auto"/>
                <w:w w:val="92"/>
              </w:rPr>
              <w:t>(in millions, except per share data)</w:t>
            </w:r>
          </w:p>
        </w:tc>
        <w:tc>
          <w:tcPr>
            <w:tcW w:w="3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5200" w:type="dxa"/>
            <w:vAlign w:val="bottom"/>
            <w:shd w:val="clear" w:color="auto" w:fill="CCEEFF"/>
          </w:tcPr>
          <w:p>
            <w:pPr>
              <w:spacing w:after="0"/>
              <w:rPr>
                <w:sz w:val="20"/>
                <w:szCs w:val="20"/>
                <w:color w:val="auto"/>
              </w:rPr>
            </w:pPr>
            <w:r>
              <w:rPr>
                <w:rFonts w:ascii="Arial" w:cs="Arial" w:eastAsia="Arial" w:hAnsi="Arial"/>
                <w:sz w:val="18"/>
                <w:szCs w:val="18"/>
                <w:color w:val="auto"/>
              </w:rPr>
              <w:t>Net income</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3,074.6</w:t>
            </w:r>
          </w:p>
        </w:tc>
        <w:tc>
          <w:tcPr>
            <w:tcW w:w="38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371.6</w:t>
            </w:r>
          </w:p>
        </w:tc>
        <w:tc>
          <w:tcPr>
            <w:tcW w:w="100" w:type="dxa"/>
            <w:vAlign w:val="bottom"/>
            <w:shd w:val="clear" w:color="auto" w:fill="CCEEFF"/>
          </w:tcPr>
          <w:p>
            <w:pPr>
              <w:spacing w:after="0"/>
              <w:rPr>
                <w:sz w:val="18"/>
                <w:szCs w:val="18"/>
                <w:color w:val="auto"/>
              </w:rPr>
            </w:pPr>
          </w:p>
        </w:tc>
        <w:tc>
          <w:tcPr>
            <w:tcW w:w="340" w:type="dxa"/>
            <w:vAlign w:val="bottom"/>
            <w:gridSpan w:val="2"/>
            <w:shd w:val="clear" w:color="auto" w:fill="CCEEFF"/>
          </w:tcPr>
          <w:p>
            <w:pPr>
              <w:jc w:val="right"/>
              <w:ind w:right="70"/>
              <w:spacing w:after="0"/>
              <w:rPr>
                <w:sz w:val="20"/>
                <w:szCs w:val="20"/>
                <w:color w:val="auto"/>
              </w:rPr>
            </w:pPr>
            <w:r>
              <w:rPr>
                <w:rFonts w:ascii="Arial" w:cs="Arial" w:eastAsia="Arial" w:hAnsi="Arial"/>
                <w:sz w:val="18"/>
                <w:szCs w:val="18"/>
                <w:b w:val="1"/>
                <w:bCs w:val="1"/>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3,455.3</w:t>
            </w:r>
          </w:p>
        </w:tc>
        <w:tc>
          <w:tcPr>
            <w:tcW w:w="320" w:type="dxa"/>
            <w:vAlign w:val="bottom"/>
            <w:shd w:val="clear" w:color="auto" w:fill="CCEEFF"/>
          </w:tcPr>
          <w:p>
            <w:pPr>
              <w:spacing w:after="0"/>
              <w:rPr>
                <w:sz w:val="18"/>
                <w:szCs w:val="18"/>
                <w:color w:val="auto"/>
              </w:rPr>
            </w:pPr>
          </w:p>
        </w:tc>
        <w:tc>
          <w:tcPr>
            <w:tcW w:w="2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887.9</w:t>
            </w:r>
          </w:p>
        </w:tc>
        <w:tc>
          <w:tcPr>
            <w:tcW w:w="0" w:type="dxa"/>
            <w:vAlign w:val="bottom"/>
          </w:tcPr>
          <w:p>
            <w:pPr>
              <w:spacing w:after="0"/>
              <w:rPr>
                <w:sz w:val="1"/>
                <w:szCs w:val="1"/>
                <w:color w:val="auto"/>
              </w:rPr>
            </w:pPr>
          </w:p>
        </w:tc>
      </w:tr>
      <w:tr>
        <w:trPr>
          <w:trHeight w:val="216"/>
        </w:trPr>
        <w:tc>
          <w:tcPr>
            <w:tcW w:w="5200" w:type="dxa"/>
            <w:vAlign w:val="bottom"/>
          </w:tcPr>
          <w:p>
            <w:pPr>
              <w:spacing w:after="0"/>
              <w:rPr>
                <w:sz w:val="20"/>
                <w:szCs w:val="20"/>
                <w:color w:val="auto"/>
              </w:rPr>
            </w:pPr>
            <w:r>
              <w:rPr>
                <w:rFonts w:ascii="Arial" w:cs="Arial" w:eastAsia="Arial" w:hAnsi="Arial"/>
                <w:sz w:val="18"/>
                <w:szCs w:val="18"/>
                <w:color w:val="auto"/>
              </w:rPr>
              <w:t>Subtract:</w:t>
            </w: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200" w:type="dxa"/>
            <w:vAlign w:val="bottom"/>
            <w:shd w:val="clear" w:color="auto" w:fill="CCEEFF"/>
          </w:tcPr>
          <w:p>
            <w:pPr>
              <w:ind w:left="120"/>
              <w:spacing w:after="0"/>
              <w:rPr>
                <w:sz w:val="20"/>
                <w:szCs w:val="20"/>
                <w:color w:val="auto"/>
              </w:rPr>
            </w:pPr>
            <w:r>
              <w:rPr>
                <w:rFonts w:ascii="Arial" w:cs="Arial" w:eastAsia="Arial" w:hAnsi="Arial"/>
                <w:sz w:val="18"/>
                <w:szCs w:val="18"/>
                <w:color w:val="auto"/>
              </w:rPr>
              <w:t>Net income attributable to noncontrolling interest</w:t>
            </w: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15.2</w:t>
            </w: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9.8</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19.7</w:t>
            </w:r>
          </w:p>
        </w:tc>
        <w:tc>
          <w:tcPr>
            <w:tcW w:w="3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9.0</w:t>
            </w:r>
          </w:p>
        </w:tc>
        <w:tc>
          <w:tcPr>
            <w:tcW w:w="0" w:type="dxa"/>
            <w:vAlign w:val="bottom"/>
          </w:tcPr>
          <w:p>
            <w:pPr>
              <w:spacing w:after="0"/>
              <w:rPr>
                <w:sz w:val="1"/>
                <w:szCs w:val="1"/>
                <w:color w:val="auto"/>
              </w:rPr>
            </w:pPr>
          </w:p>
        </w:tc>
      </w:tr>
      <w:tr>
        <w:trPr>
          <w:trHeight w:val="202"/>
        </w:trPr>
        <w:tc>
          <w:tcPr>
            <w:tcW w:w="5200" w:type="dxa"/>
            <w:vAlign w:val="bottom"/>
          </w:tcPr>
          <w:p>
            <w:pPr>
              <w:ind w:left="120"/>
              <w:spacing w:after="0" w:line="201" w:lineRule="exact"/>
              <w:rPr>
                <w:sz w:val="20"/>
                <w:szCs w:val="20"/>
                <w:color w:val="auto"/>
              </w:rPr>
            </w:pPr>
            <w:r>
              <w:rPr>
                <w:rFonts w:ascii="Arial" w:cs="Arial" w:eastAsia="Arial" w:hAnsi="Arial"/>
                <w:sz w:val="18"/>
                <w:szCs w:val="18"/>
                <w:color w:val="auto"/>
                <w:w w:val="96"/>
              </w:rPr>
              <w:t>Adjustments to redemption amounts of redeemable noncontrolling</w:t>
            </w:r>
          </w:p>
        </w:tc>
        <w:tc>
          <w:tcPr>
            <w:tcW w:w="120" w:type="dxa"/>
            <w:vAlign w:val="bottom"/>
          </w:tcPr>
          <w:p>
            <w:pPr>
              <w:spacing w:after="0"/>
              <w:rPr>
                <w:sz w:val="17"/>
                <w:szCs w:val="17"/>
                <w:color w:val="auto"/>
              </w:rPr>
            </w:pPr>
          </w:p>
        </w:tc>
        <w:tc>
          <w:tcPr>
            <w:tcW w:w="80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w:t>
            </w:r>
          </w:p>
        </w:tc>
        <w:tc>
          <w:tcPr>
            <w:tcW w:w="1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180" w:type="dxa"/>
            <w:vAlign w:val="bottom"/>
            <w:gridSpan w:val="2"/>
            <w:vMerge w:val="restart"/>
          </w:tcPr>
          <w:p>
            <w:pPr>
              <w:jc w:val="right"/>
              <w:ind w:right="380"/>
              <w:spacing w:after="0"/>
              <w:rPr>
                <w:sz w:val="20"/>
                <w:szCs w:val="20"/>
                <w:color w:val="auto"/>
              </w:rPr>
            </w:pPr>
            <w:r>
              <w:rPr>
                <w:rFonts w:ascii="Arial" w:cs="Arial" w:eastAsia="Arial" w:hAnsi="Arial"/>
                <w:sz w:val="18"/>
                <w:szCs w:val="18"/>
                <w:b w:val="1"/>
                <w:bCs w:val="1"/>
                <w:color w:val="auto"/>
              </w:rPr>
              <w:t>—</w:t>
            </w:r>
          </w:p>
        </w:tc>
        <w:tc>
          <w:tcPr>
            <w:tcW w:w="2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5200" w:type="dxa"/>
            <w:vAlign w:val="bottom"/>
          </w:tcPr>
          <w:p>
            <w:pPr>
              <w:ind w:left="240"/>
              <w:spacing w:after="0"/>
              <w:rPr>
                <w:sz w:val="20"/>
                <w:szCs w:val="20"/>
                <w:color w:val="auto"/>
              </w:rPr>
            </w:pPr>
            <w:r>
              <w:rPr>
                <w:rFonts w:ascii="Arial" w:cs="Arial" w:eastAsia="Arial" w:hAnsi="Arial"/>
                <w:sz w:val="18"/>
                <w:szCs w:val="18"/>
                <w:color w:val="auto"/>
              </w:rPr>
              <w:t>interests</w:t>
            </w:r>
          </w:p>
        </w:tc>
        <w:tc>
          <w:tcPr>
            <w:tcW w:w="120" w:type="dxa"/>
            <w:vAlign w:val="bottom"/>
          </w:tcPr>
          <w:p>
            <w:pPr>
              <w:spacing w:after="0"/>
              <w:rPr>
                <w:sz w:val="20"/>
                <w:szCs w:val="20"/>
                <w:color w:val="auto"/>
              </w:rPr>
            </w:pPr>
          </w:p>
        </w:tc>
        <w:tc>
          <w:tcPr>
            <w:tcW w:w="800" w:type="dxa"/>
            <w:vAlign w:val="bottom"/>
            <w:vMerge w:val="continue"/>
          </w:tcPr>
          <w:p>
            <w:pPr>
              <w:spacing w:after="0"/>
              <w:rPr>
                <w:sz w:val="20"/>
                <w:szCs w:val="20"/>
                <w:color w:val="auto"/>
              </w:rPr>
            </w:pPr>
          </w:p>
        </w:tc>
        <w:tc>
          <w:tcPr>
            <w:tcW w:w="1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(1.9)</w:t>
            </w:r>
          </w:p>
        </w:tc>
        <w:tc>
          <w:tcPr>
            <w:tcW w:w="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180" w:type="dxa"/>
            <w:vAlign w:val="bottom"/>
            <w:gridSpan w:val="2"/>
            <w:vMerge w:val="continue"/>
          </w:tcPr>
          <w:p>
            <w:pPr>
              <w:spacing w:after="0"/>
              <w:rPr>
                <w:sz w:val="20"/>
                <w:szCs w:val="20"/>
                <w:color w:val="auto"/>
              </w:rPr>
            </w:pPr>
          </w:p>
        </w:tc>
        <w:tc>
          <w:tcPr>
            <w:tcW w:w="26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9"/>
        </w:trPr>
        <w:tc>
          <w:tcPr>
            <w:tcW w:w="520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w:t>
            </w: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3,059.4</w:t>
            </w:r>
          </w:p>
        </w:tc>
        <w:tc>
          <w:tcPr>
            <w:tcW w:w="180" w:type="dxa"/>
            <w:vAlign w:val="bottom"/>
            <w:tcBorders>
              <w:top w:val="single" w:sz="8" w:color="CCEEFF"/>
              <w:bottom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363.7</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260" w:type="dxa"/>
            <w:vAlign w:val="bottom"/>
            <w:tcBorders>
              <w:top w:val="single" w:sz="8" w:color="auto"/>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b w:val="1"/>
                <w:bCs w:val="1"/>
                <w:color w:val="auto"/>
                <w:w w:val="79"/>
              </w:rPr>
              <w:t>$</w:t>
            </w: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3,435.6</w:t>
            </w:r>
          </w:p>
        </w:tc>
        <w:tc>
          <w:tcPr>
            <w:tcW w:w="320" w:type="dxa"/>
            <w:vAlign w:val="bottom"/>
            <w:tcBorders>
              <w:top w:val="single" w:sz="8" w:color="CCEEFF"/>
              <w:bottom w:val="single" w:sz="8" w:color="CCEEFF"/>
            </w:tcBorders>
            <w:shd w:val="clear" w:color="auto" w:fill="CCEEFF"/>
          </w:tcPr>
          <w:p>
            <w:pPr>
              <w:spacing w:after="0"/>
              <w:rPr>
                <w:sz w:val="18"/>
                <w:szCs w:val="18"/>
                <w:color w:val="auto"/>
              </w:rPr>
            </w:pPr>
          </w:p>
        </w:tc>
        <w:tc>
          <w:tcPr>
            <w:tcW w:w="260" w:type="dxa"/>
            <w:vAlign w:val="bottom"/>
            <w:tcBorders>
              <w:top w:val="single" w:sz="8" w:color="auto"/>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8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878.9</w:t>
            </w:r>
          </w:p>
        </w:tc>
        <w:tc>
          <w:tcPr>
            <w:tcW w:w="0" w:type="dxa"/>
            <w:vAlign w:val="bottom"/>
          </w:tcPr>
          <w:p>
            <w:pPr>
              <w:spacing w:after="0"/>
              <w:rPr>
                <w:sz w:val="1"/>
                <w:szCs w:val="1"/>
                <w:color w:val="auto"/>
              </w:rPr>
            </w:pPr>
          </w:p>
        </w:tc>
      </w:tr>
      <w:tr>
        <w:trPr>
          <w:trHeight w:val="20"/>
        </w:trPr>
        <w:tc>
          <w:tcPr>
            <w:tcW w:w="5200" w:type="dxa"/>
            <w:vAlign w:val="bottom"/>
            <w:vMerge w:val="restart"/>
          </w:tcPr>
          <w:p>
            <w:pPr>
              <w:spacing w:after="0"/>
              <w:rPr>
                <w:sz w:val="20"/>
                <w:szCs w:val="20"/>
                <w:color w:val="auto"/>
              </w:rPr>
            </w:pPr>
            <w:r>
              <w:rPr>
                <w:rFonts w:ascii="Arial" w:cs="Arial" w:eastAsia="Arial" w:hAnsi="Arial"/>
                <w:sz w:val="18"/>
                <w:szCs w:val="18"/>
                <w:color w:val="auto"/>
              </w:rPr>
              <w:t>Weighted-average shares outstanding:</w:t>
            </w: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5200" w:type="dxa"/>
            <w:vAlign w:val="bottom"/>
            <w:vMerge w:val="continue"/>
          </w:tcPr>
          <w:p>
            <w:pPr>
              <w:spacing w:after="0"/>
              <w:rPr>
                <w:sz w:val="17"/>
                <w:szCs w:val="17"/>
                <w:color w:val="auto"/>
              </w:rPr>
            </w:pPr>
          </w:p>
        </w:tc>
        <w:tc>
          <w:tcPr>
            <w:tcW w:w="1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5200" w:type="dxa"/>
            <w:vAlign w:val="bottom"/>
            <w:shd w:val="clear" w:color="auto" w:fill="CCEEFF"/>
          </w:tcPr>
          <w:p>
            <w:pPr>
              <w:ind w:left="120"/>
              <w:spacing w:after="0"/>
              <w:rPr>
                <w:sz w:val="20"/>
                <w:szCs w:val="20"/>
                <w:color w:val="auto"/>
              </w:rPr>
            </w:pPr>
            <w:r>
              <w:rPr>
                <w:rFonts w:ascii="Arial" w:cs="Arial" w:eastAsia="Arial" w:hAnsi="Arial"/>
                <w:sz w:val="18"/>
                <w:szCs w:val="18"/>
                <w:color w:val="auto"/>
              </w:rPr>
              <w:t>Basic</w:t>
            </w: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252.6</w:t>
            </w: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271.3</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256.0</w:t>
            </w:r>
          </w:p>
        </w:tc>
        <w:tc>
          <w:tcPr>
            <w:tcW w:w="3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272.1</w:t>
            </w:r>
          </w:p>
        </w:tc>
        <w:tc>
          <w:tcPr>
            <w:tcW w:w="0" w:type="dxa"/>
            <w:vAlign w:val="bottom"/>
          </w:tcPr>
          <w:p>
            <w:pPr>
              <w:spacing w:after="0"/>
              <w:rPr>
                <w:sz w:val="1"/>
                <w:szCs w:val="1"/>
                <w:color w:val="auto"/>
              </w:rPr>
            </w:pPr>
          </w:p>
        </w:tc>
      </w:tr>
      <w:tr>
        <w:trPr>
          <w:trHeight w:val="216"/>
        </w:trPr>
        <w:tc>
          <w:tcPr>
            <w:tcW w:w="5200" w:type="dxa"/>
            <w:vAlign w:val="bottom"/>
          </w:tcPr>
          <w:p>
            <w:pPr>
              <w:ind w:left="120"/>
              <w:spacing w:after="0"/>
              <w:rPr>
                <w:sz w:val="20"/>
                <w:szCs w:val="20"/>
                <w:color w:val="auto"/>
              </w:rPr>
            </w:pPr>
            <w:r>
              <w:rPr>
                <w:rFonts w:ascii="Arial" w:cs="Arial" w:eastAsia="Arial" w:hAnsi="Arial"/>
                <w:sz w:val="18"/>
                <w:szCs w:val="18"/>
                <w:color w:val="auto"/>
              </w:rPr>
              <w:t>Dilutive effects:</w:t>
            </w: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200" w:type="dxa"/>
            <w:vAlign w:val="bottom"/>
            <w:shd w:val="clear" w:color="auto" w:fill="CCEEFF"/>
          </w:tcPr>
          <w:p>
            <w:pPr>
              <w:ind w:left="220"/>
              <w:spacing w:after="0"/>
              <w:rPr>
                <w:sz w:val="20"/>
                <w:szCs w:val="20"/>
                <w:color w:val="auto"/>
              </w:rPr>
            </w:pPr>
            <w:r>
              <w:rPr>
                <w:rFonts w:ascii="Arial" w:cs="Arial" w:eastAsia="Arial" w:hAnsi="Arial"/>
                <w:sz w:val="18"/>
                <w:szCs w:val="18"/>
                <w:color w:val="auto"/>
              </w:rPr>
              <w:t>Stock options</w:t>
            </w: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1.4</w:t>
            </w: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1.5</w:t>
            </w:r>
          </w:p>
        </w:tc>
        <w:tc>
          <w:tcPr>
            <w:tcW w:w="3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16"/>
        </w:trPr>
        <w:tc>
          <w:tcPr>
            <w:tcW w:w="5200" w:type="dxa"/>
            <w:vAlign w:val="bottom"/>
          </w:tcPr>
          <w:p>
            <w:pPr>
              <w:ind w:left="220"/>
              <w:spacing w:after="0"/>
              <w:rPr>
                <w:sz w:val="20"/>
                <w:szCs w:val="20"/>
                <w:color w:val="auto"/>
              </w:rPr>
            </w:pPr>
            <w:r>
              <w:rPr>
                <w:rFonts w:ascii="Arial" w:cs="Arial" w:eastAsia="Arial" w:hAnsi="Arial"/>
                <w:sz w:val="18"/>
                <w:szCs w:val="18"/>
                <w:color w:val="auto"/>
              </w:rPr>
              <w:t>Restricted stock units</w:t>
            </w: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b w:val="1"/>
                <w:bCs w:val="1"/>
                <w:color w:val="auto"/>
              </w:rPr>
              <w:t>1.9</w:t>
            </w: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2.0</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2.0</w:t>
            </w:r>
          </w:p>
        </w:tc>
        <w:tc>
          <w:tcPr>
            <w:tcW w:w="3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16"/>
        </w:trPr>
        <w:tc>
          <w:tcPr>
            <w:tcW w:w="5200" w:type="dxa"/>
            <w:vAlign w:val="bottom"/>
            <w:shd w:val="clear" w:color="auto" w:fill="CCEEFF"/>
          </w:tcPr>
          <w:p>
            <w:pPr>
              <w:ind w:left="220"/>
              <w:spacing w:after="0"/>
              <w:rPr>
                <w:sz w:val="20"/>
                <w:szCs w:val="20"/>
                <w:color w:val="auto"/>
              </w:rPr>
            </w:pPr>
            <w:r>
              <w:rPr>
                <w:rFonts w:ascii="Arial" w:cs="Arial" w:eastAsia="Arial" w:hAnsi="Arial"/>
                <w:sz w:val="18"/>
                <w:szCs w:val="18"/>
                <w:color w:val="auto"/>
              </w:rPr>
              <w:t>Performance share awards</w:t>
            </w:r>
          </w:p>
        </w:tc>
        <w:tc>
          <w:tcPr>
            <w:tcW w:w="12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0.4</w:t>
            </w:r>
          </w:p>
        </w:tc>
        <w:tc>
          <w:tcPr>
            <w:tcW w:w="18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0.4</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0.5</w:t>
            </w:r>
          </w:p>
        </w:tc>
        <w:tc>
          <w:tcPr>
            <w:tcW w:w="32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0.4</w:t>
            </w:r>
          </w:p>
        </w:tc>
        <w:tc>
          <w:tcPr>
            <w:tcW w:w="0" w:type="dxa"/>
            <w:vAlign w:val="bottom"/>
          </w:tcPr>
          <w:p>
            <w:pPr>
              <w:spacing w:after="0"/>
              <w:rPr>
                <w:sz w:val="1"/>
                <w:szCs w:val="1"/>
                <w:color w:val="auto"/>
              </w:rPr>
            </w:pPr>
          </w:p>
        </w:tc>
      </w:tr>
      <w:tr>
        <w:trPr>
          <w:trHeight w:val="249"/>
        </w:trPr>
        <w:tc>
          <w:tcPr>
            <w:tcW w:w="5200" w:type="dxa"/>
            <w:vAlign w:val="bottom"/>
            <w:tcBorders>
              <w:bottom w:val="single" w:sz="8" w:color="CCEEFF"/>
            </w:tcBorders>
          </w:tcPr>
          <w:p>
            <w:pPr>
              <w:ind w:left="120"/>
              <w:spacing w:after="0"/>
              <w:rPr>
                <w:sz w:val="20"/>
                <w:szCs w:val="20"/>
                <w:color w:val="auto"/>
              </w:rPr>
            </w:pPr>
            <w:r>
              <w:rPr>
                <w:rFonts w:ascii="Arial" w:cs="Arial" w:eastAsia="Arial" w:hAnsi="Arial"/>
                <w:sz w:val="18"/>
                <w:szCs w:val="18"/>
                <w:color w:val="auto"/>
              </w:rPr>
              <w:t>Diluted</w:t>
            </w:r>
          </w:p>
        </w:tc>
        <w:tc>
          <w:tcPr>
            <w:tcW w:w="12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256.3</w:t>
            </w:r>
          </w:p>
        </w:tc>
        <w:tc>
          <w:tcPr>
            <w:tcW w:w="18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275.1</w:t>
            </w:r>
          </w:p>
        </w:tc>
        <w:tc>
          <w:tcPr>
            <w:tcW w:w="100" w:type="dxa"/>
            <w:vAlign w:val="bottom"/>
            <w:tcBorders>
              <w:bottom w:val="single" w:sz="8" w:color="CCEEFF"/>
            </w:tcBorders>
          </w:tcPr>
          <w:p>
            <w:pPr>
              <w:spacing w:after="0"/>
              <w:rPr>
                <w:sz w:val="21"/>
                <w:szCs w:val="21"/>
                <w:color w:val="auto"/>
              </w:rPr>
            </w:pPr>
          </w:p>
        </w:tc>
        <w:tc>
          <w:tcPr>
            <w:tcW w:w="80" w:type="dxa"/>
            <w:vAlign w:val="bottom"/>
            <w:tcBorders>
              <w:bottom w:val="single" w:sz="8" w:color="CCEEFF"/>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260.0</w:t>
            </w:r>
          </w:p>
        </w:tc>
        <w:tc>
          <w:tcPr>
            <w:tcW w:w="320" w:type="dxa"/>
            <w:vAlign w:val="bottom"/>
            <w:tcBorders>
              <w:bottom w:val="single" w:sz="8" w:color="CCEEFF"/>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275.7</w:t>
            </w:r>
          </w:p>
        </w:tc>
        <w:tc>
          <w:tcPr>
            <w:tcW w:w="0" w:type="dxa"/>
            <w:vAlign w:val="bottom"/>
          </w:tcPr>
          <w:p>
            <w:pPr>
              <w:spacing w:after="0"/>
              <w:rPr>
                <w:sz w:val="1"/>
                <w:szCs w:val="1"/>
                <w:color w:val="auto"/>
              </w:rPr>
            </w:pPr>
          </w:p>
        </w:tc>
      </w:tr>
      <w:tr>
        <w:trPr>
          <w:trHeight w:val="197"/>
        </w:trPr>
        <w:tc>
          <w:tcPr>
            <w:tcW w:w="520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Net income per common share:</w:t>
            </w:r>
          </w:p>
        </w:tc>
        <w:tc>
          <w:tcPr>
            <w:tcW w:w="12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56"/>
        </w:trPr>
        <w:tc>
          <w:tcPr>
            <w:tcW w:w="5200" w:type="dxa"/>
            <w:vAlign w:val="bottom"/>
          </w:tcPr>
          <w:p>
            <w:pPr>
              <w:ind w:left="120"/>
              <w:spacing w:after="0"/>
              <w:rPr>
                <w:sz w:val="20"/>
                <w:szCs w:val="20"/>
                <w:color w:val="auto"/>
              </w:rPr>
            </w:pPr>
            <w:r>
              <w:rPr>
                <w:rFonts w:ascii="Arial" w:cs="Arial" w:eastAsia="Arial" w:hAnsi="Arial"/>
                <w:sz w:val="18"/>
                <w:szCs w:val="18"/>
                <w:color w:val="auto"/>
              </w:rPr>
              <w:t>Basic</w:t>
            </w:r>
          </w:p>
        </w:tc>
        <w:tc>
          <w:tcPr>
            <w:tcW w:w="12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800" w:type="dxa"/>
            <w:vAlign w:val="bottom"/>
          </w:tcPr>
          <w:p>
            <w:pPr>
              <w:jc w:val="right"/>
              <w:spacing w:after="0"/>
              <w:rPr>
                <w:sz w:val="20"/>
                <w:szCs w:val="20"/>
                <w:color w:val="auto"/>
              </w:rPr>
            </w:pPr>
            <w:r>
              <w:rPr>
                <w:rFonts w:ascii="Arial" w:cs="Arial" w:eastAsia="Arial" w:hAnsi="Arial"/>
                <w:sz w:val="18"/>
                <w:szCs w:val="18"/>
                <w:b w:val="1"/>
                <w:bCs w:val="1"/>
                <w:color w:val="auto"/>
              </w:rPr>
              <w:t>12.11</w:t>
            </w:r>
          </w:p>
        </w:tc>
        <w:tc>
          <w:tcPr>
            <w:tcW w:w="38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1.34</w:t>
            </w:r>
          </w:p>
        </w:tc>
        <w:tc>
          <w:tcPr>
            <w:tcW w:w="100" w:type="dxa"/>
            <w:vAlign w:val="bottom"/>
          </w:tcPr>
          <w:p>
            <w:pPr>
              <w:spacing w:after="0"/>
              <w:rPr>
                <w:sz w:val="22"/>
                <w:szCs w:val="22"/>
                <w:color w:val="auto"/>
              </w:rPr>
            </w:pPr>
          </w:p>
        </w:tc>
        <w:tc>
          <w:tcPr>
            <w:tcW w:w="340" w:type="dxa"/>
            <w:vAlign w:val="bottom"/>
            <w:gridSpan w:val="2"/>
          </w:tcPr>
          <w:p>
            <w:pPr>
              <w:jc w:val="right"/>
              <w:ind w:right="70"/>
              <w:spacing w:after="0"/>
              <w:rPr>
                <w:sz w:val="20"/>
                <w:szCs w:val="20"/>
                <w:color w:val="auto"/>
              </w:rPr>
            </w:pPr>
            <w:r>
              <w:rPr>
                <w:rFonts w:ascii="Arial" w:cs="Arial" w:eastAsia="Arial" w:hAnsi="Arial"/>
                <w:sz w:val="18"/>
                <w:szCs w:val="18"/>
                <w:b w:val="1"/>
                <w:bCs w:val="1"/>
                <w:color w:val="auto"/>
              </w:rPr>
              <w:t>$</w:t>
            </w: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13.42</w:t>
            </w:r>
          </w:p>
        </w:tc>
        <w:tc>
          <w:tcPr>
            <w:tcW w:w="320" w:type="dxa"/>
            <w:vAlign w:val="bottom"/>
          </w:tcPr>
          <w:p>
            <w:pPr>
              <w:spacing w:after="0"/>
              <w:rPr>
                <w:sz w:val="22"/>
                <w:szCs w:val="22"/>
                <w:color w:val="auto"/>
              </w:rPr>
            </w:pP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3.23</w:t>
            </w:r>
          </w:p>
        </w:tc>
        <w:tc>
          <w:tcPr>
            <w:tcW w:w="0" w:type="dxa"/>
            <w:vAlign w:val="bottom"/>
          </w:tcPr>
          <w:p>
            <w:pPr>
              <w:spacing w:after="0"/>
              <w:rPr>
                <w:sz w:val="1"/>
                <w:szCs w:val="1"/>
                <w:color w:val="auto"/>
              </w:rPr>
            </w:pPr>
          </w:p>
        </w:tc>
      </w:tr>
      <w:tr>
        <w:trPr>
          <w:trHeight w:val="197"/>
        </w:trPr>
        <w:tc>
          <w:tcPr>
            <w:tcW w:w="5200" w:type="dxa"/>
            <w:vAlign w:val="bottom"/>
            <w:tcBorders>
              <w:top w:val="single" w:sz="8" w:color="CCEEFF"/>
              <w:bottom w:val="single" w:sz="8" w:color="CCEEFF"/>
            </w:tcBorders>
            <w:shd w:val="clear" w:color="auto" w:fill="CCEEFF"/>
          </w:tcPr>
          <w:p>
            <w:pPr>
              <w:ind w:left="120"/>
              <w:spacing w:after="0" w:line="196" w:lineRule="exact"/>
              <w:rPr>
                <w:sz w:val="20"/>
                <w:szCs w:val="20"/>
                <w:color w:val="auto"/>
              </w:rPr>
            </w:pPr>
            <w:r>
              <w:rPr>
                <w:rFonts w:ascii="Arial" w:cs="Arial" w:eastAsia="Arial" w:hAnsi="Arial"/>
                <w:sz w:val="18"/>
                <w:szCs w:val="18"/>
                <w:color w:val="auto"/>
              </w:rPr>
              <w:t>Diluted</w:t>
            </w:r>
          </w:p>
        </w:tc>
        <w:tc>
          <w:tcPr>
            <w:tcW w:w="12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b w:val="1"/>
                <w:bCs w:val="1"/>
                <w:color w:val="auto"/>
                <w:w w:val="79"/>
              </w:rPr>
              <w:t>$</w:t>
            </w:r>
          </w:p>
        </w:tc>
        <w:tc>
          <w:tcPr>
            <w:tcW w:w="80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b w:val="1"/>
                <w:bCs w:val="1"/>
                <w:color w:val="auto"/>
              </w:rPr>
              <w:t>11.94</w:t>
            </w:r>
          </w:p>
        </w:tc>
        <w:tc>
          <w:tcPr>
            <w:tcW w:w="180" w:type="dxa"/>
            <w:vAlign w:val="bottom"/>
            <w:tcBorders>
              <w:top w:val="single" w:sz="8" w:color="CCEEFF"/>
              <w:bottom w:val="single" w:sz="8" w:color="CCEEFF"/>
            </w:tcBorders>
            <w:shd w:val="clear" w:color="auto" w:fill="CCEEFF"/>
          </w:tcPr>
          <w:p>
            <w:pPr>
              <w:spacing w:after="0"/>
              <w:rPr>
                <w:sz w:val="17"/>
                <w:szCs w:val="17"/>
                <w:color w:val="auto"/>
              </w:rPr>
            </w:pPr>
          </w:p>
        </w:tc>
        <w:tc>
          <w:tcPr>
            <w:tcW w:w="200" w:type="dxa"/>
            <w:vAlign w:val="bottom"/>
            <w:tcBorders>
              <w:top w:val="single" w:sz="8" w:color="auto"/>
              <w:bottom w:val="single" w:sz="8" w:color="auto"/>
            </w:tcBorders>
            <w:shd w:val="clear" w:color="auto" w:fill="CCEEFF"/>
          </w:tcPr>
          <w:p>
            <w:pPr>
              <w:jc w:val="right"/>
              <w:ind w:right="10"/>
              <w:spacing w:after="0" w:line="196" w:lineRule="exact"/>
              <w:rPr>
                <w:sz w:val="20"/>
                <w:szCs w:val="20"/>
                <w:color w:val="auto"/>
              </w:rPr>
            </w:pPr>
            <w:r>
              <w:rPr>
                <w:rFonts w:ascii="Arial" w:cs="Arial" w:eastAsia="Arial" w:hAnsi="Arial"/>
                <w:sz w:val="18"/>
                <w:szCs w:val="18"/>
                <w:color w:val="auto"/>
                <w:w w:val="79"/>
              </w:rPr>
              <w:t>$</w:t>
            </w:r>
          </w:p>
        </w:tc>
        <w:tc>
          <w:tcPr>
            <w:tcW w:w="70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1.32</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80" w:type="dxa"/>
            <w:vAlign w:val="bottom"/>
            <w:tcBorders>
              <w:top w:val="single" w:sz="8" w:color="CCEEFF"/>
              <w:bottom w:val="single" w:sz="8" w:color="CCEEFF"/>
            </w:tcBorders>
            <w:shd w:val="clear" w:color="auto" w:fill="CCEEFF"/>
          </w:tcPr>
          <w:p>
            <w:pPr>
              <w:spacing w:after="0"/>
              <w:rPr>
                <w:sz w:val="17"/>
                <w:szCs w:val="17"/>
                <w:color w:val="auto"/>
              </w:rPr>
            </w:pPr>
          </w:p>
        </w:tc>
        <w:tc>
          <w:tcPr>
            <w:tcW w:w="260" w:type="dxa"/>
            <w:vAlign w:val="bottom"/>
            <w:tcBorders>
              <w:top w:val="single" w:sz="8" w:color="auto"/>
              <w:bottom w:val="single" w:sz="8" w:color="auto"/>
            </w:tcBorders>
            <w:shd w:val="clear" w:color="auto" w:fill="CCEEFF"/>
          </w:tcPr>
          <w:p>
            <w:pPr>
              <w:jc w:val="right"/>
              <w:ind w:right="70"/>
              <w:spacing w:after="0" w:line="196" w:lineRule="exact"/>
              <w:rPr>
                <w:sz w:val="20"/>
                <w:szCs w:val="20"/>
                <w:color w:val="auto"/>
              </w:rPr>
            </w:pPr>
            <w:r>
              <w:rPr>
                <w:rFonts w:ascii="Arial" w:cs="Arial" w:eastAsia="Arial" w:hAnsi="Arial"/>
                <w:sz w:val="18"/>
                <w:szCs w:val="18"/>
                <w:b w:val="1"/>
                <w:bCs w:val="1"/>
                <w:color w:val="auto"/>
                <w:w w:val="79"/>
              </w:rPr>
              <w:t>$</w:t>
            </w:r>
          </w:p>
        </w:tc>
        <w:tc>
          <w:tcPr>
            <w:tcW w:w="86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b w:val="1"/>
                <w:bCs w:val="1"/>
                <w:color w:val="auto"/>
              </w:rPr>
              <w:t>13.21</w:t>
            </w:r>
          </w:p>
        </w:tc>
        <w:tc>
          <w:tcPr>
            <w:tcW w:w="320" w:type="dxa"/>
            <w:vAlign w:val="bottom"/>
            <w:tcBorders>
              <w:top w:val="single" w:sz="8" w:color="CCEEFF"/>
              <w:bottom w:val="single" w:sz="8" w:color="CCEEFF"/>
            </w:tcBorders>
            <w:shd w:val="clear" w:color="auto" w:fill="CCEEFF"/>
          </w:tcPr>
          <w:p>
            <w:pPr>
              <w:spacing w:after="0"/>
              <w:rPr>
                <w:sz w:val="17"/>
                <w:szCs w:val="17"/>
                <w:color w:val="auto"/>
              </w:rPr>
            </w:pPr>
          </w:p>
        </w:tc>
        <w:tc>
          <w:tcPr>
            <w:tcW w:w="260" w:type="dxa"/>
            <w:vAlign w:val="bottom"/>
            <w:tcBorders>
              <w:top w:val="single" w:sz="8" w:color="auto"/>
              <w:bottom w:val="single" w:sz="8" w:color="auto"/>
            </w:tcBorders>
            <w:shd w:val="clear" w:color="auto" w:fill="CCEEFF"/>
          </w:tcPr>
          <w:p>
            <w:pPr>
              <w:jc w:val="right"/>
              <w:ind w:right="70"/>
              <w:spacing w:after="0" w:line="196" w:lineRule="exact"/>
              <w:rPr>
                <w:sz w:val="20"/>
                <w:szCs w:val="20"/>
                <w:color w:val="auto"/>
              </w:rPr>
            </w:pPr>
            <w:r>
              <w:rPr>
                <w:rFonts w:ascii="Arial" w:cs="Arial" w:eastAsia="Arial" w:hAnsi="Arial"/>
                <w:sz w:val="18"/>
                <w:szCs w:val="18"/>
                <w:color w:val="auto"/>
                <w:w w:val="79"/>
              </w:rPr>
              <w:t>$</w:t>
            </w:r>
          </w:p>
        </w:tc>
        <w:tc>
          <w:tcPr>
            <w:tcW w:w="84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3.19</w:t>
            </w:r>
          </w:p>
        </w:tc>
        <w:tc>
          <w:tcPr>
            <w:tcW w:w="0" w:type="dxa"/>
            <w:vAlign w:val="bottom"/>
          </w:tcPr>
          <w:p>
            <w:pPr>
              <w:spacing w:after="0"/>
              <w:rPr>
                <w:sz w:val="1"/>
                <w:szCs w:val="1"/>
                <w:color w:val="auto"/>
              </w:rPr>
            </w:pPr>
          </w:p>
        </w:tc>
      </w:tr>
      <w:tr>
        <w:trPr>
          <w:trHeight w:val="20"/>
        </w:trPr>
        <w:tc>
          <w:tcPr>
            <w:tcW w:w="5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right="780" w:firstLine="648"/>
        <w:spacing w:after="0" w:line="342" w:lineRule="auto"/>
        <w:rPr>
          <w:sz w:val="20"/>
          <w:szCs w:val="20"/>
          <w:color w:val="auto"/>
        </w:rPr>
      </w:pPr>
      <w:r>
        <w:rPr>
          <w:rFonts w:ascii="Arial" w:cs="Arial" w:eastAsia="Arial" w:hAnsi="Arial"/>
          <w:sz w:val="16"/>
          <w:szCs w:val="16"/>
          <w:color w:val="auto"/>
        </w:rPr>
        <w:t>The calculation of diluted earnings per share for the three and six months ended June 30, 2022 and 2021, excludes the incremental effect related to certain outstanding stock-based compensation grants due to their anti-dilutive effect.</w:t>
      </w:r>
    </w:p>
    <w:p>
      <w:pPr>
        <w:spacing w:after="0" w:line="200" w:lineRule="exact"/>
        <w:rPr>
          <w:sz w:val="20"/>
          <w:szCs w:val="20"/>
          <w:color w:val="auto"/>
        </w:rPr>
      </w:pPr>
    </w:p>
    <w:p>
      <w:pPr>
        <w:spacing w:after="0" w:line="35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540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89" w:name="page90"/>
    <w:bookmarkEnd w:id="89"/>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Management’s Discussion and Analysis of Financial Condition and Results of Operations</w:t>
      </w:r>
    </w:p>
    <w:p>
      <w:pPr>
        <w:spacing w:after="0" w:line="229" w:lineRule="exact"/>
        <w:rPr>
          <w:sz w:val="20"/>
          <w:szCs w:val="20"/>
          <w:color w:val="auto"/>
        </w:rPr>
      </w:pPr>
    </w:p>
    <w:p>
      <w:pPr>
        <w:ind w:right="40" w:firstLine="648"/>
        <w:spacing w:after="0" w:line="255" w:lineRule="auto"/>
        <w:rPr>
          <w:sz w:val="20"/>
          <w:szCs w:val="20"/>
          <w:color w:val="auto"/>
        </w:rPr>
      </w:pPr>
      <w:r>
        <w:rPr>
          <w:rFonts w:ascii="Arial" w:cs="Arial" w:eastAsia="Arial" w:hAnsi="Arial"/>
          <w:sz w:val="18"/>
          <w:szCs w:val="18"/>
          <w:color w:val="auto"/>
        </w:rPr>
        <w:t>The following analysis discusses our financial condition as of June 30, 2022, compared with December 31, 2021, and our consolidated results of operations for the three and six months ended June 30, 2022 and 2021, prepared in conformity with U.S. GAAP. The discussion and analysis includes, where appropriate, factors that may affect our future financial performance. The discussion should be read in conjunction with our Form 10-K, for the year ended December 31, 2021, filed with the SEC and the unaudited condensed consolidated financial statements and the related notes to the financial statements and the other financial information included elsewhere in this Form 10-Q.</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Information</w:t>
      </w:r>
    </w:p>
    <w:p>
      <w:pPr>
        <w:spacing w:after="0" w:line="229"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Our narrative analysis below contains forward-looking statements intended to enhance the reader’s ability to assess our future financial performance. Forward-looking statements include, but are not limited to, statements that represent our beliefs concerning future operations, strategies, financial results or other developments, and contain words and phrases such as “anticipate,” “believe,” “plan,” “estimate,” “expect,” “intend” and similar expressions. Forward-looking statements are made based upon management’s current expectations and beliefs concerning future developments and their potential effects on us. Such forward-looking statements are not guarantees of future performance.</w:t>
      </w:r>
    </w:p>
    <w:p>
      <w:pPr>
        <w:spacing w:after="0" w:line="200" w:lineRule="exact"/>
        <w:rPr>
          <w:sz w:val="20"/>
          <w:szCs w:val="20"/>
          <w:color w:val="auto"/>
        </w:rPr>
      </w:pPr>
    </w:p>
    <w:p>
      <w:pPr>
        <w:spacing w:after="0" w:line="20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90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603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880"/>
          </w:cols>
          <w:pgMar w:left="980" w:top="665" w:right="1039" w:bottom="1440" w:gutter="0" w:footer="0" w:header="0"/>
        </w:sectPr>
      </w:pPr>
    </w:p>
    <w:bookmarkStart w:id="90" w:name="page91"/>
    <w:bookmarkEnd w:id="90"/>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9" w:lineRule="exact"/>
        <w:rPr>
          <w:sz w:val="20"/>
          <w:szCs w:val="20"/>
          <w:color w:val="auto"/>
        </w:rPr>
      </w:pPr>
    </w:p>
    <w:p>
      <w:pPr>
        <w:ind w:firstLine="648"/>
        <w:spacing w:after="0" w:line="282" w:lineRule="auto"/>
        <w:rPr>
          <w:sz w:val="20"/>
          <w:szCs w:val="20"/>
          <w:color w:val="auto"/>
        </w:rPr>
      </w:pPr>
      <w:r>
        <w:rPr>
          <w:rFonts w:ascii="Arial" w:cs="Arial" w:eastAsia="Arial" w:hAnsi="Arial"/>
          <w:sz w:val="16"/>
          <w:szCs w:val="16"/>
          <w:color w:val="auto"/>
        </w:rPr>
        <w:t>Actual results may differ materially from those included in the forward-looking statements as a result of risks and uncertainties including, but not limited to, the following: (1) adverse capital and credit market conditions may significantly affect our ability to meet liquidity needs, as well as our access to capital and cost of capital; (2) conditions in the global capital markets and the economy generally may materially and adversely affect our business and results of operations; (3) volatility or declines in the equity, bond or real estate markets could reduce our AUM and AUA and may result in investors withdrawing from the markets or decreasing their rates of investment, all of which could reduce our revenues and net income; (4) changes in interest rates or credit spreads or a sustained low interest rate environment may adversely affect our results of operations, financial condition and liquidity, and our net income can vary from period to period; (5) the elimination of LIBOR may affect the value of certain derivatives and floating rate securities we hold or have issued and the profitability of certain real estate lending activity or businesses; (6) our investment portfolio is subject to several risks that may diminish the value of our invested assets and the investment returns credited to customers, which could reduce our sales, revenues, AUM and net income; (7) our valuation of investments and the determinations of the amount of allowances and impairments taken on our investments may include methodologies, estimations and assumptions that are subject to differing interpretations and, if changed, could materially adversely affect our results of operations or financial condition; (8) any impairments of or valuation allowances against our deferred tax assets could adversely affect our results of operations and financial condition; (9) we may face losses on our insurance and annuity products if our actual experience differs significantly from our pricing and reserving assumptions; (10) the pattern of amortizing our DAC asset and other actuarial balances on our universal life-type insurance contracts, participating life insurance policies and certain investment contracts may change, impacting both the level of our DAC asset and other actuarial balances and the timing of our net income; (11) changes in laws or regulations may reduce our profitability or impact how we do business; (12) our ability to pay stockholder dividends, make share repurchases and meet our obligations may be constrained by the limitations on dividends or other distributions Iowa insurance laws impose on Principal Life; (13) changes in accounting standards may adversely affect our reported results of operations and financial condition; (14) litigation and regulatory investigations may affect our financial strength or reduce our profitability; (15) from time to time, we may become subject to tax audits, tax litigation or similar proceedings, and as a result we may owe additional taxes, interest and penalties in amounts that may be material; (16) applicable laws and our certificate of incorporation and by-laws may discourage takeovers and business combinations that some stockholders might consider in their best interests; (17) competition, including from companies that may have greater financial resources, broader arrays of products, higher ratings and stronger financial performance, may impair our ability to retain existing customers, attract new customers and maintain our profitability; (18) a downgrade in our financial strength or credit ratings may increase policy surrenders and withdrawals, reduce new sales, terminate relationships with distributors, impact existing liabilities and increase our cost of capital, any of which could adversely affect our profitability and financial condition; (19) client terminations or withdrawals or changes in investor preferences may lead to a reduction in revenues for our asset management and accumulation businesses; (20) guarantees within certain of our products that protect policyholders may decrease our net income or increase the volatility of our results of operations or financial position under U.S. GAAP if our hedging or risk management strategies prove ineffective or insufficient; (21) our international businesses face political, legal, operational and other risks that could reduce our profitability in those businesses; (22) we face risks arising from fraudulent activities;</w:t>
      </w:r>
    </w:p>
    <w:p>
      <w:pPr>
        <w:spacing w:after="0" w:line="8" w:lineRule="exact"/>
        <w:rPr>
          <w:sz w:val="20"/>
          <w:szCs w:val="20"/>
          <w:color w:val="auto"/>
        </w:rPr>
      </w:pPr>
    </w:p>
    <w:p>
      <w:pPr>
        <w:ind w:firstLine="8"/>
        <w:spacing w:after="0" w:line="266" w:lineRule="auto"/>
        <w:tabs>
          <w:tab w:leader="none" w:pos="345" w:val="left"/>
        </w:tabs>
        <w:numPr>
          <w:ilvl w:val="0"/>
          <w:numId w:val="43"/>
        </w:numPr>
        <w:rPr>
          <w:rFonts w:ascii="Arial" w:cs="Arial" w:eastAsia="Arial" w:hAnsi="Arial"/>
          <w:sz w:val="17"/>
          <w:szCs w:val="17"/>
          <w:color w:val="auto"/>
        </w:rPr>
      </w:pPr>
      <w:r>
        <w:rPr>
          <w:rFonts w:ascii="Arial" w:cs="Arial" w:eastAsia="Arial" w:hAnsi="Arial"/>
          <w:sz w:val="17"/>
          <w:szCs w:val="17"/>
          <w:color w:val="auto"/>
        </w:rPr>
        <w:t>we face risks arising from our participation in joint ventures; (24) we may need to fund deficiencies in our Closed Block assets; (25) the ongoing COVID-19 pandemic and the resulting financial market impacts could adversely affect our business, results of operations, financial condition and liquidity; (26) our reinsurers could default on their obligations or increase their rates, which could adversely impact our net income and financial condition; (27) we face risks related to our acquisition of Wells Fargo Bank, N.A.’s Institutional Retirement &amp; Trust (“IRT”) business; (28) we face risks arising from future acquisitions of businesses; (29) we face risks in completing the Reinsurance Transaction within the terms or timing contemplated; (30) a pandemic, terrorist attack, military action or other catastrophic event could adversely affect our operations, net income or financial condition; (31) our financial results may be adversely impacted by global climate changes; (32) technological and societal changes may disrupt our business model and impair our ability to retain existing customers, attract new customers and maintain our profitability; (33) damage to our reputation may adversely affect our revenues and profitability; (34) we may not be able to protect our intellectual property and may be subject to infringement claims; (35) if we are unable to attract, develop and retain qualified employees and sales representatives and develop new distribution sources, our results of operations, financial condition and sales of our products may be adversely impacted; (36) interruptions in information technology, infrastructure or other internal or external systems used for our business operations, or a failure to maintain the confidentiality, integrity or availability of data residing on such systems, could disrupt our business, damage our reputation and adversely impact our profitability; (37) loss of key vendor relationships or failure of a vendor to protect information of our customers or employees could adversely affect our business or result in losses and (38) our enterprise risk management framework may not be fully effective in identifying or mitigating all of the risks to which we are exposed.</w:t>
      </w:r>
    </w:p>
    <w:p>
      <w:pPr>
        <w:spacing w:after="0" w:line="200" w:lineRule="exact"/>
        <w:rPr>
          <w:sz w:val="20"/>
          <w:szCs w:val="20"/>
          <w:color w:val="auto"/>
        </w:rPr>
      </w:pPr>
    </w:p>
    <w:p>
      <w:pPr>
        <w:spacing w:after="0" w:line="20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540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00"/>
          </w:cols>
          <w:pgMar w:left="980" w:top="665" w:right="1019" w:bottom="1440" w:gutter="0" w:footer="0" w:header="0"/>
        </w:sectPr>
      </w:pPr>
    </w:p>
    <w:bookmarkStart w:id="91" w:name="page92"/>
    <w:bookmarkEnd w:id="91"/>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We provide financial products and services through the following reportable segments:</w:t>
      </w:r>
    </w:p>
    <w:p>
      <w:pPr>
        <w:spacing w:after="0" w:line="225" w:lineRule="exact"/>
        <w:rPr>
          <w:sz w:val="20"/>
          <w:szCs w:val="20"/>
          <w:color w:val="auto"/>
        </w:rPr>
      </w:pPr>
    </w:p>
    <w:p>
      <w:pPr>
        <w:ind w:left="1000" w:right="60" w:hanging="317"/>
        <w:spacing w:after="0" w:line="253" w:lineRule="auto"/>
        <w:tabs>
          <w:tab w:leader="none" w:pos="1000" w:val="left"/>
        </w:tabs>
        <w:numPr>
          <w:ilvl w:val="0"/>
          <w:numId w:val="44"/>
        </w:numPr>
        <w:rPr>
          <w:rFonts w:ascii="Arial" w:cs="Arial" w:eastAsia="Arial" w:hAnsi="Arial"/>
          <w:sz w:val="18"/>
          <w:szCs w:val="18"/>
          <w:color w:val="auto"/>
        </w:rPr>
      </w:pPr>
      <w:r>
        <w:rPr>
          <w:rFonts w:ascii="Arial" w:cs="Arial" w:eastAsia="Arial" w:hAnsi="Arial"/>
          <w:sz w:val="18"/>
          <w:szCs w:val="18"/>
          <w:color w:val="auto"/>
        </w:rPr>
        <w:t>Retirement and Income Solutions is organized into Retirement and Income Solutions – Fee, which includes full service accumulation, individual variable annuities, trust and custody services and the acquisition, integration and migration expenses associated with the purchase of the IRT business of Wells Fargo Bank, N.A.; and Retirement and Income Solutions – Spread, which includes investment only, pension risk transfer, banking services and our exited individual fixed annuities business. We offer a comprehensive portfolio of products and services for retirement savings and retirement income:</w:t>
      </w:r>
    </w:p>
    <w:p>
      <w:pPr>
        <w:spacing w:after="0" w:line="1" w:lineRule="exact"/>
        <w:rPr>
          <w:rFonts w:ascii="Arial" w:cs="Arial" w:eastAsia="Arial" w:hAnsi="Arial"/>
          <w:sz w:val="18"/>
          <w:szCs w:val="18"/>
          <w:color w:val="auto"/>
        </w:rPr>
      </w:pPr>
    </w:p>
    <w:p>
      <w:pPr>
        <w:ind w:left="1660" w:right="80" w:hanging="329"/>
        <w:spacing w:after="0" w:line="250" w:lineRule="auto"/>
        <w:tabs>
          <w:tab w:leader="none" w:pos="1660" w:val="left"/>
        </w:tabs>
        <w:numPr>
          <w:ilvl w:val="1"/>
          <w:numId w:val="44"/>
        </w:numPr>
        <w:rPr>
          <w:rFonts w:ascii="Arial" w:cs="Arial" w:eastAsia="Arial" w:hAnsi="Arial"/>
          <w:sz w:val="18"/>
          <w:szCs w:val="18"/>
          <w:color w:val="auto"/>
        </w:rPr>
      </w:pPr>
      <w:r>
        <w:rPr>
          <w:rFonts w:ascii="Arial" w:cs="Arial" w:eastAsia="Arial" w:hAnsi="Arial"/>
          <w:sz w:val="18"/>
          <w:szCs w:val="18"/>
          <w:color w:val="auto"/>
        </w:rPr>
        <w:t>To businesses of all sizes, we offer products and services for defined contribution plans, including 401(k) and 403(b) plans, defined benefit pension plans, nonqualified executive benefit plans, employee stock ownership plan services and pension closeout services. For more basic retirement services, we offer SIMPLE IRAs and payroll deduction plans;</w:t>
      </w:r>
    </w:p>
    <w:p>
      <w:pPr>
        <w:spacing w:after="0" w:line="1" w:lineRule="exact"/>
        <w:rPr>
          <w:rFonts w:ascii="Arial" w:cs="Arial" w:eastAsia="Arial" w:hAnsi="Arial"/>
          <w:sz w:val="18"/>
          <w:szCs w:val="18"/>
          <w:color w:val="auto"/>
        </w:rPr>
      </w:pPr>
    </w:p>
    <w:p>
      <w:pPr>
        <w:ind w:left="1660" w:right="540" w:hanging="329"/>
        <w:spacing w:after="0" w:line="250" w:lineRule="auto"/>
        <w:tabs>
          <w:tab w:leader="none" w:pos="1660" w:val="left"/>
        </w:tabs>
        <w:numPr>
          <w:ilvl w:val="1"/>
          <w:numId w:val="44"/>
        </w:numPr>
        <w:rPr>
          <w:rFonts w:ascii="Arial" w:cs="Arial" w:eastAsia="Arial" w:hAnsi="Arial"/>
          <w:sz w:val="18"/>
          <w:szCs w:val="18"/>
          <w:color w:val="auto"/>
        </w:rPr>
      </w:pPr>
      <w:r>
        <w:rPr>
          <w:rFonts w:ascii="Arial" w:cs="Arial" w:eastAsia="Arial" w:hAnsi="Arial"/>
          <w:sz w:val="18"/>
          <w:szCs w:val="18"/>
          <w:color w:val="auto"/>
        </w:rPr>
        <w:t>To large institutional clients, we also offer investment only products, including investment only guaranteed investment contracts (“GICs”);</w:t>
      </w:r>
    </w:p>
    <w:p>
      <w:pPr>
        <w:ind w:left="1660" w:right="240" w:hanging="329"/>
        <w:spacing w:after="0" w:line="250" w:lineRule="auto"/>
        <w:tabs>
          <w:tab w:leader="none" w:pos="1660" w:val="left"/>
        </w:tabs>
        <w:numPr>
          <w:ilvl w:val="1"/>
          <w:numId w:val="44"/>
        </w:numPr>
        <w:rPr>
          <w:rFonts w:ascii="Arial" w:cs="Arial" w:eastAsia="Arial" w:hAnsi="Arial"/>
          <w:sz w:val="18"/>
          <w:szCs w:val="18"/>
          <w:color w:val="auto"/>
        </w:rPr>
      </w:pPr>
      <w:r>
        <w:rPr>
          <w:rFonts w:ascii="Arial" w:cs="Arial" w:eastAsia="Arial" w:hAnsi="Arial"/>
          <w:sz w:val="18"/>
          <w:szCs w:val="18"/>
          <w:color w:val="auto"/>
        </w:rPr>
        <w:t>To employees of businesses and other individuals, we offer the ability to accumulate savings for retirement and other purposes through mutual funds, individual annuities and bank products, along with retirement income options; and</w:t>
      </w:r>
    </w:p>
    <w:p>
      <w:pPr>
        <w:spacing w:after="0" w:line="1" w:lineRule="exact"/>
        <w:rPr>
          <w:rFonts w:ascii="Arial" w:cs="Arial" w:eastAsia="Arial" w:hAnsi="Arial"/>
          <w:sz w:val="18"/>
          <w:szCs w:val="18"/>
          <w:color w:val="auto"/>
        </w:rPr>
      </w:pPr>
    </w:p>
    <w:p>
      <w:pPr>
        <w:ind w:left="1660" w:hanging="329"/>
        <w:spacing w:after="0"/>
        <w:tabs>
          <w:tab w:leader="none" w:pos="1660" w:val="left"/>
        </w:tabs>
        <w:numPr>
          <w:ilvl w:val="1"/>
          <w:numId w:val="44"/>
        </w:numPr>
        <w:rPr>
          <w:rFonts w:ascii="Arial" w:cs="Arial" w:eastAsia="Arial" w:hAnsi="Arial"/>
          <w:sz w:val="18"/>
          <w:szCs w:val="18"/>
          <w:color w:val="auto"/>
        </w:rPr>
      </w:pPr>
      <w:r>
        <w:rPr>
          <w:rFonts w:ascii="Arial" w:cs="Arial" w:eastAsia="Arial" w:hAnsi="Arial"/>
          <w:sz w:val="18"/>
          <w:szCs w:val="18"/>
          <w:color w:val="auto"/>
        </w:rPr>
        <w:t>To non-retirement businesses, we offer trust and custody services.</w:t>
      </w:r>
    </w:p>
    <w:p>
      <w:pPr>
        <w:spacing w:after="0" w:line="9" w:lineRule="exact"/>
        <w:rPr>
          <w:rFonts w:ascii="Arial" w:cs="Arial" w:eastAsia="Arial" w:hAnsi="Arial"/>
          <w:sz w:val="18"/>
          <w:szCs w:val="18"/>
          <w:color w:val="auto"/>
        </w:rPr>
      </w:pPr>
    </w:p>
    <w:p>
      <w:pPr>
        <w:ind w:left="1000" w:right="60" w:hanging="317"/>
        <w:spacing w:after="0" w:line="250" w:lineRule="auto"/>
        <w:tabs>
          <w:tab w:leader="none" w:pos="1000" w:val="left"/>
        </w:tabs>
        <w:numPr>
          <w:ilvl w:val="0"/>
          <w:numId w:val="44"/>
        </w:numPr>
        <w:rPr>
          <w:rFonts w:ascii="Arial" w:cs="Arial" w:eastAsia="Arial" w:hAnsi="Arial"/>
          <w:sz w:val="18"/>
          <w:szCs w:val="18"/>
          <w:color w:val="auto"/>
        </w:rPr>
      </w:pPr>
      <w:r>
        <w:rPr>
          <w:rFonts w:ascii="Arial" w:cs="Arial" w:eastAsia="Arial" w:hAnsi="Arial"/>
          <w:sz w:val="18"/>
          <w:szCs w:val="18"/>
          <w:color w:val="auto"/>
        </w:rPr>
        <w:t>Principal Global Investors provides asset management solutions using focused investment teams and U.S. and global fund platforms to deliver diverse investment capabilities including equity, fixed income, multi-asset, real estate and alternatives. Services are provided to clients in our retirement businesses in the U.S. and select emerging markets, U.S. benefits and protection, to our Corporate segment and for third-party clients.</w:t>
      </w:r>
    </w:p>
    <w:p>
      <w:pPr>
        <w:spacing w:after="0" w:line="1" w:lineRule="exact"/>
        <w:rPr>
          <w:rFonts w:ascii="Arial" w:cs="Arial" w:eastAsia="Arial" w:hAnsi="Arial"/>
          <w:sz w:val="18"/>
          <w:szCs w:val="18"/>
          <w:color w:val="auto"/>
        </w:rPr>
      </w:pPr>
    </w:p>
    <w:p>
      <w:pPr>
        <w:ind w:left="1000" w:right="20" w:hanging="317"/>
        <w:spacing w:after="0" w:line="250" w:lineRule="auto"/>
        <w:tabs>
          <w:tab w:leader="none" w:pos="1000" w:val="left"/>
        </w:tabs>
        <w:numPr>
          <w:ilvl w:val="0"/>
          <w:numId w:val="44"/>
        </w:numPr>
        <w:rPr>
          <w:rFonts w:ascii="Arial" w:cs="Arial" w:eastAsia="Arial" w:hAnsi="Arial"/>
          <w:sz w:val="18"/>
          <w:szCs w:val="18"/>
          <w:color w:val="auto"/>
        </w:rPr>
      </w:pPr>
      <w:r>
        <w:rPr>
          <w:rFonts w:ascii="Arial" w:cs="Arial" w:eastAsia="Arial" w:hAnsi="Arial"/>
          <w:sz w:val="18"/>
          <w:szCs w:val="18"/>
          <w:color w:val="auto"/>
        </w:rPr>
        <w:t>Principal International, which offers pension accumulation products and services, mutual funds, asset management, income annuities and life insurance accumulation products through operations in Latin America (Brazil, Chile and Mexico) and Asia (China, Hong Kong Special Administrative Region and Southeast Asia).</w:t>
      </w:r>
    </w:p>
    <w:p>
      <w:pPr>
        <w:spacing w:after="0" w:line="1" w:lineRule="exact"/>
        <w:rPr>
          <w:rFonts w:ascii="Arial" w:cs="Arial" w:eastAsia="Arial" w:hAnsi="Arial"/>
          <w:sz w:val="18"/>
          <w:szCs w:val="18"/>
          <w:color w:val="auto"/>
        </w:rPr>
      </w:pPr>
    </w:p>
    <w:p>
      <w:pPr>
        <w:ind w:left="1000" w:right="60" w:hanging="317"/>
        <w:spacing w:after="0" w:line="250" w:lineRule="auto"/>
        <w:tabs>
          <w:tab w:leader="none" w:pos="1000" w:val="left"/>
        </w:tabs>
        <w:numPr>
          <w:ilvl w:val="0"/>
          <w:numId w:val="44"/>
        </w:numPr>
        <w:rPr>
          <w:rFonts w:ascii="Arial" w:cs="Arial" w:eastAsia="Arial" w:hAnsi="Arial"/>
          <w:sz w:val="18"/>
          <w:szCs w:val="18"/>
          <w:color w:val="auto"/>
        </w:rPr>
      </w:pPr>
      <w:r>
        <w:rPr>
          <w:rFonts w:ascii="Arial" w:cs="Arial" w:eastAsia="Arial" w:hAnsi="Arial"/>
          <w:sz w:val="18"/>
          <w:szCs w:val="18"/>
          <w:color w:val="auto"/>
        </w:rPr>
        <w:t>U.S. Insurance Solutions is organized into Specialty Benefits insurance, which provides group dental and vision insurance, individual and group disability insurance, group life insurance, critical illness, accident, paid family and medical leave and non-medical fee-for-service claims administration; and Individual Life insurance, which includes universal life, variable universal life, indexed universal life, traditional life insurance and our exited ULSG business. We focus our solutions on small-to-medium sized businesses and their employees with an emphasis on business owners, executives and key employees.</w:t>
      </w:r>
    </w:p>
    <w:p>
      <w:pPr>
        <w:spacing w:after="0" w:line="2" w:lineRule="exact"/>
        <w:rPr>
          <w:rFonts w:ascii="Arial" w:cs="Arial" w:eastAsia="Arial" w:hAnsi="Arial"/>
          <w:sz w:val="18"/>
          <w:szCs w:val="18"/>
          <w:color w:val="auto"/>
        </w:rPr>
      </w:pPr>
    </w:p>
    <w:p>
      <w:pPr>
        <w:ind w:left="1000" w:hanging="317"/>
        <w:spacing w:after="0" w:line="271" w:lineRule="auto"/>
        <w:tabs>
          <w:tab w:leader="none" w:pos="1000" w:val="left"/>
        </w:tabs>
        <w:numPr>
          <w:ilvl w:val="0"/>
          <w:numId w:val="44"/>
        </w:numPr>
        <w:rPr>
          <w:rFonts w:ascii="Arial" w:cs="Arial" w:eastAsia="Arial" w:hAnsi="Arial"/>
          <w:sz w:val="17"/>
          <w:szCs w:val="17"/>
          <w:color w:val="auto"/>
        </w:rPr>
      </w:pPr>
      <w:r>
        <w:rPr>
          <w:rFonts w:ascii="Arial" w:cs="Arial" w:eastAsia="Arial" w:hAnsi="Arial"/>
          <w:sz w:val="17"/>
          <w:szCs w:val="17"/>
          <w:color w:val="auto"/>
        </w:rPr>
        <w:t>Corporate, which manages the assets representing capital that has not been allocated to any other segment. Financial results of the Corporate segment primarily reflect our financing activities (including financing costs), income on capital not allocated to other segments, inter-segment eliminations, income tax risks and certain income, expenses and other adjustments not allocated to the segments based on the nature of such items. Results of PSI, our retail broker-dealer and RIA, and our exited group medical and long-term care insurance businesses are reported in this segment.</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Transactions Affecting Comparability of Results of Operations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Reinsurance Transaction</w:t>
      </w:r>
    </w:p>
    <w:p>
      <w:pPr>
        <w:spacing w:after="0" w:line="225" w:lineRule="exact"/>
        <w:rPr>
          <w:sz w:val="20"/>
          <w:szCs w:val="20"/>
          <w:color w:val="auto"/>
        </w:rPr>
      </w:pPr>
    </w:p>
    <w:p>
      <w:pPr>
        <w:ind w:firstLine="648"/>
        <w:spacing w:after="0" w:line="296" w:lineRule="auto"/>
        <w:rPr>
          <w:sz w:val="20"/>
          <w:szCs w:val="20"/>
          <w:color w:val="auto"/>
        </w:rPr>
      </w:pPr>
      <w:r>
        <w:rPr>
          <w:rFonts w:ascii="Arial" w:cs="Arial" w:eastAsia="Arial" w:hAnsi="Arial"/>
          <w:sz w:val="16"/>
          <w:szCs w:val="16"/>
          <w:color w:val="auto"/>
        </w:rPr>
        <w:t>During the second quarter of 2022, we closed a coinsurance with funds withheld reinsurance transaction with Talcott Life &amp; Annuity Re, a limited liability company organized under the laws of the Cayman Islands and an affiliate of Talcott Resolution Life, Inc., a subsidiary of Sixth Street, pursuant to which we ceded our in-force U.S. retail fixed annuity and ULSG blocks of business. The economics of the Reinsurance Transaction were effective as of January 1, 2022. As such, we recorded impacts for January through June 2022 in our second quarter 2022 results. Therefore, results for the three months ended June 30, 2022, are not comparable to prior periods.</w:t>
      </w:r>
    </w:p>
    <w:p>
      <w:pPr>
        <w:spacing w:after="0" w:line="37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603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900"/>
          </w:cols>
          <w:pgMar w:left="980" w:top="665" w:right="1019" w:bottom="1440" w:gutter="0" w:footer="0" w:header="0"/>
        </w:sectPr>
      </w:pPr>
    </w:p>
    <w:bookmarkStart w:id="92" w:name="page93"/>
    <w:bookmarkEnd w:id="92"/>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Factors Affecting Comparability of Results of Operations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Fluctuations in Foreign Currency to U.S. Dollar Exchange Rates</w:t>
      </w:r>
    </w:p>
    <w:p>
      <w:pPr>
        <w:spacing w:after="0" w:line="225" w:lineRule="exact"/>
        <w:rPr>
          <w:sz w:val="20"/>
          <w:szCs w:val="20"/>
          <w:color w:val="auto"/>
        </w:rPr>
      </w:pPr>
    </w:p>
    <w:p>
      <w:pPr>
        <w:ind w:right="140" w:firstLine="648"/>
        <w:spacing w:after="0" w:line="259" w:lineRule="auto"/>
        <w:rPr>
          <w:sz w:val="20"/>
          <w:szCs w:val="20"/>
          <w:color w:val="auto"/>
        </w:rPr>
      </w:pPr>
      <w:r>
        <w:rPr>
          <w:rFonts w:ascii="Arial" w:cs="Arial" w:eastAsia="Arial" w:hAnsi="Arial"/>
          <w:sz w:val="18"/>
          <w:szCs w:val="18"/>
          <w:color w:val="auto"/>
        </w:rPr>
        <w:t>Fluctuations in foreign currency to U.S. dollar exchange rates for locations in which we have operations can affect reported financial results. In years when foreign currencies weaken against the U.S. dollar, translating foreign currencies into U.S. dollars results in fewer U.S. dollars to be reported. When foreign currencies strengthen, translating foreign currencies into U.S. dollars results in more U.S. dollars to be reported.</w:t>
      </w:r>
    </w:p>
    <w:p>
      <w:pPr>
        <w:spacing w:after="0" w:line="187" w:lineRule="exact"/>
        <w:rPr>
          <w:sz w:val="20"/>
          <w:szCs w:val="20"/>
          <w:color w:val="auto"/>
        </w:rPr>
      </w:pPr>
    </w:p>
    <w:p>
      <w:pPr>
        <w:ind w:firstLine="648"/>
        <w:spacing w:after="0" w:line="254" w:lineRule="auto"/>
        <w:rPr>
          <w:sz w:val="20"/>
          <w:szCs w:val="20"/>
          <w:color w:val="auto"/>
        </w:rPr>
      </w:pPr>
      <w:r>
        <w:rPr>
          <w:rFonts w:ascii="Arial" w:cs="Arial" w:eastAsia="Arial" w:hAnsi="Arial"/>
          <w:sz w:val="18"/>
          <w:szCs w:val="18"/>
          <w:color w:val="auto"/>
        </w:rPr>
        <w:t>Foreign currency exchange rate fluctuations create variances in our financial statement line items. The most significant impact occurs within our Principal International segment where pre-tax operating earnings were negatively impacted $4.7 million and $8.6 million for the three and six months ended June 30, 2022, respectively, as a result of fluctuations in foreign currency to U.S. dollar exchange rates. This impact was calculated by comparing (a) the difference between current year results and prior year results to (b) the difference between current year results and prior year results translated using current year exchange rates for both periods. We use this approach to calculate the impact of exchange rates on all revenue and expense line items. For a discussion of our approaches to managing foreign currency exchange rate risk, see Item 3. “Quantitative and Qualitative Disclosures About Market Risk — Foreign Currency Risk.”</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Variable Investment Income</w:t>
      </w:r>
    </w:p>
    <w:p>
      <w:pPr>
        <w:spacing w:after="0" w:line="225" w:lineRule="exact"/>
        <w:rPr>
          <w:sz w:val="20"/>
          <w:szCs w:val="20"/>
          <w:color w:val="auto"/>
        </w:rPr>
      </w:pPr>
    </w:p>
    <w:p>
      <w:pPr>
        <w:ind w:right="20" w:firstLine="648"/>
        <w:spacing w:after="0" w:line="279" w:lineRule="auto"/>
        <w:rPr>
          <w:sz w:val="20"/>
          <w:szCs w:val="20"/>
          <w:color w:val="auto"/>
        </w:rPr>
      </w:pPr>
      <w:r>
        <w:rPr>
          <w:rFonts w:ascii="Arial" w:cs="Arial" w:eastAsia="Arial" w:hAnsi="Arial"/>
          <w:sz w:val="17"/>
          <w:szCs w:val="17"/>
          <w:color w:val="auto"/>
        </w:rPr>
        <w:t>Variable investment income includes certain types of investment returns such as prepayment fees and income (loss) from certain elements of our other alternative asset classes, including results of value-add real estate sales activity. Due to its unpredictable nature, variable investment income may or may not be material to our financial results for a given reporting period and may create variances when comparing different reporting periods. For additional information, see “Investment Results.”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Accounting Changes</w:t>
      </w:r>
    </w:p>
    <w:p>
      <w:pPr>
        <w:spacing w:after="0" w:line="229" w:lineRule="exact"/>
        <w:rPr>
          <w:sz w:val="20"/>
          <w:szCs w:val="20"/>
          <w:color w:val="auto"/>
        </w:rPr>
      </w:pPr>
    </w:p>
    <w:p>
      <w:pPr>
        <w:ind w:firstLine="648"/>
        <w:spacing w:after="0" w:line="342" w:lineRule="auto"/>
        <w:rPr>
          <w:sz w:val="20"/>
          <w:szCs w:val="20"/>
          <w:color w:val="auto"/>
        </w:rPr>
      </w:pPr>
      <w:r>
        <w:rPr>
          <w:rFonts w:ascii="Arial" w:cs="Arial" w:eastAsia="Arial" w:hAnsi="Arial"/>
          <w:sz w:val="16"/>
          <w:szCs w:val="16"/>
          <w:color w:val="auto"/>
        </w:rPr>
        <w:t>For recent accounting changes, see Item 1. “Financial Statements, Notes to Unaudited Condensed Consolidated Financial Statements, Note 1, Nature of Operations and Significant Accounting Policies” under the caption, “Recent Accounting Pronouncements.”</w:t>
      </w:r>
    </w:p>
    <w:p>
      <w:pPr>
        <w:spacing w:after="0" w:line="200" w:lineRule="exact"/>
        <w:rPr>
          <w:sz w:val="20"/>
          <w:szCs w:val="20"/>
          <w:color w:val="auto"/>
        </w:rPr>
      </w:pPr>
    </w:p>
    <w:p>
      <w:pPr>
        <w:spacing w:after="0" w:line="35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540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93" w:name="page94"/>
    <w:bookmarkEnd w:id="93"/>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presents summary consolidated financial information for the periods indicated:</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0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760" w:type="dxa"/>
            <w:vAlign w:val="bottom"/>
            <w:gridSpan w:val="8"/>
          </w:tcPr>
          <w:p>
            <w:pPr>
              <w:ind w:left="120"/>
              <w:spacing w:after="0"/>
              <w:rPr>
                <w:sz w:val="20"/>
                <w:szCs w:val="20"/>
                <w:color w:val="auto"/>
              </w:rPr>
            </w:pPr>
            <w:r>
              <w:rPr>
                <w:rFonts w:ascii="Arial" w:cs="Arial" w:eastAsia="Arial" w:hAnsi="Arial"/>
                <w:sz w:val="14"/>
                <w:szCs w:val="14"/>
                <w:b w:val="1"/>
                <w:bCs w:val="1"/>
                <w:color w:val="auto"/>
              </w:rPr>
              <w:t>For the three months ended June 30,</w:t>
            </w: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740" w:type="dxa"/>
            <w:vAlign w:val="bottom"/>
            <w:gridSpan w:val="8"/>
          </w:tcPr>
          <w:p>
            <w:pPr>
              <w:ind w:left="200"/>
              <w:spacing w:after="0"/>
              <w:rPr>
                <w:sz w:val="20"/>
                <w:szCs w:val="20"/>
                <w:color w:val="auto"/>
              </w:rPr>
            </w:pPr>
            <w:r>
              <w:rPr>
                <w:rFonts w:ascii="Arial" w:cs="Arial" w:eastAsia="Arial" w:hAnsi="Arial"/>
                <w:sz w:val="14"/>
                <w:szCs w:val="14"/>
                <w:b w:val="1"/>
                <w:bCs w:val="1"/>
                <w:color w:val="auto"/>
              </w:rPr>
              <w:t>For the six months ended June 30,</w:t>
            </w:r>
          </w:p>
        </w:tc>
        <w:tc>
          <w:tcPr>
            <w:tcW w:w="0" w:type="dxa"/>
            <w:vAlign w:val="bottom"/>
          </w:tcPr>
          <w:p>
            <w:pPr>
              <w:spacing w:after="0"/>
              <w:rPr>
                <w:sz w:val="1"/>
                <w:szCs w:val="1"/>
                <w:color w:val="auto"/>
              </w:rPr>
            </w:pPr>
          </w:p>
        </w:tc>
      </w:tr>
      <w:tr>
        <w:trPr>
          <w:trHeight w:val="119"/>
        </w:trPr>
        <w:tc>
          <w:tcPr>
            <w:tcW w:w="4020" w:type="dxa"/>
            <w:vAlign w:val="bottom"/>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660" w:type="dxa"/>
            <w:vAlign w:val="bottom"/>
            <w:tcBorders>
              <w:top w:val="single" w:sz="8" w:color="auto"/>
            </w:tcBorders>
            <w:vMerge w:val="restart"/>
          </w:tcPr>
          <w:p>
            <w:pPr>
              <w:jc w:val="right"/>
              <w:ind w:right="172"/>
              <w:spacing w:after="0"/>
              <w:rPr>
                <w:sz w:val="20"/>
                <w:szCs w:val="20"/>
                <w:color w:val="auto"/>
              </w:rPr>
            </w:pPr>
            <w:r>
              <w:rPr>
                <w:rFonts w:ascii="Arial" w:cs="Arial" w:eastAsia="Arial" w:hAnsi="Arial"/>
                <w:sz w:val="14"/>
                <w:szCs w:val="14"/>
                <w:b w:val="1"/>
                <w:bCs w:val="1"/>
                <w:color w:val="auto"/>
              </w:rPr>
              <w:t>2022</w:t>
            </w:r>
          </w:p>
        </w:tc>
        <w:tc>
          <w:tcPr>
            <w:tcW w:w="180" w:type="dxa"/>
            <w:vAlign w:val="bottom"/>
            <w:tcBorders>
              <w:top w:val="single" w:sz="8" w:color="auto"/>
            </w:tcBorders>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660" w:type="dxa"/>
            <w:vAlign w:val="bottom"/>
            <w:tcBorders>
              <w:top w:val="single" w:sz="8" w:color="auto"/>
            </w:tcBorders>
            <w:vMerge w:val="restart"/>
          </w:tcPr>
          <w:p>
            <w:pPr>
              <w:jc w:val="right"/>
              <w:ind w:right="171"/>
              <w:spacing w:after="0"/>
              <w:rPr>
                <w:sz w:val="20"/>
                <w:szCs w:val="20"/>
                <w:color w:val="auto"/>
              </w:rPr>
            </w:pPr>
            <w:r>
              <w:rPr>
                <w:rFonts w:ascii="Arial" w:cs="Arial" w:eastAsia="Arial" w:hAnsi="Arial"/>
                <w:sz w:val="14"/>
                <w:szCs w:val="14"/>
                <w:b w:val="1"/>
                <w:bCs w:val="1"/>
                <w:color w:val="auto"/>
              </w:rPr>
              <w:t>2021</w:t>
            </w:r>
          </w:p>
        </w:tc>
        <w:tc>
          <w:tcPr>
            <w:tcW w:w="18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740" w:type="dxa"/>
            <w:vAlign w:val="bottom"/>
            <w:tcBorders>
              <w:top w:val="single" w:sz="8" w:color="auto"/>
            </w:tcBorders>
          </w:tcPr>
          <w:p>
            <w:pPr>
              <w:jc w:val="right"/>
              <w:ind w:right="73"/>
              <w:spacing w:after="0" w:line="119" w:lineRule="exact"/>
              <w:rPr>
                <w:sz w:val="20"/>
                <w:szCs w:val="20"/>
                <w:color w:val="auto"/>
              </w:rPr>
            </w:pPr>
            <w:r>
              <w:rPr>
                <w:rFonts w:ascii="Arial" w:cs="Arial" w:eastAsia="Arial" w:hAnsi="Arial"/>
                <w:sz w:val="13"/>
                <w:szCs w:val="13"/>
                <w:b w:val="1"/>
                <w:bCs w:val="1"/>
                <w:color w:val="auto"/>
              </w:rPr>
              <w:t>Increase</w:t>
            </w: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80" w:type="dxa"/>
            <w:vAlign w:val="bottom"/>
            <w:tcBorders>
              <w:top w:val="single" w:sz="8" w:color="auto"/>
            </w:tcBorders>
          </w:tcPr>
          <w:p>
            <w:pPr>
              <w:spacing w:after="0"/>
              <w:rPr>
                <w:sz w:val="10"/>
                <w:szCs w:val="10"/>
                <w:color w:val="auto"/>
              </w:rPr>
            </w:pPr>
          </w:p>
        </w:tc>
        <w:tc>
          <w:tcPr>
            <w:tcW w:w="660" w:type="dxa"/>
            <w:vAlign w:val="bottom"/>
            <w:tcBorders>
              <w:top w:val="single" w:sz="8" w:color="auto"/>
            </w:tcBorders>
            <w:vMerge w:val="restart"/>
          </w:tcPr>
          <w:p>
            <w:pPr>
              <w:jc w:val="right"/>
              <w:ind w:right="172"/>
              <w:spacing w:after="0"/>
              <w:rPr>
                <w:sz w:val="20"/>
                <w:szCs w:val="20"/>
                <w:color w:val="auto"/>
              </w:rPr>
            </w:pPr>
            <w:r>
              <w:rPr>
                <w:rFonts w:ascii="Arial" w:cs="Arial" w:eastAsia="Arial" w:hAnsi="Arial"/>
                <w:sz w:val="14"/>
                <w:szCs w:val="14"/>
                <w:b w:val="1"/>
                <w:bCs w:val="1"/>
                <w:color w:val="auto"/>
              </w:rPr>
              <w:t>2022</w:t>
            </w:r>
          </w:p>
        </w:tc>
        <w:tc>
          <w:tcPr>
            <w:tcW w:w="180" w:type="dxa"/>
            <w:vAlign w:val="bottom"/>
            <w:tcBorders>
              <w:top w:val="single" w:sz="8" w:color="auto"/>
            </w:tcBorders>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680" w:type="dxa"/>
            <w:vAlign w:val="bottom"/>
            <w:tcBorders>
              <w:top w:val="single" w:sz="8" w:color="auto"/>
            </w:tcBorders>
            <w:vMerge w:val="restart"/>
          </w:tcPr>
          <w:p>
            <w:pPr>
              <w:jc w:val="right"/>
              <w:ind w:right="191"/>
              <w:spacing w:after="0"/>
              <w:rPr>
                <w:sz w:val="20"/>
                <w:szCs w:val="20"/>
                <w:color w:val="auto"/>
              </w:rPr>
            </w:pPr>
            <w:r>
              <w:rPr>
                <w:rFonts w:ascii="Arial" w:cs="Arial" w:eastAsia="Arial" w:hAnsi="Arial"/>
                <w:sz w:val="14"/>
                <w:szCs w:val="14"/>
                <w:b w:val="1"/>
                <w:bCs w:val="1"/>
                <w:color w:val="auto"/>
              </w:rPr>
              <w:t>2021</w:t>
            </w:r>
          </w:p>
        </w:tc>
        <w:tc>
          <w:tcPr>
            <w:tcW w:w="18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760" w:type="dxa"/>
            <w:vAlign w:val="bottom"/>
            <w:tcBorders>
              <w:top w:val="single" w:sz="8" w:color="auto"/>
            </w:tcBorders>
          </w:tcPr>
          <w:p>
            <w:pPr>
              <w:jc w:val="right"/>
              <w:ind w:right="92"/>
              <w:spacing w:after="0" w:line="119" w:lineRule="exact"/>
              <w:rPr>
                <w:sz w:val="20"/>
                <w:szCs w:val="20"/>
                <w:color w:val="auto"/>
              </w:rPr>
            </w:pPr>
            <w:r>
              <w:rPr>
                <w:rFonts w:ascii="Arial" w:cs="Arial" w:eastAsia="Arial" w:hAnsi="Arial"/>
                <w:sz w:val="13"/>
                <w:szCs w:val="13"/>
                <w:b w:val="1"/>
                <w:bCs w:val="1"/>
                <w:color w:val="auto"/>
              </w:rPr>
              <w:t>Increase</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402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vMerge w:val="continue"/>
          </w:tcPr>
          <w:p>
            <w:pPr>
              <w:spacing w:after="0"/>
              <w:rPr>
                <w:sz w:val="14"/>
                <w:szCs w:val="14"/>
                <w:color w:val="auto"/>
              </w:rPr>
            </w:pPr>
          </w:p>
        </w:tc>
        <w:tc>
          <w:tcPr>
            <w:tcW w:w="18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vMerge w:val="continue"/>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33"/>
              <w:spacing w:after="0"/>
              <w:rPr>
                <w:sz w:val="20"/>
                <w:szCs w:val="20"/>
                <w:color w:val="auto"/>
              </w:rPr>
            </w:pPr>
            <w:r>
              <w:rPr>
                <w:rFonts w:ascii="Arial" w:cs="Arial" w:eastAsia="Arial" w:hAnsi="Arial"/>
                <w:sz w:val="14"/>
                <w:szCs w:val="14"/>
                <w:b w:val="1"/>
                <w:bCs w:val="1"/>
                <w:color w:val="auto"/>
                <w:w w:val="85"/>
              </w:rPr>
              <w:t>(decrease)</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vMerge w:val="continue"/>
          </w:tcPr>
          <w:p>
            <w:pPr>
              <w:spacing w:after="0"/>
              <w:rPr>
                <w:sz w:val="14"/>
                <w:szCs w:val="14"/>
                <w:color w:val="auto"/>
              </w:rPr>
            </w:pPr>
          </w:p>
        </w:tc>
        <w:tc>
          <w:tcPr>
            <w:tcW w:w="18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vMerge w:val="continue"/>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w w:val="88"/>
              </w:rPr>
              <w:t>(decrease)</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8"/>
        </w:trPr>
        <w:tc>
          <w:tcPr>
            <w:tcW w:w="40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740" w:type="dxa"/>
            <w:vAlign w:val="bottom"/>
            <w:gridSpan w:val="5"/>
          </w:tcPr>
          <w:p>
            <w:pPr>
              <w:jc w:val="right"/>
              <w:ind w:right="452"/>
              <w:spacing w:after="0" w:line="129" w:lineRule="exact"/>
              <w:rPr>
                <w:sz w:val="20"/>
                <w:szCs w:val="20"/>
                <w:color w:val="auto"/>
              </w:rPr>
            </w:pPr>
            <w:r>
              <w:rPr>
                <w:rFonts w:ascii="Arial" w:cs="Arial" w:eastAsia="Arial" w:hAnsi="Arial"/>
                <w:sz w:val="14"/>
                <w:szCs w:val="14"/>
                <w:i w:val="1"/>
                <w:iCs w:val="1"/>
                <w:color w:val="auto"/>
              </w:rPr>
              <w:t>(in millions)</w:t>
            </w:r>
          </w:p>
        </w:tc>
        <w:tc>
          <w:tcPr>
            <w:tcW w:w="1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4020" w:type="dxa"/>
            <w:vAlign w:val="bottom"/>
            <w:shd w:val="clear" w:color="auto" w:fill="CCEEFF"/>
          </w:tcPr>
          <w:p>
            <w:pPr>
              <w:spacing w:after="0"/>
              <w:rPr>
                <w:sz w:val="20"/>
                <w:szCs w:val="20"/>
                <w:color w:val="auto"/>
              </w:rPr>
            </w:pPr>
            <w:r>
              <w:rPr>
                <w:rFonts w:ascii="Arial" w:cs="Arial" w:eastAsia="Arial" w:hAnsi="Arial"/>
                <w:sz w:val="18"/>
                <w:szCs w:val="18"/>
                <w:color w:val="auto"/>
              </w:rPr>
              <w:t>Revenues:</w:t>
            </w: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020" w:type="dxa"/>
            <w:vAlign w:val="bottom"/>
          </w:tcPr>
          <w:p>
            <w:pPr>
              <w:ind w:left="120"/>
              <w:spacing w:after="0"/>
              <w:rPr>
                <w:sz w:val="20"/>
                <w:szCs w:val="20"/>
                <w:color w:val="auto"/>
              </w:rPr>
            </w:pPr>
            <w:r>
              <w:rPr>
                <w:rFonts w:ascii="Arial" w:cs="Arial" w:eastAsia="Arial" w:hAnsi="Arial"/>
                <w:sz w:val="18"/>
                <w:szCs w:val="18"/>
                <w:color w:val="auto"/>
              </w:rPr>
              <w:t>Premiums and other considerations</w:t>
            </w:r>
          </w:p>
        </w:tc>
        <w:tc>
          <w:tcPr>
            <w:tcW w:w="160" w:type="dxa"/>
            <w:vAlign w:val="bottom"/>
          </w:tcPr>
          <w:p>
            <w:pPr>
              <w:jc w:val="right"/>
              <w:ind w:right="7"/>
              <w:spacing w:after="0"/>
              <w:rPr>
                <w:sz w:val="20"/>
                <w:szCs w:val="20"/>
                <w:color w:val="auto"/>
              </w:rPr>
            </w:pPr>
            <w:r>
              <w:rPr>
                <w:rFonts w:ascii="Arial" w:cs="Arial" w:eastAsia="Arial" w:hAnsi="Arial"/>
                <w:sz w:val="15"/>
                <w:szCs w:val="15"/>
                <w:b w:val="1"/>
                <w:bCs w:val="1"/>
                <w:color w:val="auto"/>
                <w:w w:val="71"/>
              </w:rPr>
              <w:t>$</w:t>
            </w:r>
          </w:p>
        </w:tc>
        <w:tc>
          <w:tcPr>
            <w:tcW w:w="660" w:type="dxa"/>
            <w:vAlign w:val="bottom"/>
          </w:tcPr>
          <w:p>
            <w:pPr>
              <w:jc w:val="right"/>
              <w:spacing w:after="0"/>
              <w:rPr>
                <w:sz w:val="20"/>
                <w:szCs w:val="20"/>
                <w:color w:val="auto"/>
              </w:rPr>
            </w:pPr>
            <w:r>
              <w:rPr>
                <w:rFonts w:ascii="Arial" w:cs="Arial" w:eastAsia="Arial" w:hAnsi="Arial"/>
                <w:sz w:val="18"/>
                <w:szCs w:val="18"/>
                <w:b w:val="1"/>
                <w:bCs w:val="1"/>
                <w:color w:val="auto"/>
                <w:w w:val="96"/>
              </w:rPr>
              <w:t>1,366.2</w:t>
            </w:r>
          </w:p>
        </w:tc>
        <w:tc>
          <w:tcPr>
            <w:tcW w:w="180" w:type="dxa"/>
            <w:vAlign w:val="bottom"/>
          </w:tcPr>
          <w:p>
            <w:pPr>
              <w:spacing w:after="0"/>
              <w:rPr>
                <w:sz w:val="18"/>
                <w:szCs w:val="18"/>
                <w:color w:val="auto"/>
              </w:rPr>
            </w:pPr>
          </w:p>
        </w:tc>
        <w:tc>
          <w:tcPr>
            <w:tcW w:w="160" w:type="dxa"/>
            <w:vAlign w:val="bottom"/>
          </w:tcPr>
          <w:p>
            <w:pPr>
              <w:jc w:val="right"/>
              <w:ind w:right="7"/>
              <w:spacing w:after="0"/>
              <w:rPr>
                <w:sz w:val="20"/>
                <w:szCs w:val="20"/>
                <w:color w:val="auto"/>
              </w:rPr>
            </w:pPr>
            <w:r>
              <w:rPr>
                <w:rFonts w:ascii="Arial" w:cs="Arial" w:eastAsia="Arial" w:hAnsi="Arial"/>
                <w:sz w:val="15"/>
                <w:szCs w:val="15"/>
                <w:color w:val="auto"/>
                <w:w w:val="71"/>
              </w:rPr>
              <w:t>$</w:t>
            </w:r>
          </w:p>
        </w:tc>
        <w:tc>
          <w:tcPr>
            <w:tcW w:w="660" w:type="dxa"/>
            <w:vAlign w:val="bottom"/>
          </w:tcPr>
          <w:p>
            <w:pPr>
              <w:jc w:val="right"/>
              <w:spacing w:after="0"/>
              <w:rPr>
                <w:sz w:val="20"/>
                <w:szCs w:val="20"/>
                <w:color w:val="auto"/>
              </w:rPr>
            </w:pPr>
            <w:r>
              <w:rPr>
                <w:rFonts w:ascii="Arial" w:cs="Arial" w:eastAsia="Arial" w:hAnsi="Arial"/>
                <w:sz w:val="18"/>
                <w:szCs w:val="18"/>
                <w:color w:val="auto"/>
                <w:w w:val="96"/>
              </w:rPr>
              <w:t>1,269.7</w:t>
            </w:r>
          </w:p>
        </w:tc>
        <w:tc>
          <w:tcPr>
            <w:tcW w:w="18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96.5</w:t>
            </w:r>
          </w:p>
        </w:tc>
        <w:tc>
          <w:tcPr>
            <w:tcW w:w="80" w:type="dxa"/>
            <w:vAlign w:val="bottom"/>
          </w:tcPr>
          <w:p>
            <w:pPr>
              <w:spacing w:after="0"/>
              <w:rPr>
                <w:sz w:val="18"/>
                <w:szCs w:val="18"/>
                <w:color w:val="auto"/>
              </w:rPr>
            </w:pPr>
          </w:p>
        </w:tc>
        <w:tc>
          <w:tcPr>
            <w:tcW w:w="26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660" w:type="dxa"/>
            <w:vAlign w:val="bottom"/>
          </w:tcPr>
          <w:p>
            <w:pPr>
              <w:jc w:val="right"/>
              <w:spacing w:after="0"/>
              <w:rPr>
                <w:sz w:val="20"/>
                <w:szCs w:val="20"/>
                <w:color w:val="auto"/>
              </w:rPr>
            </w:pPr>
            <w:r>
              <w:rPr>
                <w:rFonts w:ascii="Arial" w:cs="Arial" w:eastAsia="Arial" w:hAnsi="Arial"/>
                <w:sz w:val="18"/>
                <w:szCs w:val="18"/>
                <w:b w:val="1"/>
                <w:bCs w:val="1"/>
                <w:color w:val="auto"/>
                <w:w w:val="99"/>
              </w:rPr>
              <w:t>2,253.6</w:t>
            </w:r>
          </w:p>
        </w:tc>
        <w:tc>
          <w:tcPr>
            <w:tcW w:w="18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tcPr>
          <w:p>
            <w:pPr>
              <w:jc w:val="right"/>
              <w:spacing w:after="0"/>
              <w:rPr>
                <w:sz w:val="20"/>
                <w:szCs w:val="20"/>
                <w:color w:val="auto"/>
              </w:rPr>
            </w:pPr>
            <w:r>
              <w:rPr>
                <w:rFonts w:ascii="Arial" w:cs="Arial" w:eastAsia="Arial" w:hAnsi="Arial"/>
                <w:sz w:val="18"/>
                <w:szCs w:val="18"/>
                <w:color w:val="auto"/>
                <w:w w:val="99"/>
              </w:rPr>
              <w:t>2,104.8</w:t>
            </w:r>
          </w:p>
        </w:tc>
        <w:tc>
          <w:tcPr>
            <w:tcW w:w="18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148.8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020" w:type="dxa"/>
            <w:vAlign w:val="bottom"/>
            <w:shd w:val="clear" w:color="auto" w:fill="CCEEFF"/>
          </w:tcPr>
          <w:p>
            <w:pPr>
              <w:ind w:left="120"/>
              <w:spacing w:after="0"/>
              <w:rPr>
                <w:sz w:val="20"/>
                <w:szCs w:val="20"/>
                <w:color w:val="auto"/>
              </w:rPr>
            </w:pPr>
            <w:r>
              <w:rPr>
                <w:rFonts w:ascii="Arial" w:cs="Arial" w:eastAsia="Arial" w:hAnsi="Arial"/>
                <w:sz w:val="18"/>
                <w:szCs w:val="18"/>
                <w:color w:val="auto"/>
              </w:rPr>
              <w:t>Fees and other revenues</w:t>
            </w: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947.6</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6"/>
              </w:rPr>
              <w:t>1,265.3</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(317.7)</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2,162.6</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2,459.2</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(296.6)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020" w:type="dxa"/>
            <w:vAlign w:val="bottom"/>
          </w:tcPr>
          <w:p>
            <w:pPr>
              <w:ind w:left="120"/>
              <w:spacing w:after="0"/>
              <w:rPr>
                <w:sz w:val="20"/>
                <w:szCs w:val="20"/>
                <w:color w:val="auto"/>
              </w:rPr>
            </w:pPr>
            <w:r>
              <w:rPr>
                <w:rFonts w:ascii="Arial" w:cs="Arial" w:eastAsia="Arial" w:hAnsi="Arial"/>
                <w:sz w:val="18"/>
                <w:szCs w:val="18"/>
                <w:color w:val="auto"/>
              </w:rPr>
              <w:t>Net investment income</w:t>
            </w: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b w:val="1"/>
                <w:bCs w:val="1"/>
                <w:color w:val="auto"/>
              </w:rPr>
              <w:t>816.5</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w w:val="96"/>
              </w:rPr>
              <w:t>1,045.5</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gridSpan w:val="2"/>
          </w:tcPr>
          <w:p>
            <w:pPr>
              <w:jc w:val="right"/>
              <w:ind w:right="80"/>
              <w:spacing w:after="0"/>
              <w:rPr>
                <w:sz w:val="20"/>
                <w:szCs w:val="20"/>
                <w:color w:val="auto"/>
              </w:rPr>
            </w:pPr>
            <w:r>
              <w:rPr>
                <w:rFonts w:ascii="Arial" w:cs="Arial" w:eastAsia="Arial" w:hAnsi="Arial"/>
                <w:sz w:val="18"/>
                <w:szCs w:val="18"/>
                <w:color w:val="auto"/>
              </w:rPr>
              <w:t>(229.0)</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b w:val="1"/>
                <w:bCs w:val="1"/>
                <w:color w:val="auto"/>
                <w:w w:val="99"/>
              </w:rPr>
              <w:t>1,934.6</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w w:val="99"/>
              </w:rPr>
              <w:t>2,073.6</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(139.0)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020" w:type="dxa"/>
            <w:vAlign w:val="bottom"/>
            <w:shd w:val="clear" w:color="auto" w:fill="CCEEFF"/>
          </w:tcPr>
          <w:p>
            <w:pPr>
              <w:ind w:left="120"/>
              <w:spacing w:after="0"/>
              <w:rPr>
                <w:sz w:val="20"/>
                <w:szCs w:val="20"/>
                <w:color w:val="auto"/>
              </w:rPr>
            </w:pPr>
            <w:r>
              <w:rPr>
                <w:rFonts w:ascii="Arial" w:cs="Arial" w:eastAsia="Arial" w:hAnsi="Arial"/>
                <w:sz w:val="18"/>
                <w:szCs w:val="18"/>
                <w:color w:val="auto"/>
              </w:rPr>
              <w:t>Net realized capital gains (losses)</w:t>
            </w:r>
          </w:p>
        </w:tc>
        <w:tc>
          <w:tcPr>
            <w:tcW w:w="1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(227.9)</w:t>
            </w:r>
          </w:p>
        </w:tc>
        <w:tc>
          <w:tcPr>
            <w:tcW w:w="1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(41.1)</w:t>
            </w:r>
          </w:p>
        </w:tc>
        <w:tc>
          <w:tcPr>
            <w:tcW w:w="1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(186.8)</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(338.4)</w:t>
            </w: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110.3</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(448.7)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020" w:type="dxa"/>
            <w:vAlign w:val="bottom"/>
          </w:tcPr>
          <w:p>
            <w:pPr>
              <w:ind w:left="120"/>
              <w:spacing w:after="0"/>
              <w:rPr>
                <w:sz w:val="20"/>
                <w:szCs w:val="20"/>
                <w:color w:val="auto"/>
              </w:rPr>
            </w:pPr>
            <w:r>
              <w:rPr>
                <w:rFonts w:ascii="Arial" w:cs="Arial" w:eastAsia="Arial" w:hAnsi="Arial"/>
                <w:sz w:val="18"/>
                <w:szCs w:val="18"/>
                <w:color w:val="auto"/>
                <w:w w:val="96"/>
              </w:rPr>
              <w:t>Net realized capital gains on funds withheld assets</w:t>
            </w: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b w:val="1"/>
                <w:bCs w:val="1"/>
                <w:color w:val="auto"/>
              </w:rPr>
              <w:t>689.0</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4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689.0</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b w:val="1"/>
                <w:bCs w:val="1"/>
                <w:color w:val="auto"/>
              </w:rPr>
              <w:t>689.0</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689.0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4020" w:type="dxa"/>
            <w:vAlign w:val="bottom"/>
            <w:shd w:val="clear" w:color="auto" w:fill="CCEEFF"/>
          </w:tcPr>
          <w:p>
            <w:pPr>
              <w:ind w:left="120"/>
              <w:spacing w:after="0" w:line="201" w:lineRule="exact"/>
              <w:rPr>
                <w:sz w:val="20"/>
                <w:szCs w:val="20"/>
                <w:color w:val="auto"/>
              </w:rPr>
            </w:pPr>
            <w:r>
              <w:rPr>
                <w:rFonts w:ascii="Arial" w:cs="Arial" w:eastAsia="Arial" w:hAnsi="Arial"/>
                <w:sz w:val="18"/>
                <w:szCs w:val="18"/>
                <w:color w:val="auto"/>
                <w:w w:val="99"/>
              </w:rPr>
              <w:t>Change in fair value of funds withheld embedded</w:t>
            </w:r>
          </w:p>
        </w:tc>
        <w:tc>
          <w:tcPr>
            <w:tcW w:w="160" w:type="dxa"/>
            <w:vAlign w:val="bottom"/>
            <w:shd w:val="clear" w:color="auto" w:fill="CCEEFF"/>
          </w:tcPr>
          <w:p>
            <w:pPr>
              <w:spacing w:after="0"/>
              <w:rPr>
                <w:sz w:val="17"/>
                <w:szCs w:val="17"/>
                <w:color w:val="auto"/>
              </w:rPr>
            </w:pPr>
          </w:p>
        </w:tc>
        <w:tc>
          <w:tcPr>
            <w:tcW w:w="66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w w:val="96"/>
              </w:rPr>
              <w:t>3,067.3</w:t>
            </w:r>
          </w:p>
        </w:tc>
        <w:tc>
          <w:tcPr>
            <w:tcW w:w="1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6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3,067.3</w:t>
            </w:r>
          </w:p>
        </w:tc>
        <w:tc>
          <w:tcPr>
            <w:tcW w:w="1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4020" w:type="dxa"/>
            <w:vAlign w:val="bottom"/>
            <w:shd w:val="clear" w:color="auto" w:fill="CCEEFF"/>
          </w:tcPr>
          <w:p>
            <w:pPr>
              <w:ind w:left="240"/>
              <w:spacing w:after="0"/>
              <w:rPr>
                <w:sz w:val="20"/>
                <w:szCs w:val="20"/>
                <w:color w:val="auto"/>
              </w:rPr>
            </w:pPr>
            <w:r>
              <w:rPr>
                <w:rFonts w:ascii="Arial" w:cs="Arial" w:eastAsia="Arial" w:hAnsi="Arial"/>
                <w:sz w:val="18"/>
                <w:szCs w:val="18"/>
                <w:color w:val="auto"/>
              </w:rPr>
              <w:t>derivative</w:t>
            </w:r>
          </w:p>
        </w:tc>
        <w:tc>
          <w:tcPr>
            <w:tcW w:w="160" w:type="dxa"/>
            <w:vAlign w:val="bottom"/>
            <w:shd w:val="clear" w:color="auto" w:fill="CCEEFF"/>
          </w:tcPr>
          <w:p>
            <w:pPr>
              <w:spacing w:after="0"/>
              <w:rPr>
                <w:sz w:val="20"/>
                <w:szCs w:val="20"/>
                <w:color w:val="auto"/>
              </w:rPr>
            </w:pPr>
          </w:p>
        </w:tc>
        <w:tc>
          <w:tcPr>
            <w:tcW w:w="660" w:type="dxa"/>
            <w:vAlign w:val="bottom"/>
            <w:vMerge w:val="continue"/>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8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0"/>
                <w:szCs w:val="20"/>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3,067.3</w:t>
            </w:r>
          </w:p>
        </w:tc>
        <w:tc>
          <w:tcPr>
            <w:tcW w:w="8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660" w:type="dxa"/>
            <w:vAlign w:val="bottom"/>
            <w:vMerge w:val="continue"/>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0"/>
                <w:szCs w:val="20"/>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3,067.3</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4020" w:type="dxa"/>
            <w:vAlign w:val="bottom"/>
          </w:tcPr>
          <w:p>
            <w:pPr>
              <w:ind w:left="220"/>
              <w:spacing w:after="0"/>
              <w:rPr>
                <w:sz w:val="20"/>
                <w:szCs w:val="20"/>
                <w:color w:val="auto"/>
              </w:rPr>
            </w:pPr>
            <w:r>
              <w:rPr>
                <w:rFonts w:ascii="Arial" w:cs="Arial" w:eastAsia="Arial" w:hAnsi="Arial"/>
                <w:sz w:val="18"/>
                <w:szCs w:val="18"/>
                <w:color w:val="auto"/>
              </w:rPr>
              <w:t>Total revenues</w:t>
            </w:r>
          </w:p>
        </w:tc>
        <w:tc>
          <w:tcPr>
            <w:tcW w:w="160" w:type="dxa"/>
            <w:vAlign w:val="bottom"/>
            <w:tcBorders>
              <w:top w:val="single" w:sz="8" w:color="auto"/>
            </w:tcBorders>
          </w:tcPr>
          <w:p>
            <w:pPr>
              <w:spacing w:after="0"/>
              <w:rPr>
                <w:sz w:val="18"/>
                <w:szCs w:val="18"/>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w w:val="96"/>
              </w:rPr>
              <w:t>6,658.7</w:t>
            </w:r>
          </w:p>
        </w:tc>
        <w:tc>
          <w:tcPr>
            <w:tcW w:w="18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6"/>
              </w:rPr>
              <w:t>3,539.4</w:t>
            </w:r>
          </w:p>
        </w:tc>
        <w:tc>
          <w:tcPr>
            <w:tcW w:w="18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3,119.3</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w w:val="99"/>
              </w:rPr>
              <w:t>9,768.7</w:t>
            </w:r>
          </w:p>
        </w:tc>
        <w:tc>
          <w:tcPr>
            <w:tcW w:w="18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6,747.9</w:t>
            </w:r>
          </w:p>
        </w:tc>
        <w:tc>
          <w:tcPr>
            <w:tcW w:w="18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3,020.8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020" w:type="dxa"/>
            <w:vAlign w:val="bottom"/>
            <w:shd w:val="clear" w:color="auto" w:fill="CCEEFF"/>
          </w:tcPr>
          <w:p>
            <w:pPr>
              <w:spacing w:after="0"/>
              <w:rPr>
                <w:sz w:val="20"/>
                <w:szCs w:val="20"/>
                <w:color w:val="auto"/>
              </w:rPr>
            </w:pPr>
            <w:r>
              <w:rPr>
                <w:rFonts w:ascii="Arial" w:cs="Arial" w:eastAsia="Arial" w:hAnsi="Arial"/>
                <w:sz w:val="18"/>
                <w:szCs w:val="18"/>
                <w:color w:val="auto"/>
              </w:rPr>
              <w:t>Expenses:</w:t>
            </w: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020" w:type="dxa"/>
            <w:vAlign w:val="bottom"/>
          </w:tcPr>
          <w:p>
            <w:pPr>
              <w:ind w:left="120"/>
              <w:spacing w:after="0"/>
              <w:rPr>
                <w:sz w:val="20"/>
                <w:szCs w:val="20"/>
                <w:color w:val="auto"/>
              </w:rPr>
            </w:pPr>
            <w:r>
              <w:rPr>
                <w:rFonts w:ascii="Arial" w:cs="Arial" w:eastAsia="Arial" w:hAnsi="Arial"/>
                <w:sz w:val="18"/>
                <w:szCs w:val="18"/>
                <w:color w:val="auto"/>
              </w:rPr>
              <w:t>Benefits, claims and settlement expenses</w:t>
            </w: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b w:val="1"/>
                <w:bCs w:val="1"/>
                <w:color w:val="auto"/>
                <w:w w:val="96"/>
              </w:rPr>
              <w:t>1,278.6</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w w:val="96"/>
              </w:rPr>
              <w:t>1,812.8</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gridSpan w:val="2"/>
          </w:tcPr>
          <w:p>
            <w:pPr>
              <w:jc w:val="right"/>
              <w:ind w:right="80"/>
              <w:spacing w:after="0"/>
              <w:rPr>
                <w:sz w:val="20"/>
                <w:szCs w:val="20"/>
                <w:color w:val="auto"/>
              </w:rPr>
            </w:pPr>
            <w:r>
              <w:rPr>
                <w:rFonts w:ascii="Arial" w:cs="Arial" w:eastAsia="Arial" w:hAnsi="Arial"/>
                <w:sz w:val="18"/>
                <w:szCs w:val="18"/>
                <w:color w:val="auto"/>
              </w:rPr>
              <w:t>(534.2)</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b w:val="1"/>
                <w:bCs w:val="1"/>
                <w:color w:val="auto"/>
                <w:w w:val="99"/>
              </w:rPr>
              <w:t>2,738.5</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w w:val="99"/>
              </w:rPr>
              <w:t>3,187.5</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(449.0)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020" w:type="dxa"/>
            <w:vAlign w:val="bottom"/>
            <w:shd w:val="clear" w:color="auto" w:fill="CCEEFF"/>
          </w:tcPr>
          <w:p>
            <w:pPr>
              <w:ind w:left="120"/>
              <w:spacing w:after="0"/>
              <w:rPr>
                <w:sz w:val="20"/>
                <w:szCs w:val="20"/>
                <w:color w:val="auto"/>
              </w:rPr>
            </w:pPr>
            <w:r>
              <w:rPr>
                <w:rFonts w:ascii="Arial" w:cs="Arial" w:eastAsia="Arial" w:hAnsi="Arial"/>
                <w:sz w:val="18"/>
                <w:szCs w:val="18"/>
                <w:color w:val="auto"/>
              </w:rPr>
              <w:t>Dividends to policyholders</w:t>
            </w: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24.5</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28.9</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(4.4)</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47.6</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47.1</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020" w:type="dxa"/>
            <w:vAlign w:val="bottom"/>
            <w:tcBorders>
              <w:bottom w:val="single" w:sz="8" w:color="CCEEFF"/>
            </w:tcBorders>
          </w:tcPr>
          <w:p>
            <w:pPr>
              <w:ind w:left="120"/>
              <w:spacing w:after="0"/>
              <w:rPr>
                <w:sz w:val="20"/>
                <w:szCs w:val="20"/>
                <w:color w:val="auto"/>
              </w:rPr>
            </w:pPr>
            <w:r>
              <w:rPr>
                <w:rFonts w:ascii="Arial" w:cs="Arial" w:eastAsia="Arial" w:hAnsi="Arial"/>
                <w:sz w:val="18"/>
                <w:szCs w:val="18"/>
                <w:color w:val="auto"/>
              </w:rPr>
              <w:t>Operating expenses</w:t>
            </w:r>
          </w:p>
        </w:tc>
        <w:tc>
          <w:tcPr>
            <w:tcW w:w="16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96"/>
              </w:rPr>
              <w:t>1,458.5</w:t>
            </w:r>
          </w:p>
        </w:tc>
        <w:tc>
          <w:tcPr>
            <w:tcW w:w="18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6"/>
              </w:rPr>
              <w:t>1,265.1</w:t>
            </w:r>
          </w:p>
        </w:tc>
        <w:tc>
          <w:tcPr>
            <w:tcW w:w="18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193.4</w:t>
            </w:r>
          </w:p>
        </w:tc>
        <w:tc>
          <w:tcPr>
            <w:tcW w:w="8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99"/>
              </w:rPr>
              <w:t>2,657.5</w:t>
            </w:r>
          </w:p>
        </w:tc>
        <w:tc>
          <w:tcPr>
            <w:tcW w:w="18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2,466.8</w:t>
            </w:r>
          </w:p>
        </w:tc>
        <w:tc>
          <w:tcPr>
            <w:tcW w:w="18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190.7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020" w:type="dxa"/>
            <w:vAlign w:val="bottom"/>
            <w:shd w:val="clear" w:color="auto" w:fill="CCEEFF"/>
          </w:tcPr>
          <w:p>
            <w:pPr>
              <w:ind w:left="220"/>
              <w:spacing w:after="0"/>
              <w:rPr>
                <w:sz w:val="20"/>
                <w:szCs w:val="20"/>
                <w:color w:val="auto"/>
              </w:rPr>
            </w:pPr>
            <w:r>
              <w:rPr>
                <w:rFonts w:ascii="Arial" w:cs="Arial" w:eastAsia="Arial" w:hAnsi="Arial"/>
                <w:sz w:val="18"/>
                <w:szCs w:val="18"/>
                <w:color w:val="auto"/>
              </w:rPr>
              <w:t>Total expenses</w:t>
            </w:r>
          </w:p>
        </w:tc>
        <w:tc>
          <w:tcPr>
            <w:tcW w:w="16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6"/>
              </w:rPr>
              <w:t>2,761.6</w:t>
            </w:r>
          </w:p>
        </w:tc>
        <w:tc>
          <w:tcPr>
            <w:tcW w:w="18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6"/>
              </w:rPr>
              <w:t>3,106.8</w:t>
            </w:r>
          </w:p>
        </w:tc>
        <w:tc>
          <w:tcPr>
            <w:tcW w:w="1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(345.2)</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5,443.6</w:t>
            </w:r>
          </w:p>
        </w:tc>
        <w:tc>
          <w:tcPr>
            <w:tcW w:w="18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5,701.4</w:t>
            </w:r>
          </w:p>
        </w:tc>
        <w:tc>
          <w:tcPr>
            <w:tcW w:w="1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(257.8)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4020" w:type="dxa"/>
            <w:vAlign w:val="bottom"/>
          </w:tcPr>
          <w:p>
            <w:pPr>
              <w:spacing w:after="0"/>
              <w:rPr>
                <w:sz w:val="20"/>
                <w:szCs w:val="20"/>
                <w:color w:val="auto"/>
              </w:rPr>
            </w:pPr>
            <w:r>
              <w:rPr>
                <w:rFonts w:ascii="Arial" w:cs="Arial" w:eastAsia="Arial" w:hAnsi="Arial"/>
                <w:sz w:val="18"/>
                <w:szCs w:val="18"/>
                <w:color w:val="auto"/>
              </w:rPr>
              <w:t>Income before income taxes</w:t>
            </w: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b w:val="1"/>
                <w:bCs w:val="1"/>
                <w:color w:val="auto"/>
                <w:w w:val="96"/>
              </w:rPr>
              <w:t>3,897.1</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432.6</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3,464.5</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b w:val="1"/>
                <w:bCs w:val="1"/>
                <w:color w:val="auto"/>
                <w:w w:val="99"/>
              </w:rPr>
              <w:t>4,325.1</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w w:val="99"/>
              </w:rPr>
              <w:t>1,046.5</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3,278.6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020" w:type="dxa"/>
            <w:vAlign w:val="bottom"/>
            <w:shd w:val="clear" w:color="auto" w:fill="CCEEFF"/>
          </w:tcPr>
          <w:p>
            <w:pPr>
              <w:spacing w:after="0"/>
              <w:rPr>
                <w:sz w:val="20"/>
                <w:szCs w:val="20"/>
                <w:color w:val="auto"/>
              </w:rPr>
            </w:pPr>
            <w:r>
              <w:rPr>
                <w:rFonts w:ascii="Arial" w:cs="Arial" w:eastAsia="Arial" w:hAnsi="Arial"/>
                <w:sz w:val="18"/>
                <w:szCs w:val="18"/>
                <w:color w:val="auto"/>
              </w:rPr>
              <w:t>Income taxes</w:t>
            </w:r>
          </w:p>
        </w:tc>
        <w:tc>
          <w:tcPr>
            <w:tcW w:w="16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822.5</w:t>
            </w:r>
          </w:p>
        </w:tc>
        <w:tc>
          <w:tcPr>
            <w:tcW w:w="18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61.0</w:t>
            </w:r>
          </w:p>
        </w:tc>
        <w:tc>
          <w:tcPr>
            <w:tcW w:w="1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761.5</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869.8</w:t>
            </w:r>
          </w:p>
        </w:tc>
        <w:tc>
          <w:tcPr>
            <w:tcW w:w="18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158.6</w:t>
            </w:r>
          </w:p>
        </w:tc>
        <w:tc>
          <w:tcPr>
            <w:tcW w:w="1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711.2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020" w:type="dxa"/>
            <w:vAlign w:val="bottom"/>
          </w:tcPr>
          <w:p>
            <w:pPr>
              <w:spacing w:after="0"/>
              <w:rPr>
                <w:sz w:val="20"/>
                <w:szCs w:val="20"/>
                <w:color w:val="auto"/>
              </w:rPr>
            </w:pPr>
            <w:r>
              <w:rPr>
                <w:rFonts w:ascii="Arial" w:cs="Arial" w:eastAsia="Arial" w:hAnsi="Arial"/>
                <w:sz w:val="18"/>
                <w:szCs w:val="18"/>
                <w:color w:val="auto"/>
              </w:rPr>
              <w:t>Net income</w:t>
            </w: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b w:val="1"/>
                <w:bCs w:val="1"/>
                <w:color w:val="auto"/>
                <w:w w:val="96"/>
              </w:rPr>
              <w:t>3,074.6</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371.6</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2,703.0</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b w:val="1"/>
                <w:bCs w:val="1"/>
                <w:color w:val="auto"/>
                <w:w w:val="99"/>
              </w:rPr>
              <w:t>3,455.3</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887.9</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2,567.4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020" w:type="dxa"/>
            <w:vAlign w:val="bottom"/>
            <w:shd w:val="clear" w:color="auto" w:fill="CCEEFF"/>
          </w:tcPr>
          <w:p>
            <w:pPr>
              <w:spacing w:after="0"/>
              <w:rPr>
                <w:sz w:val="20"/>
                <w:szCs w:val="20"/>
                <w:color w:val="auto"/>
              </w:rPr>
            </w:pPr>
            <w:r>
              <w:rPr>
                <w:rFonts w:ascii="Arial" w:cs="Arial" w:eastAsia="Arial" w:hAnsi="Arial"/>
                <w:sz w:val="18"/>
                <w:szCs w:val="18"/>
                <w:color w:val="auto"/>
              </w:rPr>
              <w:t>Net income attributable to noncontrolling interest</w:t>
            </w:r>
          </w:p>
        </w:tc>
        <w:tc>
          <w:tcPr>
            <w:tcW w:w="16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15.2</w:t>
            </w:r>
          </w:p>
        </w:tc>
        <w:tc>
          <w:tcPr>
            <w:tcW w:w="18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9.8</w:t>
            </w:r>
          </w:p>
        </w:tc>
        <w:tc>
          <w:tcPr>
            <w:tcW w:w="1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5.4</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19.7</w:t>
            </w:r>
          </w:p>
        </w:tc>
        <w:tc>
          <w:tcPr>
            <w:tcW w:w="18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9.0</w:t>
            </w:r>
          </w:p>
        </w:tc>
        <w:tc>
          <w:tcPr>
            <w:tcW w:w="1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82"/>
        </w:trPr>
        <w:tc>
          <w:tcPr>
            <w:tcW w:w="4020" w:type="dxa"/>
            <w:vAlign w:val="bottom"/>
          </w:tcPr>
          <w:p>
            <w:pPr>
              <w:spacing w:after="0" w:line="182" w:lineRule="exact"/>
              <w:rPr>
                <w:sz w:val="20"/>
                <w:szCs w:val="20"/>
                <w:color w:val="auto"/>
              </w:rPr>
            </w:pPr>
            <w:r>
              <w:rPr>
                <w:rFonts w:ascii="Arial" w:cs="Arial" w:eastAsia="Arial" w:hAnsi="Arial"/>
                <w:sz w:val="18"/>
                <w:szCs w:val="18"/>
                <w:color w:val="auto"/>
              </w:rPr>
              <w:t>Net income attributable to Principal Financial</w:t>
            </w:r>
          </w:p>
        </w:tc>
        <w:tc>
          <w:tcPr>
            <w:tcW w:w="160" w:type="dxa"/>
            <w:vAlign w:val="bottom"/>
            <w:vMerge w:val="restart"/>
          </w:tcPr>
          <w:p>
            <w:pPr>
              <w:jc w:val="right"/>
              <w:ind w:right="7"/>
              <w:spacing w:after="0"/>
              <w:rPr>
                <w:sz w:val="20"/>
                <w:szCs w:val="20"/>
                <w:color w:val="auto"/>
              </w:rPr>
            </w:pPr>
            <w:r>
              <w:rPr>
                <w:rFonts w:ascii="Arial" w:cs="Arial" w:eastAsia="Arial" w:hAnsi="Arial"/>
                <w:sz w:val="15"/>
                <w:szCs w:val="15"/>
                <w:b w:val="1"/>
                <w:bCs w:val="1"/>
                <w:color w:val="auto"/>
                <w:w w:val="71"/>
              </w:rPr>
              <w:t>$</w:t>
            </w:r>
          </w:p>
        </w:tc>
        <w:tc>
          <w:tcPr>
            <w:tcW w:w="660" w:type="dxa"/>
            <w:vAlign w:val="bottom"/>
            <w:vMerge w:val="restart"/>
          </w:tcPr>
          <w:p>
            <w:pPr>
              <w:jc w:val="right"/>
              <w:spacing w:after="0"/>
              <w:rPr>
                <w:sz w:val="20"/>
                <w:szCs w:val="20"/>
                <w:color w:val="auto"/>
              </w:rPr>
            </w:pPr>
            <w:r>
              <w:rPr>
                <w:rFonts w:ascii="Arial" w:cs="Arial" w:eastAsia="Arial" w:hAnsi="Arial"/>
                <w:sz w:val="18"/>
                <w:szCs w:val="18"/>
                <w:b w:val="1"/>
                <w:bCs w:val="1"/>
                <w:color w:val="auto"/>
                <w:w w:val="96"/>
              </w:rPr>
              <w:t>3,059.4</w:t>
            </w:r>
          </w:p>
        </w:tc>
        <w:tc>
          <w:tcPr>
            <w:tcW w:w="180" w:type="dxa"/>
            <w:vAlign w:val="bottom"/>
          </w:tcPr>
          <w:p>
            <w:pPr>
              <w:spacing w:after="0"/>
              <w:rPr>
                <w:sz w:val="15"/>
                <w:szCs w:val="15"/>
                <w:color w:val="auto"/>
              </w:rPr>
            </w:pPr>
          </w:p>
        </w:tc>
        <w:tc>
          <w:tcPr>
            <w:tcW w:w="160" w:type="dxa"/>
            <w:vAlign w:val="bottom"/>
            <w:vMerge w:val="restart"/>
          </w:tcPr>
          <w:p>
            <w:pPr>
              <w:jc w:val="right"/>
              <w:ind w:right="7"/>
              <w:spacing w:after="0"/>
              <w:rPr>
                <w:sz w:val="20"/>
                <w:szCs w:val="20"/>
                <w:color w:val="auto"/>
              </w:rPr>
            </w:pPr>
            <w:r>
              <w:rPr>
                <w:rFonts w:ascii="Arial" w:cs="Arial" w:eastAsia="Arial" w:hAnsi="Arial"/>
                <w:sz w:val="15"/>
                <w:szCs w:val="15"/>
                <w:color w:val="auto"/>
                <w:w w:val="71"/>
              </w:rPr>
              <w:t>$</w:t>
            </w:r>
          </w:p>
        </w:tc>
        <w:tc>
          <w:tcPr>
            <w:tcW w:w="660" w:type="dxa"/>
            <w:vAlign w:val="bottom"/>
            <w:vMerge w:val="restart"/>
          </w:tcPr>
          <w:p>
            <w:pPr>
              <w:jc w:val="right"/>
              <w:spacing w:after="0"/>
              <w:rPr>
                <w:sz w:val="20"/>
                <w:szCs w:val="20"/>
                <w:color w:val="auto"/>
              </w:rPr>
            </w:pPr>
            <w:r>
              <w:rPr>
                <w:rFonts w:ascii="Arial" w:cs="Arial" w:eastAsia="Arial" w:hAnsi="Arial"/>
                <w:sz w:val="18"/>
                <w:szCs w:val="18"/>
                <w:color w:val="auto"/>
              </w:rPr>
              <w:t>361.8</w:t>
            </w:r>
          </w:p>
        </w:tc>
        <w:tc>
          <w:tcPr>
            <w:tcW w:w="180" w:type="dxa"/>
            <w:vAlign w:val="bottom"/>
          </w:tcPr>
          <w:p>
            <w:pPr>
              <w:spacing w:after="0"/>
              <w:rPr>
                <w:sz w:val="15"/>
                <w:szCs w:val="15"/>
                <w:color w:val="auto"/>
              </w:rPr>
            </w:pPr>
          </w:p>
        </w:tc>
        <w:tc>
          <w:tcPr>
            <w:tcW w:w="100" w:type="dxa"/>
            <w:vAlign w:val="bottom"/>
            <w:vMerge w:val="restart"/>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vMerge w:val="restart"/>
          </w:tcPr>
          <w:p>
            <w:pPr>
              <w:jc w:val="right"/>
              <w:spacing w:after="0"/>
              <w:rPr>
                <w:sz w:val="20"/>
                <w:szCs w:val="20"/>
                <w:color w:val="auto"/>
              </w:rPr>
            </w:pPr>
            <w:r>
              <w:rPr>
                <w:rFonts w:ascii="Arial" w:cs="Arial" w:eastAsia="Arial" w:hAnsi="Arial"/>
                <w:sz w:val="18"/>
                <w:szCs w:val="18"/>
                <w:color w:val="auto"/>
              </w:rPr>
              <w:t>2,697.6</w:t>
            </w:r>
          </w:p>
        </w:tc>
        <w:tc>
          <w:tcPr>
            <w:tcW w:w="80" w:type="dxa"/>
            <w:vAlign w:val="bottom"/>
          </w:tcPr>
          <w:p>
            <w:pPr>
              <w:spacing w:after="0"/>
              <w:rPr>
                <w:sz w:val="15"/>
                <w:szCs w:val="15"/>
                <w:color w:val="auto"/>
              </w:rPr>
            </w:pPr>
          </w:p>
        </w:tc>
        <w:tc>
          <w:tcPr>
            <w:tcW w:w="260" w:type="dxa"/>
            <w:vAlign w:val="bottom"/>
            <w:gridSpan w:val="2"/>
            <w:vMerge w:val="restart"/>
          </w:tcPr>
          <w:p>
            <w:pPr>
              <w:jc w:val="right"/>
              <w:ind w:right="80"/>
              <w:spacing w:after="0"/>
              <w:rPr>
                <w:sz w:val="20"/>
                <w:szCs w:val="20"/>
                <w:color w:val="auto"/>
              </w:rPr>
            </w:pPr>
            <w:r>
              <w:rPr>
                <w:rFonts w:ascii="Arial" w:cs="Arial" w:eastAsia="Arial" w:hAnsi="Arial"/>
                <w:sz w:val="18"/>
                <w:szCs w:val="18"/>
                <w:b w:val="1"/>
                <w:bCs w:val="1"/>
                <w:color w:val="auto"/>
              </w:rPr>
              <w:t>$</w:t>
            </w:r>
          </w:p>
        </w:tc>
        <w:tc>
          <w:tcPr>
            <w:tcW w:w="660" w:type="dxa"/>
            <w:vAlign w:val="bottom"/>
            <w:vMerge w:val="restart"/>
          </w:tcPr>
          <w:p>
            <w:pPr>
              <w:jc w:val="right"/>
              <w:spacing w:after="0"/>
              <w:rPr>
                <w:sz w:val="20"/>
                <w:szCs w:val="20"/>
                <w:color w:val="auto"/>
              </w:rPr>
            </w:pPr>
            <w:r>
              <w:rPr>
                <w:rFonts w:ascii="Arial" w:cs="Arial" w:eastAsia="Arial" w:hAnsi="Arial"/>
                <w:sz w:val="18"/>
                <w:szCs w:val="18"/>
                <w:b w:val="1"/>
                <w:bCs w:val="1"/>
                <w:color w:val="auto"/>
                <w:w w:val="99"/>
              </w:rPr>
              <w:t>3,435.6</w:t>
            </w:r>
          </w:p>
        </w:tc>
        <w:tc>
          <w:tcPr>
            <w:tcW w:w="180" w:type="dxa"/>
            <w:vAlign w:val="bottom"/>
          </w:tcPr>
          <w:p>
            <w:pPr>
              <w:spacing w:after="0"/>
              <w:rPr>
                <w:sz w:val="15"/>
                <w:szCs w:val="15"/>
                <w:color w:val="auto"/>
              </w:rPr>
            </w:pPr>
          </w:p>
        </w:tc>
        <w:tc>
          <w:tcPr>
            <w:tcW w:w="160" w:type="dxa"/>
            <w:vAlign w:val="bottom"/>
            <w:vMerge w:val="restart"/>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vMerge w:val="restart"/>
          </w:tcPr>
          <w:p>
            <w:pPr>
              <w:jc w:val="right"/>
              <w:spacing w:after="0"/>
              <w:rPr>
                <w:sz w:val="20"/>
                <w:szCs w:val="20"/>
                <w:color w:val="auto"/>
              </w:rPr>
            </w:pPr>
            <w:r>
              <w:rPr>
                <w:rFonts w:ascii="Arial" w:cs="Arial" w:eastAsia="Arial" w:hAnsi="Arial"/>
                <w:sz w:val="18"/>
                <w:szCs w:val="18"/>
                <w:color w:val="auto"/>
              </w:rPr>
              <w:t>878.9</w:t>
            </w:r>
          </w:p>
        </w:tc>
        <w:tc>
          <w:tcPr>
            <w:tcW w:w="180" w:type="dxa"/>
            <w:vAlign w:val="bottom"/>
          </w:tcPr>
          <w:p>
            <w:pPr>
              <w:spacing w:after="0"/>
              <w:rPr>
                <w:sz w:val="15"/>
                <w:szCs w:val="15"/>
                <w:color w:val="auto"/>
              </w:rPr>
            </w:pPr>
          </w:p>
        </w:tc>
        <w:tc>
          <w:tcPr>
            <w:tcW w:w="100" w:type="dxa"/>
            <w:vAlign w:val="bottom"/>
            <w:vMerge w:val="restart"/>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vMerge w:val="restart"/>
          </w:tcPr>
          <w:p>
            <w:pPr>
              <w:jc w:val="right"/>
              <w:spacing w:after="0"/>
              <w:rPr>
                <w:sz w:val="20"/>
                <w:szCs w:val="20"/>
                <w:color w:val="auto"/>
              </w:rPr>
            </w:pPr>
            <w:r>
              <w:rPr>
                <w:rFonts w:ascii="Arial" w:cs="Arial" w:eastAsia="Arial" w:hAnsi="Arial"/>
                <w:sz w:val="18"/>
                <w:szCs w:val="18"/>
                <w:color w:val="auto"/>
              </w:rPr>
              <w:t>2,556.7</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7"/>
        </w:trPr>
        <w:tc>
          <w:tcPr>
            <w:tcW w:w="4020" w:type="dxa"/>
            <w:vAlign w:val="bottom"/>
          </w:tcPr>
          <w:p>
            <w:pPr>
              <w:ind w:left="140"/>
              <w:spacing w:after="0"/>
              <w:rPr>
                <w:sz w:val="20"/>
                <w:szCs w:val="20"/>
                <w:color w:val="auto"/>
              </w:rPr>
            </w:pPr>
            <w:r>
              <w:rPr>
                <w:rFonts w:ascii="Arial" w:cs="Arial" w:eastAsia="Arial" w:hAnsi="Arial"/>
                <w:sz w:val="18"/>
                <w:szCs w:val="18"/>
                <w:color w:val="auto"/>
              </w:rPr>
              <w:t>Group, Inc.</w:t>
            </w:r>
          </w:p>
        </w:tc>
        <w:tc>
          <w:tcPr>
            <w:tcW w:w="160" w:type="dxa"/>
            <w:vAlign w:val="bottom"/>
            <w:vMerge w:val="continue"/>
          </w:tcPr>
          <w:p>
            <w:pPr>
              <w:spacing w:after="0"/>
              <w:rPr>
                <w:sz w:val="18"/>
                <w:szCs w:val="18"/>
                <w:color w:val="auto"/>
              </w:rPr>
            </w:pPr>
          </w:p>
        </w:tc>
        <w:tc>
          <w:tcPr>
            <w:tcW w:w="660" w:type="dxa"/>
            <w:vAlign w:val="bottom"/>
            <w:vMerge w:val="continue"/>
          </w:tcPr>
          <w:p>
            <w:pPr>
              <w:spacing w:after="0"/>
              <w:rPr>
                <w:sz w:val="18"/>
                <w:szCs w:val="18"/>
                <w:color w:val="auto"/>
              </w:rPr>
            </w:pPr>
          </w:p>
        </w:tc>
        <w:tc>
          <w:tcPr>
            <w:tcW w:w="180" w:type="dxa"/>
            <w:vAlign w:val="bottom"/>
          </w:tcPr>
          <w:p>
            <w:pPr>
              <w:spacing w:after="0"/>
              <w:rPr>
                <w:sz w:val="18"/>
                <w:szCs w:val="18"/>
                <w:color w:val="auto"/>
              </w:rPr>
            </w:pPr>
          </w:p>
        </w:tc>
        <w:tc>
          <w:tcPr>
            <w:tcW w:w="160" w:type="dxa"/>
            <w:vAlign w:val="bottom"/>
            <w:vMerge w:val="continue"/>
          </w:tcPr>
          <w:p>
            <w:pPr>
              <w:spacing w:after="0"/>
              <w:rPr>
                <w:sz w:val="18"/>
                <w:szCs w:val="18"/>
                <w:color w:val="auto"/>
              </w:rPr>
            </w:pPr>
          </w:p>
        </w:tc>
        <w:tc>
          <w:tcPr>
            <w:tcW w:w="660" w:type="dxa"/>
            <w:vAlign w:val="bottom"/>
            <w:vMerge w:val="continue"/>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vMerge w:val="continue"/>
          </w:tcPr>
          <w:p>
            <w:pPr>
              <w:spacing w:after="0"/>
              <w:rPr>
                <w:sz w:val="18"/>
                <w:szCs w:val="18"/>
                <w:color w:val="auto"/>
              </w:rPr>
            </w:pPr>
          </w:p>
        </w:tc>
        <w:tc>
          <w:tcPr>
            <w:tcW w:w="740" w:type="dxa"/>
            <w:vAlign w:val="bottom"/>
            <w:vMerge w:val="continue"/>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gridSpan w:val="2"/>
            <w:vMerge w:val="continue"/>
          </w:tcPr>
          <w:p>
            <w:pPr>
              <w:spacing w:after="0"/>
              <w:rPr>
                <w:sz w:val="18"/>
                <w:szCs w:val="18"/>
                <w:color w:val="auto"/>
              </w:rPr>
            </w:pPr>
          </w:p>
        </w:tc>
        <w:tc>
          <w:tcPr>
            <w:tcW w:w="660" w:type="dxa"/>
            <w:vAlign w:val="bottom"/>
            <w:vMerge w:val="continue"/>
          </w:tcPr>
          <w:p>
            <w:pPr>
              <w:spacing w:after="0"/>
              <w:rPr>
                <w:sz w:val="18"/>
                <w:szCs w:val="18"/>
                <w:color w:val="auto"/>
              </w:rPr>
            </w:pPr>
          </w:p>
        </w:tc>
        <w:tc>
          <w:tcPr>
            <w:tcW w:w="180" w:type="dxa"/>
            <w:vAlign w:val="bottom"/>
          </w:tcPr>
          <w:p>
            <w:pPr>
              <w:spacing w:after="0"/>
              <w:rPr>
                <w:sz w:val="18"/>
                <w:szCs w:val="18"/>
                <w:color w:val="auto"/>
              </w:rPr>
            </w:pPr>
          </w:p>
        </w:tc>
        <w:tc>
          <w:tcPr>
            <w:tcW w:w="160" w:type="dxa"/>
            <w:vAlign w:val="bottom"/>
            <w:vMerge w:val="continue"/>
          </w:tcPr>
          <w:p>
            <w:pPr>
              <w:spacing w:after="0"/>
              <w:rPr>
                <w:sz w:val="18"/>
                <w:szCs w:val="18"/>
                <w:color w:val="auto"/>
              </w:rPr>
            </w:pPr>
          </w:p>
        </w:tc>
        <w:tc>
          <w:tcPr>
            <w:tcW w:w="680" w:type="dxa"/>
            <w:vAlign w:val="bottom"/>
            <w:vMerge w:val="continue"/>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vMerge w:val="continue"/>
          </w:tcPr>
          <w:p>
            <w:pPr>
              <w:spacing w:after="0"/>
              <w:rPr>
                <w:sz w:val="18"/>
                <w:szCs w:val="18"/>
                <w:color w:val="auto"/>
              </w:rPr>
            </w:pPr>
          </w:p>
        </w:tc>
        <w:tc>
          <w:tcPr>
            <w:tcW w:w="76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0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Three Months Ended June 30, 2022 Compared to Three Months Ended June 30, 2021</w:t>
      </w:r>
    </w:p>
    <w:p>
      <w:pPr>
        <w:spacing w:after="0" w:line="221"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Net Income Attributable to Principal Financial Group, Inc.</w:t>
      </w:r>
    </w:p>
    <w:p>
      <w:pPr>
        <w:spacing w:after="0" w:line="229" w:lineRule="exact"/>
        <w:rPr>
          <w:sz w:val="20"/>
          <w:szCs w:val="20"/>
          <w:color w:val="auto"/>
        </w:rPr>
      </w:pPr>
    </w:p>
    <w:p>
      <w:pPr>
        <w:ind w:right="540" w:firstLine="635"/>
        <w:spacing w:after="0" w:line="277" w:lineRule="auto"/>
        <w:rPr>
          <w:sz w:val="20"/>
          <w:szCs w:val="20"/>
          <w:color w:val="auto"/>
        </w:rPr>
      </w:pPr>
      <w:r>
        <w:rPr>
          <w:rFonts w:ascii="Arial" w:cs="Arial" w:eastAsia="Arial" w:hAnsi="Arial"/>
          <w:sz w:val="18"/>
          <w:szCs w:val="18"/>
          <w:color w:val="auto"/>
        </w:rPr>
        <w:t>Net income attributable to Principal Financial Group, Inc. increased primarily due to the change in fair value of the funds withheld embedded derivative.</w:t>
      </w:r>
    </w:p>
    <w:p>
      <w:pPr>
        <w:spacing w:after="0" w:line="166"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Total Revenues</w:t>
      </w:r>
    </w:p>
    <w:p>
      <w:pPr>
        <w:spacing w:after="0" w:line="229" w:lineRule="exact"/>
        <w:rPr>
          <w:sz w:val="20"/>
          <w:szCs w:val="20"/>
          <w:color w:val="auto"/>
        </w:rPr>
      </w:pPr>
    </w:p>
    <w:p>
      <w:pPr>
        <w:ind w:firstLine="630"/>
        <w:spacing w:after="0" w:line="273" w:lineRule="auto"/>
        <w:rPr>
          <w:sz w:val="20"/>
          <w:szCs w:val="20"/>
          <w:color w:val="auto"/>
        </w:rPr>
      </w:pPr>
      <w:r>
        <w:rPr>
          <w:rFonts w:ascii="Arial" w:cs="Arial" w:eastAsia="Arial" w:hAnsi="Arial"/>
          <w:sz w:val="17"/>
          <w:szCs w:val="17"/>
          <w:color w:val="auto"/>
        </w:rPr>
        <w:t>Premiums increased $167.5 million for the U.S. Insurance Solutions segment primarily due to a $70.0 million increase in growth in the Specialty Benefits business, as well as a $97.6 million increase in Individual Life premiums related to the Reinsurance Transaction. Partially offsetting this increase was a $58.0 million decrease in premiums for the Retirement and Income Solutions segment primarily due to lower sales of single premium group and our exited individual annuities with life contingencies. The single premium group annuity product, which is typically used to fund defined benefit plan terminations, can generate large premiums from very few customers and therefore premiums tend to vary from period to period.</w:t>
      </w:r>
    </w:p>
    <w:p>
      <w:pPr>
        <w:spacing w:after="0" w:line="178" w:lineRule="exact"/>
        <w:rPr>
          <w:sz w:val="20"/>
          <w:szCs w:val="20"/>
          <w:color w:val="auto"/>
        </w:rPr>
      </w:pPr>
    </w:p>
    <w:p>
      <w:pPr>
        <w:ind w:right="60" w:firstLine="630"/>
        <w:spacing w:after="0" w:line="263" w:lineRule="auto"/>
        <w:rPr>
          <w:sz w:val="20"/>
          <w:szCs w:val="20"/>
          <w:color w:val="auto"/>
        </w:rPr>
      </w:pPr>
      <w:r>
        <w:rPr>
          <w:rFonts w:ascii="Arial" w:cs="Arial" w:eastAsia="Arial" w:hAnsi="Arial"/>
          <w:sz w:val="18"/>
          <w:szCs w:val="18"/>
          <w:color w:val="auto"/>
        </w:rPr>
        <w:t>Fees and other revenues decreased $247.7 million for the U.S. Insurance Solutions segment primarily due to the Reinsurance Transaction. Fees and other revenues decreased $42.0 million for the Retirement and Income Solutions segment primarily resulting from declining financial markets.</w:t>
      </w:r>
    </w:p>
    <w:p>
      <w:pPr>
        <w:spacing w:after="0" w:line="184" w:lineRule="exact"/>
        <w:rPr>
          <w:sz w:val="20"/>
          <w:szCs w:val="20"/>
          <w:color w:val="auto"/>
        </w:rPr>
      </w:pPr>
    </w:p>
    <w:p>
      <w:pPr>
        <w:ind w:right="40" w:firstLine="630"/>
        <w:spacing w:after="0" w:line="277" w:lineRule="auto"/>
        <w:rPr>
          <w:sz w:val="20"/>
          <w:szCs w:val="20"/>
          <w:color w:val="auto"/>
        </w:rPr>
      </w:pPr>
      <w:r>
        <w:rPr>
          <w:rFonts w:ascii="Arial" w:cs="Arial" w:eastAsia="Arial" w:hAnsi="Arial"/>
          <w:sz w:val="18"/>
          <w:szCs w:val="18"/>
          <w:color w:val="auto"/>
        </w:rPr>
        <w:t>For net investment income and net realized capital gains (losses) variance information, see “Investments — Investment Results” under the captions “Net Investment Income” and “Net Realized Capital Gains (Losses),” respectively.</w:t>
      </w:r>
    </w:p>
    <w:p>
      <w:pPr>
        <w:spacing w:after="0" w:line="170" w:lineRule="exact"/>
        <w:rPr>
          <w:sz w:val="20"/>
          <w:szCs w:val="20"/>
          <w:color w:val="auto"/>
        </w:rPr>
      </w:pPr>
    </w:p>
    <w:p>
      <w:pPr>
        <w:ind w:right="180" w:firstLine="630"/>
        <w:spacing w:after="0" w:line="277" w:lineRule="auto"/>
        <w:rPr>
          <w:sz w:val="20"/>
          <w:szCs w:val="20"/>
          <w:color w:val="auto"/>
        </w:rPr>
      </w:pPr>
      <w:r>
        <w:rPr>
          <w:rFonts w:ascii="Arial" w:cs="Arial" w:eastAsia="Arial" w:hAnsi="Arial"/>
          <w:sz w:val="18"/>
          <w:szCs w:val="18"/>
          <w:color w:val="auto"/>
        </w:rPr>
        <w:t>Net realized capital gains on funds withheld assets increased as a result of the sale of funds withheld assets associated with the Reinsurance Transaction in 2022.</w:t>
      </w:r>
    </w:p>
    <w:p>
      <w:pPr>
        <w:sectPr>
          <w:pgSz w:w="11900" w:h="16838" w:orient="portrait"/>
          <w:cols w:equalWidth="0" w:num="1">
            <w:col w:w="9920"/>
          </w:cols>
          <w:pgMar w:left="980" w:top="665" w:right="999" w:bottom="1440" w:gutter="0" w:footer="0" w:header="0"/>
        </w:sectPr>
      </w:pPr>
    </w:p>
    <w:p>
      <w:pPr>
        <w:spacing w:after="0" w:line="386"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372110</wp:posOffset>
            </wp:positionV>
            <wp:extent cx="6292215" cy="2540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type w:val="continuous"/>
        </w:sectPr>
      </w:pPr>
    </w:p>
    <w:bookmarkStart w:id="94" w:name="page95"/>
    <w:bookmarkEnd w:id="94"/>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9" w:lineRule="exact"/>
        <w:rPr>
          <w:sz w:val="20"/>
          <w:szCs w:val="20"/>
          <w:color w:val="auto"/>
        </w:rPr>
      </w:pPr>
    </w:p>
    <w:p>
      <w:pPr>
        <w:ind w:right="40" w:firstLine="630"/>
        <w:spacing w:after="0" w:line="277" w:lineRule="auto"/>
        <w:rPr>
          <w:sz w:val="20"/>
          <w:szCs w:val="20"/>
          <w:color w:val="auto"/>
        </w:rPr>
      </w:pPr>
      <w:r>
        <w:rPr>
          <w:rFonts w:ascii="Arial" w:cs="Arial" w:eastAsia="Arial" w:hAnsi="Arial"/>
          <w:sz w:val="18"/>
          <w:szCs w:val="18"/>
          <w:color w:val="auto"/>
        </w:rPr>
        <w:t>The change in the fair value of the funds withheld embedded derivative increased due to the establishment of the funds withheld payable associated with the Reinsurance Transaction in 2022.</w:t>
      </w:r>
    </w:p>
    <w:p>
      <w:pPr>
        <w:spacing w:after="0" w:line="166"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Total Expenses</w:t>
      </w:r>
    </w:p>
    <w:p>
      <w:pPr>
        <w:spacing w:after="0" w:line="229" w:lineRule="exact"/>
        <w:rPr>
          <w:sz w:val="20"/>
          <w:szCs w:val="20"/>
          <w:color w:val="auto"/>
        </w:rPr>
      </w:pPr>
    </w:p>
    <w:p>
      <w:pPr>
        <w:ind w:firstLine="635"/>
        <w:spacing w:after="0" w:line="255" w:lineRule="auto"/>
        <w:rPr>
          <w:sz w:val="20"/>
          <w:szCs w:val="20"/>
          <w:color w:val="auto"/>
        </w:rPr>
      </w:pPr>
      <w:r>
        <w:rPr>
          <w:rFonts w:ascii="Arial" w:cs="Arial" w:eastAsia="Arial" w:hAnsi="Arial"/>
          <w:sz w:val="18"/>
          <w:szCs w:val="18"/>
          <w:color w:val="auto"/>
        </w:rPr>
        <w:t>Benefits, claims and settlement expenses decreased $392.4 million for the U.S. Insurance Solutions segment primarily due to the Reinsurance Transaction. Benefits, claims and settlement expenses decreased $245.8 million for the Retirement and Income Solutions segment primarily due to a decrease in reserves, stemming from lower sales of single premium group and our exited individual annuities with life contingencies. Benefits, claims and settlement expenses increased $103.7 million for the Principal International segment primarily due to $127.0 million higher inflation based interest crediting rates to customers partially offset by $20.5 million of foreign currency headwinds in Latin America.</w:t>
      </w:r>
    </w:p>
    <w:p>
      <w:pPr>
        <w:spacing w:after="0" w:line="192" w:lineRule="exact"/>
        <w:rPr>
          <w:sz w:val="20"/>
          <w:szCs w:val="20"/>
          <w:color w:val="auto"/>
        </w:rPr>
      </w:pPr>
    </w:p>
    <w:p>
      <w:pPr>
        <w:ind w:right="340" w:firstLine="635"/>
        <w:spacing w:after="0" w:line="263" w:lineRule="auto"/>
        <w:rPr>
          <w:sz w:val="20"/>
          <w:szCs w:val="20"/>
          <w:color w:val="auto"/>
        </w:rPr>
      </w:pPr>
      <w:r>
        <w:rPr>
          <w:rFonts w:ascii="Arial" w:cs="Arial" w:eastAsia="Arial" w:hAnsi="Arial"/>
          <w:sz w:val="18"/>
          <w:szCs w:val="18"/>
          <w:color w:val="auto"/>
        </w:rPr>
        <w:t>Operating expenses increased primarily due to $243.7 million of strategic review costs and impacts related to the exited business, which were partially offset by a $55.6 million decrease in amounts credited to employee accounts in a nonqualified defined contribution pension plan.</w:t>
      </w:r>
    </w:p>
    <w:p>
      <w:pPr>
        <w:spacing w:after="0" w:line="180"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Income Taxes</w:t>
      </w:r>
    </w:p>
    <w:p>
      <w:pPr>
        <w:spacing w:after="0" w:line="229" w:lineRule="exact"/>
        <w:rPr>
          <w:sz w:val="20"/>
          <w:szCs w:val="20"/>
          <w:color w:val="auto"/>
        </w:rPr>
      </w:pPr>
    </w:p>
    <w:p>
      <w:pPr>
        <w:jc w:val="both"/>
        <w:ind w:right="80" w:firstLine="630"/>
        <w:spacing w:after="0" w:line="259" w:lineRule="auto"/>
        <w:rPr>
          <w:sz w:val="20"/>
          <w:szCs w:val="20"/>
          <w:color w:val="auto"/>
        </w:rPr>
      </w:pPr>
      <w:r>
        <w:rPr>
          <w:rFonts w:ascii="Arial" w:cs="Arial" w:eastAsia="Arial" w:hAnsi="Arial"/>
          <w:sz w:val="18"/>
          <w:szCs w:val="18"/>
          <w:color w:val="auto"/>
        </w:rPr>
        <w:t>The effective income tax rate increased to 21% for the three months ended June 30, 2022, from 14% for the three months ended 2021, primarily due to an increase in pre-tax income with no proportionate increase in permanent tax differences. See Item 1. “Financial Statements, Notes to Unaudited Condensed Consolidated Financial Statements, Note 8, Income Taxes” for a reconciliation between the U.S. corporate income tax rate and the effective income tax rate.</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Six Months Ended June 30, 2022 Compared to Six Months Ended June 30, 2021</w:t>
      </w:r>
    </w:p>
    <w:p>
      <w:pPr>
        <w:spacing w:after="0" w:line="221"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Net Income Attributable to Principal Financial Group, Inc.</w:t>
      </w:r>
    </w:p>
    <w:p>
      <w:pPr>
        <w:spacing w:after="0" w:line="229" w:lineRule="exact"/>
        <w:rPr>
          <w:sz w:val="20"/>
          <w:szCs w:val="20"/>
          <w:color w:val="auto"/>
        </w:rPr>
      </w:pPr>
    </w:p>
    <w:p>
      <w:pPr>
        <w:ind w:right="560" w:firstLine="630"/>
        <w:spacing w:after="0" w:line="277" w:lineRule="auto"/>
        <w:rPr>
          <w:sz w:val="20"/>
          <w:szCs w:val="20"/>
          <w:color w:val="auto"/>
        </w:rPr>
      </w:pPr>
      <w:r>
        <w:rPr>
          <w:rFonts w:ascii="Arial" w:cs="Arial" w:eastAsia="Arial" w:hAnsi="Arial"/>
          <w:sz w:val="18"/>
          <w:szCs w:val="18"/>
          <w:color w:val="auto"/>
        </w:rPr>
        <w:t>Net income attributable to Principal Financial Group, Inc. increased primarily due to the change in fair value of the funds withheld embedded derivative.</w:t>
      </w:r>
    </w:p>
    <w:p>
      <w:pPr>
        <w:spacing w:after="0" w:line="166"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Total Revenues</w:t>
      </w:r>
    </w:p>
    <w:p>
      <w:pPr>
        <w:spacing w:after="0" w:line="229" w:lineRule="exact"/>
        <w:rPr>
          <w:sz w:val="20"/>
          <w:szCs w:val="20"/>
          <w:color w:val="auto"/>
        </w:rPr>
      </w:pPr>
    </w:p>
    <w:p>
      <w:pPr>
        <w:ind w:right="20" w:firstLine="630"/>
        <w:spacing w:after="0" w:line="279" w:lineRule="auto"/>
        <w:rPr>
          <w:sz w:val="20"/>
          <w:szCs w:val="20"/>
          <w:color w:val="auto"/>
        </w:rPr>
      </w:pPr>
      <w:r>
        <w:rPr>
          <w:rFonts w:ascii="Arial" w:cs="Arial" w:eastAsia="Arial" w:hAnsi="Arial"/>
          <w:sz w:val="17"/>
          <w:szCs w:val="17"/>
          <w:color w:val="auto"/>
        </w:rPr>
        <w:t>Premiums increased $219.3 million for the U.S. Insurance Solutions segment primarily due to $130.3 million from growth in the Specialty Benefits business and $89.2 million in our Individual Life insurance business, primarily related to the Reinsurance Transaction. Partially offsetting this increase was a $40.0 million decrease in premiums for the Retirement and Income Solutions segment primarily due to lower sales of single premium group and our exited individual annuities with life contingencies.</w:t>
      </w:r>
    </w:p>
    <w:p>
      <w:pPr>
        <w:spacing w:after="0" w:line="171" w:lineRule="exact"/>
        <w:rPr>
          <w:sz w:val="20"/>
          <w:szCs w:val="20"/>
          <w:color w:val="auto"/>
        </w:rPr>
      </w:pPr>
    </w:p>
    <w:p>
      <w:pPr>
        <w:ind w:right="60" w:firstLine="630"/>
        <w:spacing w:after="0" w:line="263" w:lineRule="auto"/>
        <w:rPr>
          <w:sz w:val="20"/>
          <w:szCs w:val="20"/>
          <w:color w:val="auto"/>
        </w:rPr>
      </w:pPr>
      <w:r>
        <w:rPr>
          <w:rFonts w:ascii="Arial" w:cs="Arial" w:eastAsia="Arial" w:hAnsi="Arial"/>
          <w:sz w:val="18"/>
          <w:szCs w:val="18"/>
          <w:color w:val="auto"/>
        </w:rPr>
        <w:t>Fees and other revenues decreased $234.4 million for the U.S. Insurance Solutions segment primarily due to the Reinsurance Transaction. Fees and other revenues decreased $37.8 million for the Retirement and Income Solutions segment primarily resulting from declining financial markets.</w:t>
      </w:r>
    </w:p>
    <w:p>
      <w:pPr>
        <w:spacing w:after="0" w:line="184" w:lineRule="exact"/>
        <w:rPr>
          <w:sz w:val="20"/>
          <w:szCs w:val="20"/>
          <w:color w:val="auto"/>
        </w:rPr>
      </w:pPr>
    </w:p>
    <w:p>
      <w:pPr>
        <w:ind w:right="40" w:firstLine="630"/>
        <w:spacing w:after="0" w:line="277" w:lineRule="auto"/>
        <w:rPr>
          <w:sz w:val="20"/>
          <w:szCs w:val="20"/>
          <w:color w:val="auto"/>
        </w:rPr>
      </w:pPr>
      <w:r>
        <w:rPr>
          <w:rFonts w:ascii="Arial" w:cs="Arial" w:eastAsia="Arial" w:hAnsi="Arial"/>
          <w:sz w:val="18"/>
          <w:szCs w:val="18"/>
          <w:color w:val="auto"/>
        </w:rPr>
        <w:t>For net investment income and net realized capital gains (losses) variance information, see “Investments — Investment Results” under the captions “Net Investment Income” and “Net Realized Capital Gains (Losses),” respectively.</w:t>
      </w:r>
    </w:p>
    <w:p>
      <w:pPr>
        <w:spacing w:after="0" w:line="170" w:lineRule="exact"/>
        <w:rPr>
          <w:sz w:val="20"/>
          <w:szCs w:val="20"/>
          <w:color w:val="auto"/>
        </w:rPr>
      </w:pPr>
    </w:p>
    <w:p>
      <w:pPr>
        <w:ind w:right="180" w:firstLine="630"/>
        <w:spacing w:after="0" w:line="277" w:lineRule="auto"/>
        <w:rPr>
          <w:sz w:val="20"/>
          <w:szCs w:val="20"/>
          <w:color w:val="auto"/>
        </w:rPr>
      </w:pPr>
      <w:r>
        <w:rPr>
          <w:rFonts w:ascii="Arial" w:cs="Arial" w:eastAsia="Arial" w:hAnsi="Arial"/>
          <w:sz w:val="18"/>
          <w:szCs w:val="18"/>
          <w:color w:val="auto"/>
        </w:rPr>
        <w:t>Net realized capital gains on funds withheld assets increased as a result of the sale of funds withheld assets associated with the Reinsurance Transaction in 2022.</w:t>
      </w:r>
    </w:p>
    <w:p>
      <w:pPr>
        <w:spacing w:after="0" w:line="170" w:lineRule="exact"/>
        <w:rPr>
          <w:sz w:val="20"/>
          <w:szCs w:val="20"/>
          <w:color w:val="auto"/>
        </w:rPr>
      </w:pPr>
    </w:p>
    <w:p>
      <w:pPr>
        <w:ind w:right="40" w:firstLine="630"/>
        <w:spacing w:after="0" w:line="277" w:lineRule="auto"/>
        <w:rPr>
          <w:sz w:val="20"/>
          <w:szCs w:val="20"/>
          <w:color w:val="auto"/>
        </w:rPr>
      </w:pPr>
      <w:r>
        <w:rPr>
          <w:rFonts w:ascii="Arial" w:cs="Arial" w:eastAsia="Arial" w:hAnsi="Arial"/>
          <w:sz w:val="18"/>
          <w:szCs w:val="18"/>
          <w:color w:val="auto"/>
        </w:rPr>
        <w:t>The change in the fair value of the funds withheld embedded derivative increased due to the establishment of the funds withheld payable associated with the Reinsurance Transaction in 2022.</w:t>
      </w:r>
    </w:p>
    <w:p>
      <w:pPr>
        <w:spacing w:after="0" w:line="3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540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95" w:name="page96"/>
    <w:bookmarkEnd w:id="95"/>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5"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Total Expenses</w:t>
      </w:r>
    </w:p>
    <w:p>
      <w:pPr>
        <w:spacing w:after="0" w:line="229" w:lineRule="exact"/>
        <w:rPr>
          <w:sz w:val="20"/>
          <w:szCs w:val="20"/>
          <w:color w:val="auto"/>
        </w:rPr>
      </w:pPr>
    </w:p>
    <w:p>
      <w:pPr>
        <w:ind w:firstLine="635"/>
        <w:spacing w:after="0" w:line="259" w:lineRule="auto"/>
        <w:rPr>
          <w:sz w:val="20"/>
          <w:szCs w:val="20"/>
          <w:color w:val="auto"/>
        </w:rPr>
      </w:pPr>
      <w:r>
        <w:rPr>
          <w:rFonts w:ascii="Arial" w:cs="Arial" w:eastAsia="Arial" w:hAnsi="Arial"/>
          <w:sz w:val="18"/>
          <w:szCs w:val="18"/>
          <w:color w:val="auto"/>
        </w:rPr>
        <w:t>Benefits, claims and settlement expenses decreased $343.1 million for the U.S. Insurance Solutions segment primarily due to the Reinsurance Transaction. Benefits, claims and settlement expenses decreased $214.8 million for the Retirement and Income Solutions segment primarily due to a decrease in reserves, stemming from lower sales of single premium group and our exited individual annuities with life contingencies.</w:t>
      </w:r>
    </w:p>
    <w:p>
      <w:pPr>
        <w:spacing w:after="0" w:line="187" w:lineRule="exact"/>
        <w:rPr>
          <w:sz w:val="20"/>
          <w:szCs w:val="20"/>
          <w:color w:val="auto"/>
        </w:rPr>
      </w:pPr>
    </w:p>
    <w:p>
      <w:pPr>
        <w:ind w:right="240" w:firstLine="630"/>
        <w:spacing w:after="0" w:line="263" w:lineRule="auto"/>
        <w:rPr>
          <w:sz w:val="20"/>
          <w:szCs w:val="20"/>
          <w:color w:val="auto"/>
        </w:rPr>
      </w:pPr>
      <w:r>
        <w:rPr>
          <w:rFonts w:ascii="Arial" w:cs="Arial" w:eastAsia="Arial" w:hAnsi="Arial"/>
          <w:sz w:val="18"/>
          <w:szCs w:val="18"/>
          <w:color w:val="auto"/>
        </w:rPr>
        <w:t>Operating expenses increased primarily due to the exited business, including $243.7 million of strategic review costs and impacts and $27.4 million of actuarial balance impacts. Theses increases were partially offset by a $118.4 million decrease in amounts credited to employee accounts in a nonqualified defined contribution pension plan.</w:t>
      </w:r>
    </w:p>
    <w:p>
      <w:pPr>
        <w:spacing w:after="0" w:line="180"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Income Taxes</w:t>
      </w:r>
    </w:p>
    <w:p>
      <w:pPr>
        <w:spacing w:after="0" w:line="229" w:lineRule="exact"/>
        <w:rPr>
          <w:sz w:val="20"/>
          <w:szCs w:val="20"/>
          <w:color w:val="auto"/>
        </w:rPr>
      </w:pPr>
    </w:p>
    <w:p>
      <w:pPr>
        <w:ind w:right="100" w:firstLine="630"/>
        <w:spacing w:after="0" w:line="259" w:lineRule="auto"/>
        <w:rPr>
          <w:sz w:val="20"/>
          <w:szCs w:val="20"/>
          <w:color w:val="auto"/>
        </w:rPr>
      </w:pPr>
      <w:r>
        <w:rPr>
          <w:rFonts w:ascii="Arial" w:cs="Arial" w:eastAsia="Arial" w:hAnsi="Arial"/>
          <w:sz w:val="18"/>
          <w:szCs w:val="18"/>
          <w:color w:val="auto"/>
        </w:rPr>
        <w:t>The effective income tax rate increased to 20% for the six months ended June 30, 2022 from 15% for the six months ended 2021, primarily due to an increase in pre-tax income with no proportionate increase in permanent tax differences. See Item 1. “Financial Statements, Notes to Unaudited Condensed Consolidated Financial Statements, Note 8, Income Taxes” for a reconciliation between the U.S. corporate income tax rate and the effective income tax rate.</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 by Segment</w:t>
      </w:r>
    </w:p>
    <w:p>
      <w:pPr>
        <w:spacing w:after="0" w:line="229" w:lineRule="exact"/>
        <w:rPr>
          <w:sz w:val="20"/>
          <w:szCs w:val="20"/>
          <w:color w:val="auto"/>
        </w:rPr>
      </w:pPr>
    </w:p>
    <w:p>
      <w:pPr>
        <w:ind w:right="120" w:firstLine="648"/>
        <w:spacing w:after="0" w:line="275" w:lineRule="auto"/>
        <w:rPr>
          <w:sz w:val="20"/>
          <w:szCs w:val="20"/>
          <w:color w:val="auto"/>
        </w:rPr>
      </w:pPr>
      <w:r>
        <w:rPr>
          <w:rFonts w:ascii="Arial" w:cs="Arial" w:eastAsia="Arial" w:hAnsi="Arial"/>
          <w:sz w:val="17"/>
          <w:szCs w:val="17"/>
          <w:color w:val="auto"/>
        </w:rPr>
        <w:t>For results of operations by segment see Item 1. “Financial Statements, Notes to Unaudited Condensed Consolidated Financial Statements, Note 13, Segment Information.” Beginning in the second quarter of 2022, segment pre-tax operating earnings excludes amounts associated with our exited U.S. retail fixed annuity and ULSG businesses, including strategic review costs and impacts, amortization of reinsurance gain (loss), impacts to actuarial balances of reinsured businesses, net realized capital gains (losses) on funds withheld assets and the change in fair value of the funds withheld embedded derivative.</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Retirement and Income Solutions Segment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Retirement and Income Solutions Segment Summary Financial Data</w:t>
      </w:r>
    </w:p>
    <w:p>
      <w:pPr>
        <w:spacing w:after="0" w:line="225" w:lineRule="exact"/>
        <w:rPr>
          <w:sz w:val="20"/>
          <w:szCs w:val="20"/>
          <w:color w:val="auto"/>
        </w:rPr>
      </w:pPr>
    </w:p>
    <w:p>
      <w:pPr>
        <w:ind w:right="60" w:firstLine="648"/>
        <w:spacing w:after="0" w:line="257" w:lineRule="auto"/>
        <w:rPr>
          <w:sz w:val="20"/>
          <w:szCs w:val="20"/>
          <w:color w:val="auto"/>
        </w:rPr>
      </w:pPr>
      <w:r>
        <w:rPr>
          <w:rFonts w:ascii="Arial" w:cs="Arial" w:eastAsia="Arial" w:hAnsi="Arial"/>
          <w:sz w:val="18"/>
          <w:szCs w:val="18"/>
          <w:color w:val="auto"/>
        </w:rPr>
        <w:t>Net revenue is a key metric used to understand Retirement and Income Solutions earnings growth. Net revenue is defined as operating revenues less benefits, claims and settlement expenses less dividends to policyholders. Net revenue from Retirement and Income Solutions – Fee is primarily fee based and is also impacted by changes in the equity markets and interest rates. Net revenue from Retirement and Income Solutions – Spread is primarily driven by the difference between investment income earned on the underlying general account assets and the interest rate credited to the contracts.</w:t>
      </w:r>
    </w:p>
    <w:p>
      <w:pPr>
        <w:spacing w:after="0" w:line="18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presents the Retirement and Income Solutions net revenue for the periods indicated:</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7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500" w:type="dxa"/>
            <w:vAlign w:val="bottom"/>
            <w:gridSpan w:val="8"/>
          </w:tcPr>
          <w:p>
            <w:pPr>
              <w:jc w:val="center"/>
              <w:ind w:right="280"/>
              <w:spacing w:after="0"/>
              <w:rPr>
                <w:sz w:val="20"/>
                <w:szCs w:val="20"/>
                <w:color w:val="auto"/>
              </w:rPr>
            </w:pPr>
            <w:r>
              <w:rPr>
                <w:rFonts w:ascii="Arial" w:cs="Arial" w:eastAsia="Arial" w:hAnsi="Arial"/>
                <w:sz w:val="14"/>
                <w:szCs w:val="14"/>
                <w:b w:val="1"/>
                <w:bCs w:val="1"/>
                <w:color w:val="auto"/>
                <w:w w:val="91"/>
              </w:rPr>
              <w:t>For the three months ended</w:t>
            </w:r>
          </w:p>
        </w:tc>
        <w:tc>
          <w:tcPr>
            <w:tcW w:w="140" w:type="dxa"/>
            <w:vAlign w:val="bottom"/>
          </w:tcPr>
          <w:p>
            <w:pPr>
              <w:spacing w:after="0"/>
              <w:rPr>
                <w:sz w:val="14"/>
                <w:szCs w:val="14"/>
                <w:color w:val="auto"/>
              </w:rPr>
            </w:pPr>
          </w:p>
        </w:tc>
        <w:tc>
          <w:tcPr>
            <w:tcW w:w="2480" w:type="dxa"/>
            <w:vAlign w:val="bottom"/>
            <w:gridSpan w:val="8"/>
          </w:tcPr>
          <w:p>
            <w:pPr>
              <w:jc w:val="center"/>
              <w:ind w:right="160"/>
              <w:spacing w:after="0"/>
              <w:rPr>
                <w:sz w:val="20"/>
                <w:szCs w:val="20"/>
                <w:color w:val="auto"/>
              </w:rPr>
            </w:pPr>
            <w:r>
              <w:rPr>
                <w:rFonts w:ascii="Arial" w:cs="Arial" w:eastAsia="Arial" w:hAnsi="Arial"/>
                <w:sz w:val="14"/>
                <w:szCs w:val="14"/>
                <w:b w:val="1"/>
                <w:bCs w:val="1"/>
                <w:color w:val="auto"/>
                <w:w w:val="91"/>
              </w:rPr>
              <w:t>For the six months ended</w:t>
            </w:r>
          </w:p>
        </w:tc>
        <w:tc>
          <w:tcPr>
            <w:tcW w:w="0" w:type="dxa"/>
            <w:vAlign w:val="bottom"/>
          </w:tcPr>
          <w:p>
            <w:pPr>
              <w:spacing w:after="0"/>
              <w:rPr>
                <w:sz w:val="1"/>
                <w:szCs w:val="1"/>
                <w:color w:val="auto"/>
              </w:rPr>
            </w:pPr>
          </w:p>
        </w:tc>
      </w:tr>
      <w:tr>
        <w:trPr>
          <w:trHeight w:val="171"/>
        </w:trPr>
        <w:tc>
          <w:tcPr>
            <w:tcW w:w="47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jc w:val="center"/>
              <w:ind w:right="37"/>
              <w:spacing w:after="0"/>
              <w:rPr>
                <w:sz w:val="20"/>
                <w:szCs w:val="20"/>
                <w:color w:val="auto"/>
              </w:rPr>
            </w:pPr>
            <w:r>
              <w:rPr>
                <w:rFonts w:ascii="Arial" w:cs="Arial" w:eastAsia="Arial" w:hAnsi="Arial"/>
                <w:sz w:val="14"/>
                <w:szCs w:val="14"/>
                <w:b w:val="1"/>
                <w:bCs w:val="1"/>
                <w:color w:val="auto"/>
                <w:w w:val="89"/>
              </w:rPr>
              <w:t>June 30,</w:t>
            </w:r>
          </w:p>
        </w:tc>
        <w:tc>
          <w:tcPr>
            <w:tcW w:w="1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gridSpan w:val="2"/>
          </w:tcPr>
          <w:p>
            <w:pPr>
              <w:jc w:val="center"/>
              <w:ind w:right="320"/>
              <w:spacing w:after="0"/>
              <w:rPr>
                <w:sz w:val="20"/>
                <w:szCs w:val="20"/>
                <w:color w:val="auto"/>
              </w:rPr>
            </w:pPr>
            <w:r>
              <w:rPr>
                <w:rFonts w:ascii="Arial" w:cs="Arial" w:eastAsia="Arial" w:hAnsi="Arial"/>
                <w:sz w:val="14"/>
                <w:szCs w:val="14"/>
                <w:b w:val="1"/>
                <w:bCs w:val="1"/>
                <w:color w:val="auto"/>
                <w:w w:val="92"/>
              </w:rPr>
              <w:t>June 30,</w:t>
            </w:r>
          </w:p>
        </w:tc>
        <w:tc>
          <w:tcPr>
            <w:tcW w:w="10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47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80" w:type="dxa"/>
            <w:vAlign w:val="bottom"/>
            <w:vMerge w:val="restart"/>
          </w:tcPr>
          <w:p>
            <w:pPr>
              <w:jc w:val="right"/>
              <w:ind w:right="116"/>
              <w:spacing w:after="0"/>
              <w:rPr>
                <w:sz w:val="20"/>
                <w:szCs w:val="20"/>
                <w:color w:val="auto"/>
              </w:rPr>
            </w:pPr>
            <w:r>
              <w:rPr>
                <w:rFonts w:ascii="Arial" w:cs="Arial" w:eastAsia="Arial" w:hAnsi="Arial"/>
                <w:sz w:val="14"/>
                <w:szCs w:val="14"/>
                <w:b w:val="1"/>
                <w:bCs w:val="1"/>
                <w:color w:val="auto"/>
              </w:rPr>
              <w:t>2022</w:t>
            </w:r>
          </w:p>
        </w:tc>
        <w:tc>
          <w:tcPr>
            <w:tcW w:w="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vMerge w:val="restart"/>
          </w:tcPr>
          <w:p>
            <w:pPr>
              <w:jc w:val="center"/>
              <w:ind w:right="17"/>
              <w:spacing w:after="0"/>
              <w:rPr>
                <w:sz w:val="20"/>
                <w:szCs w:val="20"/>
                <w:color w:val="auto"/>
              </w:rPr>
            </w:pPr>
            <w:r>
              <w:rPr>
                <w:rFonts w:ascii="Arial" w:cs="Arial" w:eastAsia="Arial" w:hAnsi="Arial"/>
                <w:sz w:val="14"/>
                <w:szCs w:val="14"/>
                <w:b w:val="1"/>
                <w:bCs w:val="1"/>
                <w:color w:val="auto"/>
                <w:w w:val="89"/>
              </w:rPr>
              <w:t>2021</w:t>
            </w:r>
          </w:p>
        </w:tc>
        <w:tc>
          <w:tcPr>
            <w:tcW w:w="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tcPr>
          <w:p>
            <w:pPr>
              <w:jc w:val="right"/>
              <w:ind w:right="18"/>
              <w:spacing w:after="0" w:line="119" w:lineRule="exact"/>
              <w:rPr>
                <w:sz w:val="20"/>
                <w:szCs w:val="20"/>
                <w:color w:val="auto"/>
              </w:rPr>
            </w:pPr>
            <w:r>
              <w:rPr>
                <w:rFonts w:ascii="Arial" w:cs="Arial" w:eastAsia="Arial" w:hAnsi="Arial"/>
                <w:sz w:val="13"/>
                <w:szCs w:val="13"/>
                <w:b w:val="1"/>
                <w:bCs w:val="1"/>
                <w:color w:val="auto"/>
                <w:w w:val="94"/>
              </w:rPr>
              <w:t>Increase</w:t>
            </w:r>
          </w:p>
        </w:tc>
        <w:tc>
          <w:tcPr>
            <w:tcW w:w="1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40" w:type="dxa"/>
            <w:vAlign w:val="bottom"/>
            <w:vMerge w:val="restart"/>
          </w:tcPr>
          <w:p>
            <w:pPr>
              <w:jc w:val="right"/>
              <w:ind w:right="177"/>
              <w:spacing w:after="0"/>
              <w:rPr>
                <w:sz w:val="20"/>
                <w:szCs w:val="20"/>
                <w:color w:val="auto"/>
              </w:rPr>
            </w:pPr>
            <w:r>
              <w:rPr>
                <w:rFonts w:ascii="Arial" w:cs="Arial" w:eastAsia="Arial" w:hAnsi="Arial"/>
                <w:sz w:val="14"/>
                <w:szCs w:val="14"/>
                <w:b w:val="1"/>
                <w:bCs w:val="1"/>
                <w:color w:val="auto"/>
              </w:rPr>
              <w:t>2022</w:t>
            </w: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9"/>
              </w:rPr>
              <w:t>2021</w:t>
            </w:r>
          </w:p>
        </w:tc>
        <w:tc>
          <w:tcPr>
            <w:tcW w:w="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40" w:type="dxa"/>
            <w:vAlign w:val="bottom"/>
          </w:tcPr>
          <w:p>
            <w:pPr>
              <w:jc w:val="right"/>
              <w:ind w:right="36"/>
              <w:spacing w:after="0" w:line="119" w:lineRule="exact"/>
              <w:rPr>
                <w:sz w:val="20"/>
                <w:szCs w:val="20"/>
                <w:color w:val="auto"/>
              </w:rPr>
            </w:pPr>
            <w:r>
              <w:rPr>
                <w:rFonts w:ascii="Arial" w:cs="Arial" w:eastAsia="Arial" w:hAnsi="Arial"/>
                <w:sz w:val="13"/>
                <w:szCs w:val="13"/>
                <w:b w:val="1"/>
                <w:bCs w:val="1"/>
                <w:color w:val="auto"/>
                <w:w w:val="94"/>
              </w:rPr>
              <w:t>Increase</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47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vMerge w:val="continue"/>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vMerge w:val="continue"/>
          </w:tcPr>
          <w:p>
            <w:pPr>
              <w:spacing w:after="0"/>
              <w:rPr>
                <w:sz w:val="14"/>
                <w:szCs w:val="14"/>
                <w:color w:val="auto"/>
              </w:rPr>
            </w:pPr>
          </w:p>
        </w:tc>
        <w:tc>
          <w:tcPr>
            <w:tcW w:w="160" w:type="dxa"/>
            <w:vAlign w:val="bottom"/>
          </w:tcPr>
          <w:p>
            <w:pPr>
              <w:spacing w:after="0"/>
              <w:rPr>
                <w:sz w:val="14"/>
                <w:szCs w:val="14"/>
                <w:color w:val="auto"/>
              </w:rPr>
            </w:pPr>
          </w:p>
        </w:tc>
        <w:tc>
          <w:tcPr>
            <w:tcW w:w="72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4"/>
              </w:rPr>
              <w:t>(decrease)</w:t>
            </w:r>
          </w:p>
        </w:tc>
        <w:tc>
          <w:tcPr>
            <w:tcW w:w="1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vMerge w:val="continue"/>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vMerge w:val="continue"/>
          </w:tcPr>
          <w:p>
            <w:pPr>
              <w:spacing w:after="0"/>
              <w:rPr>
                <w:sz w:val="14"/>
                <w:szCs w:val="14"/>
                <w:color w:val="auto"/>
              </w:rPr>
            </w:pPr>
          </w:p>
        </w:tc>
        <w:tc>
          <w:tcPr>
            <w:tcW w:w="160" w:type="dxa"/>
            <w:vAlign w:val="bottom"/>
          </w:tcPr>
          <w:p>
            <w:pPr>
              <w:spacing w:after="0"/>
              <w:rPr>
                <w:sz w:val="14"/>
                <w:szCs w:val="14"/>
                <w:color w:val="auto"/>
              </w:rPr>
            </w:pPr>
          </w:p>
        </w:tc>
        <w:tc>
          <w:tcPr>
            <w:tcW w:w="74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4"/>
              </w:rPr>
              <w:t>(decrease)</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47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560" w:type="dxa"/>
            <w:vAlign w:val="bottom"/>
            <w:gridSpan w:val="4"/>
          </w:tcPr>
          <w:p>
            <w:pPr>
              <w:jc w:val="right"/>
              <w:ind w:right="357"/>
              <w:spacing w:after="0" w:line="129" w:lineRule="exact"/>
              <w:rPr>
                <w:sz w:val="20"/>
                <w:szCs w:val="20"/>
                <w:color w:val="auto"/>
              </w:rPr>
            </w:pPr>
            <w:r>
              <w:rPr>
                <w:rFonts w:ascii="Arial" w:cs="Arial" w:eastAsia="Arial" w:hAnsi="Arial"/>
                <w:sz w:val="14"/>
                <w:szCs w:val="14"/>
                <w:i w:val="1"/>
                <w:iCs w:val="1"/>
                <w:color w:val="auto"/>
              </w:rPr>
              <w:t>(in millions)</w:t>
            </w: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4700" w:type="dxa"/>
            <w:vAlign w:val="bottom"/>
            <w:shd w:val="clear" w:color="auto" w:fill="CCEEFF"/>
          </w:tcPr>
          <w:p>
            <w:pPr>
              <w:spacing w:after="0"/>
              <w:rPr>
                <w:sz w:val="20"/>
                <w:szCs w:val="20"/>
                <w:color w:val="auto"/>
              </w:rPr>
            </w:pPr>
            <w:r>
              <w:rPr>
                <w:rFonts w:ascii="Arial" w:cs="Arial" w:eastAsia="Arial" w:hAnsi="Arial"/>
                <w:sz w:val="18"/>
                <w:szCs w:val="18"/>
                <w:color w:val="auto"/>
              </w:rPr>
              <w:t>Retirement and Income Solutions – Fee</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503.6</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527.0</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(23.4)</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3"/>
              </w:rPr>
              <w:t>1,034.5</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1,038.6</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00" w:type="dxa"/>
            <w:vAlign w:val="bottom"/>
          </w:tcPr>
          <w:p>
            <w:pPr>
              <w:spacing w:after="0"/>
              <w:rPr>
                <w:sz w:val="20"/>
                <w:szCs w:val="20"/>
                <w:color w:val="auto"/>
              </w:rPr>
            </w:pPr>
            <w:r>
              <w:rPr>
                <w:rFonts w:ascii="Arial" w:cs="Arial" w:eastAsia="Arial" w:hAnsi="Arial"/>
                <w:sz w:val="18"/>
                <w:szCs w:val="18"/>
                <w:color w:val="auto"/>
              </w:rPr>
              <w:t>Retirement and Income Solutions – Spread</w:t>
            </w:r>
          </w:p>
        </w:tc>
        <w:tc>
          <w:tcPr>
            <w:tcW w:w="12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b w:val="1"/>
                <w:bCs w:val="1"/>
                <w:color w:val="auto"/>
              </w:rPr>
              <w:t>162.5</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209.9</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(47.4)</w:t>
            </w: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b w:val="1"/>
                <w:bCs w:val="1"/>
                <w:color w:val="auto"/>
              </w:rPr>
              <w:t>407.7</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438.0</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(30.3)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700" w:type="dxa"/>
            <w:vAlign w:val="bottom"/>
            <w:tcBorders>
              <w:top w:val="single" w:sz="8" w:color="CCEEFF"/>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Total Retirement and Income Solutions</w:t>
            </w: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5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666.1</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736.9</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(70.8)</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3"/>
              </w:rPr>
              <w:t>1,442.2</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1,476.6</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(34.4)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7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4"/>
        </w:trPr>
        <w:tc>
          <w:tcPr>
            <w:tcW w:w="4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80" w:type="dxa"/>
            <w:vAlign w:val="bottom"/>
          </w:tcPr>
          <w:p>
            <w:pPr>
              <w:jc w:val="right"/>
              <w:ind w:right="256"/>
              <w:spacing w:after="0"/>
              <w:rPr>
                <w:sz w:val="20"/>
                <w:szCs w:val="20"/>
                <w:color w:val="auto"/>
              </w:rPr>
            </w:pPr>
            <w:r>
              <w:rPr>
                <w:rFonts w:ascii="Arial" w:cs="Arial" w:eastAsia="Arial" w:hAnsi="Arial"/>
                <w:sz w:val="18"/>
                <w:szCs w:val="18"/>
                <w:color w:val="auto"/>
              </w:rPr>
              <w:t>96</w:t>
            </w: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61"/>
        </w:trPr>
        <w:tc>
          <w:tcPr>
            <w:tcW w:w="47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920"/>
          </w:cols>
          <w:pgMar w:left="980" w:top="665" w:right="999" w:bottom="1440" w:gutter="0" w:footer="0" w:header="0"/>
        </w:sectPr>
      </w:pPr>
    </w:p>
    <w:bookmarkStart w:id="96" w:name="page97"/>
    <w:bookmarkEnd w:id="96"/>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9" w:lineRule="exact"/>
        <w:rPr>
          <w:sz w:val="20"/>
          <w:szCs w:val="20"/>
          <w:color w:val="auto"/>
        </w:rPr>
      </w:pPr>
    </w:p>
    <w:p>
      <w:pPr>
        <w:ind w:right="280" w:firstLine="648"/>
        <w:spacing w:after="0" w:line="277" w:lineRule="auto"/>
        <w:rPr>
          <w:sz w:val="20"/>
          <w:szCs w:val="20"/>
          <w:color w:val="auto"/>
        </w:rPr>
      </w:pPr>
      <w:r>
        <w:rPr>
          <w:rFonts w:ascii="Arial" w:cs="Arial" w:eastAsia="Arial" w:hAnsi="Arial"/>
          <w:sz w:val="18"/>
          <w:szCs w:val="18"/>
          <w:color w:val="auto"/>
        </w:rPr>
        <w:t>The following table presents certain summary financial data relating to the Retirement and Income Solutions segment for the periods indicated:</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6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500" w:type="dxa"/>
            <w:vAlign w:val="bottom"/>
            <w:gridSpan w:val="8"/>
          </w:tcPr>
          <w:p>
            <w:pPr>
              <w:jc w:val="center"/>
              <w:ind w:right="200"/>
              <w:spacing w:after="0"/>
              <w:rPr>
                <w:sz w:val="20"/>
                <w:szCs w:val="20"/>
                <w:color w:val="auto"/>
              </w:rPr>
            </w:pPr>
            <w:r>
              <w:rPr>
                <w:rFonts w:ascii="Arial" w:cs="Arial" w:eastAsia="Arial" w:hAnsi="Arial"/>
                <w:sz w:val="14"/>
                <w:szCs w:val="14"/>
                <w:b w:val="1"/>
                <w:bCs w:val="1"/>
                <w:color w:val="auto"/>
                <w:w w:val="91"/>
              </w:rPr>
              <w:t>For the three months ended</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440" w:type="dxa"/>
            <w:vAlign w:val="bottom"/>
            <w:gridSpan w:val="9"/>
          </w:tcPr>
          <w:p>
            <w:pPr>
              <w:jc w:val="center"/>
              <w:ind w:right="160"/>
              <w:spacing w:after="0"/>
              <w:rPr>
                <w:sz w:val="20"/>
                <w:szCs w:val="20"/>
                <w:color w:val="auto"/>
              </w:rPr>
            </w:pPr>
            <w:r>
              <w:rPr>
                <w:rFonts w:ascii="Arial" w:cs="Arial" w:eastAsia="Arial" w:hAnsi="Arial"/>
                <w:sz w:val="14"/>
                <w:szCs w:val="14"/>
                <w:b w:val="1"/>
                <w:bCs w:val="1"/>
                <w:color w:val="auto"/>
                <w:w w:val="91"/>
              </w:rPr>
              <w:t>For the six months ended</w:t>
            </w:r>
          </w:p>
        </w:tc>
        <w:tc>
          <w:tcPr>
            <w:tcW w:w="0" w:type="dxa"/>
            <w:vAlign w:val="bottom"/>
          </w:tcPr>
          <w:p>
            <w:pPr>
              <w:spacing w:after="0"/>
              <w:rPr>
                <w:sz w:val="1"/>
                <w:szCs w:val="1"/>
                <w:color w:val="auto"/>
              </w:rPr>
            </w:pPr>
          </w:p>
        </w:tc>
      </w:tr>
      <w:tr>
        <w:trPr>
          <w:trHeight w:val="171"/>
        </w:trPr>
        <w:tc>
          <w:tcPr>
            <w:tcW w:w="464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gridSpan w:val="3"/>
          </w:tcPr>
          <w:p>
            <w:pPr>
              <w:jc w:val="center"/>
              <w:ind w:right="300"/>
              <w:spacing w:after="0"/>
              <w:rPr>
                <w:sz w:val="20"/>
                <w:szCs w:val="20"/>
                <w:color w:val="auto"/>
              </w:rPr>
            </w:pPr>
            <w:r>
              <w:rPr>
                <w:rFonts w:ascii="Arial" w:cs="Arial" w:eastAsia="Arial" w:hAnsi="Arial"/>
                <w:sz w:val="14"/>
                <w:szCs w:val="14"/>
                <w:b w:val="1"/>
                <w:bCs w:val="1"/>
                <w:color w:val="auto"/>
                <w:w w:val="92"/>
              </w:rPr>
              <w:t>June 30,</w:t>
            </w: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gridSpan w:val="3"/>
          </w:tcPr>
          <w:p>
            <w:pPr>
              <w:jc w:val="center"/>
              <w:ind w:right="300"/>
              <w:spacing w:after="0"/>
              <w:rPr>
                <w:sz w:val="20"/>
                <w:szCs w:val="20"/>
                <w:color w:val="auto"/>
              </w:rPr>
            </w:pPr>
            <w:r>
              <w:rPr>
                <w:rFonts w:ascii="Arial" w:cs="Arial" w:eastAsia="Arial" w:hAnsi="Arial"/>
                <w:sz w:val="14"/>
                <w:szCs w:val="14"/>
                <w:b w:val="1"/>
                <w:bCs w:val="1"/>
                <w:color w:val="auto"/>
                <w:w w:val="92"/>
              </w:rPr>
              <w:t>June 30,</w:t>
            </w:r>
          </w:p>
        </w:tc>
        <w:tc>
          <w:tcPr>
            <w:tcW w:w="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46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60" w:type="dxa"/>
            <w:vAlign w:val="bottom"/>
            <w:vMerge w:val="restart"/>
          </w:tcPr>
          <w:p>
            <w:pPr>
              <w:jc w:val="right"/>
              <w:ind w:right="174"/>
              <w:spacing w:after="0"/>
              <w:rPr>
                <w:sz w:val="20"/>
                <w:szCs w:val="20"/>
                <w:color w:val="auto"/>
              </w:rPr>
            </w:pPr>
            <w:r>
              <w:rPr>
                <w:rFonts w:ascii="Arial" w:cs="Arial" w:eastAsia="Arial" w:hAnsi="Arial"/>
                <w:sz w:val="14"/>
                <w:szCs w:val="14"/>
                <w:b w:val="1"/>
                <w:bCs w:val="1"/>
                <w:color w:val="auto"/>
              </w:rPr>
              <w:t>2022</w:t>
            </w:r>
          </w:p>
        </w:tc>
        <w:tc>
          <w:tcPr>
            <w:tcW w:w="1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640" w:type="dxa"/>
            <w:vAlign w:val="bottom"/>
            <w:vMerge w:val="restart"/>
          </w:tcPr>
          <w:p>
            <w:pPr>
              <w:jc w:val="right"/>
              <w:ind w:right="172"/>
              <w:spacing w:after="0"/>
              <w:rPr>
                <w:sz w:val="20"/>
                <w:szCs w:val="20"/>
                <w:color w:val="auto"/>
              </w:rPr>
            </w:pPr>
            <w:r>
              <w:rPr>
                <w:rFonts w:ascii="Arial" w:cs="Arial" w:eastAsia="Arial" w:hAnsi="Arial"/>
                <w:sz w:val="14"/>
                <w:szCs w:val="14"/>
                <w:b w:val="1"/>
                <w:bCs w:val="1"/>
                <w:color w:val="auto"/>
              </w:rPr>
              <w:t>2021</w:t>
            </w:r>
          </w:p>
        </w:tc>
        <w:tc>
          <w:tcPr>
            <w:tcW w:w="140" w:type="dxa"/>
            <w:vAlign w:val="bottom"/>
          </w:tcPr>
          <w:p>
            <w:pPr>
              <w:spacing w:after="0"/>
              <w:rPr>
                <w:sz w:val="10"/>
                <w:szCs w:val="10"/>
                <w:color w:val="auto"/>
              </w:rPr>
            </w:pPr>
          </w:p>
        </w:tc>
        <w:tc>
          <w:tcPr>
            <w:tcW w:w="680" w:type="dxa"/>
            <w:vAlign w:val="bottom"/>
            <w:gridSpan w:val="2"/>
          </w:tcPr>
          <w:p>
            <w:pPr>
              <w:jc w:val="right"/>
              <w:spacing w:after="0" w:line="119" w:lineRule="exact"/>
              <w:rPr>
                <w:sz w:val="20"/>
                <w:szCs w:val="20"/>
                <w:color w:val="auto"/>
              </w:rPr>
            </w:pPr>
            <w:r>
              <w:rPr>
                <w:rFonts w:ascii="Arial" w:cs="Arial" w:eastAsia="Arial" w:hAnsi="Arial"/>
                <w:sz w:val="13"/>
                <w:szCs w:val="13"/>
                <w:b w:val="1"/>
                <w:bCs w:val="1"/>
                <w:color w:val="auto"/>
              </w:rPr>
              <w:t>Increase</w:t>
            </w: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40" w:type="dxa"/>
            <w:vAlign w:val="bottom"/>
            <w:vMerge w:val="restart"/>
          </w:tcPr>
          <w:p>
            <w:pPr>
              <w:jc w:val="right"/>
              <w:ind w:right="154"/>
              <w:spacing w:after="0"/>
              <w:rPr>
                <w:sz w:val="20"/>
                <w:szCs w:val="20"/>
                <w:color w:val="auto"/>
              </w:rPr>
            </w:pPr>
            <w:r>
              <w:rPr>
                <w:rFonts w:ascii="Arial" w:cs="Arial" w:eastAsia="Arial" w:hAnsi="Arial"/>
                <w:sz w:val="14"/>
                <w:szCs w:val="14"/>
                <w:b w:val="1"/>
                <w:bCs w:val="1"/>
                <w:color w:val="auto"/>
              </w:rPr>
              <w:t>2022</w:t>
            </w:r>
          </w:p>
        </w:tc>
        <w:tc>
          <w:tcPr>
            <w:tcW w:w="1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60" w:type="dxa"/>
            <w:vAlign w:val="bottom"/>
            <w:vMerge w:val="restart"/>
          </w:tcPr>
          <w:p>
            <w:pPr>
              <w:jc w:val="right"/>
              <w:ind w:right="172"/>
              <w:spacing w:after="0"/>
              <w:rPr>
                <w:sz w:val="20"/>
                <w:szCs w:val="20"/>
                <w:color w:val="auto"/>
              </w:rPr>
            </w:pPr>
            <w:r>
              <w:rPr>
                <w:rFonts w:ascii="Arial" w:cs="Arial" w:eastAsia="Arial" w:hAnsi="Arial"/>
                <w:sz w:val="14"/>
                <w:szCs w:val="14"/>
                <w:b w:val="1"/>
                <w:bCs w:val="1"/>
                <w:color w:val="auto"/>
              </w:rPr>
              <w:t>2021</w:t>
            </w:r>
          </w:p>
        </w:tc>
        <w:tc>
          <w:tcPr>
            <w:tcW w:w="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60" w:type="dxa"/>
            <w:vAlign w:val="bottom"/>
            <w:gridSpan w:val="2"/>
          </w:tcPr>
          <w:p>
            <w:pPr>
              <w:jc w:val="right"/>
              <w:spacing w:after="0" w:line="119" w:lineRule="exact"/>
              <w:rPr>
                <w:sz w:val="20"/>
                <w:szCs w:val="20"/>
                <w:color w:val="auto"/>
              </w:rPr>
            </w:pPr>
            <w:r>
              <w:rPr>
                <w:rFonts w:ascii="Arial" w:cs="Arial" w:eastAsia="Arial" w:hAnsi="Arial"/>
                <w:sz w:val="13"/>
                <w:szCs w:val="13"/>
                <w:b w:val="1"/>
                <w:bCs w:val="1"/>
                <w:color w:val="auto"/>
              </w:rPr>
              <w:t>Increase</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464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vMerge w:val="continue"/>
          </w:tcPr>
          <w:p>
            <w:pPr>
              <w:spacing w:after="0"/>
              <w:rPr>
                <w:sz w:val="14"/>
                <w:szCs w:val="14"/>
                <w:color w:val="auto"/>
              </w:rPr>
            </w:pPr>
          </w:p>
        </w:tc>
        <w:tc>
          <w:tcPr>
            <w:tcW w:w="14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vMerge w:val="continue"/>
          </w:tcPr>
          <w:p>
            <w:pPr>
              <w:spacing w:after="0"/>
              <w:rPr>
                <w:sz w:val="14"/>
                <w:szCs w:val="14"/>
                <w:color w:val="auto"/>
              </w:rPr>
            </w:pPr>
          </w:p>
        </w:tc>
        <w:tc>
          <w:tcPr>
            <w:tcW w:w="140" w:type="dxa"/>
            <w:vAlign w:val="bottom"/>
          </w:tcPr>
          <w:p>
            <w:pPr>
              <w:spacing w:after="0"/>
              <w:rPr>
                <w:sz w:val="14"/>
                <w:szCs w:val="14"/>
                <w:color w:val="auto"/>
              </w:rPr>
            </w:pPr>
          </w:p>
        </w:tc>
        <w:tc>
          <w:tcPr>
            <w:tcW w:w="68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1"/>
              </w:rPr>
              <w:t>(decrease)</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vMerge w:val="continue"/>
          </w:tcPr>
          <w:p>
            <w:pPr>
              <w:spacing w:after="0"/>
              <w:rPr>
                <w:sz w:val="14"/>
                <w:szCs w:val="14"/>
                <w:color w:val="auto"/>
              </w:rPr>
            </w:pPr>
          </w:p>
        </w:tc>
        <w:tc>
          <w:tcPr>
            <w:tcW w:w="1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vMerge w:val="continue"/>
          </w:tcPr>
          <w:p>
            <w:pPr>
              <w:spacing w:after="0"/>
              <w:rPr>
                <w:sz w:val="14"/>
                <w:szCs w:val="14"/>
                <w:color w:val="auto"/>
              </w:rPr>
            </w:pP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6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88"/>
              </w:rPr>
              <w:t>(decrease)</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8"/>
        </w:trPr>
        <w:tc>
          <w:tcPr>
            <w:tcW w:w="4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80" w:type="dxa"/>
            <w:vAlign w:val="bottom"/>
            <w:gridSpan w:val="5"/>
          </w:tcPr>
          <w:p>
            <w:pPr>
              <w:jc w:val="right"/>
              <w:ind w:right="414"/>
              <w:spacing w:after="0" w:line="129" w:lineRule="exact"/>
              <w:rPr>
                <w:sz w:val="20"/>
                <w:szCs w:val="20"/>
                <w:color w:val="auto"/>
              </w:rPr>
            </w:pPr>
            <w:r>
              <w:rPr>
                <w:rFonts w:ascii="Arial" w:cs="Arial" w:eastAsia="Arial" w:hAnsi="Arial"/>
                <w:sz w:val="14"/>
                <w:szCs w:val="14"/>
                <w:i w:val="1"/>
                <w:iCs w:val="1"/>
                <w:color w:val="auto"/>
              </w:rPr>
              <w:t>(in millions)</w:t>
            </w: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4640" w:type="dxa"/>
            <w:vAlign w:val="bottom"/>
            <w:shd w:val="clear" w:color="auto" w:fill="CCEEFF"/>
          </w:tcPr>
          <w:p>
            <w:pPr>
              <w:spacing w:after="0"/>
              <w:rPr>
                <w:sz w:val="20"/>
                <w:szCs w:val="20"/>
                <w:color w:val="auto"/>
              </w:rPr>
            </w:pPr>
            <w:r>
              <w:rPr>
                <w:rFonts w:ascii="Arial" w:cs="Arial" w:eastAsia="Arial" w:hAnsi="Arial"/>
                <w:sz w:val="18"/>
                <w:szCs w:val="18"/>
                <w:color w:val="auto"/>
              </w:rPr>
              <w:t>Operating revenues:</w:t>
            </w: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40" w:type="dxa"/>
            <w:vAlign w:val="bottom"/>
          </w:tcPr>
          <w:p>
            <w:pPr>
              <w:ind w:left="120"/>
              <w:spacing w:after="0"/>
              <w:rPr>
                <w:sz w:val="20"/>
                <w:szCs w:val="20"/>
                <w:color w:val="auto"/>
              </w:rPr>
            </w:pPr>
            <w:r>
              <w:rPr>
                <w:rFonts w:ascii="Arial" w:cs="Arial" w:eastAsia="Arial" w:hAnsi="Arial"/>
                <w:sz w:val="18"/>
                <w:szCs w:val="18"/>
                <w:color w:val="auto"/>
              </w:rPr>
              <w:t>Premiums and other considerations</w:t>
            </w:r>
          </w:p>
        </w:tc>
        <w:tc>
          <w:tcPr>
            <w:tcW w:w="14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660" w:type="dxa"/>
            <w:vAlign w:val="bottom"/>
          </w:tcPr>
          <w:p>
            <w:pPr>
              <w:jc w:val="right"/>
              <w:spacing w:after="0"/>
              <w:rPr>
                <w:sz w:val="20"/>
                <w:szCs w:val="20"/>
                <w:color w:val="auto"/>
              </w:rPr>
            </w:pPr>
            <w:r>
              <w:rPr>
                <w:rFonts w:ascii="Arial" w:cs="Arial" w:eastAsia="Arial" w:hAnsi="Arial"/>
                <w:sz w:val="18"/>
                <w:szCs w:val="18"/>
                <w:b w:val="1"/>
                <w:bCs w:val="1"/>
                <w:color w:val="auto"/>
              </w:rPr>
              <w:t>467.0</w:t>
            </w:r>
          </w:p>
        </w:tc>
        <w:tc>
          <w:tcPr>
            <w:tcW w:w="14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525.0</w:t>
            </w:r>
          </w:p>
        </w:tc>
        <w:tc>
          <w:tcPr>
            <w:tcW w:w="14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20" w:type="dxa"/>
            <w:vAlign w:val="bottom"/>
            <w:gridSpan w:val="2"/>
          </w:tcPr>
          <w:p>
            <w:pPr>
              <w:jc w:val="right"/>
              <w:ind w:right="80"/>
              <w:spacing w:after="0"/>
              <w:rPr>
                <w:sz w:val="20"/>
                <w:szCs w:val="20"/>
                <w:color w:val="auto"/>
              </w:rPr>
            </w:pPr>
            <w:r>
              <w:rPr>
                <w:rFonts w:ascii="Arial" w:cs="Arial" w:eastAsia="Arial" w:hAnsi="Arial"/>
                <w:sz w:val="18"/>
                <w:szCs w:val="18"/>
                <w:color w:val="auto"/>
              </w:rPr>
              <w:t>(58.0)</w:t>
            </w:r>
          </w:p>
        </w:tc>
        <w:tc>
          <w:tcPr>
            <w:tcW w:w="22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640" w:type="dxa"/>
            <w:vAlign w:val="bottom"/>
          </w:tcPr>
          <w:p>
            <w:pPr>
              <w:jc w:val="right"/>
              <w:spacing w:after="0"/>
              <w:rPr>
                <w:sz w:val="20"/>
                <w:szCs w:val="20"/>
                <w:color w:val="auto"/>
              </w:rPr>
            </w:pPr>
            <w:r>
              <w:rPr>
                <w:rFonts w:ascii="Arial" w:cs="Arial" w:eastAsia="Arial" w:hAnsi="Arial"/>
                <w:sz w:val="18"/>
                <w:szCs w:val="18"/>
                <w:b w:val="1"/>
                <w:bCs w:val="1"/>
                <w:color w:val="auto"/>
              </w:rPr>
              <w:t>590.3</w:t>
            </w: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630.3</w:t>
            </w:r>
          </w:p>
        </w:tc>
        <w:tc>
          <w:tcPr>
            <w:tcW w:w="140" w:type="dxa"/>
            <w:vAlign w:val="bottom"/>
          </w:tcPr>
          <w:p>
            <w:pPr>
              <w:spacing w:after="0"/>
              <w:rPr>
                <w:sz w:val="18"/>
                <w:szCs w:val="18"/>
                <w:color w:val="auto"/>
              </w:rPr>
            </w:pPr>
          </w:p>
        </w:tc>
        <w:tc>
          <w:tcPr>
            <w:tcW w:w="12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(40.0)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40" w:type="dxa"/>
            <w:vAlign w:val="bottom"/>
            <w:shd w:val="clear" w:color="auto" w:fill="CCEEFF"/>
          </w:tcPr>
          <w:p>
            <w:pPr>
              <w:ind w:left="120"/>
              <w:spacing w:after="0"/>
              <w:rPr>
                <w:sz w:val="20"/>
                <w:szCs w:val="20"/>
                <w:color w:val="auto"/>
              </w:rPr>
            </w:pPr>
            <w:r>
              <w:rPr>
                <w:rFonts w:ascii="Arial" w:cs="Arial" w:eastAsia="Arial" w:hAnsi="Arial"/>
                <w:sz w:val="18"/>
                <w:szCs w:val="18"/>
                <w:color w:val="auto"/>
              </w:rPr>
              <w:t>Fees and other revenues</w:t>
            </w: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432.3</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479.3</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(47.0)</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896.1</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939.3</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40" w:type="dxa"/>
            <w:vAlign w:val="bottom"/>
          </w:tcPr>
          <w:p>
            <w:pPr>
              <w:ind w:left="120"/>
              <w:spacing w:after="0"/>
              <w:rPr>
                <w:sz w:val="20"/>
                <w:szCs w:val="20"/>
                <w:color w:val="auto"/>
              </w:rPr>
            </w:pPr>
            <w:r>
              <w:rPr>
                <w:rFonts w:ascii="Arial" w:cs="Arial" w:eastAsia="Arial" w:hAnsi="Arial"/>
                <w:sz w:val="18"/>
                <w:szCs w:val="18"/>
                <w:color w:val="auto"/>
              </w:rPr>
              <w:t>Net investment income</w:t>
            </w: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b w:val="1"/>
                <w:bCs w:val="1"/>
                <w:color w:val="auto"/>
              </w:rPr>
              <w:t>437.6</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666.6</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gridSpan w:val="2"/>
          </w:tcPr>
          <w:p>
            <w:pPr>
              <w:jc w:val="right"/>
              <w:ind w:right="80"/>
              <w:spacing w:after="0"/>
              <w:rPr>
                <w:sz w:val="20"/>
                <w:szCs w:val="20"/>
                <w:color w:val="auto"/>
              </w:rPr>
            </w:pPr>
            <w:r>
              <w:rPr>
                <w:rFonts w:ascii="Arial" w:cs="Arial" w:eastAsia="Arial" w:hAnsi="Arial"/>
                <w:sz w:val="18"/>
                <w:szCs w:val="18"/>
                <w:color w:val="auto"/>
                <w:w w:val="91"/>
              </w:rPr>
              <w:t>(229.0)</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b w:val="1"/>
                <w:bCs w:val="1"/>
                <w:color w:val="auto"/>
                <w:w w:val="96"/>
              </w:rPr>
              <w:t>1,133.5</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w w:val="96"/>
              </w:rPr>
              <w:t>1,325.3</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w w:val="94"/>
              </w:rPr>
              <w:t>(191.8)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4640" w:type="dxa"/>
            <w:vAlign w:val="bottom"/>
            <w:tcBorders>
              <w:top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Total operating revenues</w:t>
            </w:r>
          </w:p>
        </w:tc>
        <w:tc>
          <w:tcPr>
            <w:tcW w:w="140" w:type="dxa"/>
            <w:vAlign w:val="bottom"/>
            <w:tcBorders>
              <w:top w:val="single" w:sz="8" w:color="auto"/>
            </w:tcBorders>
            <w:shd w:val="clear" w:color="auto" w:fill="CCEEFF"/>
          </w:tcPr>
          <w:p>
            <w:pPr>
              <w:spacing w:after="0"/>
              <w:rPr>
                <w:sz w:val="18"/>
                <w:szCs w:val="18"/>
                <w:color w:val="auto"/>
              </w:rPr>
            </w:pP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6"/>
              </w:rPr>
              <w:t>1,336.9</w:t>
            </w:r>
          </w:p>
        </w:tc>
        <w:tc>
          <w:tcPr>
            <w:tcW w:w="14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3"/>
              </w:rPr>
              <w:t>1,670.9</w:t>
            </w:r>
          </w:p>
        </w:tc>
        <w:tc>
          <w:tcPr>
            <w:tcW w:w="14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1"/>
              </w:rPr>
              <w:t>(334.0)</w:t>
            </w:r>
          </w:p>
        </w:tc>
        <w:tc>
          <w:tcPr>
            <w:tcW w:w="8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6"/>
              </w:rPr>
              <w:t>2,619.9</w:t>
            </w:r>
          </w:p>
        </w:tc>
        <w:tc>
          <w:tcPr>
            <w:tcW w:w="16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6"/>
              </w:rPr>
              <w:t>2,894.9</w:t>
            </w:r>
          </w:p>
        </w:tc>
        <w:tc>
          <w:tcPr>
            <w:tcW w:w="14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4"/>
              </w:rPr>
              <w:t>(275.0)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40" w:type="dxa"/>
            <w:vAlign w:val="bottom"/>
          </w:tcPr>
          <w:p>
            <w:pPr>
              <w:spacing w:after="0"/>
              <w:rPr>
                <w:sz w:val="20"/>
                <w:szCs w:val="20"/>
                <w:color w:val="auto"/>
              </w:rPr>
            </w:pPr>
            <w:r>
              <w:rPr>
                <w:rFonts w:ascii="Arial" w:cs="Arial" w:eastAsia="Arial" w:hAnsi="Arial"/>
                <w:sz w:val="18"/>
                <w:szCs w:val="18"/>
                <w:color w:val="auto"/>
              </w:rPr>
              <w:t>Expenses:</w:t>
            </w:r>
          </w:p>
        </w:tc>
        <w:tc>
          <w:tcPr>
            <w:tcW w:w="1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4640" w:type="dxa"/>
            <w:vAlign w:val="bottom"/>
            <w:shd w:val="clear" w:color="auto" w:fill="CCEEFF"/>
          </w:tcPr>
          <w:p>
            <w:pPr>
              <w:ind w:left="120"/>
              <w:spacing w:after="0" w:line="201" w:lineRule="exact"/>
              <w:rPr>
                <w:sz w:val="20"/>
                <w:szCs w:val="20"/>
                <w:color w:val="auto"/>
              </w:rPr>
            </w:pPr>
            <w:r>
              <w:rPr>
                <w:rFonts w:ascii="Arial" w:cs="Arial" w:eastAsia="Arial" w:hAnsi="Arial"/>
                <w:sz w:val="18"/>
                <w:szCs w:val="18"/>
                <w:color w:val="auto"/>
              </w:rPr>
              <w:t>Benefits, claims and settlement expenses, including</w:t>
            </w:r>
          </w:p>
        </w:tc>
        <w:tc>
          <w:tcPr>
            <w:tcW w:w="140" w:type="dxa"/>
            <w:vAlign w:val="bottom"/>
            <w:shd w:val="clear" w:color="auto" w:fill="CCEEFF"/>
          </w:tcPr>
          <w:p>
            <w:pPr>
              <w:spacing w:after="0"/>
              <w:rPr>
                <w:sz w:val="17"/>
                <w:szCs w:val="17"/>
                <w:color w:val="auto"/>
              </w:rPr>
            </w:pPr>
          </w:p>
        </w:tc>
        <w:tc>
          <w:tcPr>
            <w:tcW w:w="66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670.8</w:t>
            </w: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4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w w:val="96"/>
              </w:rPr>
              <w:t>1,177.7</w:t>
            </w: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4640" w:type="dxa"/>
            <w:vAlign w:val="bottom"/>
            <w:shd w:val="clear" w:color="auto" w:fill="CCEEFF"/>
          </w:tcPr>
          <w:p>
            <w:pPr>
              <w:ind w:left="240"/>
              <w:spacing w:after="0"/>
              <w:rPr>
                <w:sz w:val="20"/>
                <w:szCs w:val="20"/>
                <w:color w:val="auto"/>
              </w:rPr>
            </w:pPr>
            <w:r>
              <w:rPr>
                <w:rFonts w:ascii="Arial" w:cs="Arial" w:eastAsia="Arial" w:hAnsi="Arial"/>
                <w:sz w:val="18"/>
                <w:szCs w:val="18"/>
                <w:color w:val="auto"/>
              </w:rPr>
              <w:t>dividends to policyholders</w:t>
            </w:r>
          </w:p>
        </w:tc>
        <w:tc>
          <w:tcPr>
            <w:tcW w:w="140" w:type="dxa"/>
            <w:vAlign w:val="bottom"/>
            <w:shd w:val="clear" w:color="auto" w:fill="CCEEFF"/>
          </w:tcPr>
          <w:p>
            <w:pPr>
              <w:spacing w:after="0"/>
              <w:rPr>
                <w:sz w:val="20"/>
                <w:szCs w:val="20"/>
                <w:color w:val="auto"/>
              </w:rPr>
            </w:pPr>
          </w:p>
        </w:tc>
        <w:tc>
          <w:tcPr>
            <w:tcW w:w="660" w:type="dxa"/>
            <w:vAlign w:val="bottom"/>
            <w:vMerge w:val="continue"/>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934.0</w:t>
            </w:r>
          </w:p>
        </w:tc>
        <w:tc>
          <w:tcPr>
            <w:tcW w:w="14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6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91"/>
              </w:rPr>
              <w:t>(263.2)</w:t>
            </w:r>
          </w:p>
        </w:tc>
        <w:tc>
          <w:tcPr>
            <w:tcW w:w="8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640" w:type="dxa"/>
            <w:vAlign w:val="bottom"/>
            <w:vMerge w:val="continue"/>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6"/>
              </w:rPr>
              <w:t>1,418.3</w:t>
            </w:r>
          </w:p>
        </w:tc>
        <w:tc>
          <w:tcPr>
            <w:tcW w:w="14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(240.6)</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4640" w:type="dxa"/>
            <w:vAlign w:val="bottom"/>
          </w:tcPr>
          <w:p>
            <w:pPr>
              <w:ind w:left="120"/>
              <w:spacing w:after="0"/>
              <w:rPr>
                <w:sz w:val="20"/>
                <w:szCs w:val="20"/>
                <w:color w:val="auto"/>
              </w:rPr>
            </w:pPr>
            <w:r>
              <w:rPr>
                <w:rFonts w:ascii="Arial" w:cs="Arial" w:eastAsia="Arial" w:hAnsi="Arial"/>
                <w:sz w:val="18"/>
                <w:szCs w:val="18"/>
                <w:color w:val="auto"/>
              </w:rPr>
              <w:t>Operating expenses</w:t>
            </w: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b w:val="1"/>
                <w:bCs w:val="1"/>
                <w:color w:val="auto"/>
              </w:rPr>
              <w:t>410.2</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456.7</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gridSpan w:val="2"/>
          </w:tcPr>
          <w:p>
            <w:pPr>
              <w:jc w:val="right"/>
              <w:ind w:right="80"/>
              <w:spacing w:after="0"/>
              <w:rPr>
                <w:sz w:val="20"/>
                <w:szCs w:val="20"/>
                <w:color w:val="auto"/>
              </w:rPr>
            </w:pPr>
            <w:r>
              <w:rPr>
                <w:rFonts w:ascii="Arial" w:cs="Arial" w:eastAsia="Arial" w:hAnsi="Arial"/>
                <w:sz w:val="18"/>
                <w:szCs w:val="18"/>
                <w:color w:val="auto"/>
              </w:rPr>
              <w:t>(46.5)</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b w:val="1"/>
                <w:bCs w:val="1"/>
                <w:color w:val="auto"/>
              </w:rPr>
              <w:t>868.4</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908.4</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(40.0)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4640" w:type="dxa"/>
            <w:vAlign w:val="bottom"/>
            <w:tcBorders>
              <w:top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Total expenses</w:t>
            </w:r>
          </w:p>
        </w:tc>
        <w:tc>
          <w:tcPr>
            <w:tcW w:w="140" w:type="dxa"/>
            <w:vAlign w:val="bottom"/>
            <w:tcBorders>
              <w:top w:val="single" w:sz="8" w:color="auto"/>
              <w:bottom w:val="single" w:sz="8" w:color="auto"/>
            </w:tcBorders>
            <w:shd w:val="clear" w:color="auto" w:fill="CCEEFF"/>
          </w:tcPr>
          <w:p>
            <w:pPr>
              <w:spacing w:after="0"/>
              <w:rPr>
                <w:sz w:val="18"/>
                <w:szCs w:val="18"/>
                <w:color w:val="auto"/>
              </w:rPr>
            </w:pP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6"/>
              </w:rPr>
              <w:t>1,081.0</w:t>
            </w:r>
          </w:p>
        </w:tc>
        <w:tc>
          <w:tcPr>
            <w:tcW w:w="14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spacing w:after="0"/>
              <w:rPr>
                <w:sz w:val="18"/>
                <w:szCs w:val="18"/>
                <w:color w:val="auto"/>
              </w:rPr>
            </w:pP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3"/>
              </w:rPr>
              <w:t>1,390.7</w:t>
            </w:r>
          </w:p>
        </w:tc>
        <w:tc>
          <w:tcPr>
            <w:tcW w:w="14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spacing w:after="0"/>
              <w:rPr>
                <w:sz w:val="18"/>
                <w:szCs w:val="18"/>
                <w:color w:val="auto"/>
              </w:rPr>
            </w:pPr>
          </w:p>
        </w:tc>
        <w:tc>
          <w:tcPr>
            <w:tcW w:w="5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1"/>
              </w:rPr>
              <w:t>(309.7)</w:t>
            </w:r>
          </w:p>
        </w:tc>
        <w:tc>
          <w:tcPr>
            <w:tcW w:w="8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spacing w:after="0"/>
              <w:rPr>
                <w:sz w:val="18"/>
                <w:szCs w:val="18"/>
                <w:color w:val="auto"/>
              </w:rPr>
            </w:pP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6"/>
              </w:rPr>
              <w:t>2,046.1</w:t>
            </w:r>
          </w:p>
        </w:tc>
        <w:tc>
          <w:tcPr>
            <w:tcW w:w="16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spacing w:after="0"/>
              <w:rPr>
                <w:sz w:val="18"/>
                <w:szCs w:val="18"/>
                <w:color w:val="auto"/>
              </w:rPr>
            </w:pP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6"/>
              </w:rPr>
              <w:t>2,326.7</w:t>
            </w:r>
          </w:p>
        </w:tc>
        <w:tc>
          <w:tcPr>
            <w:tcW w:w="14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5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4"/>
              </w:rPr>
              <w:t>(280.6)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640" w:type="dxa"/>
            <w:vAlign w:val="bottom"/>
          </w:tcPr>
          <w:p>
            <w:pPr>
              <w:spacing w:after="0"/>
              <w:rPr>
                <w:sz w:val="20"/>
                <w:szCs w:val="20"/>
                <w:color w:val="auto"/>
              </w:rPr>
            </w:pPr>
            <w:r>
              <w:rPr>
                <w:rFonts w:ascii="Arial" w:cs="Arial" w:eastAsia="Arial" w:hAnsi="Arial"/>
                <w:sz w:val="18"/>
                <w:szCs w:val="18"/>
                <w:color w:val="auto"/>
              </w:rPr>
              <w:t>Pre-tax operating earnings</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255.9</w:t>
            </w:r>
          </w:p>
        </w:tc>
        <w:tc>
          <w:tcPr>
            <w:tcW w:w="140" w:type="dxa"/>
            <w:vAlign w:val="bottom"/>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280.2</w:t>
            </w:r>
          </w:p>
        </w:tc>
        <w:tc>
          <w:tcPr>
            <w:tcW w:w="14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(24.3)</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573.8</w:t>
            </w:r>
          </w:p>
        </w:tc>
        <w:tc>
          <w:tcPr>
            <w:tcW w:w="16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568.2</w:t>
            </w:r>
          </w:p>
        </w:tc>
        <w:tc>
          <w:tcPr>
            <w:tcW w:w="14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6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Three Months Ended June 30, 2022 Compared to Three Months Ended June 30, 2021</w:t>
      </w:r>
    </w:p>
    <w:p>
      <w:pPr>
        <w:spacing w:after="0" w:line="221"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Pre-Tax Operating Earnings</w:t>
      </w:r>
    </w:p>
    <w:p>
      <w:pPr>
        <w:spacing w:after="0" w:line="229" w:lineRule="exact"/>
        <w:rPr>
          <w:sz w:val="20"/>
          <w:szCs w:val="20"/>
          <w:color w:val="auto"/>
        </w:rPr>
      </w:pPr>
    </w:p>
    <w:p>
      <w:pPr>
        <w:jc w:val="both"/>
        <w:ind w:right="20" w:firstLine="648"/>
        <w:spacing w:after="0" w:line="263" w:lineRule="auto"/>
        <w:rPr>
          <w:sz w:val="20"/>
          <w:szCs w:val="20"/>
          <w:color w:val="auto"/>
        </w:rPr>
      </w:pPr>
      <w:r>
        <w:rPr>
          <w:rFonts w:ascii="Arial" w:cs="Arial" w:eastAsia="Arial" w:hAnsi="Arial"/>
          <w:sz w:val="18"/>
          <w:szCs w:val="18"/>
          <w:color w:val="auto"/>
        </w:rPr>
        <w:t>Pre-tax operating earnings decreased in our Fee business primarily due to a decrease in net revenue partially offset by a decrease in operating expenses as described below. Pre-tax operating earnings decreased in our Spread business primarily due to a decrease in net revenue partially offset by a decrease in operating expenses as described below.</w:t>
      </w:r>
    </w:p>
    <w:p>
      <w:pPr>
        <w:spacing w:after="0" w:line="180"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Net Revenue</w:t>
      </w:r>
    </w:p>
    <w:p>
      <w:pPr>
        <w:spacing w:after="0" w:line="229" w:lineRule="exact"/>
        <w:rPr>
          <w:sz w:val="20"/>
          <w:szCs w:val="20"/>
          <w:color w:val="auto"/>
        </w:rPr>
      </w:pPr>
    </w:p>
    <w:p>
      <w:pPr>
        <w:ind w:right="140" w:firstLine="648"/>
        <w:spacing w:after="0" w:line="255" w:lineRule="auto"/>
        <w:rPr>
          <w:sz w:val="20"/>
          <w:szCs w:val="20"/>
          <w:color w:val="auto"/>
        </w:rPr>
      </w:pPr>
      <w:r>
        <w:rPr>
          <w:rFonts w:ascii="Arial" w:cs="Arial" w:eastAsia="Arial" w:hAnsi="Arial"/>
          <w:sz w:val="18"/>
          <w:szCs w:val="18"/>
          <w:color w:val="auto"/>
        </w:rPr>
        <w:t>Net revenue decreased in our Fee business primarily due to a $44.8 million decrease in fee revenue primarily resulting from declining financial markets. This decrease was partially offset by a $13.6 million increase stemming from revenue associated with our Principal Deposit Sweep program resulting from increased deposits and a $7.6 million increase in variable investment income. Net revenue decreased in our Spread business primarily due to a $99.8 million decrease resulting from the impacts of our exited individual fixed annuity business. This decrease was partially offset by a $32.5 million increase in variable investment income and a $15.1 million increase due to higher net yields.</w:t>
      </w:r>
    </w:p>
    <w:p>
      <w:pPr>
        <w:spacing w:after="0" w:line="188"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Operating Expenses</w:t>
      </w:r>
    </w:p>
    <w:p>
      <w:pPr>
        <w:spacing w:after="0" w:line="229" w:lineRule="exact"/>
        <w:rPr>
          <w:sz w:val="20"/>
          <w:szCs w:val="20"/>
          <w:color w:val="auto"/>
        </w:rPr>
      </w:pPr>
    </w:p>
    <w:p>
      <w:pPr>
        <w:ind w:right="320" w:firstLine="648"/>
        <w:spacing w:after="0" w:line="255" w:lineRule="auto"/>
        <w:rPr>
          <w:sz w:val="20"/>
          <w:szCs w:val="20"/>
          <w:color w:val="auto"/>
        </w:rPr>
      </w:pPr>
      <w:r>
        <w:rPr>
          <w:rFonts w:ascii="Arial" w:cs="Arial" w:eastAsia="Arial" w:hAnsi="Arial"/>
          <w:sz w:val="18"/>
          <w:szCs w:val="18"/>
          <w:color w:val="auto"/>
        </w:rPr>
        <w:t>Operating expenses decreased in our Fee business primarily due to a $20.2 million decrease in expenses associated with the integration of the Institutional Retirement &amp; Trust business of Wells Fargo Bank, N.A. (“Acquired Business”) and an $8.8 million decrease in nondeferrable asset-based commission expense stemming from declining equity markets. These decreases were partially offset by a $17.8 million increase in DAC amortization expense resulting from unfavorable market performance in 2022 compared to favorable in 2021. Operating expenses decreased $31.8 million in our Spread business primarily due to the impacts of our exited individual fixed annuity business.</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Six Months Ended June 30, 2022 Compared to Six Months Ended June 30, 2021</w:t>
      </w:r>
    </w:p>
    <w:p>
      <w:pPr>
        <w:spacing w:after="0" w:line="221"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Pre-Tax Operating Earnings</w:t>
      </w:r>
    </w:p>
    <w:p>
      <w:pPr>
        <w:spacing w:after="0" w:line="229" w:lineRule="exact"/>
        <w:rPr>
          <w:sz w:val="20"/>
          <w:szCs w:val="20"/>
          <w:color w:val="auto"/>
        </w:rPr>
      </w:pPr>
    </w:p>
    <w:p>
      <w:pPr>
        <w:ind w:right="160" w:firstLine="648"/>
        <w:spacing w:after="0" w:line="263" w:lineRule="auto"/>
        <w:rPr>
          <w:sz w:val="20"/>
          <w:szCs w:val="20"/>
          <w:color w:val="auto"/>
        </w:rPr>
      </w:pPr>
      <w:r>
        <w:rPr>
          <w:rFonts w:ascii="Arial" w:cs="Arial" w:eastAsia="Arial" w:hAnsi="Arial"/>
          <w:sz w:val="18"/>
          <w:szCs w:val="18"/>
          <w:color w:val="auto"/>
        </w:rPr>
        <w:t>Pre-tax operating earnings decreased in our Fee business due to the changes in net revenue and operating expenses described below. Pre-tax operating earnings increased in our Spread business primarily due to a decrease in operating expenses largely offset by a decrease in net revenue as described below.</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603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97" w:name="page98"/>
    <w:bookmarkEnd w:id="97"/>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5"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Net Revenue</w:t>
      </w:r>
    </w:p>
    <w:p>
      <w:pPr>
        <w:spacing w:after="0" w:line="229" w:lineRule="exact"/>
        <w:rPr>
          <w:sz w:val="20"/>
          <w:szCs w:val="20"/>
          <w:color w:val="auto"/>
        </w:rPr>
      </w:pPr>
    </w:p>
    <w:p>
      <w:pPr>
        <w:ind w:right="120" w:firstLine="648"/>
        <w:spacing w:after="0" w:line="255" w:lineRule="auto"/>
        <w:rPr>
          <w:sz w:val="20"/>
          <w:szCs w:val="20"/>
          <w:color w:val="auto"/>
        </w:rPr>
      </w:pPr>
      <w:r>
        <w:rPr>
          <w:rFonts w:ascii="Arial" w:cs="Arial" w:eastAsia="Arial" w:hAnsi="Arial"/>
          <w:sz w:val="18"/>
          <w:szCs w:val="18"/>
          <w:color w:val="auto"/>
        </w:rPr>
        <w:t>Net revenue decreased in our Fee business primarily due to a $40.4 million decrease in fee revenue primarily resulting from declining financial markets. These changes were partially offset by a $24.8 million increase stemming from revenue associated with our Principal Deposit Sweep program resulting from increased deposits and a $8.2 million increase in variable investment income. Net revenue decreased in our Spread business primarily due to a $148.2 million decrease resulting from the impacts of our exited individual fixed annuity business. This decrease was partially offset by a $79.1 million increase in variable investment income and a $32.6 million increase due to higher net yields.</w:t>
      </w:r>
    </w:p>
    <w:p>
      <w:pPr>
        <w:spacing w:after="0" w:line="188"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Operating Expenses</w:t>
      </w:r>
    </w:p>
    <w:p>
      <w:pPr>
        <w:spacing w:after="0" w:line="229" w:lineRule="exact"/>
        <w:rPr>
          <w:sz w:val="20"/>
          <w:szCs w:val="20"/>
          <w:color w:val="auto"/>
        </w:rPr>
      </w:pPr>
    </w:p>
    <w:p>
      <w:pPr>
        <w:ind w:right="200" w:firstLine="648"/>
        <w:spacing w:after="0" w:line="259" w:lineRule="auto"/>
        <w:rPr>
          <w:sz w:val="20"/>
          <w:szCs w:val="20"/>
          <w:color w:val="auto"/>
        </w:rPr>
      </w:pPr>
      <w:r>
        <w:rPr>
          <w:rFonts w:ascii="Arial" w:cs="Arial" w:eastAsia="Arial" w:hAnsi="Arial"/>
          <w:sz w:val="18"/>
          <w:szCs w:val="18"/>
          <w:color w:val="auto"/>
        </w:rPr>
        <w:t>Operating expenses were flat in our Fee business primarily due to a $32.8 million increase in DAC amortization expense resulting from unfavorable market performance in 2022 compared to favorable in 2021 offset by a $29.6 million decrease in expenses associated with the integration of the Acquired Business. Operating expenses decreased $40.1 million in our Spread business primarily due to the impacts of our exited individual fixed annuity business.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Principal Global Investors Segment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Principal Global Investors Segment Summary Financial Data</w:t>
      </w:r>
    </w:p>
    <w:p>
      <w:pPr>
        <w:spacing w:after="0" w:line="225" w:lineRule="exact"/>
        <w:rPr>
          <w:sz w:val="20"/>
          <w:szCs w:val="20"/>
          <w:color w:val="auto"/>
        </w:rPr>
      </w:pPr>
    </w:p>
    <w:p>
      <w:pPr>
        <w:ind w:right="60" w:firstLine="648"/>
        <w:spacing w:after="0" w:line="279" w:lineRule="auto"/>
        <w:rPr>
          <w:sz w:val="20"/>
          <w:szCs w:val="20"/>
          <w:color w:val="auto"/>
        </w:rPr>
      </w:pPr>
      <w:r>
        <w:rPr>
          <w:rFonts w:ascii="Arial" w:cs="Arial" w:eastAsia="Arial" w:hAnsi="Arial"/>
          <w:sz w:val="17"/>
          <w:szCs w:val="17"/>
          <w:color w:val="auto"/>
        </w:rPr>
        <w:t>AUM is the base by which we generate management fee revenues. Market performance and net cash flow are the two main drivers of AUM growth. Market performance reflects equity, fixed income, real estate and other alternative investment performance. Net cash flow reflects client deposits and withdrawals. The fee levels on these client deposits and withdrawals are increasingly becoming the more important factor to revenue growth and will vary widely based on business and/or product mix.</w:t>
      </w:r>
    </w:p>
    <w:p>
      <w:pPr>
        <w:spacing w:after="0" w:line="171"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following table presents the AUM rollforward for assets managed by Principal Global Investors for the periods indicated:</w:t>
      </w:r>
    </w:p>
    <w:p>
      <w:pPr>
        <w:spacing w:after="0" w:line="253"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480" w:type="dxa"/>
            <w:vAlign w:val="bottom"/>
          </w:tcPr>
          <w:p>
            <w:pPr>
              <w:spacing w:after="0"/>
              <w:rPr>
                <w:sz w:val="14"/>
                <w:szCs w:val="14"/>
                <w:color w:val="auto"/>
              </w:rPr>
            </w:pPr>
          </w:p>
        </w:tc>
        <w:tc>
          <w:tcPr>
            <w:tcW w:w="2820" w:type="dxa"/>
            <w:vAlign w:val="bottom"/>
          </w:tcPr>
          <w:p>
            <w:pPr>
              <w:spacing w:after="0"/>
              <w:rPr>
                <w:sz w:val="14"/>
                <w:szCs w:val="14"/>
                <w:color w:val="auto"/>
              </w:rPr>
            </w:pPr>
          </w:p>
        </w:tc>
        <w:tc>
          <w:tcPr>
            <w:tcW w:w="2440" w:type="dxa"/>
            <w:vAlign w:val="bottom"/>
            <w:gridSpan w:val="7"/>
          </w:tcPr>
          <w:p>
            <w:pPr>
              <w:spacing w:after="0"/>
              <w:rPr>
                <w:sz w:val="20"/>
                <w:szCs w:val="20"/>
                <w:color w:val="auto"/>
              </w:rPr>
            </w:pPr>
            <w:r>
              <w:rPr>
                <w:rFonts w:ascii="Arial" w:cs="Arial" w:eastAsia="Arial" w:hAnsi="Arial"/>
                <w:sz w:val="14"/>
                <w:szCs w:val="14"/>
                <w:b w:val="1"/>
                <w:bCs w:val="1"/>
                <w:color w:val="auto"/>
                <w:w w:val="98"/>
              </w:rPr>
              <w:t>For the three months ended June 30,</w:t>
            </w:r>
          </w:p>
        </w:tc>
        <w:tc>
          <w:tcPr>
            <w:tcW w:w="2180" w:type="dxa"/>
            <w:vAlign w:val="bottom"/>
            <w:gridSpan w:val="6"/>
          </w:tcPr>
          <w:p>
            <w:pPr>
              <w:ind w:left="20"/>
              <w:spacing w:after="0"/>
              <w:rPr>
                <w:sz w:val="20"/>
                <w:szCs w:val="20"/>
                <w:color w:val="auto"/>
              </w:rPr>
            </w:pPr>
            <w:r>
              <w:rPr>
                <w:rFonts w:ascii="Arial" w:cs="Arial" w:eastAsia="Arial" w:hAnsi="Arial"/>
                <w:sz w:val="14"/>
                <w:szCs w:val="14"/>
                <w:b w:val="1"/>
                <w:bCs w:val="1"/>
                <w:color w:val="auto"/>
                <w:w w:val="92"/>
              </w:rPr>
              <w:t>For the six months ended June 30,</w:t>
            </w:r>
          </w:p>
        </w:tc>
      </w:tr>
      <w:tr>
        <w:trPr>
          <w:trHeight w:val="142"/>
        </w:trPr>
        <w:tc>
          <w:tcPr>
            <w:tcW w:w="2480" w:type="dxa"/>
            <w:vAlign w:val="bottom"/>
          </w:tcPr>
          <w:p>
            <w:pPr>
              <w:spacing w:after="0"/>
              <w:rPr>
                <w:sz w:val="12"/>
                <w:szCs w:val="12"/>
                <w:color w:val="auto"/>
              </w:rPr>
            </w:pPr>
          </w:p>
        </w:tc>
        <w:tc>
          <w:tcPr>
            <w:tcW w:w="2820" w:type="dxa"/>
            <w:vAlign w:val="bottom"/>
          </w:tcPr>
          <w:p>
            <w:pPr>
              <w:spacing w:after="0"/>
              <w:rPr>
                <w:sz w:val="12"/>
                <w:szCs w:val="12"/>
                <w:color w:val="auto"/>
              </w:rPr>
            </w:pPr>
          </w:p>
        </w:tc>
        <w:tc>
          <w:tcPr>
            <w:tcW w:w="240" w:type="dxa"/>
            <w:vAlign w:val="bottom"/>
            <w:tcBorders>
              <w:top w:val="single" w:sz="8" w:color="auto"/>
              <w:bottom w:val="single" w:sz="8" w:color="auto"/>
            </w:tcBorders>
          </w:tcPr>
          <w:p>
            <w:pPr>
              <w:spacing w:after="0"/>
              <w:rPr>
                <w:sz w:val="12"/>
                <w:szCs w:val="12"/>
                <w:color w:val="auto"/>
              </w:rPr>
            </w:pPr>
          </w:p>
        </w:tc>
        <w:tc>
          <w:tcPr>
            <w:tcW w:w="820" w:type="dxa"/>
            <w:vAlign w:val="bottom"/>
            <w:tcBorders>
              <w:top w:val="single" w:sz="8" w:color="auto"/>
              <w:bottom w:val="single" w:sz="8" w:color="auto"/>
            </w:tcBorders>
          </w:tcPr>
          <w:p>
            <w:pPr>
              <w:jc w:val="right"/>
              <w:ind w:right="292"/>
              <w:spacing w:after="0" w:line="142" w:lineRule="exact"/>
              <w:rPr>
                <w:sz w:val="20"/>
                <w:szCs w:val="20"/>
                <w:color w:val="auto"/>
              </w:rPr>
            </w:pPr>
            <w:r>
              <w:rPr>
                <w:rFonts w:ascii="Arial" w:cs="Arial" w:eastAsia="Arial" w:hAnsi="Arial"/>
                <w:sz w:val="14"/>
                <w:szCs w:val="14"/>
                <w:b w:val="1"/>
                <w:bCs w:val="1"/>
                <w:color w:val="auto"/>
              </w:rPr>
              <w:t>2022</w:t>
            </w:r>
          </w:p>
        </w:tc>
        <w:tc>
          <w:tcPr>
            <w:tcW w:w="8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240" w:type="dxa"/>
            <w:vAlign w:val="bottom"/>
            <w:tcBorders>
              <w:top w:val="single" w:sz="8" w:color="auto"/>
              <w:bottom w:val="single" w:sz="8" w:color="auto"/>
            </w:tcBorders>
          </w:tcPr>
          <w:p>
            <w:pPr>
              <w:spacing w:after="0"/>
              <w:rPr>
                <w:sz w:val="12"/>
                <w:szCs w:val="12"/>
                <w:color w:val="auto"/>
              </w:rPr>
            </w:pPr>
          </w:p>
        </w:tc>
        <w:tc>
          <w:tcPr>
            <w:tcW w:w="820" w:type="dxa"/>
            <w:vAlign w:val="bottom"/>
            <w:tcBorders>
              <w:top w:val="single" w:sz="8" w:color="auto"/>
              <w:bottom w:val="single" w:sz="8" w:color="auto"/>
            </w:tcBorders>
          </w:tcPr>
          <w:p>
            <w:pPr>
              <w:jc w:val="right"/>
              <w:ind w:right="294"/>
              <w:spacing w:after="0" w:line="142" w:lineRule="exact"/>
              <w:rPr>
                <w:sz w:val="20"/>
                <w:szCs w:val="20"/>
                <w:color w:val="auto"/>
              </w:rPr>
            </w:pPr>
            <w:r>
              <w:rPr>
                <w:rFonts w:ascii="Arial" w:cs="Arial" w:eastAsia="Arial" w:hAnsi="Arial"/>
                <w:sz w:val="14"/>
                <w:szCs w:val="14"/>
                <w:b w:val="1"/>
                <w:bCs w:val="1"/>
                <w:color w:val="auto"/>
              </w:rPr>
              <w:t>2021</w:t>
            </w:r>
          </w:p>
        </w:tc>
        <w:tc>
          <w:tcPr>
            <w:tcW w:w="140" w:type="dxa"/>
            <w:vAlign w:val="bottom"/>
          </w:tcPr>
          <w:p>
            <w:pPr>
              <w:spacing w:after="0"/>
              <w:rPr>
                <w:sz w:val="12"/>
                <w:szCs w:val="12"/>
                <w:color w:val="auto"/>
              </w:rPr>
            </w:pPr>
          </w:p>
        </w:tc>
        <w:tc>
          <w:tcPr>
            <w:tcW w:w="280" w:type="dxa"/>
            <w:vAlign w:val="bottom"/>
            <w:tcBorders>
              <w:top w:val="single" w:sz="8" w:color="auto"/>
              <w:bottom w:val="single" w:sz="8" w:color="auto"/>
            </w:tcBorders>
          </w:tcPr>
          <w:p>
            <w:pPr>
              <w:spacing w:after="0"/>
              <w:rPr>
                <w:sz w:val="12"/>
                <w:szCs w:val="12"/>
                <w:color w:val="auto"/>
              </w:rPr>
            </w:pPr>
          </w:p>
        </w:tc>
        <w:tc>
          <w:tcPr>
            <w:tcW w:w="720" w:type="dxa"/>
            <w:vAlign w:val="bottom"/>
            <w:tcBorders>
              <w:top w:val="single" w:sz="8" w:color="auto"/>
              <w:bottom w:val="single" w:sz="8" w:color="auto"/>
            </w:tcBorders>
          </w:tcPr>
          <w:p>
            <w:pPr>
              <w:jc w:val="right"/>
              <w:ind w:right="272"/>
              <w:spacing w:after="0" w:line="142" w:lineRule="exact"/>
              <w:rPr>
                <w:sz w:val="20"/>
                <w:szCs w:val="20"/>
                <w:color w:val="auto"/>
              </w:rPr>
            </w:pPr>
            <w:r>
              <w:rPr>
                <w:rFonts w:ascii="Arial" w:cs="Arial" w:eastAsia="Arial" w:hAnsi="Arial"/>
                <w:sz w:val="14"/>
                <w:szCs w:val="14"/>
                <w:b w:val="1"/>
                <w:bCs w:val="1"/>
                <w:color w:val="auto"/>
              </w:rPr>
              <w:t>2022</w:t>
            </w:r>
          </w:p>
        </w:tc>
        <w:tc>
          <w:tcPr>
            <w:tcW w:w="10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220" w:type="dxa"/>
            <w:vAlign w:val="bottom"/>
            <w:tcBorders>
              <w:top w:val="single" w:sz="8" w:color="auto"/>
              <w:bottom w:val="single" w:sz="8" w:color="auto"/>
            </w:tcBorders>
          </w:tcPr>
          <w:p>
            <w:pPr>
              <w:spacing w:after="0"/>
              <w:rPr>
                <w:sz w:val="12"/>
                <w:szCs w:val="12"/>
                <w:color w:val="auto"/>
              </w:rPr>
            </w:pPr>
          </w:p>
        </w:tc>
        <w:tc>
          <w:tcPr>
            <w:tcW w:w="780" w:type="dxa"/>
            <w:vAlign w:val="bottom"/>
            <w:tcBorders>
              <w:top w:val="single" w:sz="8" w:color="auto"/>
              <w:bottom w:val="single" w:sz="8" w:color="auto"/>
            </w:tcBorders>
          </w:tcPr>
          <w:p>
            <w:pPr>
              <w:jc w:val="right"/>
              <w:ind w:right="272"/>
              <w:spacing w:after="0" w:line="142" w:lineRule="exact"/>
              <w:rPr>
                <w:sz w:val="20"/>
                <w:szCs w:val="20"/>
                <w:color w:val="auto"/>
              </w:rPr>
            </w:pPr>
            <w:r>
              <w:rPr>
                <w:rFonts w:ascii="Arial" w:cs="Arial" w:eastAsia="Arial" w:hAnsi="Arial"/>
                <w:sz w:val="14"/>
                <w:szCs w:val="14"/>
                <w:b w:val="1"/>
                <w:bCs w:val="1"/>
                <w:color w:val="auto"/>
              </w:rPr>
              <w:t>2021</w:t>
            </w:r>
          </w:p>
        </w:tc>
      </w:tr>
      <w:tr>
        <w:trPr>
          <w:trHeight w:val="128"/>
        </w:trPr>
        <w:tc>
          <w:tcPr>
            <w:tcW w:w="2480" w:type="dxa"/>
            <w:vAlign w:val="bottom"/>
          </w:tcPr>
          <w:p>
            <w:pPr>
              <w:spacing w:after="0"/>
              <w:rPr>
                <w:sz w:val="11"/>
                <w:szCs w:val="11"/>
                <w:color w:val="auto"/>
              </w:rPr>
            </w:pPr>
          </w:p>
        </w:tc>
        <w:tc>
          <w:tcPr>
            <w:tcW w:w="28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40" w:type="dxa"/>
            <w:vAlign w:val="bottom"/>
            <w:gridSpan w:val="3"/>
          </w:tcPr>
          <w:p>
            <w:pPr>
              <w:ind w:left="500"/>
              <w:spacing w:after="0" w:line="129" w:lineRule="exact"/>
              <w:rPr>
                <w:sz w:val="20"/>
                <w:szCs w:val="20"/>
                <w:color w:val="auto"/>
              </w:rPr>
            </w:pPr>
            <w:r>
              <w:rPr>
                <w:rFonts w:ascii="Arial" w:cs="Arial" w:eastAsia="Arial" w:hAnsi="Arial"/>
                <w:sz w:val="14"/>
                <w:szCs w:val="14"/>
                <w:i w:val="1"/>
                <w:iCs w:val="1"/>
                <w:color w:val="auto"/>
              </w:rPr>
              <w:t>(in billions)</w:t>
            </w: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80" w:type="dxa"/>
            <w:vAlign w:val="bottom"/>
          </w:tcPr>
          <w:p>
            <w:pPr>
              <w:spacing w:after="0"/>
              <w:rPr>
                <w:sz w:val="11"/>
                <w:szCs w:val="11"/>
                <w:color w:val="auto"/>
              </w:rPr>
            </w:pPr>
          </w:p>
        </w:tc>
      </w:tr>
      <w:tr>
        <w:trPr>
          <w:trHeight w:val="216"/>
        </w:trPr>
        <w:tc>
          <w:tcPr>
            <w:tcW w:w="2480" w:type="dxa"/>
            <w:vAlign w:val="bottom"/>
            <w:shd w:val="clear" w:color="auto" w:fill="CCEEFF"/>
          </w:tcPr>
          <w:p>
            <w:pPr>
              <w:spacing w:after="0"/>
              <w:rPr>
                <w:sz w:val="20"/>
                <w:szCs w:val="20"/>
                <w:color w:val="auto"/>
              </w:rPr>
            </w:pPr>
            <w:r>
              <w:rPr>
                <w:rFonts w:ascii="Arial" w:cs="Arial" w:eastAsia="Arial" w:hAnsi="Arial"/>
                <w:sz w:val="18"/>
                <w:szCs w:val="18"/>
                <w:color w:val="auto"/>
              </w:rPr>
              <w:t>AUM, beginning of period</w:t>
            </w:r>
          </w:p>
        </w:tc>
        <w:tc>
          <w:tcPr>
            <w:tcW w:w="3060" w:type="dxa"/>
            <w:vAlign w:val="bottom"/>
            <w:gridSpan w:val="2"/>
            <w:shd w:val="clear" w:color="auto" w:fill="CCEEFF"/>
          </w:tcPr>
          <w:p>
            <w:pPr>
              <w:ind w:left="2820"/>
              <w:spacing w:after="0"/>
              <w:rPr>
                <w:sz w:val="20"/>
                <w:szCs w:val="20"/>
                <w:color w:val="auto"/>
              </w:rPr>
            </w:pPr>
            <w:r>
              <w:rPr>
                <w:rFonts w:ascii="Arial" w:cs="Arial" w:eastAsia="Arial" w:hAnsi="Arial"/>
                <w:sz w:val="18"/>
                <w:szCs w:val="18"/>
                <w:b w:val="1"/>
                <w:bCs w:val="1"/>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537.4</w:t>
            </w:r>
          </w:p>
        </w:tc>
        <w:tc>
          <w:tcPr>
            <w:tcW w:w="80" w:type="dxa"/>
            <w:vAlign w:val="bottom"/>
            <w:shd w:val="clear" w:color="auto" w:fill="CCEEFF"/>
          </w:tcPr>
          <w:p>
            <w:pPr>
              <w:spacing w:after="0"/>
              <w:rPr>
                <w:sz w:val="18"/>
                <w:szCs w:val="18"/>
                <w:color w:val="auto"/>
              </w:rPr>
            </w:pPr>
          </w:p>
        </w:tc>
        <w:tc>
          <w:tcPr>
            <w:tcW w:w="340" w:type="dxa"/>
            <w:vAlign w:val="bottom"/>
            <w:gridSpan w:val="2"/>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507.7</w:t>
            </w:r>
          </w:p>
        </w:tc>
        <w:tc>
          <w:tcPr>
            <w:tcW w:w="1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546.5</w:t>
            </w:r>
          </w:p>
        </w:tc>
        <w:tc>
          <w:tcPr>
            <w:tcW w:w="100" w:type="dxa"/>
            <w:vAlign w:val="bottom"/>
            <w:shd w:val="clear" w:color="auto" w:fill="CCEEFF"/>
          </w:tcPr>
          <w:p>
            <w:pPr>
              <w:spacing w:after="0"/>
              <w:rPr>
                <w:sz w:val="18"/>
                <w:szCs w:val="18"/>
                <w:color w:val="auto"/>
              </w:rPr>
            </w:pPr>
          </w:p>
        </w:tc>
        <w:tc>
          <w:tcPr>
            <w:tcW w:w="300" w:type="dxa"/>
            <w:vAlign w:val="bottom"/>
            <w:gridSpan w:val="2"/>
            <w:shd w:val="clear" w:color="auto" w:fill="CCEEFF"/>
          </w:tcPr>
          <w:p>
            <w:pPr>
              <w:jc w:val="right"/>
              <w:ind w:right="67"/>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502.1</w:t>
            </w:r>
          </w:p>
        </w:tc>
      </w:tr>
      <w:tr>
        <w:trPr>
          <w:trHeight w:val="216"/>
        </w:trPr>
        <w:tc>
          <w:tcPr>
            <w:tcW w:w="2480" w:type="dxa"/>
            <w:vAlign w:val="bottom"/>
          </w:tcPr>
          <w:p>
            <w:pPr>
              <w:ind w:left="120"/>
              <w:spacing w:after="0"/>
              <w:rPr>
                <w:sz w:val="20"/>
                <w:szCs w:val="20"/>
                <w:color w:val="auto"/>
              </w:rPr>
            </w:pPr>
            <w:r>
              <w:rPr>
                <w:rFonts w:ascii="Arial" w:cs="Arial" w:eastAsia="Arial" w:hAnsi="Arial"/>
                <w:sz w:val="18"/>
                <w:szCs w:val="18"/>
                <w:color w:val="auto"/>
              </w:rPr>
              <w:t>Net cash flow</w:t>
            </w:r>
          </w:p>
        </w:tc>
        <w:tc>
          <w:tcPr>
            <w:tcW w:w="28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b w:val="1"/>
                <w:bCs w:val="1"/>
                <w:color w:val="auto"/>
              </w:rPr>
              <w:t>1.4</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1.6</w:t>
            </w: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rPr>
              <w:t>4.6</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1.1</w:t>
            </w:r>
          </w:p>
        </w:tc>
      </w:tr>
      <w:tr>
        <w:trPr>
          <w:trHeight w:val="216"/>
        </w:trPr>
        <w:tc>
          <w:tcPr>
            <w:tcW w:w="24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Investment performance</w:t>
            </w:r>
          </w:p>
        </w:tc>
        <w:tc>
          <w:tcPr>
            <w:tcW w:w="28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(48.1)</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23.3</w:t>
            </w:r>
          </w:p>
        </w:tc>
        <w:tc>
          <w:tcPr>
            <w:tcW w:w="1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(77.2)</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29.8</w:t>
            </w:r>
          </w:p>
        </w:tc>
      </w:tr>
      <w:tr>
        <w:trPr>
          <w:trHeight w:val="216"/>
        </w:trPr>
        <w:tc>
          <w:tcPr>
            <w:tcW w:w="2480" w:type="dxa"/>
            <w:vAlign w:val="bottom"/>
          </w:tcPr>
          <w:p>
            <w:pPr>
              <w:ind w:left="120"/>
              <w:spacing w:after="0"/>
              <w:rPr>
                <w:sz w:val="20"/>
                <w:szCs w:val="20"/>
                <w:color w:val="auto"/>
              </w:rPr>
            </w:pPr>
            <w:r>
              <w:rPr>
                <w:rFonts w:ascii="Arial" w:cs="Arial" w:eastAsia="Arial" w:hAnsi="Arial"/>
                <w:sz w:val="18"/>
                <w:szCs w:val="18"/>
                <w:color w:val="auto"/>
              </w:rPr>
              <w:t>Operations acquired (1)</w:t>
            </w:r>
          </w:p>
        </w:tc>
        <w:tc>
          <w:tcPr>
            <w:tcW w:w="28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rPr>
              <w:t>18.6</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16"/>
        </w:trPr>
        <w:tc>
          <w:tcPr>
            <w:tcW w:w="24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Operations disposed (2)</w:t>
            </w:r>
          </w:p>
        </w:tc>
        <w:tc>
          <w:tcPr>
            <w:tcW w:w="28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(23.1)</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(23.1)</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16"/>
        </w:trPr>
        <w:tc>
          <w:tcPr>
            <w:tcW w:w="2480" w:type="dxa"/>
            <w:vAlign w:val="bottom"/>
          </w:tcPr>
          <w:p>
            <w:pPr>
              <w:ind w:left="120"/>
              <w:spacing w:after="0"/>
              <w:rPr>
                <w:sz w:val="20"/>
                <w:szCs w:val="20"/>
                <w:color w:val="auto"/>
              </w:rPr>
            </w:pPr>
            <w:r>
              <w:rPr>
                <w:rFonts w:ascii="Arial" w:cs="Arial" w:eastAsia="Arial" w:hAnsi="Arial"/>
                <w:sz w:val="18"/>
                <w:szCs w:val="18"/>
                <w:color w:val="auto"/>
              </w:rPr>
              <w:t>Other (3)</w:t>
            </w:r>
          </w:p>
        </w:tc>
        <w:tc>
          <w:tcPr>
            <w:tcW w:w="28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b w:val="1"/>
                <w:bCs w:val="1"/>
                <w:color w:val="auto"/>
              </w:rPr>
              <w:t>2.2</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60" w:type="dxa"/>
            <w:vAlign w:val="bottom"/>
            <w:gridSpan w:val="2"/>
          </w:tcPr>
          <w:p>
            <w:pPr>
              <w:jc w:val="right"/>
              <w:ind w:right="140"/>
              <w:spacing w:after="0"/>
              <w:rPr>
                <w:sz w:val="20"/>
                <w:szCs w:val="20"/>
                <w:color w:val="auto"/>
              </w:rPr>
            </w:pPr>
            <w:r>
              <w:rPr>
                <w:rFonts w:ascii="Arial" w:cs="Arial" w:eastAsia="Arial" w:hAnsi="Arial"/>
                <w:sz w:val="18"/>
                <w:szCs w:val="18"/>
                <w:color w:val="auto"/>
              </w:rPr>
              <w:t>(0.3)</w:t>
            </w:r>
          </w:p>
        </w:tc>
        <w:tc>
          <w:tcPr>
            <w:tcW w:w="2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rPr>
              <w:t>0.4</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(0.7)</w:t>
            </w:r>
          </w:p>
        </w:tc>
      </w:tr>
      <w:tr>
        <w:trPr>
          <w:trHeight w:val="210"/>
        </w:trPr>
        <w:tc>
          <w:tcPr>
            <w:tcW w:w="248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AUM, end of period</w:t>
            </w:r>
          </w:p>
        </w:tc>
        <w:tc>
          <w:tcPr>
            <w:tcW w:w="2820" w:type="dxa"/>
            <w:vAlign w:val="bottom"/>
            <w:tcBorders>
              <w:top w:val="single" w:sz="8" w:color="CCEEFF"/>
              <w:bottom w:val="single" w:sz="8" w:color="CCEEFF"/>
            </w:tcBorders>
            <w:shd w:val="clear" w:color="auto" w:fill="CCEEFF"/>
          </w:tcPr>
          <w:p>
            <w:pPr>
              <w:spacing w:after="0"/>
              <w:rPr>
                <w:sz w:val="18"/>
                <w:szCs w:val="18"/>
                <w:color w:val="auto"/>
              </w:rPr>
            </w:pPr>
          </w:p>
        </w:tc>
        <w:tc>
          <w:tcPr>
            <w:tcW w:w="24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rPr>
              <w:t>$</w:t>
            </w: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469.8</w:t>
            </w: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24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532.3</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28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469.8</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220" w:type="dxa"/>
            <w:vAlign w:val="bottom"/>
            <w:tcBorders>
              <w:top w:val="single" w:sz="8" w:color="auto"/>
              <w:bottom w:val="single" w:sz="8" w:color="auto"/>
            </w:tcBorders>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532.3</w:t>
            </w:r>
          </w:p>
        </w:tc>
      </w:tr>
      <w:tr>
        <w:trPr>
          <w:trHeight w:val="20"/>
        </w:trPr>
        <w:tc>
          <w:tcPr>
            <w:tcW w:w="2480" w:type="dxa"/>
            <w:vAlign w:val="bottom"/>
          </w:tcPr>
          <w:p>
            <w:pPr>
              <w:spacing w:after="0" w:line="20" w:lineRule="exact"/>
              <w:rPr>
                <w:sz w:val="1"/>
                <w:szCs w:val="1"/>
                <w:color w:val="auto"/>
              </w:rPr>
            </w:pPr>
          </w:p>
        </w:tc>
        <w:tc>
          <w:tcPr>
            <w:tcW w:w="28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r>
      <w:tr>
        <w:trPr>
          <w:trHeight w:val="88"/>
        </w:trPr>
        <w:tc>
          <w:tcPr>
            <w:tcW w:w="2480" w:type="dxa"/>
            <w:vAlign w:val="bottom"/>
            <w:tcBorders>
              <w:bottom w:val="single" w:sz="8" w:color="auto"/>
            </w:tcBorders>
          </w:tcPr>
          <w:p>
            <w:pPr>
              <w:spacing w:after="0"/>
              <w:rPr>
                <w:sz w:val="7"/>
                <w:szCs w:val="7"/>
                <w:color w:val="auto"/>
              </w:rPr>
            </w:pPr>
          </w:p>
        </w:tc>
        <w:tc>
          <w:tcPr>
            <w:tcW w:w="2820" w:type="dxa"/>
            <w:vAlign w:val="bottom"/>
          </w:tcPr>
          <w:p>
            <w:pPr>
              <w:spacing w:after="0"/>
              <w:rPr>
                <w:sz w:val="7"/>
                <w:szCs w:val="7"/>
                <w:color w:val="auto"/>
              </w:rPr>
            </w:pPr>
          </w:p>
        </w:tc>
        <w:tc>
          <w:tcPr>
            <w:tcW w:w="240" w:type="dxa"/>
            <w:vAlign w:val="bottom"/>
          </w:tcPr>
          <w:p>
            <w:pPr>
              <w:spacing w:after="0"/>
              <w:rPr>
                <w:sz w:val="7"/>
                <w:szCs w:val="7"/>
                <w:color w:val="auto"/>
              </w:rPr>
            </w:pPr>
          </w:p>
        </w:tc>
        <w:tc>
          <w:tcPr>
            <w:tcW w:w="820" w:type="dxa"/>
            <w:vAlign w:val="bottom"/>
          </w:tcPr>
          <w:p>
            <w:pPr>
              <w:spacing w:after="0"/>
              <w:rPr>
                <w:sz w:val="7"/>
                <w:szCs w:val="7"/>
                <w:color w:val="auto"/>
              </w:rPr>
            </w:pPr>
          </w:p>
        </w:tc>
        <w:tc>
          <w:tcPr>
            <w:tcW w:w="80" w:type="dxa"/>
            <w:vAlign w:val="bottom"/>
          </w:tcPr>
          <w:p>
            <w:pPr>
              <w:spacing w:after="0"/>
              <w:rPr>
                <w:sz w:val="7"/>
                <w:szCs w:val="7"/>
                <w:color w:val="auto"/>
              </w:rPr>
            </w:pPr>
          </w:p>
        </w:tc>
        <w:tc>
          <w:tcPr>
            <w:tcW w:w="100" w:type="dxa"/>
            <w:vAlign w:val="bottom"/>
          </w:tcPr>
          <w:p>
            <w:pPr>
              <w:spacing w:after="0"/>
              <w:rPr>
                <w:sz w:val="7"/>
                <w:szCs w:val="7"/>
                <w:color w:val="auto"/>
              </w:rPr>
            </w:pPr>
          </w:p>
        </w:tc>
        <w:tc>
          <w:tcPr>
            <w:tcW w:w="240" w:type="dxa"/>
            <w:vAlign w:val="bottom"/>
          </w:tcPr>
          <w:p>
            <w:pPr>
              <w:spacing w:after="0"/>
              <w:rPr>
                <w:sz w:val="7"/>
                <w:szCs w:val="7"/>
                <w:color w:val="auto"/>
              </w:rPr>
            </w:pPr>
          </w:p>
        </w:tc>
        <w:tc>
          <w:tcPr>
            <w:tcW w:w="820" w:type="dxa"/>
            <w:vAlign w:val="bottom"/>
          </w:tcPr>
          <w:p>
            <w:pPr>
              <w:spacing w:after="0"/>
              <w:rPr>
                <w:sz w:val="7"/>
                <w:szCs w:val="7"/>
                <w:color w:val="auto"/>
              </w:rPr>
            </w:pPr>
          </w:p>
        </w:tc>
        <w:tc>
          <w:tcPr>
            <w:tcW w:w="140" w:type="dxa"/>
            <w:vAlign w:val="bottom"/>
          </w:tcPr>
          <w:p>
            <w:pPr>
              <w:spacing w:after="0"/>
              <w:rPr>
                <w:sz w:val="7"/>
                <w:szCs w:val="7"/>
                <w:color w:val="auto"/>
              </w:rPr>
            </w:pPr>
          </w:p>
        </w:tc>
        <w:tc>
          <w:tcPr>
            <w:tcW w:w="280" w:type="dxa"/>
            <w:vAlign w:val="bottom"/>
          </w:tcPr>
          <w:p>
            <w:pPr>
              <w:spacing w:after="0"/>
              <w:rPr>
                <w:sz w:val="7"/>
                <w:szCs w:val="7"/>
                <w:color w:val="auto"/>
              </w:rPr>
            </w:pPr>
          </w:p>
        </w:tc>
        <w:tc>
          <w:tcPr>
            <w:tcW w:w="720" w:type="dxa"/>
            <w:vAlign w:val="bottom"/>
          </w:tcPr>
          <w:p>
            <w:pPr>
              <w:spacing w:after="0"/>
              <w:rPr>
                <w:sz w:val="7"/>
                <w:szCs w:val="7"/>
                <w:color w:val="auto"/>
              </w:rPr>
            </w:pPr>
          </w:p>
        </w:tc>
        <w:tc>
          <w:tcPr>
            <w:tcW w:w="100" w:type="dxa"/>
            <w:vAlign w:val="bottom"/>
          </w:tcPr>
          <w:p>
            <w:pPr>
              <w:spacing w:after="0"/>
              <w:rPr>
                <w:sz w:val="7"/>
                <w:szCs w:val="7"/>
                <w:color w:val="auto"/>
              </w:rPr>
            </w:pPr>
          </w:p>
        </w:tc>
        <w:tc>
          <w:tcPr>
            <w:tcW w:w="80" w:type="dxa"/>
            <w:vAlign w:val="bottom"/>
          </w:tcPr>
          <w:p>
            <w:pPr>
              <w:spacing w:after="0"/>
              <w:rPr>
                <w:sz w:val="7"/>
                <w:szCs w:val="7"/>
                <w:color w:val="auto"/>
              </w:rPr>
            </w:pPr>
          </w:p>
        </w:tc>
        <w:tc>
          <w:tcPr>
            <w:tcW w:w="220" w:type="dxa"/>
            <w:vAlign w:val="bottom"/>
          </w:tcPr>
          <w:p>
            <w:pPr>
              <w:spacing w:after="0"/>
              <w:rPr>
                <w:sz w:val="7"/>
                <w:szCs w:val="7"/>
                <w:color w:val="auto"/>
              </w:rPr>
            </w:pPr>
          </w:p>
        </w:tc>
        <w:tc>
          <w:tcPr>
            <w:tcW w:w="780" w:type="dxa"/>
            <w:vAlign w:val="bottom"/>
          </w:tcPr>
          <w:p>
            <w:pPr>
              <w:spacing w:after="0"/>
              <w:rPr>
                <w:sz w:val="7"/>
                <w:szCs w:val="7"/>
                <w:color w:val="auto"/>
              </w:rPr>
            </w:pPr>
          </w:p>
        </w:tc>
      </w:tr>
    </w:tbl>
    <w:p>
      <w:pPr>
        <w:spacing w:after="0" w:line="80" w:lineRule="exact"/>
        <w:rPr>
          <w:sz w:val="20"/>
          <w:szCs w:val="20"/>
          <w:color w:val="auto"/>
        </w:rPr>
      </w:pPr>
    </w:p>
    <w:p>
      <w:pPr>
        <w:ind w:left="340" w:right="500" w:hanging="332"/>
        <w:spacing w:after="0" w:line="258" w:lineRule="auto"/>
        <w:tabs>
          <w:tab w:leader="none" w:pos="340" w:val="left"/>
        </w:tabs>
        <w:numPr>
          <w:ilvl w:val="0"/>
          <w:numId w:val="45"/>
        </w:numPr>
        <w:rPr>
          <w:rFonts w:ascii="Arial" w:cs="Arial" w:eastAsia="Arial" w:hAnsi="Arial"/>
          <w:sz w:val="18"/>
          <w:szCs w:val="18"/>
          <w:color w:val="auto"/>
        </w:rPr>
      </w:pPr>
      <w:r>
        <w:rPr>
          <w:rFonts w:ascii="Arial" w:cs="Arial" w:eastAsia="Arial" w:hAnsi="Arial"/>
          <w:sz w:val="18"/>
          <w:szCs w:val="18"/>
          <w:color w:val="auto"/>
        </w:rPr>
        <w:t>Effective in the first quarter of 2022, includes the integration of Institutional Asset Advisory, which is associated with our IRT business.</w:t>
      </w:r>
    </w:p>
    <w:p>
      <w:pPr>
        <w:spacing w:after="0" w:line="1" w:lineRule="exact"/>
        <w:rPr>
          <w:rFonts w:ascii="Arial" w:cs="Arial" w:eastAsia="Arial" w:hAnsi="Arial"/>
          <w:sz w:val="18"/>
          <w:szCs w:val="18"/>
          <w:color w:val="auto"/>
        </w:rPr>
      </w:pPr>
    </w:p>
    <w:p>
      <w:pPr>
        <w:ind w:left="340" w:right="400" w:hanging="332"/>
        <w:spacing w:after="0" w:line="250" w:lineRule="auto"/>
        <w:tabs>
          <w:tab w:leader="none" w:pos="340" w:val="left"/>
        </w:tabs>
        <w:numPr>
          <w:ilvl w:val="0"/>
          <w:numId w:val="45"/>
        </w:numPr>
        <w:rPr>
          <w:rFonts w:ascii="Arial" w:cs="Arial" w:eastAsia="Arial" w:hAnsi="Arial"/>
          <w:sz w:val="18"/>
          <w:szCs w:val="18"/>
          <w:color w:val="auto"/>
        </w:rPr>
      </w:pPr>
      <w:r>
        <w:rPr>
          <w:rFonts w:ascii="Arial" w:cs="Arial" w:eastAsia="Arial" w:hAnsi="Arial"/>
          <w:sz w:val="18"/>
          <w:szCs w:val="18"/>
          <w:color w:val="auto"/>
        </w:rPr>
        <w:t>In the second quarter of 2022, $23.1 billion of Principal Global Investors managed AUM was transferred to third parties per the Reinsurance Transaction.</w:t>
      </w:r>
    </w:p>
    <w:p>
      <w:pPr>
        <w:ind w:left="340" w:right="220" w:hanging="332"/>
        <w:spacing w:after="0" w:line="260" w:lineRule="auto"/>
        <w:tabs>
          <w:tab w:leader="none" w:pos="340" w:val="left"/>
        </w:tabs>
        <w:numPr>
          <w:ilvl w:val="0"/>
          <w:numId w:val="45"/>
        </w:numPr>
        <w:rPr>
          <w:rFonts w:ascii="Arial" w:cs="Arial" w:eastAsia="Arial" w:hAnsi="Arial"/>
          <w:sz w:val="18"/>
          <w:szCs w:val="18"/>
          <w:color w:val="auto"/>
        </w:rPr>
      </w:pPr>
      <w:r>
        <w:rPr>
          <w:rFonts w:ascii="Arial" w:cs="Arial" w:eastAsia="Arial" w:hAnsi="Arial"/>
          <w:sz w:val="18"/>
          <w:szCs w:val="18"/>
          <w:color w:val="auto"/>
        </w:rPr>
        <w:t>Second quarter of 2022 includes $3.2 billion of commercial mortgage loans and private credit assets managed by Principal Global Investors on behalf of the Reinsurance Transaction counterparty.</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603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98" w:name="page99"/>
    <w:bookmarkEnd w:id="98"/>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9" w:lineRule="exact"/>
        <w:rPr>
          <w:sz w:val="20"/>
          <w:szCs w:val="20"/>
          <w:color w:val="auto"/>
        </w:rPr>
      </w:pPr>
    </w:p>
    <w:p>
      <w:pPr>
        <w:ind w:right="220" w:firstLine="648"/>
        <w:spacing w:after="0" w:line="277" w:lineRule="auto"/>
        <w:rPr>
          <w:sz w:val="20"/>
          <w:szCs w:val="20"/>
          <w:color w:val="auto"/>
        </w:rPr>
      </w:pPr>
      <w:r>
        <w:rPr>
          <w:rFonts w:ascii="Arial" w:cs="Arial" w:eastAsia="Arial" w:hAnsi="Arial"/>
          <w:sz w:val="18"/>
          <w:szCs w:val="18"/>
          <w:color w:val="auto"/>
        </w:rPr>
        <w:t>The following table presents certain summary financial data relating to the Principal Global Investors segment for the periods indicated:</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40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740" w:type="dxa"/>
            <w:vAlign w:val="bottom"/>
            <w:gridSpan w:val="8"/>
          </w:tcPr>
          <w:p>
            <w:pPr>
              <w:ind w:left="100"/>
              <w:spacing w:after="0"/>
              <w:rPr>
                <w:sz w:val="20"/>
                <w:szCs w:val="20"/>
                <w:color w:val="auto"/>
              </w:rPr>
            </w:pPr>
            <w:r>
              <w:rPr>
                <w:rFonts w:ascii="Arial" w:cs="Arial" w:eastAsia="Arial" w:hAnsi="Arial"/>
                <w:sz w:val="14"/>
                <w:szCs w:val="14"/>
                <w:b w:val="1"/>
                <w:bCs w:val="1"/>
                <w:color w:val="auto"/>
              </w:rPr>
              <w:t>For the three months ended June 30,</w:t>
            </w: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720" w:type="dxa"/>
            <w:vAlign w:val="bottom"/>
            <w:gridSpan w:val="8"/>
          </w:tcPr>
          <w:p>
            <w:pPr>
              <w:ind w:left="180"/>
              <w:spacing w:after="0"/>
              <w:rPr>
                <w:sz w:val="20"/>
                <w:szCs w:val="20"/>
                <w:color w:val="auto"/>
              </w:rPr>
            </w:pPr>
            <w:r>
              <w:rPr>
                <w:rFonts w:ascii="Arial" w:cs="Arial" w:eastAsia="Arial" w:hAnsi="Arial"/>
                <w:sz w:val="14"/>
                <w:szCs w:val="14"/>
                <w:b w:val="1"/>
                <w:bCs w:val="1"/>
                <w:color w:val="auto"/>
              </w:rPr>
              <w:t>For the six months ended June 30,</w:t>
            </w: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4000" w:type="dxa"/>
            <w:vAlign w:val="bottom"/>
          </w:tcPr>
          <w:p>
            <w:pPr>
              <w:spacing w:after="0"/>
              <w:rPr>
                <w:sz w:val="10"/>
                <w:szCs w:val="10"/>
                <w:color w:val="auto"/>
              </w:rPr>
            </w:pPr>
          </w:p>
        </w:tc>
        <w:tc>
          <w:tcPr>
            <w:tcW w:w="180" w:type="dxa"/>
            <w:vAlign w:val="bottom"/>
            <w:tcBorders>
              <w:top w:val="single" w:sz="8" w:color="auto"/>
            </w:tcBorders>
          </w:tcPr>
          <w:p>
            <w:pPr>
              <w:spacing w:after="0"/>
              <w:rPr>
                <w:sz w:val="10"/>
                <w:szCs w:val="10"/>
                <w:color w:val="auto"/>
              </w:rPr>
            </w:pPr>
          </w:p>
        </w:tc>
        <w:tc>
          <w:tcPr>
            <w:tcW w:w="640" w:type="dxa"/>
            <w:vAlign w:val="bottom"/>
            <w:tcBorders>
              <w:top w:val="single" w:sz="8" w:color="auto"/>
            </w:tcBorders>
            <w:vMerge w:val="restart"/>
          </w:tcPr>
          <w:p>
            <w:pPr>
              <w:jc w:val="right"/>
              <w:ind w:right="175"/>
              <w:spacing w:after="0"/>
              <w:rPr>
                <w:sz w:val="20"/>
                <w:szCs w:val="20"/>
                <w:color w:val="auto"/>
              </w:rPr>
            </w:pPr>
            <w:r>
              <w:rPr>
                <w:rFonts w:ascii="Arial" w:cs="Arial" w:eastAsia="Arial" w:hAnsi="Arial"/>
                <w:sz w:val="14"/>
                <w:szCs w:val="14"/>
                <w:b w:val="1"/>
                <w:bCs w:val="1"/>
                <w:color w:val="auto"/>
              </w:rPr>
              <w:t>2022</w:t>
            </w:r>
          </w:p>
        </w:tc>
        <w:tc>
          <w:tcPr>
            <w:tcW w:w="180" w:type="dxa"/>
            <w:vAlign w:val="bottom"/>
            <w:tcBorders>
              <w:top w:val="single" w:sz="8" w:color="auto"/>
            </w:tcBorders>
          </w:tcPr>
          <w:p>
            <w:pPr>
              <w:spacing w:after="0"/>
              <w:rPr>
                <w:sz w:val="10"/>
                <w:szCs w:val="10"/>
                <w:color w:val="auto"/>
              </w:rPr>
            </w:pPr>
          </w:p>
        </w:tc>
        <w:tc>
          <w:tcPr>
            <w:tcW w:w="180" w:type="dxa"/>
            <w:vAlign w:val="bottom"/>
            <w:tcBorders>
              <w:top w:val="single" w:sz="8" w:color="auto"/>
            </w:tcBorders>
          </w:tcPr>
          <w:p>
            <w:pPr>
              <w:spacing w:after="0"/>
              <w:rPr>
                <w:sz w:val="10"/>
                <w:szCs w:val="10"/>
                <w:color w:val="auto"/>
              </w:rPr>
            </w:pPr>
          </w:p>
        </w:tc>
        <w:tc>
          <w:tcPr>
            <w:tcW w:w="640" w:type="dxa"/>
            <w:vAlign w:val="bottom"/>
            <w:tcBorders>
              <w:top w:val="single" w:sz="8" w:color="auto"/>
            </w:tcBorders>
            <w:vMerge w:val="restart"/>
          </w:tcPr>
          <w:p>
            <w:pPr>
              <w:jc w:val="right"/>
              <w:ind w:right="173"/>
              <w:spacing w:after="0"/>
              <w:rPr>
                <w:sz w:val="20"/>
                <w:szCs w:val="20"/>
                <w:color w:val="auto"/>
              </w:rPr>
            </w:pPr>
            <w:r>
              <w:rPr>
                <w:rFonts w:ascii="Arial" w:cs="Arial" w:eastAsia="Arial" w:hAnsi="Arial"/>
                <w:sz w:val="14"/>
                <w:szCs w:val="14"/>
                <w:b w:val="1"/>
                <w:bCs w:val="1"/>
                <w:color w:val="auto"/>
              </w:rPr>
              <w:t>2021</w:t>
            </w:r>
          </w:p>
        </w:tc>
        <w:tc>
          <w:tcPr>
            <w:tcW w:w="18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740" w:type="dxa"/>
            <w:vAlign w:val="bottom"/>
            <w:tcBorders>
              <w:top w:val="single" w:sz="8" w:color="auto"/>
            </w:tcBorders>
          </w:tcPr>
          <w:p>
            <w:pPr>
              <w:jc w:val="right"/>
              <w:ind w:right="77"/>
              <w:spacing w:after="0" w:line="119" w:lineRule="exact"/>
              <w:rPr>
                <w:sz w:val="20"/>
                <w:szCs w:val="20"/>
                <w:color w:val="auto"/>
              </w:rPr>
            </w:pPr>
            <w:r>
              <w:rPr>
                <w:rFonts w:ascii="Arial" w:cs="Arial" w:eastAsia="Arial" w:hAnsi="Arial"/>
                <w:sz w:val="13"/>
                <w:szCs w:val="13"/>
                <w:b w:val="1"/>
                <w:bCs w:val="1"/>
                <w:color w:val="auto"/>
              </w:rPr>
              <w:t>Increase</w:t>
            </w: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0" w:type="dxa"/>
            <w:vAlign w:val="bottom"/>
            <w:tcBorders>
              <w:top w:val="single" w:sz="8" w:color="auto"/>
            </w:tcBorders>
          </w:tcPr>
          <w:p>
            <w:pPr>
              <w:spacing w:after="0"/>
              <w:rPr>
                <w:sz w:val="10"/>
                <w:szCs w:val="10"/>
                <w:color w:val="auto"/>
              </w:rPr>
            </w:pPr>
          </w:p>
        </w:tc>
        <w:tc>
          <w:tcPr>
            <w:tcW w:w="640" w:type="dxa"/>
            <w:vAlign w:val="bottom"/>
            <w:tcBorders>
              <w:top w:val="single" w:sz="8" w:color="auto"/>
            </w:tcBorders>
            <w:vMerge w:val="restart"/>
          </w:tcPr>
          <w:p>
            <w:pPr>
              <w:jc w:val="right"/>
              <w:ind w:right="175"/>
              <w:spacing w:after="0"/>
              <w:rPr>
                <w:sz w:val="20"/>
                <w:szCs w:val="20"/>
                <w:color w:val="auto"/>
              </w:rPr>
            </w:pPr>
            <w:r>
              <w:rPr>
                <w:rFonts w:ascii="Arial" w:cs="Arial" w:eastAsia="Arial" w:hAnsi="Arial"/>
                <w:sz w:val="14"/>
                <w:szCs w:val="14"/>
                <w:b w:val="1"/>
                <w:bCs w:val="1"/>
                <w:color w:val="auto"/>
              </w:rPr>
              <w:t>2022</w:t>
            </w:r>
          </w:p>
        </w:tc>
        <w:tc>
          <w:tcPr>
            <w:tcW w:w="180" w:type="dxa"/>
            <w:vAlign w:val="bottom"/>
            <w:tcBorders>
              <w:top w:val="single" w:sz="8" w:color="auto"/>
            </w:tcBorders>
          </w:tcPr>
          <w:p>
            <w:pPr>
              <w:spacing w:after="0"/>
              <w:rPr>
                <w:sz w:val="10"/>
                <w:szCs w:val="10"/>
                <w:color w:val="auto"/>
              </w:rPr>
            </w:pPr>
          </w:p>
        </w:tc>
        <w:tc>
          <w:tcPr>
            <w:tcW w:w="180" w:type="dxa"/>
            <w:vAlign w:val="bottom"/>
            <w:tcBorders>
              <w:top w:val="single" w:sz="8" w:color="auto"/>
            </w:tcBorders>
          </w:tcPr>
          <w:p>
            <w:pPr>
              <w:spacing w:after="0"/>
              <w:rPr>
                <w:sz w:val="10"/>
                <w:szCs w:val="10"/>
                <w:color w:val="auto"/>
              </w:rPr>
            </w:pPr>
          </w:p>
        </w:tc>
        <w:tc>
          <w:tcPr>
            <w:tcW w:w="660" w:type="dxa"/>
            <w:vAlign w:val="bottom"/>
            <w:tcBorders>
              <w:top w:val="single" w:sz="8" w:color="auto"/>
            </w:tcBorders>
            <w:vMerge w:val="restart"/>
          </w:tcPr>
          <w:p>
            <w:pPr>
              <w:jc w:val="right"/>
              <w:ind w:right="193"/>
              <w:spacing w:after="0"/>
              <w:rPr>
                <w:sz w:val="20"/>
                <w:szCs w:val="20"/>
                <w:color w:val="auto"/>
              </w:rPr>
            </w:pPr>
            <w:r>
              <w:rPr>
                <w:rFonts w:ascii="Arial" w:cs="Arial" w:eastAsia="Arial" w:hAnsi="Arial"/>
                <w:sz w:val="14"/>
                <w:szCs w:val="14"/>
                <w:b w:val="1"/>
                <w:bCs w:val="1"/>
                <w:color w:val="auto"/>
              </w:rPr>
              <w:t>2021</w:t>
            </w:r>
          </w:p>
        </w:tc>
        <w:tc>
          <w:tcPr>
            <w:tcW w:w="18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760" w:type="dxa"/>
            <w:vAlign w:val="bottom"/>
            <w:tcBorders>
              <w:top w:val="single" w:sz="8" w:color="auto"/>
            </w:tcBorders>
          </w:tcPr>
          <w:p>
            <w:pPr>
              <w:jc w:val="right"/>
              <w:ind w:right="95"/>
              <w:spacing w:after="0" w:line="119" w:lineRule="exact"/>
              <w:rPr>
                <w:sz w:val="20"/>
                <w:szCs w:val="20"/>
                <w:color w:val="auto"/>
              </w:rPr>
            </w:pPr>
            <w:r>
              <w:rPr>
                <w:rFonts w:ascii="Arial" w:cs="Arial" w:eastAsia="Arial" w:hAnsi="Arial"/>
                <w:sz w:val="13"/>
                <w:szCs w:val="13"/>
                <w:b w:val="1"/>
                <w:bCs w:val="1"/>
                <w:color w:val="auto"/>
              </w:rPr>
              <w:t>Increase</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400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vMerge w:val="continue"/>
          </w:tcPr>
          <w:p>
            <w:pPr>
              <w:spacing w:after="0"/>
              <w:rPr>
                <w:sz w:val="14"/>
                <w:szCs w:val="14"/>
                <w:color w:val="auto"/>
              </w:rPr>
            </w:pPr>
          </w:p>
        </w:tc>
        <w:tc>
          <w:tcPr>
            <w:tcW w:w="18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vMerge w:val="continue"/>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37"/>
              <w:spacing w:after="0"/>
              <w:rPr>
                <w:sz w:val="20"/>
                <w:szCs w:val="20"/>
                <w:color w:val="auto"/>
              </w:rPr>
            </w:pPr>
            <w:r>
              <w:rPr>
                <w:rFonts w:ascii="Arial" w:cs="Arial" w:eastAsia="Arial" w:hAnsi="Arial"/>
                <w:sz w:val="14"/>
                <w:szCs w:val="14"/>
                <w:b w:val="1"/>
                <w:bCs w:val="1"/>
                <w:color w:val="auto"/>
                <w:w w:val="85"/>
              </w:rPr>
              <w:t>(decrease)</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vMerge w:val="continue"/>
          </w:tcPr>
          <w:p>
            <w:pPr>
              <w:spacing w:after="0"/>
              <w:rPr>
                <w:sz w:val="14"/>
                <w:szCs w:val="14"/>
                <w:color w:val="auto"/>
              </w:rPr>
            </w:pPr>
          </w:p>
        </w:tc>
        <w:tc>
          <w:tcPr>
            <w:tcW w:w="18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vMerge w:val="continue"/>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35"/>
              <w:spacing w:after="0"/>
              <w:rPr>
                <w:sz w:val="20"/>
                <w:szCs w:val="20"/>
                <w:color w:val="auto"/>
              </w:rPr>
            </w:pPr>
            <w:r>
              <w:rPr>
                <w:rFonts w:ascii="Arial" w:cs="Arial" w:eastAsia="Arial" w:hAnsi="Arial"/>
                <w:sz w:val="14"/>
                <w:szCs w:val="14"/>
                <w:b w:val="1"/>
                <w:bCs w:val="1"/>
                <w:color w:val="auto"/>
                <w:w w:val="88"/>
              </w:rPr>
              <w:t>(decrease)</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40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740" w:type="dxa"/>
            <w:vAlign w:val="bottom"/>
            <w:gridSpan w:val="5"/>
          </w:tcPr>
          <w:p>
            <w:pPr>
              <w:jc w:val="right"/>
              <w:ind w:right="455"/>
              <w:spacing w:after="0" w:line="129" w:lineRule="exact"/>
              <w:rPr>
                <w:sz w:val="20"/>
                <w:szCs w:val="20"/>
                <w:color w:val="auto"/>
              </w:rPr>
            </w:pPr>
            <w:r>
              <w:rPr>
                <w:rFonts w:ascii="Arial" w:cs="Arial" w:eastAsia="Arial" w:hAnsi="Arial"/>
                <w:sz w:val="14"/>
                <w:szCs w:val="14"/>
                <w:i w:val="1"/>
                <w:iCs w:val="1"/>
                <w:color w:val="auto"/>
              </w:rPr>
              <w:t>(in millions)</w:t>
            </w: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00" w:type="dxa"/>
            <w:vAlign w:val="bottom"/>
            <w:shd w:val="clear" w:color="auto" w:fill="CCEEFF"/>
          </w:tcPr>
          <w:p>
            <w:pPr>
              <w:spacing w:after="0"/>
              <w:rPr>
                <w:sz w:val="20"/>
                <w:szCs w:val="20"/>
                <w:color w:val="auto"/>
              </w:rPr>
            </w:pPr>
            <w:r>
              <w:rPr>
                <w:rFonts w:ascii="Arial" w:cs="Arial" w:eastAsia="Arial" w:hAnsi="Arial"/>
                <w:sz w:val="18"/>
                <w:szCs w:val="18"/>
                <w:color w:val="auto"/>
              </w:rPr>
              <w:t>Operating revenues:</w:t>
            </w:r>
          </w:p>
        </w:tc>
        <w:tc>
          <w:tcPr>
            <w:tcW w:w="18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00" w:type="dxa"/>
            <w:vAlign w:val="bottom"/>
          </w:tcPr>
          <w:p>
            <w:pPr>
              <w:ind w:left="100"/>
              <w:spacing w:after="0"/>
              <w:rPr>
                <w:sz w:val="20"/>
                <w:szCs w:val="20"/>
                <w:color w:val="auto"/>
              </w:rPr>
            </w:pPr>
            <w:r>
              <w:rPr>
                <w:rFonts w:ascii="Arial" w:cs="Arial" w:eastAsia="Arial" w:hAnsi="Arial"/>
                <w:sz w:val="18"/>
                <w:szCs w:val="18"/>
                <w:color w:val="auto"/>
              </w:rPr>
              <w:t>Fees and other revenues</w:t>
            </w:r>
          </w:p>
        </w:tc>
        <w:tc>
          <w:tcPr>
            <w:tcW w:w="180" w:type="dxa"/>
            <w:vAlign w:val="bottom"/>
          </w:tcPr>
          <w:p>
            <w:pPr>
              <w:jc w:val="right"/>
              <w:ind w:right="27"/>
              <w:spacing w:after="0"/>
              <w:rPr>
                <w:sz w:val="20"/>
                <w:szCs w:val="20"/>
                <w:color w:val="auto"/>
              </w:rPr>
            </w:pPr>
            <w:r>
              <w:rPr>
                <w:rFonts w:ascii="Arial" w:cs="Arial" w:eastAsia="Arial" w:hAnsi="Arial"/>
                <w:sz w:val="15"/>
                <w:szCs w:val="15"/>
                <w:b w:val="1"/>
                <w:bCs w:val="1"/>
                <w:color w:val="auto"/>
                <w:w w:val="71"/>
              </w:rPr>
              <w:t>$</w:t>
            </w:r>
          </w:p>
        </w:tc>
        <w:tc>
          <w:tcPr>
            <w:tcW w:w="640" w:type="dxa"/>
            <w:vAlign w:val="bottom"/>
          </w:tcPr>
          <w:p>
            <w:pPr>
              <w:jc w:val="right"/>
              <w:ind w:right="15"/>
              <w:spacing w:after="0"/>
              <w:rPr>
                <w:sz w:val="20"/>
                <w:szCs w:val="20"/>
                <w:color w:val="auto"/>
              </w:rPr>
            </w:pPr>
            <w:r>
              <w:rPr>
                <w:rFonts w:ascii="Arial" w:cs="Arial" w:eastAsia="Arial" w:hAnsi="Arial"/>
                <w:sz w:val="18"/>
                <w:szCs w:val="18"/>
                <w:b w:val="1"/>
                <w:bCs w:val="1"/>
                <w:color w:val="auto"/>
              </w:rPr>
              <w:t>460.5</w:t>
            </w:r>
          </w:p>
        </w:tc>
        <w:tc>
          <w:tcPr>
            <w:tcW w:w="180" w:type="dxa"/>
            <w:vAlign w:val="bottom"/>
          </w:tcPr>
          <w:p>
            <w:pPr>
              <w:spacing w:after="0"/>
              <w:rPr>
                <w:sz w:val="18"/>
                <w:szCs w:val="18"/>
                <w:color w:val="auto"/>
              </w:rPr>
            </w:pPr>
          </w:p>
        </w:tc>
        <w:tc>
          <w:tcPr>
            <w:tcW w:w="180" w:type="dxa"/>
            <w:vAlign w:val="bottom"/>
          </w:tcPr>
          <w:p>
            <w:pPr>
              <w:jc w:val="right"/>
              <w:ind w:right="27"/>
              <w:spacing w:after="0"/>
              <w:rPr>
                <w:sz w:val="20"/>
                <w:szCs w:val="20"/>
                <w:color w:val="auto"/>
              </w:rPr>
            </w:pPr>
            <w:r>
              <w:rPr>
                <w:rFonts w:ascii="Arial" w:cs="Arial" w:eastAsia="Arial" w:hAnsi="Arial"/>
                <w:sz w:val="15"/>
                <w:szCs w:val="15"/>
                <w:color w:val="auto"/>
                <w:w w:val="71"/>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452.1</w:t>
            </w:r>
          </w:p>
        </w:tc>
        <w:tc>
          <w:tcPr>
            <w:tcW w:w="18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8.4</w:t>
            </w:r>
          </w:p>
        </w:tc>
        <w:tc>
          <w:tcPr>
            <w:tcW w:w="80" w:type="dxa"/>
            <w:vAlign w:val="bottom"/>
          </w:tcPr>
          <w:p>
            <w:pPr>
              <w:spacing w:after="0"/>
              <w:rPr>
                <w:sz w:val="18"/>
                <w:szCs w:val="18"/>
                <w:color w:val="auto"/>
              </w:rPr>
            </w:pPr>
          </w:p>
        </w:tc>
        <w:tc>
          <w:tcPr>
            <w:tcW w:w="280" w:type="dxa"/>
            <w:vAlign w:val="bottom"/>
            <w:gridSpan w:val="2"/>
          </w:tcPr>
          <w:p>
            <w:pPr>
              <w:jc w:val="right"/>
              <w:ind w:right="10"/>
              <w:spacing w:after="0"/>
              <w:rPr>
                <w:sz w:val="20"/>
                <w:szCs w:val="20"/>
                <w:color w:val="auto"/>
              </w:rPr>
            </w:pPr>
            <w:r>
              <w:rPr>
                <w:rFonts w:ascii="Arial" w:cs="Arial" w:eastAsia="Arial" w:hAnsi="Arial"/>
                <w:sz w:val="18"/>
                <w:szCs w:val="18"/>
                <w:b w:val="1"/>
                <w:bCs w:val="1"/>
                <w:color w:val="auto"/>
              </w:rPr>
              <w:t>$</w:t>
            </w:r>
          </w:p>
        </w:tc>
        <w:tc>
          <w:tcPr>
            <w:tcW w:w="640" w:type="dxa"/>
            <w:vAlign w:val="bottom"/>
          </w:tcPr>
          <w:p>
            <w:pPr>
              <w:jc w:val="right"/>
              <w:spacing w:after="0"/>
              <w:rPr>
                <w:sz w:val="20"/>
                <w:szCs w:val="20"/>
                <w:color w:val="auto"/>
              </w:rPr>
            </w:pPr>
            <w:r>
              <w:rPr>
                <w:rFonts w:ascii="Arial" w:cs="Arial" w:eastAsia="Arial" w:hAnsi="Arial"/>
                <w:sz w:val="18"/>
                <w:szCs w:val="18"/>
                <w:b w:val="1"/>
                <w:bCs w:val="1"/>
                <w:color w:val="auto"/>
              </w:rPr>
              <w:t>895.4</w:t>
            </w:r>
          </w:p>
        </w:tc>
        <w:tc>
          <w:tcPr>
            <w:tcW w:w="180" w:type="dxa"/>
            <w:vAlign w:val="bottom"/>
          </w:tcPr>
          <w:p>
            <w:pPr>
              <w:spacing w:after="0"/>
              <w:rPr>
                <w:sz w:val="18"/>
                <w:szCs w:val="18"/>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866.2</w:t>
            </w:r>
          </w:p>
        </w:tc>
        <w:tc>
          <w:tcPr>
            <w:tcW w:w="2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29.2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00" w:type="dxa"/>
            <w:vAlign w:val="bottom"/>
            <w:shd w:val="clear" w:color="auto" w:fill="CCEEFF"/>
          </w:tcPr>
          <w:p>
            <w:pPr>
              <w:ind w:left="100"/>
              <w:spacing w:after="0"/>
              <w:rPr>
                <w:sz w:val="20"/>
                <w:szCs w:val="20"/>
                <w:color w:val="auto"/>
              </w:rPr>
            </w:pPr>
            <w:r>
              <w:rPr>
                <w:rFonts w:ascii="Arial" w:cs="Arial" w:eastAsia="Arial" w:hAnsi="Arial"/>
                <w:sz w:val="18"/>
                <w:szCs w:val="18"/>
                <w:color w:val="auto"/>
              </w:rPr>
              <w:t>Net investment income</w:t>
            </w:r>
          </w:p>
        </w:tc>
        <w:tc>
          <w:tcPr>
            <w:tcW w:w="180" w:type="dxa"/>
            <w:vAlign w:val="bottom"/>
            <w:tcBorders>
              <w:bottom w:val="single" w:sz="8" w:color="auto"/>
            </w:tcBorders>
            <w:shd w:val="clear" w:color="auto" w:fill="CCEEFF"/>
          </w:tcPr>
          <w:p>
            <w:pPr>
              <w:spacing w:after="0"/>
              <w:rPr>
                <w:sz w:val="18"/>
                <w:szCs w:val="18"/>
                <w:color w:val="auto"/>
              </w:rPr>
            </w:pPr>
          </w:p>
        </w:tc>
        <w:tc>
          <w:tcPr>
            <w:tcW w:w="64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b w:val="1"/>
                <w:bCs w:val="1"/>
                <w:color w:val="auto"/>
              </w:rPr>
              <w:t>3.1</w:t>
            </w:r>
          </w:p>
        </w:tc>
        <w:tc>
          <w:tcPr>
            <w:tcW w:w="18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w:t>
            </w:r>
          </w:p>
        </w:tc>
        <w:tc>
          <w:tcPr>
            <w:tcW w:w="1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3.5</w:t>
            </w:r>
          </w:p>
        </w:tc>
        <w:tc>
          <w:tcPr>
            <w:tcW w:w="18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w:t>
            </w:r>
          </w:p>
        </w:tc>
        <w:tc>
          <w:tcPr>
            <w:tcW w:w="1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000" w:type="dxa"/>
            <w:vAlign w:val="bottom"/>
          </w:tcPr>
          <w:p>
            <w:pPr>
              <w:ind w:left="320"/>
              <w:spacing w:after="0"/>
              <w:rPr>
                <w:sz w:val="20"/>
                <w:szCs w:val="20"/>
                <w:color w:val="auto"/>
              </w:rPr>
            </w:pPr>
            <w:r>
              <w:rPr>
                <w:rFonts w:ascii="Arial" w:cs="Arial" w:eastAsia="Arial" w:hAnsi="Arial"/>
                <w:sz w:val="18"/>
                <w:szCs w:val="18"/>
                <w:color w:val="auto"/>
              </w:rPr>
              <w:t>Total operating revenues</w:t>
            </w:r>
          </w:p>
        </w:tc>
        <w:tc>
          <w:tcPr>
            <w:tcW w:w="180" w:type="dxa"/>
            <w:vAlign w:val="bottom"/>
          </w:tcPr>
          <w:p>
            <w:pPr>
              <w:spacing w:after="0"/>
              <w:rPr>
                <w:sz w:val="18"/>
                <w:szCs w:val="18"/>
                <w:color w:val="auto"/>
              </w:rPr>
            </w:pPr>
          </w:p>
        </w:tc>
        <w:tc>
          <w:tcPr>
            <w:tcW w:w="640" w:type="dxa"/>
            <w:vAlign w:val="bottom"/>
          </w:tcPr>
          <w:p>
            <w:pPr>
              <w:jc w:val="right"/>
              <w:ind w:right="15"/>
              <w:spacing w:after="0"/>
              <w:rPr>
                <w:sz w:val="20"/>
                <w:szCs w:val="20"/>
                <w:color w:val="auto"/>
              </w:rPr>
            </w:pPr>
            <w:r>
              <w:rPr>
                <w:rFonts w:ascii="Arial" w:cs="Arial" w:eastAsia="Arial" w:hAnsi="Arial"/>
                <w:sz w:val="18"/>
                <w:szCs w:val="18"/>
                <w:b w:val="1"/>
                <w:bCs w:val="1"/>
                <w:color w:val="auto"/>
              </w:rPr>
              <w:t>463.6</w:t>
            </w: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453.7</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9.9</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b w:val="1"/>
                <w:bCs w:val="1"/>
                <w:color w:val="auto"/>
              </w:rPr>
              <w:t>898.9</w:t>
            </w: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868.9</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30.0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00" w:type="dxa"/>
            <w:vAlign w:val="bottom"/>
            <w:shd w:val="clear" w:color="auto" w:fill="CCEEFF"/>
          </w:tcPr>
          <w:p>
            <w:pPr>
              <w:spacing w:after="0"/>
              <w:rPr>
                <w:sz w:val="20"/>
                <w:szCs w:val="20"/>
                <w:color w:val="auto"/>
              </w:rPr>
            </w:pPr>
            <w:r>
              <w:rPr>
                <w:rFonts w:ascii="Arial" w:cs="Arial" w:eastAsia="Arial" w:hAnsi="Arial"/>
                <w:sz w:val="18"/>
                <w:szCs w:val="18"/>
                <w:color w:val="auto"/>
              </w:rPr>
              <w:t>Expenses:</w:t>
            </w:r>
          </w:p>
        </w:tc>
        <w:tc>
          <w:tcPr>
            <w:tcW w:w="18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00" w:type="dxa"/>
            <w:vAlign w:val="bottom"/>
          </w:tcPr>
          <w:p>
            <w:pPr>
              <w:ind w:left="200"/>
              <w:spacing w:after="0"/>
              <w:rPr>
                <w:sz w:val="20"/>
                <w:szCs w:val="20"/>
                <w:color w:val="auto"/>
              </w:rPr>
            </w:pPr>
            <w:r>
              <w:rPr>
                <w:rFonts w:ascii="Arial" w:cs="Arial" w:eastAsia="Arial" w:hAnsi="Arial"/>
                <w:sz w:val="18"/>
                <w:szCs w:val="18"/>
                <w:color w:val="auto"/>
              </w:rPr>
              <w:t>Total expenses</w:t>
            </w:r>
          </w:p>
        </w:tc>
        <w:tc>
          <w:tcPr>
            <w:tcW w:w="180" w:type="dxa"/>
            <w:vAlign w:val="bottom"/>
          </w:tcPr>
          <w:p>
            <w:pPr>
              <w:spacing w:after="0"/>
              <w:rPr>
                <w:sz w:val="18"/>
                <w:szCs w:val="18"/>
                <w:color w:val="auto"/>
              </w:rPr>
            </w:pPr>
          </w:p>
        </w:tc>
        <w:tc>
          <w:tcPr>
            <w:tcW w:w="640" w:type="dxa"/>
            <w:vAlign w:val="bottom"/>
          </w:tcPr>
          <w:p>
            <w:pPr>
              <w:jc w:val="right"/>
              <w:ind w:right="15"/>
              <w:spacing w:after="0"/>
              <w:rPr>
                <w:sz w:val="20"/>
                <w:szCs w:val="20"/>
                <w:color w:val="auto"/>
              </w:rPr>
            </w:pPr>
            <w:r>
              <w:rPr>
                <w:rFonts w:ascii="Arial" w:cs="Arial" w:eastAsia="Arial" w:hAnsi="Arial"/>
                <w:sz w:val="18"/>
                <w:szCs w:val="18"/>
                <w:b w:val="1"/>
                <w:bCs w:val="1"/>
                <w:color w:val="auto"/>
              </w:rPr>
              <w:t>282.4</w:t>
            </w: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267.7</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14.7</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b w:val="1"/>
                <w:bCs w:val="1"/>
                <w:color w:val="auto"/>
              </w:rPr>
              <w:t>572.8</w:t>
            </w: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540.4</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32.4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0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vMerge w:val="continue"/>
          </w:tcPr>
          <w:p>
            <w:pPr>
              <w:spacing w:after="0"/>
              <w:rPr>
                <w:sz w:val="17"/>
                <w:szCs w:val="17"/>
                <w:color w:val="auto"/>
              </w:rPr>
            </w:pPr>
          </w:p>
        </w:tc>
        <w:tc>
          <w:tcPr>
            <w:tcW w:w="4000" w:type="dxa"/>
            <w:vAlign w:val="bottom"/>
          </w:tcPr>
          <w:p>
            <w:pPr>
              <w:spacing w:after="0" w:line="201" w:lineRule="exact"/>
              <w:rPr>
                <w:sz w:val="20"/>
                <w:szCs w:val="20"/>
                <w:color w:val="auto"/>
              </w:rPr>
            </w:pPr>
            <w:r>
              <w:rPr>
                <w:rFonts w:ascii="Arial" w:cs="Arial" w:eastAsia="Arial" w:hAnsi="Arial"/>
                <w:sz w:val="18"/>
                <w:szCs w:val="18"/>
                <w:color w:val="auto"/>
              </w:rPr>
              <w:t>Pre-tax operating earnings attributable to</w:t>
            </w:r>
          </w:p>
        </w:tc>
        <w:tc>
          <w:tcPr>
            <w:tcW w:w="180" w:type="dxa"/>
            <w:vAlign w:val="bottom"/>
          </w:tcPr>
          <w:p>
            <w:pPr>
              <w:spacing w:after="0"/>
              <w:rPr>
                <w:sz w:val="17"/>
                <w:szCs w:val="17"/>
                <w:color w:val="auto"/>
              </w:rPr>
            </w:pPr>
          </w:p>
        </w:tc>
        <w:tc>
          <w:tcPr>
            <w:tcW w:w="640" w:type="dxa"/>
            <w:vAlign w:val="bottom"/>
            <w:vMerge w:val="restart"/>
          </w:tcPr>
          <w:p>
            <w:pPr>
              <w:jc w:val="right"/>
              <w:ind w:right="15"/>
              <w:spacing w:after="0"/>
              <w:rPr>
                <w:sz w:val="20"/>
                <w:szCs w:val="20"/>
                <w:color w:val="auto"/>
              </w:rPr>
            </w:pPr>
            <w:r>
              <w:rPr>
                <w:rFonts w:ascii="Arial" w:cs="Arial" w:eastAsia="Arial" w:hAnsi="Arial"/>
                <w:sz w:val="18"/>
                <w:szCs w:val="18"/>
                <w:b w:val="1"/>
                <w:bCs w:val="1"/>
                <w:color w:val="auto"/>
              </w:rPr>
              <w:t>1.2</w:t>
            </w:r>
          </w:p>
        </w:tc>
        <w:tc>
          <w:tcPr>
            <w:tcW w:w="1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4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2.7</w:t>
            </w:r>
          </w:p>
        </w:tc>
        <w:tc>
          <w:tcPr>
            <w:tcW w:w="1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000" w:type="dxa"/>
            <w:vAlign w:val="bottom"/>
          </w:tcPr>
          <w:p>
            <w:pPr>
              <w:ind w:left="120"/>
              <w:spacing w:after="0"/>
              <w:rPr>
                <w:sz w:val="20"/>
                <w:szCs w:val="20"/>
                <w:color w:val="auto"/>
              </w:rPr>
            </w:pPr>
            <w:r>
              <w:rPr>
                <w:rFonts w:ascii="Arial" w:cs="Arial" w:eastAsia="Arial" w:hAnsi="Arial"/>
                <w:sz w:val="18"/>
                <w:szCs w:val="18"/>
                <w:color w:val="auto"/>
              </w:rPr>
              <w:t>noncontrolling interest</w:t>
            </w:r>
          </w:p>
        </w:tc>
        <w:tc>
          <w:tcPr>
            <w:tcW w:w="180" w:type="dxa"/>
            <w:vAlign w:val="bottom"/>
          </w:tcPr>
          <w:p>
            <w:pPr>
              <w:spacing w:after="0"/>
              <w:rPr>
                <w:sz w:val="20"/>
                <w:szCs w:val="20"/>
                <w:color w:val="auto"/>
              </w:rPr>
            </w:pPr>
          </w:p>
        </w:tc>
        <w:tc>
          <w:tcPr>
            <w:tcW w:w="640" w:type="dxa"/>
            <w:vAlign w:val="bottom"/>
            <w:vMerge w:val="continue"/>
          </w:tcPr>
          <w:p>
            <w:pPr>
              <w:spacing w:after="0"/>
              <w:rPr>
                <w:sz w:val="20"/>
                <w:szCs w:val="20"/>
                <w:color w:val="auto"/>
              </w:rPr>
            </w:pPr>
          </w:p>
        </w:tc>
        <w:tc>
          <w:tcPr>
            <w:tcW w:w="1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1.6</w:t>
            </w: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20" w:type="dxa"/>
            <w:vAlign w:val="bottom"/>
            <w:gridSpan w:val="2"/>
          </w:tcPr>
          <w:p>
            <w:pPr>
              <w:jc w:val="right"/>
              <w:ind w:right="80"/>
              <w:spacing w:after="0"/>
              <w:rPr>
                <w:sz w:val="20"/>
                <w:szCs w:val="20"/>
                <w:color w:val="auto"/>
              </w:rPr>
            </w:pPr>
            <w:r>
              <w:rPr>
                <w:rFonts w:ascii="Arial" w:cs="Arial" w:eastAsia="Arial" w:hAnsi="Arial"/>
                <w:sz w:val="18"/>
                <w:szCs w:val="18"/>
                <w:color w:val="auto"/>
              </w:rPr>
              <w:t>(0.4)</w:t>
            </w: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40" w:type="dxa"/>
            <w:vAlign w:val="bottom"/>
            <w:vMerge w:val="continue"/>
          </w:tcPr>
          <w:p>
            <w:pPr>
              <w:spacing w:after="0"/>
              <w:rPr>
                <w:sz w:val="20"/>
                <w:szCs w:val="20"/>
                <w:color w:val="auto"/>
              </w:rPr>
            </w:pPr>
          </w:p>
        </w:tc>
        <w:tc>
          <w:tcPr>
            <w:tcW w:w="1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3.0</w:t>
            </w: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80" w:type="dxa"/>
            <w:vAlign w:val="bottom"/>
            <w:gridSpan w:val="2"/>
          </w:tcPr>
          <w:p>
            <w:pPr>
              <w:jc w:val="right"/>
              <w:ind w:right="20"/>
              <w:spacing w:after="0"/>
              <w:rPr>
                <w:sz w:val="20"/>
                <w:szCs w:val="20"/>
                <w:color w:val="auto"/>
              </w:rPr>
            </w:pPr>
            <w:r>
              <w:rPr>
                <w:rFonts w:ascii="Arial" w:cs="Arial" w:eastAsia="Arial" w:hAnsi="Arial"/>
                <w:sz w:val="18"/>
                <w:szCs w:val="18"/>
                <w:color w:val="auto"/>
              </w:rPr>
              <w:t>(0.3)</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400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Pre-tax operating earnings</w:t>
            </w:r>
          </w:p>
        </w:tc>
        <w:tc>
          <w:tcPr>
            <w:tcW w:w="180" w:type="dxa"/>
            <w:vAlign w:val="bottom"/>
            <w:tcBorders>
              <w:top w:val="single" w:sz="8" w:color="auto"/>
              <w:bottom w:val="single" w:sz="8" w:color="auto"/>
            </w:tcBorders>
            <w:shd w:val="clear" w:color="auto" w:fill="CCEEFF"/>
          </w:tcPr>
          <w:p>
            <w:pPr>
              <w:jc w:val="right"/>
              <w:ind w:right="27"/>
              <w:spacing w:after="0"/>
              <w:rPr>
                <w:sz w:val="20"/>
                <w:szCs w:val="20"/>
                <w:color w:val="auto"/>
              </w:rPr>
            </w:pPr>
            <w:r>
              <w:rPr>
                <w:rFonts w:ascii="Arial" w:cs="Arial" w:eastAsia="Arial" w:hAnsi="Arial"/>
                <w:sz w:val="15"/>
                <w:szCs w:val="15"/>
                <w:b w:val="1"/>
                <w:bCs w:val="1"/>
                <w:color w:val="auto"/>
                <w:w w:val="71"/>
              </w:rPr>
              <w:t>$</w:t>
            </w:r>
          </w:p>
        </w:tc>
        <w:tc>
          <w:tcPr>
            <w:tcW w:w="640" w:type="dxa"/>
            <w:vAlign w:val="bottom"/>
            <w:tcBorders>
              <w:top w:val="single" w:sz="8" w:color="auto"/>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b w:val="1"/>
                <w:bCs w:val="1"/>
                <w:color w:val="auto"/>
              </w:rPr>
              <w:t>180.0</w:t>
            </w:r>
          </w:p>
        </w:tc>
        <w:tc>
          <w:tcPr>
            <w:tcW w:w="18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jc w:val="right"/>
              <w:ind w:right="27"/>
              <w:spacing w:after="0"/>
              <w:rPr>
                <w:sz w:val="20"/>
                <w:szCs w:val="20"/>
                <w:color w:val="auto"/>
              </w:rPr>
            </w:pPr>
            <w:r>
              <w:rPr>
                <w:rFonts w:ascii="Arial" w:cs="Arial" w:eastAsia="Arial" w:hAnsi="Arial"/>
                <w:sz w:val="15"/>
                <w:szCs w:val="15"/>
                <w:color w:val="auto"/>
                <w:w w:val="71"/>
              </w:rPr>
              <w:t>$</w:t>
            </w: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184.4</w:t>
            </w:r>
          </w:p>
        </w:tc>
        <w:tc>
          <w:tcPr>
            <w:tcW w:w="18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(4.4)</w:t>
            </w: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79"/>
              </w:rPr>
              <w:t>$</w:t>
            </w: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323.4</w:t>
            </w:r>
          </w:p>
        </w:tc>
        <w:tc>
          <w:tcPr>
            <w:tcW w:w="18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325.</w:t>
            </w:r>
            <w:r>
              <w:rPr>
                <w:rFonts w:ascii="Arial" w:cs="Arial" w:eastAsia="Arial" w:hAnsi="Arial"/>
                <w:sz w:val="18"/>
                <w:szCs w:val="18"/>
                <w:u w:val="single" w:color="auto"/>
                <w:color w:val="auto"/>
              </w:rPr>
              <w:t>5</w:t>
            </w:r>
          </w:p>
        </w:tc>
        <w:tc>
          <w:tcPr>
            <w:tcW w:w="18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0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Three Months Ended June 30, 2022 Compared to Three Months Ended June 30, 2021</w:t>
      </w:r>
    </w:p>
    <w:p>
      <w:pPr>
        <w:spacing w:after="0" w:line="221"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Pre-Tax Operating Earnings</w:t>
      </w:r>
    </w:p>
    <w:p>
      <w:pPr>
        <w:spacing w:after="0" w:line="229" w:lineRule="exact"/>
        <w:rPr>
          <w:sz w:val="20"/>
          <w:szCs w:val="20"/>
          <w:color w:val="auto"/>
        </w:rPr>
      </w:pPr>
    </w:p>
    <w:p>
      <w:pPr>
        <w:ind w:right="280" w:firstLine="648"/>
        <w:spacing w:after="0" w:line="311" w:lineRule="auto"/>
        <w:rPr>
          <w:sz w:val="20"/>
          <w:szCs w:val="20"/>
          <w:color w:val="auto"/>
        </w:rPr>
      </w:pPr>
      <w:r>
        <w:rPr>
          <w:rFonts w:ascii="Arial" w:cs="Arial" w:eastAsia="Arial" w:hAnsi="Arial"/>
          <w:sz w:val="16"/>
          <w:szCs w:val="16"/>
          <w:color w:val="auto"/>
        </w:rPr>
        <w:t>Pre-tax operating earnings decreased primarily due to $9.5 million lower management fee revenue as a result of decreased average AUM, an $8.4 million increase in non-variable staff costs and a $3.1 million increase in variable compensation expense. This was offset by a $21.5 million increase in performance fee revenue primarily in our real estate business.</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Six Months Ended June 30, 2022 Compared to Six Months Ended June 30, 2021</w:t>
      </w:r>
    </w:p>
    <w:p>
      <w:pPr>
        <w:spacing w:after="0" w:line="221"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Pre-Tax Operating Earnings</w:t>
      </w:r>
    </w:p>
    <w:p>
      <w:pPr>
        <w:spacing w:after="0" w:line="229" w:lineRule="exact"/>
        <w:rPr>
          <w:sz w:val="20"/>
          <w:szCs w:val="20"/>
          <w:color w:val="auto"/>
        </w:rPr>
      </w:pPr>
    </w:p>
    <w:p>
      <w:pPr>
        <w:ind w:right="60" w:firstLine="648"/>
        <w:spacing w:after="0" w:line="286" w:lineRule="auto"/>
        <w:rPr>
          <w:sz w:val="20"/>
          <w:szCs w:val="20"/>
          <w:color w:val="auto"/>
        </w:rPr>
      </w:pPr>
      <w:r>
        <w:rPr>
          <w:rFonts w:ascii="Arial" w:cs="Arial" w:eastAsia="Arial" w:hAnsi="Arial"/>
          <w:sz w:val="17"/>
          <w:szCs w:val="17"/>
          <w:color w:val="auto"/>
        </w:rPr>
        <w:t>Pre-tax operating earnings decreased primarily due to a $15.5 million increase in variable compensation expense and a $14.4 million increase in non-variable staff costs. This was offset by an $18.8 million increase in performance fee revenue primarily in our real estate business and $13.5 million higher management fee revenue as a result of increased average AUM.</w:t>
      </w: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540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99" w:name="page100"/>
    <w:bookmarkEnd w:id="99"/>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Principal International Segment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Principal International Segment Summary Financial Data</w:t>
      </w:r>
    </w:p>
    <w:p>
      <w:pPr>
        <w:spacing w:after="0" w:line="225" w:lineRule="exact"/>
        <w:rPr>
          <w:sz w:val="20"/>
          <w:szCs w:val="20"/>
          <w:color w:val="auto"/>
        </w:rPr>
      </w:pPr>
    </w:p>
    <w:p>
      <w:pPr>
        <w:ind w:right="60" w:firstLine="648"/>
        <w:spacing w:after="0" w:line="290" w:lineRule="auto"/>
        <w:rPr>
          <w:sz w:val="20"/>
          <w:szCs w:val="20"/>
          <w:color w:val="auto"/>
        </w:rPr>
      </w:pPr>
      <w:r>
        <w:rPr>
          <w:rFonts w:ascii="Arial" w:cs="Arial" w:eastAsia="Arial" w:hAnsi="Arial"/>
          <w:sz w:val="16"/>
          <w:szCs w:val="16"/>
          <w:color w:val="auto"/>
        </w:rPr>
        <w:t>AUM is generally a key indicator of earnings growth for the segment, as AUM is the base by which we can generate local currency profits. The Cuprum business in Chile differs in that the majority of fees are collected with each deposit by the mandatory retirement customers, based on a capped salary level, as opposed to asset levels. Net customer cash flow and market performance are the two main drivers of local currency AUM growth. Net customer cash flow reflects our ability to attract and retain client deposits. Market performance reflects the investment returns on our underlying AUM. Our financial results are also impacted by fluctuations of the foreign currency to U.S. dollar exchange rates for the locations in which we have business. AUM of our foreign subsidiaries is translated into U.S. dollar equivalents at the end of the reporting period using the spot foreign exchange rates. Revenue and expenses for our foreign subsidiaries are translated into U.S. dollar equivalents at the average foreign exchange rates for the reporting period.</w:t>
      </w:r>
    </w:p>
    <w:p>
      <w:pPr>
        <w:spacing w:after="0" w:line="16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presents the Principal International segment AUM rollforward for the periods indicated:</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620" w:type="dxa"/>
            <w:vAlign w:val="bottom"/>
          </w:tcPr>
          <w:p>
            <w:pPr>
              <w:spacing w:after="0"/>
              <w:rPr>
                <w:sz w:val="14"/>
                <w:szCs w:val="14"/>
                <w:color w:val="auto"/>
              </w:rPr>
            </w:pPr>
          </w:p>
        </w:tc>
        <w:tc>
          <w:tcPr>
            <w:tcW w:w="1660" w:type="dxa"/>
            <w:vAlign w:val="bottom"/>
          </w:tcPr>
          <w:p>
            <w:pPr>
              <w:spacing w:after="0"/>
              <w:rPr>
                <w:sz w:val="14"/>
                <w:szCs w:val="14"/>
                <w:color w:val="auto"/>
              </w:rPr>
            </w:pPr>
          </w:p>
        </w:tc>
        <w:tc>
          <w:tcPr>
            <w:tcW w:w="2400" w:type="dxa"/>
            <w:vAlign w:val="bottom"/>
            <w:gridSpan w:val="7"/>
          </w:tcPr>
          <w:p>
            <w:pPr>
              <w:ind w:left="20"/>
              <w:spacing w:after="0"/>
              <w:rPr>
                <w:sz w:val="20"/>
                <w:szCs w:val="20"/>
                <w:color w:val="auto"/>
              </w:rPr>
            </w:pPr>
            <w:r>
              <w:rPr>
                <w:rFonts w:ascii="Arial" w:cs="Arial" w:eastAsia="Arial" w:hAnsi="Arial"/>
                <w:sz w:val="14"/>
                <w:szCs w:val="14"/>
                <w:b w:val="1"/>
                <w:bCs w:val="1"/>
                <w:color w:val="auto"/>
                <w:w w:val="96"/>
              </w:rPr>
              <w:t>For the three months ended June 30,</w:t>
            </w:r>
          </w:p>
        </w:tc>
        <w:tc>
          <w:tcPr>
            <w:tcW w:w="80" w:type="dxa"/>
            <w:vAlign w:val="bottom"/>
          </w:tcPr>
          <w:p>
            <w:pPr>
              <w:spacing w:after="0"/>
              <w:rPr>
                <w:sz w:val="14"/>
                <w:szCs w:val="14"/>
                <w:color w:val="auto"/>
              </w:rPr>
            </w:pPr>
          </w:p>
        </w:tc>
        <w:tc>
          <w:tcPr>
            <w:tcW w:w="2160" w:type="dxa"/>
            <w:vAlign w:val="bottom"/>
            <w:gridSpan w:val="6"/>
          </w:tcPr>
          <w:p>
            <w:pPr>
              <w:ind w:left="20"/>
              <w:spacing w:after="0"/>
              <w:rPr>
                <w:sz w:val="20"/>
                <w:szCs w:val="20"/>
                <w:color w:val="auto"/>
              </w:rPr>
            </w:pPr>
            <w:r>
              <w:rPr>
                <w:rFonts w:ascii="Arial" w:cs="Arial" w:eastAsia="Arial" w:hAnsi="Arial"/>
                <w:sz w:val="14"/>
                <w:szCs w:val="14"/>
                <w:b w:val="1"/>
                <w:bCs w:val="1"/>
                <w:color w:val="auto"/>
                <w:w w:val="92"/>
              </w:rPr>
              <w:t>For the six months ended June 30,</w:t>
            </w:r>
          </w:p>
        </w:tc>
      </w:tr>
      <w:tr>
        <w:trPr>
          <w:trHeight w:val="142"/>
        </w:trPr>
        <w:tc>
          <w:tcPr>
            <w:tcW w:w="3620" w:type="dxa"/>
            <w:vAlign w:val="bottom"/>
          </w:tcPr>
          <w:p>
            <w:pPr>
              <w:spacing w:after="0"/>
              <w:rPr>
                <w:sz w:val="12"/>
                <w:szCs w:val="12"/>
                <w:color w:val="auto"/>
              </w:rPr>
            </w:pPr>
          </w:p>
        </w:tc>
        <w:tc>
          <w:tcPr>
            <w:tcW w:w="1660" w:type="dxa"/>
            <w:vAlign w:val="bottom"/>
          </w:tcPr>
          <w:p>
            <w:pPr>
              <w:spacing w:after="0"/>
              <w:rPr>
                <w:sz w:val="12"/>
                <w:szCs w:val="12"/>
                <w:color w:val="auto"/>
              </w:rPr>
            </w:pPr>
          </w:p>
        </w:tc>
        <w:tc>
          <w:tcPr>
            <w:tcW w:w="220" w:type="dxa"/>
            <w:vAlign w:val="bottom"/>
            <w:tcBorders>
              <w:top w:val="single" w:sz="8" w:color="auto"/>
              <w:bottom w:val="single" w:sz="8" w:color="auto"/>
            </w:tcBorders>
          </w:tcPr>
          <w:p>
            <w:pPr>
              <w:spacing w:after="0"/>
              <w:rPr>
                <w:sz w:val="12"/>
                <w:szCs w:val="12"/>
                <w:color w:val="auto"/>
              </w:rPr>
            </w:pPr>
          </w:p>
        </w:tc>
        <w:tc>
          <w:tcPr>
            <w:tcW w:w="800" w:type="dxa"/>
            <w:vAlign w:val="bottom"/>
            <w:tcBorders>
              <w:top w:val="single" w:sz="8" w:color="auto"/>
              <w:bottom w:val="single" w:sz="8" w:color="auto"/>
            </w:tcBorders>
          </w:tcPr>
          <w:p>
            <w:pPr>
              <w:jc w:val="right"/>
              <w:ind w:right="273"/>
              <w:spacing w:after="0" w:line="142" w:lineRule="exact"/>
              <w:rPr>
                <w:sz w:val="20"/>
                <w:szCs w:val="20"/>
                <w:color w:val="auto"/>
              </w:rPr>
            </w:pPr>
            <w:r>
              <w:rPr>
                <w:rFonts w:ascii="Arial" w:cs="Arial" w:eastAsia="Arial" w:hAnsi="Arial"/>
                <w:sz w:val="14"/>
                <w:szCs w:val="14"/>
                <w:b w:val="1"/>
                <w:bCs w:val="1"/>
                <w:color w:val="auto"/>
              </w:rPr>
              <w:t>2022</w:t>
            </w:r>
          </w:p>
        </w:tc>
        <w:tc>
          <w:tcPr>
            <w:tcW w:w="10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260" w:type="dxa"/>
            <w:vAlign w:val="bottom"/>
            <w:tcBorders>
              <w:top w:val="single" w:sz="8" w:color="auto"/>
              <w:bottom w:val="single" w:sz="8" w:color="auto"/>
            </w:tcBorders>
          </w:tcPr>
          <w:p>
            <w:pPr>
              <w:spacing w:after="0"/>
              <w:rPr>
                <w:sz w:val="12"/>
                <w:szCs w:val="12"/>
                <w:color w:val="auto"/>
              </w:rPr>
            </w:pPr>
          </w:p>
        </w:tc>
        <w:tc>
          <w:tcPr>
            <w:tcW w:w="860" w:type="dxa"/>
            <w:vAlign w:val="bottom"/>
            <w:tcBorders>
              <w:top w:val="single" w:sz="8" w:color="auto"/>
              <w:bottom w:val="single" w:sz="8" w:color="auto"/>
            </w:tcBorders>
          </w:tcPr>
          <w:p>
            <w:pPr>
              <w:jc w:val="right"/>
              <w:ind w:right="335"/>
              <w:spacing w:after="0" w:line="142" w:lineRule="exact"/>
              <w:rPr>
                <w:sz w:val="20"/>
                <w:szCs w:val="20"/>
                <w:color w:val="auto"/>
              </w:rPr>
            </w:pPr>
            <w:r>
              <w:rPr>
                <w:rFonts w:ascii="Arial" w:cs="Arial" w:eastAsia="Arial" w:hAnsi="Arial"/>
                <w:sz w:val="14"/>
                <w:szCs w:val="14"/>
                <w:b w:val="1"/>
                <w:bCs w:val="1"/>
                <w:color w:val="auto"/>
              </w:rPr>
              <w:t>2021</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Borders>
              <w:top w:val="single" w:sz="8" w:color="auto"/>
              <w:bottom w:val="single" w:sz="8" w:color="auto"/>
            </w:tcBorders>
          </w:tcPr>
          <w:p>
            <w:pPr>
              <w:spacing w:after="0"/>
              <w:rPr>
                <w:sz w:val="12"/>
                <w:szCs w:val="12"/>
                <w:color w:val="auto"/>
              </w:rPr>
            </w:pPr>
          </w:p>
        </w:tc>
        <w:tc>
          <w:tcPr>
            <w:tcW w:w="720" w:type="dxa"/>
            <w:vAlign w:val="bottom"/>
            <w:tcBorders>
              <w:top w:val="single" w:sz="8" w:color="auto"/>
              <w:bottom w:val="single" w:sz="8" w:color="auto"/>
            </w:tcBorders>
          </w:tcPr>
          <w:p>
            <w:pPr>
              <w:jc w:val="right"/>
              <w:ind w:right="253"/>
              <w:spacing w:after="0" w:line="142" w:lineRule="exact"/>
              <w:rPr>
                <w:sz w:val="20"/>
                <w:szCs w:val="20"/>
                <w:color w:val="auto"/>
              </w:rPr>
            </w:pPr>
            <w:r>
              <w:rPr>
                <w:rFonts w:ascii="Arial" w:cs="Arial" w:eastAsia="Arial" w:hAnsi="Arial"/>
                <w:sz w:val="14"/>
                <w:szCs w:val="14"/>
                <w:b w:val="1"/>
                <w:bCs w:val="1"/>
                <w:color w:val="auto"/>
              </w:rPr>
              <w:t>2022</w:t>
            </w:r>
          </w:p>
        </w:tc>
        <w:tc>
          <w:tcPr>
            <w:tcW w:w="18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200" w:type="dxa"/>
            <w:vAlign w:val="bottom"/>
            <w:tcBorders>
              <w:top w:val="single" w:sz="8" w:color="auto"/>
              <w:bottom w:val="single" w:sz="8" w:color="auto"/>
            </w:tcBorders>
          </w:tcPr>
          <w:p>
            <w:pPr>
              <w:spacing w:after="0"/>
              <w:rPr>
                <w:sz w:val="12"/>
                <w:szCs w:val="12"/>
                <w:color w:val="auto"/>
              </w:rPr>
            </w:pPr>
          </w:p>
        </w:tc>
        <w:tc>
          <w:tcPr>
            <w:tcW w:w="780" w:type="dxa"/>
            <w:vAlign w:val="bottom"/>
            <w:tcBorders>
              <w:top w:val="single" w:sz="8" w:color="auto"/>
              <w:bottom w:val="single" w:sz="8" w:color="auto"/>
            </w:tcBorders>
          </w:tcPr>
          <w:p>
            <w:pPr>
              <w:jc w:val="right"/>
              <w:ind w:right="273"/>
              <w:spacing w:after="0" w:line="142" w:lineRule="exact"/>
              <w:rPr>
                <w:sz w:val="20"/>
                <w:szCs w:val="20"/>
                <w:color w:val="auto"/>
              </w:rPr>
            </w:pPr>
            <w:r>
              <w:rPr>
                <w:rFonts w:ascii="Arial" w:cs="Arial" w:eastAsia="Arial" w:hAnsi="Arial"/>
                <w:sz w:val="14"/>
                <w:szCs w:val="14"/>
                <w:b w:val="1"/>
                <w:bCs w:val="1"/>
                <w:color w:val="auto"/>
              </w:rPr>
              <w:t>2021</w:t>
            </w:r>
          </w:p>
        </w:tc>
      </w:tr>
      <w:tr>
        <w:trPr>
          <w:trHeight w:val="128"/>
        </w:trPr>
        <w:tc>
          <w:tcPr>
            <w:tcW w:w="3620" w:type="dxa"/>
            <w:vAlign w:val="bottom"/>
          </w:tcPr>
          <w:p>
            <w:pPr>
              <w:spacing w:after="0"/>
              <w:rPr>
                <w:sz w:val="11"/>
                <w:szCs w:val="11"/>
                <w:color w:val="auto"/>
              </w:rPr>
            </w:pPr>
          </w:p>
        </w:tc>
        <w:tc>
          <w:tcPr>
            <w:tcW w:w="1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280" w:type="dxa"/>
            <w:vAlign w:val="bottom"/>
            <w:gridSpan w:val="4"/>
          </w:tcPr>
          <w:p>
            <w:pPr>
              <w:ind w:left="520"/>
              <w:spacing w:after="0" w:line="129" w:lineRule="exact"/>
              <w:rPr>
                <w:sz w:val="20"/>
                <w:szCs w:val="20"/>
                <w:color w:val="auto"/>
              </w:rPr>
            </w:pPr>
            <w:r>
              <w:rPr>
                <w:rFonts w:ascii="Arial" w:cs="Arial" w:eastAsia="Arial" w:hAnsi="Arial"/>
                <w:sz w:val="14"/>
                <w:szCs w:val="14"/>
                <w:i w:val="1"/>
                <w:iCs w:val="1"/>
                <w:color w:val="auto"/>
              </w:rPr>
              <w:t>(in billions)</w:t>
            </w:r>
          </w:p>
        </w:tc>
        <w:tc>
          <w:tcPr>
            <w:tcW w:w="7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80" w:type="dxa"/>
            <w:vAlign w:val="bottom"/>
          </w:tcPr>
          <w:p>
            <w:pPr>
              <w:spacing w:after="0"/>
              <w:rPr>
                <w:sz w:val="11"/>
                <w:szCs w:val="11"/>
                <w:color w:val="auto"/>
              </w:rPr>
            </w:pPr>
          </w:p>
        </w:tc>
      </w:tr>
      <w:tr>
        <w:trPr>
          <w:trHeight w:val="216"/>
        </w:trPr>
        <w:tc>
          <w:tcPr>
            <w:tcW w:w="3620" w:type="dxa"/>
            <w:vAlign w:val="bottom"/>
            <w:shd w:val="clear" w:color="auto" w:fill="CCEEFF"/>
          </w:tcPr>
          <w:p>
            <w:pPr>
              <w:spacing w:after="0"/>
              <w:rPr>
                <w:sz w:val="20"/>
                <w:szCs w:val="20"/>
                <w:color w:val="auto"/>
              </w:rPr>
            </w:pPr>
            <w:r>
              <w:rPr>
                <w:rFonts w:ascii="Arial" w:cs="Arial" w:eastAsia="Arial" w:hAnsi="Arial"/>
                <w:sz w:val="18"/>
                <w:szCs w:val="18"/>
                <w:color w:val="auto"/>
              </w:rPr>
              <w:t>AUM, beginning of period</w:t>
            </w:r>
          </w:p>
        </w:tc>
        <w:tc>
          <w:tcPr>
            <w:tcW w:w="1880" w:type="dxa"/>
            <w:vAlign w:val="bottom"/>
            <w:gridSpan w:val="2"/>
            <w:shd w:val="clear" w:color="auto" w:fill="CCEEFF"/>
          </w:tcPr>
          <w:p>
            <w:pPr>
              <w:ind w:left="1660"/>
              <w:spacing w:after="0"/>
              <w:rPr>
                <w:sz w:val="20"/>
                <w:szCs w:val="20"/>
                <w:color w:val="auto"/>
              </w:rPr>
            </w:pPr>
            <w:r>
              <w:rPr>
                <w:rFonts w:ascii="Arial" w:cs="Arial" w:eastAsia="Arial" w:hAnsi="Arial"/>
                <w:sz w:val="18"/>
                <w:szCs w:val="18"/>
                <w:b w:val="1"/>
                <w:bCs w:val="1"/>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163.5</w:t>
            </w:r>
          </w:p>
        </w:tc>
        <w:tc>
          <w:tcPr>
            <w:tcW w:w="100" w:type="dxa"/>
            <w:vAlign w:val="bottom"/>
            <w:shd w:val="clear" w:color="auto" w:fill="CCEEFF"/>
          </w:tcPr>
          <w:p>
            <w:pPr>
              <w:spacing w:after="0"/>
              <w:rPr>
                <w:sz w:val="18"/>
                <w:szCs w:val="18"/>
                <w:color w:val="auto"/>
              </w:rPr>
            </w:pPr>
          </w:p>
        </w:tc>
        <w:tc>
          <w:tcPr>
            <w:tcW w:w="340" w:type="dxa"/>
            <w:vAlign w:val="bottom"/>
            <w:gridSpan w:val="2"/>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160.3</w:t>
            </w:r>
          </w:p>
        </w:tc>
        <w:tc>
          <w:tcPr>
            <w:tcW w:w="80" w:type="dxa"/>
            <w:vAlign w:val="bottom"/>
            <w:shd w:val="clear" w:color="auto" w:fill="CCEEFF"/>
          </w:tcPr>
          <w:p>
            <w:pPr>
              <w:spacing w:after="0"/>
              <w:rPr>
                <w:sz w:val="18"/>
                <w:szCs w:val="18"/>
                <w:color w:val="auto"/>
              </w:rPr>
            </w:pPr>
          </w:p>
        </w:tc>
        <w:tc>
          <w:tcPr>
            <w:tcW w:w="340" w:type="dxa"/>
            <w:vAlign w:val="bottom"/>
            <w:gridSpan w:val="2"/>
            <w:shd w:val="clear" w:color="auto" w:fill="CCEEFF"/>
          </w:tcPr>
          <w:p>
            <w:pPr>
              <w:ind w:left="80"/>
              <w:spacing w:after="0"/>
              <w:rPr>
                <w:sz w:val="20"/>
                <w:szCs w:val="20"/>
                <w:color w:val="auto"/>
              </w:rPr>
            </w:pPr>
            <w:r>
              <w:rPr>
                <w:rFonts w:ascii="Arial" w:cs="Arial" w:eastAsia="Arial" w:hAnsi="Arial"/>
                <w:sz w:val="18"/>
                <w:szCs w:val="18"/>
                <w:b w:val="1"/>
                <w:bCs w:val="1"/>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152.1</w:t>
            </w:r>
          </w:p>
        </w:tc>
        <w:tc>
          <w:tcPr>
            <w:tcW w:w="18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ind w:right="89"/>
              <w:spacing w:after="0"/>
              <w:rPr>
                <w:sz w:val="20"/>
                <w:szCs w:val="20"/>
                <w:color w:val="auto"/>
              </w:rPr>
            </w:pPr>
            <w:r>
              <w:rPr>
                <w:rFonts w:ascii="Arial" w:cs="Arial" w:eastAsia="Arial" w:hAnsi="Arial"/>
                <w:sz w:val="15"/>
                <w:szCs w:val="15"/>
                <w:color w:val="auto"/>
                <w:w w:val="71"/>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165.2</w:t>
            </w:r>
          </w:p>
        </w:tc>
      </w:tr>
      <w:tr>
        <w:trPr>
          <w:trHeight w:val="216"/>
        </w:trPr>
        <w:tc>
          <w:tcPr>
            <w:tcW w:w="3620" w:type="dxa"/>
            <w:vAlign w:val="bottom"/>
          </w:tcPr>
          <w:p>
            <w:pPr>
              <w:ind w:left="220"/>
              <w:spacing w:after="0"/>
              <w:rPr>
                <w:sz w:val="20"/>
                <w:szCs w:val="20"/>
                <w:color w:val="auto"/>
              </w:rPr>
            </w:pPr>
            <w:r>
              <w:rPr>
                <w:rFonts w:ascii="Arial" w:cs="Arial" w:eastAsia="Arial" w:hAnsi="Arial"/>
                <w:sz w:val="18"/>
                <w:szCs w:val="18"/>
                <w:color w:val="auto"/>
              </w:rPr>
              <w:t>Net cash flow</w:t>
            </w:r>
          </w:p>
        </w:tc>
        <w:tc>
          <w:tcPr>
            <w:tcW w:w="16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0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(0.5)</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1.4</w:t>
            </w:r>
          </w:p>
        </w:tc>
      </w:tr>
      <w:tr>
        <w:trPr>
          <w:trHeight w:val="216"/>
        </w:trPr>
        <w:tc>
          <w:tcPr>
            <w:tcW w:w="3620" w:type="dxa"/>
            <w:vAlign w:val="bottom"/>
            <w:shd w:val="clear" w:color="auto" w:fill="CCEEFF"/>
          </w:tcPr>
          <w:p>
            <w:pPr>
              <w:ind w:left="220"/>
              <w:spacing w:after="0"/>
              <w:rPr>
                <w:sz w:val="20"/>
                <w:szCs w:val="20"/>
                <w:color w:val="auto"/>
              </w:rPr>
            </w:pPr>
            <w:r>
              <w:rPr>
                <w:rFonts w:ascii="Arial" w:cs="Arial" w:eastAsia="Arial" w:hAnsi="Arial"/>
                <w:sz w:val="18"/>
                <w:szCs w:val="18"/>
                <w:color w:val="auto"/>
              </w:rPr>
              <w:t>Investment performance</w:t>
            </w:r>
          </w:p>
        </w:tc>
        <w:tc>
          <w:tcPr>
            <w:tcW w:w="16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(1.4)</w:t>
            </w: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w:t>
            </w:r>
          </w:p>
        </w:tc>
      </w:tr>
      <w:tr>
        <w:trPr>
          <w:trHeight w:val="216"/>
        </w:trPr>
        <w:tc>
          <w:tcPr>
            <w:tcW w:w="3620" w:type="dxa"/>
            <w:vAlign w:val="bottom"/>
          </w:tcPr>
          <w:p>
            <w:pPr>
              <w:ind w:left="220"/>
              <w:spacing w:after="0"/>
              <w:rPr>
                <w:sz w:val="20"/>
                <w:szCs w:val="20"/>
                <w:color w:val="auto"/>
              </w:rPr>
            </w:pPr>
            <w:r>
              <w:rPr>
                <w:rFonts w:ascii="Arial" w:cs="Arial" w:eastAsia="Arial" w:hAnsi="Arial"/>
                <w:sz w:val="18"/>
                <w:szCs w:val="18"/>
                <w:color w:val="auto"/>
              </w:rPr>
              <w:t>Effect of exchange rates</w:t>
            </w:r>
          </w:p>
        </w:tc>
        <w:tc>
          <w:tcPr>
            <w:tcW w:w="16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(14.5)</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6.7</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0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(0.9)</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0.1</w:t>
            </w:r>
          </w:p>
        </w:tc>
      </w:tr>
      <w:tr>
        <w:trPr>
          <w:trHeight w:val="216"/>
        </w:trPr>
        <w:tc>
          <w:tcPr>
            <w:tcW w:w="3620" w:type="dxa"/>
            <w:vAlign w:val="bottom"/>
            <w:shd w:val="clear" w:color="auto" w:fill="CCEEFF"/>
          </w:tcPr>
          <w:p>
            <w:pPr>
              <w:ind w:left="220"/>
              <w:spacing w:after="0"/>
              <w:rPr>
                <w:sz w:val="20"/>
                <w:szCs w:val="20"/>
                <w:color w:val="auto"/>
              </w:rPr>
            </w:pPr>
            <w:r>
              <w:rPr>
                <w:rFonts w:ascii="Arial" w:cs="Arial" w:eastAsia="Arial" w:hAnsi="Arial"/>
                <w:sz w:val="18"/>
                <w:szCs w:val="18"/>
                <w:color w:val="auto"/>
              </w:rPr>
              <w:t>Other</w:t>
            </w:r>
          </w:p>
        </w:tc>
        <w:tc>
          <w:tcPr>
            <w:tcW w:w="16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(0.1)</w:t>
            </w: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(1.6)</w:t>
            </w: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(0.4)</w:t>
            </w: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w:t>
            </w:r>
          </w:p>
        </w:tc>
      </w:tr>
      <w:tr>
        <w:trPr>
          <w:trHeight w:val="209"/>
        </w:trPr>
        <w:tc>
          <w:tcPr>
            <w:tcW w:w="3620" w:type="dxa"/>
            <w:vAlign w:val="bottom"/>
          </w:tcPr>
          <w:p>
            <w:pPr>
              <w:spacing w:after="0"/>
              <w:rPr>
                <w:sz w:val="20"/>
                <w:szCs w:val="20"/>
                <w:color w:val="auto"/>
              </w:rPr>
            </w:pPr>
            <w:r>
              <w:rPr>
                <w:rFonts w:ascii="Arial" w:cs="Arial" w:eastAsia="Arial" w:hAnsi="Arial"/>
                <w:sz w:val="18"/>
                <w:szCs w:val="18"/>
                <w:color w:val="auto"/>
              </w:rPr>
              <w:t>AUM, end of period</w:t>
            </w:r>
          </w:p>
        </w:tc>
        <w:tc>
          <w:tcPr>
            <w:tcW w:w="1660" w:type="dxa"/>
            <w:vAlign w:val="bottom"/>
          </w:tcPr>
          <w:p>
            <w:pPr>
              <w:spacing w:after="0"/>
              <w:rPr>
                <w:sz w:val="18"/>
                <w:szCs w:val="18"/>
                <w:color w:val="auto"/>
              </w:rPr>
            </w:pPr>
          </w:p>
        </w:tc>
        <w:tc>
          <w:tcPr>
            <w:tcW w:w="2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b w:val="1"/>
                <w:bCs w:val="1"/>
                <w:color w:val="auto"/>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148.9</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167.1</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b w:val="1"/>
                <w:bCs w:val="1"/>
                <w:color w:val="auto"/>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148.9</w:t>
            </w:r>
          </w:p>
        </w:tc>
        <w:tc>
          <w:tcPr>
            <w:tcW w:w="18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200" w:type="dxa"/>
            <w:vAlign w:val="bottom"/>
            <w:tcBorders>
              <w:top w:val="single" w:sz="8" w:color="auto"/>
              <w:bottom w:val="single" w:sz="8" w:color="auto"/>
            </w:tcBorders>
          </w:tcPr>
          <w:p>
            <w:pPr>
              <w:jc w:val="right"/>
              <w:ind w:right="89"/>
              <w:spacing w:after="0"/>
              <w:rPr>
                <w:sz w:val="20"/>
                <w:szCs w:val="20"/>
                <w:color w:val="auto"/>
              </w:rPr>
            </w:pPr>
            <w:r>
              <w:rPr>
                <w:rFonts w:ascii="Arial" w:cs="Arial" w:eastAsia="Arial" w:hAnsi="Arial"/>
                <w:sz w:val="10"/>
                <w:szCs w:val="10"/>
                <w:color w:val="auto"/>
                <w:w w:val="71"/>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167.1</w:t>
            </w:r>
          </w:p>
        </w:tc>
      </w:tr>
      <w:tr>
        <w:trPr>
          <w:trHeight w:val="20"/>
        </w:trPr>
        <w:tc>
          <w:tcPr>
            <w:tcW w:w="3620" w:type="dxa"/>
            <w:vAlign w:val="bottom"/>
          </w:tcPr>
          <w:p>
            <w:pPr>
              <w:spacing w:after="0" w:line="20" w:lineRule="exact"/>
              <w:rPr>
                <w:sz w:val="1"/>
                <w:szCs w:val="1"/>
                <w:color w:val="auto"/>
              </w:rPr>
            </w:pPr>
          </w:p>
        </w:tc>
        <w:tc>
          <w:tcPr>
            <w:tcW w:w="16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100" w:firstLine="648"/>
        <w:spacing w:after="0" w:line="277" w:lineRule="auto"/>
        <w:rPr>
          <w:sz w:val="20"/>
          <w:szCs w:val="20"/>
          <w:color w:val="auto"/>
        </w:rPr>
      </w:pPr>
      <w:r>
        <w:rPr>
          <w:rFonts w:ascii="Arial" w:cs="Arial" w:eastAsia="Arial" w:hAnsi="Arial"/>
          <w:sz w:val="18"/>
          <w:szCs w:val="18"/>
          <w:color w:val="auto"/>
        </w:rPr>
        <w:t>Net revenue is a key metric used to understand the earnings growth for the Principal International segment. The following table presents the net revenue of the Principal International segment for the periods indicated:</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9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860" w:type="dxa"/>
            <w:vAlign w:val="bottom"/>
            <w:gridSpan w:val="8"/>
          </w:tcPr>
          <w:p>
            <w:pPr>
              <w:jc w:val="center"/>
              <w:ind w:right="380"/>
              <w:spacing w:after="0"/>
              <w:rPr>
                <w:sz w:val="20"/>
                <w:szCs w:val="20"/>
                <w:color w:val="auto"/>
              </w:rPr>
            </w:pPr>
            <w:r>
              <w:rPr>
                <w:rFonts w:ascii="Arial" w:cs="Arial" w:eastAsia="Arial" w:hAnsi="Arial"/>
                <w:sz w:val="14"/>
                <w:szCs w:val="14"/>
                <w:b w:val="1"/>
                <w:bCs w:val="1"/>
                <w:color w:val="auto"/>
                <w:w w:val="91"/>
              </w:rPr>
              <w:t>For the three months ended June 30,</w:t>
            </w:r>
          </w:p>
        </w:tc>
        <w:tc>
          <w:tcPr>
            <w:tcW w:w="200" w:type="dxa"/>
            <w:vAlign w:val="bottom"/>
          </w:tcPr>
          <w:p>
            <w:pPr>
              <w:spacing w:after="0"/>
              <w:rPr>
                <w:sz w:val="14"/>
                <w:szCs w:val="14"/>
                <w:color w:val="auto"/>
              </w:rPr>
            </w:pPr>
          </w:p>
        </w:tc>
        <w:tc>
          <w:tcPr>
            <w:tcW w:w="2740" w:type="dxa"/>
            <w:vAlign w:val="bottom"/>
            <w:gridSpan w:val="7"/>
          </w:tcPr>
          <w:p>
            <w:pPr>
              <w:ind w:left="200"/>
              <w:spacing w:after="0"/>
              <w:rPr>
                <w:sz w:val="20"/>
                <w:szCs w:val="20"/>
                <w:color w:val="auto"/>
              </w:rPr>
            </w:pPr>
            <w:r>
              <w:rPr>
                <w:rFonts w:ascii="Arial" w:cs="Arial" w:eastAsia="Arial" w:hAnsi="Arial"/>
                <w:sz w:val="14"/>
                <w:szCs w:val="14"/>
                <w:b w:val="1"/>
                <w:bCs w:val="1"/>
                <w:color w:val="auto"/>
              </w:rPr>
              <w:t>For the six months ended June 30,</w:t>
            </w:r>
          </w:p>
        </w:tc>
        <w:tc>
          <w:tcPr>
            <w:tcW w:w="0" w:type="dxa"/>
            <w:vAlign w:val="bottom"/>
          </w:tcPr>
          <w:p>
            <w:pPr>
              <w:spacing w:after="0"/>
              <w:rPr>
                <w:sz w:val="1"/>
                <w:szCs w:val="1"/>
                <w:color w:val="auto"/>
              </w:rPr>
            </w:pPr>
          </w:p>
        </w:tc>
      </w:tr>
      <w:tr>
        <w:trPr>
          <w:trHeight w:val="119"/>
        </w:trPr>
        <w:tc>
          <w:tcPr>
            <w:tcW w:w="3940" w:type="dxa"/>
            <w:vAlign w:val="bottom"/>
          </w:tcPr>
          <w:p>
            <w:pPr>
              <w:spacing w:after="0"/>
              <w:rPr>
                <w:sz w:val="10"/>
                <w:szCs w:val="10"/>
                <w:color w:val="auto"/>
              </w:rPr>
            </w:pPr>
          </w:p>
        </w:tc>
        <w:tc>
          <w:tcPr>
            <w:tcW w:w="180" w:type="dxa"/>
            <w:vAlign w:val="bottom"/>
            <w:tcBorders>
              <w:top w:val="single" w:sz="8" w:color="auto"/>
            </w:tcBorders>
          </w:tcPr>
          <w:p>
            <w:pPr>
              <w:spacing w:after="0"/>
              <w:rPr>
                <w:sz w:val="10"/>
                <w:szCs w:val="10"/>
                <w:color w:val="auto"/>
              </w:rPr>
            </w:pPr>
          </w:p>
        </w:tc>
        <w:tc>
          <w:tcPr>
            <w:tcW w:w="660" w:type="dxa"/>
            <w:vAlign w:val="bottom"/>
            <w:tcBorders>
              <w:top w:val="single" w:sz="8" w:color="auto"/>
            </w:tcBorders>
            <w:vMerge w:val="restart"/>
          </w:tcPr>
          <w:p>
            <w:pPr>
              <w:jc w:val="right"/>
              <w:ind w:right="202"/>
              <w:spacing w:after="0"/>
              <w:rPr>
                <w:sz w:val="20"/>
                <w:szCs w:val="20"/>
                <w:color w:val="auto"/>
              </w:rPr>
            </w:pPr>
            <w:r>
              <w:rPr>
                <w:rFonts w:ascii="Arial" w:cs="Arial" w:eastAsia="Arial" w:hAnsi="Arial"/>
                <w:sz w:val="14"/>
                <w:szCs w:val="14"/>
                <w:b w:val="1"/>
                <w:bCs w:val="1"/>
                <w:color w:val="auto"/>
              </w:rPr>
              <w:t>2022</w:t>
            </w:r>
          </w:p>
        </w:tc>
        <w:tc>
          <w:tcPr>
            <w:tcW w:w="180" w:type="dxa"/>
            <w:vAlign w:val="bottom"/>
            <w:tcBorders>
              <w:top w:val="single" w:sz="8" w:color="auto"/>
            </w:tcBorders>
          </w:tcPr>
          <w:p>
            <w:pPr>
              <w:spacing w:after="0"/>
              <w:rPr>
                <w:sz w:val="10"/>
                <w:szCs w:val="10"/>
                <w:color w:val="auto"/>
              </w:rPr>
            </w:pPr>
          </w:p>
        </w:tc>
        <w:tc>
          <w:tcPr>
            <w:tcW w:w="180" w:type="dxa"/>
            <w:vAlign w:val="bottom"/>
            <w:tcBorders>
              <w:top w:val="single" w:sz="8" w:color="auto"/>
            </w:tcBorders>
          </w:tcPr>
          <w:p>
            <w:pPr>
              <w:spacing w:after="0"/>
              <w:rPr>
                <w:sz w:val="10"/>
                <w:szCs w:val="10"/>
                <w:color w:val="auto"/>
              </w:rPr>
            </w:pPr>
          </w:p>
        </w:tc>
        <w:tc>
          <w:tcPr>
            <w:tcW w:w="640" w:type="dxa"/>
            <w:vAlign w:val="bottom"/>
            <w:tcBorders>
              <w:top w:val="single" w:sz="8" w:color="auto"/>
            </w:tcBorders>
            <w:vMerge w:val="restart"/>
          </w:tcPr>
          <w:p>
            <w:pPr>
              <w:jc w:val="right"/>
              <w:ind w:right="179"/>
              <w:spacing w:after="0"/>
              <w:rPr>
                <w:sz w:val="20"/>
                <w:szCs w:val="20"/>
                <w:color w:val="auto"/>
              </w:rPr>
            </w:pPr>
            <w:r>
              <w:rPr>
                <w:rFonts w:ascii="Arial" w:cs="Arial" w:eastAsia="Arial" w:hAnsi="Arial"/>
                <w:sz w:val="14"/>
                <w:szCs w:val="14"/>
                <w:b w:val="1"/>
                <w:bCs w:val="1"/>
                <w:color w:val="auto"/>
              </w:rPr>
              <w:t>2021</w:t>
            </w:r>
          </w:p>
        </w:tc>
        <w:tc>
          <w:tcPr>
            <w:tcW w:w="18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760" w:type="dxa"/>
            <w:vAlign w:val="bottom"/>
            <w:tcBorders>
              <w:top w:val="single" w:sz="8" w:color="auto"/>
            </w:tcBorders>
          </w:tcPr>
          <w:p>
            <w:pPr>
              <w:jc w:val="center"/>
              <w:ind w:right="45"/>
              <w:spacing w:after="0" w:line="119" w:lineRule="exact"/>
              <w:rPr>
                <w:sz w:val="20"/>
                <w:szCs w:val="20"/>
                <w:color w:val="auto"/>
              </w:rPr>
            </w:pPr>
            <w:r>
              <w:rPr>
                <w:rFonts w:ascii="Arial" w:cs="Arial" w:eastAsia="Arial" w:hAnsi="Arial"/>
                <w:sz w:val="13"/>
                <w:szCs w:val="13"/>
                <w:b w:val="1"/>
                <w:bCs w:val="1"/>
                <w:color w:val="auto"/>
                <w:w w:val="98"/>
              </w:rPr>
              <w:t>Increase</w:t>
            </w:r>
          </w:p>
        </w:tc>
        <w:tc>
          <w:tcPr>
            <w:tcW w:w="160" w:type="dxa"/>
            <w:vAlign w:val="bottom"/>
          </w:tcPr>
          <w:p>
            <w:pPr>
              <w:spacing w:after="0"/>
              <w:rPr>
                <w:sz w:val="10"/>
                <w:szCs w:val="10"/>
                <w:color w:val="auto"/>
              </w:rPr>
            </w:pPr>
          </w:p>
        </w:tc>
        <w:tc>
          <w:tcPr>
            <w:tcW w:w="200" w:type="dxa"/>
            <w:vAlign w:val="bottom"/>
            <w:tcBorders>
              <w:top w:val="single" w:sz="8" w:color="auto"/>
            </w:tcBorders>
          </w:tcPr>
          <w:p>
            <w:pPr>
              <w:spacing w:after="0"/>
              <w:rPr>
                <w:sz w:val="10"/>
                <w:szCs w:val="10"/>
                <w:color w:val="auto"/>
              </w:rPr>
            </w:pPr>
          </w:p>
        </w:tc>
        <w:tc>
          <w:tcPr>
            <w:tcW w:w="660" w:type="dxa"/>
            <w:vAlign w:val="bottom"/>
            <w:tcBorders>
              <w:top w:val="single" w:sz="8" w:color="auto"/>
            </w:tcBorders>
            <w:vMerge w:val="restart"/>
          </w:tcPr>
          <w:p>
            <w:pPr>
              <w:jc w:val="right"/>
              <w:ind w:right="202"/>
              <w:spacing w:after="0"/>
              <w:rPr>
                <w:sz w:val="20"/>
                <w:szCs w:val="20"/>
                <w:color w:val="auto"/>
              </w:rPr>
            </w:pPr>
            <w:r>
              <w:rPr>
                <w:rFonts w:ascii="Arial" w:cs="Arial" w:eastAsia="Arial" w:hAnsi="Arial"/>
                <w:sz w:val="14"/>
                <w:szCs w:val="14"/>
                <w:b w:val="1"/>
                <w:bCs w:val="1"/>
                <w:color w:val="auto"/>
              </w:rPr>
              <w:t>2022</w:t>
            </w:r>
          </w:p>
        </w:tc>
        <w:tc>
          <w:tcPr>
            <w:tcW w:w="180" w:type="dxa"/>
            <w:vAlign w:val="bottom"/>
            <w:tcBorders>
              <w:top w:val="single" w:sz="8" w:color="auto"/>
            </w:tcBorders>
          </w:tcPr>
          <w:p>
            <w:pPr>
              <w:spacing w:after="0"/>
              <w:rPr>
                <w:sz w:val="10"/>
                <w:szCs w:val="10"/>
                <w:color w:val="auto"/>
              </w:rPr>
            </w:pPr>
          </w:p>
        </w:tc>
        <w:tc>
          <w:tcPr>
            <w:tcW w:w="180" w:type="dxa"/>
            <w:vAlign w:val="bottom"/>
            <w:tcBorders>
              <w:top w:val="single" w:sz="8" w:color="auto"/>
            </w:tcBorders>
          </w:tcPr>
          <w:p>
            <w:pPr>
              <w:spacing w:after="0"/>
              <w:rPr>
                <w:sz w:val="10"/>
                <w:szCs w:val="10"/>
                <w:color w:val="auto"/>
              </w:rPr>
            </w:pPr>
          </w:p>
        </w:tc>
        <w:tc>
          <w:tcPr>
            <w:tcW w:w="660" w:type="dxa"/>
            <w:vAlign w:val="bottom"/>
            <w:tcBorders>
              <w:top w:val="single" w:sz="8" w:color="auto"/>
            </w:tcBorders>
            <w:vMerge w:val="restart"/>
          </w:tcPr>
          <w:p>
            <w:pPr>
              <w:jc w:val="right"/>
              <w:ind w:right="199"/>
              <w:spacing w:after="0"/>
              <w:rPr>
                <w:sz w:val="20"/>
                <w:szCs w:val="20"/>
                <w:color w:val="auto"/>
              </w:rPr>
            </w:pPr>
            <w:r>
              <w:rPr>
                <w:rFonts w:ascii="Arial" w:cs="Arial" w:eastAsia="Arial" w:hAnsi="Arial"/>
                <w:sz w:val="14"/>
                <w:szCs w:val="14"/>
                <w:b w:val="1"/>
                <w:bCs w:val="1"/>
                <w:color w:val="auto"/>
              </w:rPr>
              <w:t>2021</w:t>
            </w:r>
          </w:p>
        </w:tc>
        <w:tc>
          <w:tcPr>
            <w:tcW w:w="180" w:type="dxa"/>
            <w:vAlign w:val="bottom"/>
            <w:tcBorders>
              <w:top w:val="single" w:sz="8" w:color="auto"/>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760" w:type="dxa"/>
            <w:vAlign w:val="bottom"/>
            <w:tcBorders>
              <w:top w:val="single" w:sz="8" w:color="auto"/>
            </w:tcBorders>
          </w:tcPr>
          <w:p>
            <w:pPr>
              <w:jc w:val="center"/>
              <w:ind w:right="44"/>
              <w:spacing w:after="0" w:line="119" w:lineRule="exact"/>
              <w:rPr>
                <w:sz w:val="20"/>
                <w:szCs w:val="20"/>
                <w:color w:val="auto"/>
              </w:rPr>
            </w:pPr>
            <w:r>
              <w:rPr>
                <w:rFonts w:ascii="Arial" w:cs="Arial" w:eastAsia="Arial" w:hAnsi="Arial"/>
                <w:sz w:val="13"/>
                <w:szCs w:val="13"/>
                <w:b w:val="1"/>
                <w:bCs w:val="1"/>
                <w:color w:val="auto"/>
                <w:w w:val="98"/>
              </w:rPr>
              <w:t>Increase</w:t>
            </w:r>
          </w:p>
        </w:tc>
        <w:tc>
          <w:tcPr>
            <w:tcW w:w="0" w:type="dxa"/>
            <w:vAlign w:val="bottom"/>
          </w:tcPr>
          <w:p>
            <w:pPr>
              <w:spacing w:after="0"/>
              <w:rPr>
                <w:sz w:val="1"/>
                <w:szCs w:val="1"/>
                <w:color w:val="auto"/>
              </w:rPr>
            </w:pPr>
          </w:p>
        </w:tc>
      </w:tr>
      <w:tr>
        <w:trPr>
          <w:trHeight w:val="171"/>
        </w:trPr>
        <w:tc>
          <w:tcPr>
            <w:tcW w:w="394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vMerge w:val="continue"/>
          </w:tcPr>
          <w:p>
            <w:pPr>
              <w:spacing w:after="0"/>
              <w:rPr>
                <w:sz w:val="14"/>
                <w:szCs w:val="14"/>
                <w:color w:val="auto"/>
              </w:rPr>
            </w:pPr>
          </w:p>
        </w:tc>
        <w:tc>
          <w:tcPr>
            <w:tcW w:w="18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vMerge w:val="continue"/>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center"/>
              <w:ind w:right="25"/>
              <w:spacing w:after="0"/>
              <w:rPr>
                <w:sz w:val="20"/>
                <w:szCs w:val="20"/>
                <w:color w:val="auto"/>
              </w:rPr>
            </w:pPr>
            <w:r>
              <w:rPr>
                <w:rFonts w:ascii="Arial" w:cs="Arial" w:eastAsia="Arial" w:hAnsi="Arial"/>
                <w:sz w:val="14"/>
                <w:szCs w:val="14"/>
                <w:b w:val="1"/>
                <w:bCs w:val="1"/>
                <w:color w:val="auto"/>
                <w:w w:val="88"/>
              </w:rPr>
              <w:t>(decrease)</w:t>
            </w:r>
          </w:p>
        </w:tc>
        <w:tc>
          <w:tcPr>
            <w:tcW w:w="16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vMerge w:val="continue"/>
          </w:tcPr>
          <w:p>
            <w:pPr>
              <w:spacing w:after="0"/>
              <w:rPr>
                <w:sz w:val="14"/>
                <w:szCs w:val="14"/>
                <w:color w:val="auto"/>
              </w:rPr>
            </w:pPr>
          </w:p>
        </w:tc>
        <w:tc>
          <w:tcPr>
            <w:tcW w:w="18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vMerge w:val="continue"/>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center"/>
              <w:ind w:right="64"/>
              <w:spacing w:after="0"/>
              <w:rPr>
                <w:sz w:val="20"/>
                <w:szCs w:val="20"/>
                <w:color w:val="auto"/>
              </w:rPr>
            </w:pPr>
            <w:r>
              <w:rPr>
                <w:rFonts w:ascii="Arial" w:cs="Arial" w:eastAsia="Arial" w:hAnsi="Arial"/>
                <w:sz w:val="14"/>
                <w:szCs w:val="14"/>
                <w:b w:val="1"/>
                <w:bCs w:val="1"/>
                <w:color w:val="auto"/>
                <w:w w:val="88"/>
              </w:rPr>
              <w:t>(decrease)</w:t>
            </w:r>
          </w:p>
        </w:tc>
        <w:tc>
          <w:tcPr>
            <w:tcW w:w="0" w:type="dxa"/>
            <w:vAlign w:val="bottom"/>
          </w:tcPr>
          <w:p>
            <w:pPr>
              <w:spacing w:after="0"/>
              <w:rPr>
                <w:sz w:val="1"/>
                <w:szCs w:val="1"/>
                <w:color w:val="auto"/>
              </w:rPr>
            </w:pPr>
          </w:p>
        </w:tc>
      </w:tr>
      <w:tr>
        <w:trPr>
          <w:trHeight w:val="128"/>
        </w:trPr>
        <w:tc>
          <w:tcPr>
            <w:tcW w:w="39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780" w:type="dxa"/>
            <w:vAlign w:val="bottom"/>
            <w:gridSpan w:val="4"/>
          </w:tcPr>
          <w:p>
            <w:pPr>
              <w:jc w:val="right"/>
              <w:ind w:right="482"/>
              <w:spacing w:after="0" w:line="129" w:lineRule="exact"/>
              <w:rPr>
                <w:sz w:val="20"/>
                <w:szCs w:val="20"/>
                <w:color w:val="auto"/>
              </w:rPr>
            </w:pPr>
            <w:r>
              <w:rPr>
                <w:rFonts w:ascii="Arial" w:cs="Arial" w:eastAsia="Arial" w:hAnsi="Arial"/>
                <w:sz w:val="14"/>
                <w:szCs w:val="14"/>
                <w:i w:val="1"/>
                <w:iCs w:val="1"/>
                <w:color w:val="auto"/>
              </w:rPr>
              <w:t>(in millions)</w:t>
            </w: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Net revenue</w:t>
            </w:r>
          </w:p>
        </w:tc>
        <w:tc>
          <w:tcPr>
            <w:tcW w:w="180" w:type="dxa"/>
            <w:vAlign w:val="bottom"/>
            <w:shd w:val="clear" w:color="auto" w:fill="CCEEFF"/>
          </w:tcPr>
          <w:p>
            <w:pPr>
              <w:jc w:val="right"/>
              <w:ind w:right="27"/>
              <w:spacing w:after="0"/>
              <w:rPr>
                <w:sz w:val="20"/>
                <w:szCs w:val="20"/>
                <w:color w:val="auto"/>
              </w:rPr>
            </w:pPr>
            <w:r>
              <w:rPr>
                <w:rFonts w:ascii="Arial" w:cs="Arial" w:eastAsia="Arial" w:hAnsi="Arial"/>
                <w:sz w:val="15"/>
                <w:szCs w:val="15"/>
                <w:b w:val="1"/>
                <w:bCs w:val="1"/>
                <w:color w:val="auto"/>
                <w:w w:val="71"/>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200.3</w:t>
            </w:r>
          </w:p>
        </w:tc>
        <w:tc>
          <w:tcPr>
            <w:tcW w:w="3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166.</w:t>
            </w:r>
            <w:r>
              <w:rPr>
                <w:rFonts w:ascii="Arial" w:cs="Arial" w:eastAsia="Arial" w:hAnsi="Arial"/>
                <w:sz w:val="18"/>
                <w:szCs w:val="18"/>
                <w:u w:val="single" w:color="auto"/>
                <w:color w:val="auto"/>
              </w:rPr>
              <w:t>0</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34.3</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79"/>
              </w:rPr>
              <w:t>$</w:t>
            </w:r>
          </w:p>
        </w:tc>
        <w:tc>
          <w:tcPr>
            <w:tcW w:w="660" w:type="dxa"/>
            <w:vAlign w:val="bottom"/>
            <w:shd w:val="clear" w:color="auto" w:fill="CCEEFF"/>
          </w:tcPr>
          <w:p>
            <w:pPr>
              <w:ind w:left="200"/>
              <w:spacing w:after="0"/>
              <w:rPr>
                <w:sz w:val="20"/>
                <w:szCs w:val="20"/>
                <w:color w:val="auto"/>
              </w:rPr>
            </w:pPr>
            <w:r>
              <w:rPr>
                <w:rFonts w:ascii="Arial" w:cs="Arial" w:eastAsia="Arial" w:hAnsi="Arial"/>
                <w:sz w:val="18"/>
                <w:szCs w:val="18"/>
                <w:b w:val="1"/>
                <w:bCs w:val="1"/>
                <w:color w:val="auto"/>
                <w:w w:val="97"/>
              </w:rPr>
              <w:t>367.2</w:t>
            </w: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jc w:val="right"/>
              <w:ind w:right="27"/>
              <w:spacing w:after="0"/>
              <w:rPr>
                <w:sz w:val="20"/>
                <w:szCs w:val="20"/>
                <w:color w:val="auto"/>
              </w:rPr>
            </w:pPr>
            <w:r>
              <w:rPr>
                <w:rFonts w:ascii="Arial" w:cs="Arial" w:eastAsia="Arial" w:hAnsi="Arial"/>
                <w:sz w:val="15"/>
                <w:szCs w:val="15"/>
                <w:color w:val="auto"/>
                <w:w w:val="71"/>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352.</w:t>
            </w:r>
            <w:r>
              <w:rPr>
                <w:rFonts w:ascii="Arial" w:cs="Arial" w:eastAsia="Arial" w:hAnsi="Arial"/>
                <w:sz w:val="18"/>
                <w:szCs w:val="18"/>
                <w:u w:val="single" w:color="auto"/>
                <w:color w:val="auto"/>
              </w:rPr>
              <w:t>3</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14.9</w:t>
            </w:r>
          </w:p>
        </w:tc>
        <w:tc>
          <w:tcPr>
            <w:tcW w:w="0" w:type="dxa"/>
            <w:vAlign w:val="bottom"/>
          </w:tcPr>
          <w:p>
            <w:pPr>
              <w:spacing w:after="0"/>
              <w:rPr>
                <w:sz w:val="1"/>
                <w:szCs w:val="1"/>
                <w:color w:val="auto"/>
              </w:rPr>
            </w:pPr>
          </w:p>
        </w:tc>
      </w:tr>
      <w:tr>
        <w:trPr>
          <w:trHeight w:val="20"/>
        </w:trPr>
        <w:tc>
          <w:tcPr>
            <w:tcW w:w="394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right="500" w:firstLine="648"/>
        <w:spacing w:after="0" w:line="277" w:lineRule="auto"/>
        <w:rPr>
          <w:sz w:val="20"/>
          <w:szCs w:val="20"/>
          <w:color w:val="auto"/>
        </w:rPr>
      </w:pPr>
      <w:r>
        <w:rPr>
          <w:rFonts w:ascii="Arial" w:cs="Arial" w:eastAsia="Arial" w:hAnsi="Arial"/>
          <w:sz w:val="18"/>
          <w:szCs w:val="18"/>
          <w:color w:val="auto"/>
        </w:rPr>
        <w:t>The following table presents certain summary financial data relating to the Principal International segment for the periods indicated:</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39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860" w:type="dxa"/>
            <w:vAlign w:val="bottom"/>
            <w:gridSpan w:val="8"/>
          </w:tcPr>
          <w:p>
            <w:pPr>
              <w:ind w:left="120"/>
              <w:spacing w:after="0"/>
              <w:rPr>
                <w:sz w:val="20"/>
                <w:szCs w:val="20"/>
                <w:color w:val="auto"/>
              </w:rPr>
            </w:pPr>
            <w:r>
              <w:rPr>
                <w:rFonts w:ascii="Arial" w:cs="Arial" w:eastAsia="Arial" w:hAnsi="Arial"/>
                <w:sz w:val="14"/>
                <w:szCs w:val="14"/>
                <w:b w:val="1"/>
                <w:bCs w:val="1"/>
                <w:color w:val="auto"/>
              </w:rPr>
              <w:t>For the three months ended June 30,</w:t>
            </w:r>
          </w:p>
        </w:tc>
        <w:tc>
          <w:tcPr>
            <w:tcW w:w="200" w:type="dxa"/>
            <w:vAlign w:val="bottom"/>
          </w:tcPr>
          <w:p>
            <w:pPr>
              <w:spacing w:after="0"/>
              <w:rPr>
                <w:sz w:val="14"/>
                <w:szCs w:val="14"/>
                <w:color w:val="auto"/>
              </w:rPr>
            </w:pPr>
          </w:p>
        </w:tc>
        <w:tc>
          <w:tcPr>
            <w:tcW w:w="2760" w:type="dxa"/>
            <w:vAlign w:val="bottom"/>
            <w:gridSpan w:val="8"/>
          </w:tcPr>
          <w:p>
            <w:pPr>
              <w:ind w:left="200"/>
              <w:spacing w:after="0"/>
              <w:rPr>
                <w:sz w:val="20"/>
                <w:szCs w:val="20"/>
                <w:color w:val="auto"/>
              </w:rPr>
            </w:pPr>
            <w:r>
              <w:rPr>
                <w:rFonts w:ascii="Arial" w:cs="Arial" w:eastAsia="Arial" w:hAnsi="Arial"/>
                <w:sz w:val="14"/>
                <w:szCs w:val="14"/>
                <w:b w:val="1"/>
                <w:bCs w:val="1"/>
                <w:color w:val="auto"/>
              </w:rPr>
              <w:t>For the six months ended June 30,</w:t>
            </w: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3920" w:type="dxa"/>
            <w:vAlign w:val="bottom"/>
          </w:tcPr>
          <w:p>
            <w:pPr>
              <w:spacing w:after="0"/>
              <w:rPr>
                <w:sz w:val="10"/>
                <w:szCs w:val="10"/>
                <w:color w:val="auto"/>
              </w:rPr>
            </w:pPr>
          </w:p>
        </w:tc>
        <w:tc>
          <w:tcPr>
            <w:tcW w:w="180" w:type="dxa"/>
            <w:vAlign w:val="bottom"/>
            <w:tcBorders>
              <w:top w:val="single" w:sz="8" w:color="auto"/>
            </w:tcBorders>
          </w:tcPr>
          <w:p>
            <w:pPr>
              <w:spacing w:after="0"/>
              <w:rPr>
                <w:sz w:val="10"/>
                <w:szCs w:val="10"/>
                <w:color w:val="auto"/>
              </w:rPr>
            </w:pPr>
          </w:p>
        </w:tc>
        <w:tc>
          <w:tcPr>
            <w:tcW w:w="660" w:type="dxa"/>
            <w:vAlign w:val="bottom"/>
            <w:tcBorders>
              <w:top w:val="single" w:sz="8" w:color="auto"/>
            </w:tcBorders>
            <w:vMerge w:val="restart"/>
          </w:tcPr>
          <w:p>
            <w:pPr>
              <w:jc w:val="right"/>
              <w:ind w:right="193"/>
              <w:spacing w:after="0"/>
              <w:rPr>
                <w:sz w:val="20"/>
                <w:szCs w:val="20"/>
                <w:color w:val="auto"/>
              </w:rPr>
            </w:pPr>
            <w:r>
              <w:rPr>
                <w:rFonts w:ascii="Arial" w:cs="Arial" w:eastAsia="Arial" w:hAnsi="Arial"/>
                <w:sz w:val="14"/>
                <w:szCs w:val="14"/>
                <w:b w:val="1"/>
                <w:bCs w:val="1"/>
                <w:color w:val="auto"/>
              </w:rPr>
              <w:t>2022</w:t>
            </w:r>
          </w:p>
        </w:tc>
        <w:tc>
          <w:tcPr>
            <w:tcW w:w="180" w:type="dxa"/>
            <w:vAlign w:val="bottom"/>
            <w:tcBorders>
              <w:top w:val="single" w:sz="8" w:color="auto"/>
            </w:tcBorders>
          </w:tcPr>
          <w:p>
            <w:pPr>
              <w:spacing w:after="0"/>
              <w:rPr>
                <w:sz w:val="10"/>
                <w:szCs w:val="10"/>
                <w:color w:val="auto"/>
              </w:rPr>
            </w:pPr>
          </w:p>
        </w:tc>
        <w:tc>
          <w:tcPr>
            <w:tcW w:w="200" w:type="dxa"/>
            <w:vAlign w:val="bottom"/>
            <w:tcBorders>
              <w:top w:val="single" w:sz="8" w:color="auto"/>
            </w:tcBorders>
          </w:tcPr>
          <w:p>
            <w:pPr>
              <w:spacing w:after="0"/>
              <w:rPr>
                <w:sz w:val="10"/>
                <w:szCs w:val="10"/>
                <w:color w:val="auto"/>
              </w:rPr>
            </w:pPr>
          </w:p>
        </w:tc>
        <w:tc>
          <w:tcPr>
            <w:tcW w:w="620" w:type="dxa"/>
            <w:vAlign w:val="bottom"/>
            <w:tcBorders>
              <w:top w:val="single" w:sz="8" w:color="auto"/>
            </w:tcBorders>
            <w:vMerge w:val="restart"/>
          </w:tcPr>
          <w:p>
            <w:pPr>
              <w:jc w:val="right"/>
              <w:ind w:right="172"/>
              <w:spacing w:after="0"/>
              <w:rPr>
                <w:sz w:val="20"/>
                <w:szCs w:val="20"/>
                <w:color w:val="auto"/>
              </w:rPr>
            </w:pPr>
            <w:r>
              <w:rPr>
                <w:rFonts w:ascii="Arial" w:cs="Arial" w:eastAsia="Arial" w:hAnsi="Arial"/>
                <w:sz w:val="14"/>
                <w:szCs w:val="14"/>
                <w:b w:val="1"/>
                <w:bCs w:val="1"/>
                <w:color w:val="auto"/>
              </w:rPr>
              <w:t>2021</w:t>
            </w:r>
          </w:p>
        </w:tc>
        <w:tc>
          <w:tcPr>
            <w:tcW w:w="18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760" w:type="dxa"/>
            <w:vAlign w:val="bottom"/>
            <w:tcBorders>
              <w:top w:val="single" w:sz="8" w:color="auto"/>
            </w:tcBorders>
          </w:tcPr>
          <w:p>
            <w:pPr>
              <w:jc w:val="right"/>
              <w:ind w:right="95"/>
              <w:spacing w:after="0" w:line="119" w:lineRule="exact"/>
              <w:rPr>
                <w:sz w:val="20"/>
                <w:szCs w:val="20"/>
                <w:color w:val="auto"/>
              </w:rPr>
            </w:pPr>
            <w:r>
              <w:rPr>
                <w:rFonts w:ascii="Arial" w:cs="Arial" w:eastAsia="Arial" w:hAnsi="Arial"/>
                <w:sz w:val="13"/>
                <w:szCs w:val="13"/>
                <w:b w:val="1"/>
                <w:bCs w:val="1"/>
                <w:color w:val="auto"/>
              </w:rPr>
              <w:t>Increase</w:t>
            </w:r>
          </w:p>
        </w:tc>
        <w:tc>
          <w:tcPr>
            <w:tcW w:w="160" w:type="dxa"/>
            <w:vAlign w:val="bottom"/>
          </w:tcPr>
          <w:p>
            <w:pPr>
              <w:spacing w:after="0"/>
              <w:rPr>
                <w:sz w:val="10"/>
                <w:szCs w:val="10"/>
                <w:color w:val="auto"/>
              </w:rPr>
            </w:pPr>
          </w:p>
        </w:tc>
        <w:tc>
          <w:tcPr>
            <w:tcW w:w="200" w:type="dxa"/>
            <w:vAlign w:val="bottom"/>
            <w:tcBorders>
              <w:top w:val="single" w:sz="8" w:color="auto"/>
            </w:tcBorders>
          </w:tcPr>
          <w:p>
            <w:pPr>
              <w:spacing w:after="0"/>
              <w:rPr>
                <w:sz w:val="10"/>
                <w:szCs w:val="10"/>
                <w:color w:val="auto"/>
              </w:rPr>
            </w:pPr>
          </w:p>
        </w:tc>
        <w:tc>
          <w:tcPr>
            <w:tcW w:w="660" w:type="dxa"/>
            <w:vAlign w:val="bottom"/>
            <w:tcBorders>
              <w:top w:val="single" w:sz="8" w:color="auto"/>
            </w:tcBorders>
            <w:vMerge w:val="restart"/>
          </w:tcPr>
          <w:p>
            <w:pPr>
              <w:jc w:val="right"/>
              <w:ind w:right="193"/>
              <w:spacing w:after="0"/>
              <w:rPr>
                <w:sz w:val="20"/>
                <w:szCs w:val="20"/>
                <w:color w:val="auto"/>
              </w:rPr>
            </w:pPr>
            <w:r>
              <w:rPr>
                <w:rFonts w:ascii="Arial" w:cs="Arial" w:eastAsia="Arial" w:hAnsi="Arial"/>
                <w:sz w:val="14"/>
                <w:szCs w:val="14"/>
                <w:b w:val="1"/>
                <w:bCs w:val="1"/>
                <w:color w:val="auto"/>
              </w:rPr>
              <w:t>2022</w:t>
            </w:r>
          </w:p>
        </w:tc>
        <w:tc>
          <w:tcPr>
            <w:tcW w:w="180" w:type="dxa"/>
            <w:vAlign w:val="bottom"/>
            <w:tcBorders>
              <w:top w:val="single" w:sz="8" w:color="auto"/>
            </w:tcBorders>
          </w:tcPr>
          <w:p>
            <w:pPr>
              <w:spacing w:after="0"/>
              <w:rPr>
                <w:sz w:val="10"/>
                <w:szCs w:val="10"/>
                <w:color w:val="auto"/>
              </w:rPr>
            </w:pPr>
          </w:p>
        </w:tc>
        <w:tc>
          <w:tcPr>
            <w:tcW w:w="180" w:type="dxa"/>
            <w:vAlign w:val="bottom"/>
            <w:tcBorders>
              <w:top w:val="single" w:sz="8" w:color="auto"/>
            </w:tcBorders>
          </w:tcPr>
          <w:p>
            <w:pPr>
              <w:spacing w:after="0"/>
              <w:rPr>
                <w:sz w:val="10"/>
                <w:szCs w:val="10"/>
                <w:color w:val="auto"/>
              </w:rPr>
            </w:pPr>
          </w:p>
        </w:tc>
        <w:tc>
          <w:tcPr>
            <w:tcW w:w="660" w:type="dxa"/>
            <w:vAlign w:val="bottom"/>
            <w:tcBorders>
              <w:top w:val="single" w:sz="8" w:color="auto"/>
            </w:tcBorders>
            <w:vMerge w:val="restart"/>
          </w:tcPr>
          <w:p>
            <w:pPr>
              <w:jc w:val="right"/>
              <w:ind w:right="192"/>
              <w:spacing w:after="0"/>
              <w:rPr>
                <w:sz w:val="20"/>
                <w:szCs w:val="20"/>
                <w:color w:val="auto"/>
              </w:rPr>
            </w:pPr>
            <w:r>
              <w:rPr>
                <w:rFonts w:ascii="Arial" w:cs="Arial" w:eastAsia="Arial" w:hAnsi="Arial"/>
                <w:sz w:val="14"/>
                <w:szCs w:val="14"/>
                <w:b w:val="1"/>
                <w:bCs w:val="1"/>
                <w:color w:val="auto"/>
              </w:rPr>
              <w:t>2021</w:t>
            </w:r>
          </w:p>
        </w:tc>
        <w:tc>
          <w:tcPr>
            <w:tcW w:w="180" w:type="dxa"/>
            <w:vAlign w:val="bottom"/>
            <w:tcBorders>
              <w:top w:val="single" w:sz="8" w:color="auto"/>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760" w:type="dxa"/>
            <w:vAlign w:val="bottom"/>
            <w:tcBorders>
              <w:top w:val="single" w:sz="8" w:color="auto"/>
            </w:tcBorders>
          </w:tcPr>
          <w:p>
            <w:pPr>
              <w:jc w:val="right"/>
              <w:ind w:right="94"/>
              <w:spacing w:after="0" w:line="119" w:lineRule="exact"/>
              <w:rPr>
                <w:sz w:val="20"/>
                <w:szCs w:val="20"/>
                <w:color w:val="auto"/>
              </w:rPr>
            </w:pPr>
            <w:r>
              <w:rPr>
                <w:rFonts w:ascii="Arial" w:cs="Arial" w:eastAsia="Arial" w:hAnsi="Arial"/>
                <w:sz w:val="13"/>
                <w:szCs w:val="13"/>
                <w:b w:val="1"/>
                <w:bCs w:val="1"/>
                <w:color w:val="auto"/>
              </w:rPr>
              <w:t>Increase</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392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vMerge w:val="continue"/>
          </w:tcPr>
          <w:p>
            <w:pPr>
              <w:spacing w:after="0"/>
              <w:rPr>
                <w:sz w:val="14"/>
                <w:szCs w:val="14"/>
                <w:color w:val="auto"/>
              </w:rPr>
            </w:pPr>
          </w:p>
        </w:tc>
        <w:tc>
          <w:tcPr>
            <w:tcW w:w="18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vMerge w:val="continue"/>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35"/>
              <w:spacing w:after="0"/>
              <w:rPr>
                <w:sz w:val="20"/>
                <w:szCs w:val="20"/>
                <w:color w:val="auto"/>
              </w:rPr>
            </w:pPr>
            <w:r>
              <w:rPr>
                <w:rFonts w:ascii="Arial" w:cs="Arial" w:eastAsia="Arial" w:hAnsi="Arial"/>
                <w:sz w:val="14"/>
                <w:szCs w:val="14"/>
                <w:b w:val="1"/>
                <w:bCs w:val="1"/>
                <w:color w:val="auto"/>
                <w:w w:val="88"/>
              </w:rPr>
              <w:t>(decrease)</w:t>
            </w:r>
          </w:p>
        </w:tc>
        <w:tc>
          <w:tcPr>
            <w:tcW w:w="16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vMerge w:val="continue"/>
          </w:tcPr>
          <w:p>
            <w:pPr>
              <w:spacing w:after="0"/>
              <w:rPr>
                <w:sz w:val="14"/>
                <w:szCs w:val="14"/>
                <w:color w:val="auto"/>
              </w:rPr>
            </w:pPr>
          </w:p>
        </w:tc>
        <w:tc>
          <w:tcPr>
            <w:tcW w:w="18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vMerge w:val="continue"/>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54"/>
              <w:spacing w:after="0"/>
              <w:rPr>
                <w:sz w:val="20"/>
                <w:szCs w:val="20"/>
                <w:color w:val="auto"/>
              </w:rPr>
            </w:pPr>
            <w:r>
              <w:rPr>
                <w:rFonts w:ascii="Arial" w:cs="Arial" w:eastAsia="Arial" w:hAnsi="Arial"/>
                <w:sz w:val="14"/>
                <w:szCs w:val="14"/>
                <w:b w:val="1"/>
                <w:bCs w:val="1"/>
                <w:color w:val="auto"/>
                <w:w w:val="85"/>
              </w:rPr>
              <w:t>(decrease)</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39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780" w:type="dxa"/>
            <w:vAlign w:val="bottom"/>
            <w:gridSpan w:val="4"/>
          </w:tcPr>
          <w:p>
            <w:pPr>
              <w:jc w:val="right"/>
              <w:ind w:right="473"/>
              <w:spacing w:after="0" w:line="129" w:lineRule="exact"/>
              <w:rPr>
                <w:sz w:val="20"/>
                <w:szCs w:val="20"/>
                <w:color w:val="auto"/>
              </w:rPr>
            </w:pPr>
            <w:r>
              <w:rPr>
                <w:rFonts w:ascii="Arial" w:cs="Arial" w:eastAsia="Arial" w:hAnsi="Arial"/>
                <w:sz w:val="14"/>
                <w:szCs w:val="14"/>
                <w:i w:val="1"/>
                <w:iCs w:val="1"/>
                <w:color w:val="auto"/>
              </w:rPr>
              <w:t>(in millions)</w:t>
            </w: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shd w:val="clear" w:color="auto" w:fill="CCEEFF"/>
          </w:tcPr>
          <w:p>
            <w:pPr>
              <w:spacing w:after="0"/>
              <w:rPr>
                <w:sz w:val="20"/>
                <w:szCs w:val="20"/>
                <w:color w:val="auto"/>
              </w:rPr>
            </w:pPr>
            <w:r>
              <w:rPr>
                <w:rFonts w:ascii="Arial" w:cs="Arial" w:eastAsia="Arial" w:hAnsi="Arial"/>
                <w:sz w:val="18"/>
                <w:szCs w:val="18"/>
                <w:color w:val="auto"/>
              </w:rPr>
              <w:t>Operating revenues:</w:t>
            </w: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tcPr>
          <w:p>
            <w:pPr>
              <w:ind w:left="100"/>
              <w:spacing w:after="0"/>
              <w:rPr>
                <w:sz w:val="20"/>
                <w:szCs w:val="20"/>
                <w:color w:val="auto"/>
              </w:rPr>
            </w:pPr>
            <w:r>
              <w:rPr>
                <w:rFonts w:ascii="Arial" w:cs="Arial" w:eastAsia="Arial" w:hAnsi="Arial"/>
                <w:sz w:val="18"/>
                <w:szCs w:val="18"/>
                <w:color w:val="auto"/>
              </w:rPr>
              <w:t>Premiums and other considerations</w:t>
            </w:r>
          </w:p>
        </w:tc>
        <w:tc>
          <w:tcPr>
            <w:tcW w:w="180" w:type="dxa"/>
            <w:vAlign w:val="bottom"/>
          </w:tcPr>
          <w:p>
            <w:pPr>
              <w:jc w:val="right"/>
              <w:ind w:right="27"/>
              <w:spacing w:after="0"/>
              <w:rPr>
                <w:sz w:val="20"/>
                <w:szCs w:val="20"/>
                <w:color w:val="auto"/>
              </w:rPr>
            </w:pPr>
            <w:r>
              <w:rPr>
                <w:rFonts w:ascii="Arial" w:cs="Arial" w:eastAsia="Arial" w:hAnsi="Arial"/>
                <w:sz w:val="15"/>
                <w:szCs w:val="15"/>
                <w:b w:val="1"/>
                <w:bCs w:val="1"/>
                <w:color w:val="auto"/>
                <w:w w:val="71"/>
              </w:rPr>
              <w:t>$</w:t>
            </w:r>
          </w:p>
        </w:tc>
        <w:tc>
          <w:tcPr>
            <w:tcW w:w="660" w:type="dxa"/>
            <w:vAlign w:val="bottom"/>
          </w:tcPr>
          <w:p>
            <w:pPr>
              <w:jc w:val="right"/>
              <w:spacing w:after="0"/>
              <w:rPr>
                <w:sz w:val="20"/>
                <w:szCs w:val="20"/>
                <w:color w:val="auto"/>
              </w:rPr>
            </w:pPr>
            <w:r>
              <w:rPr>
                <w:rFonts w:ascii="Arial" w:cs="Arial" w:eastAsia="Arial" w:hAnsi="Arial"/>
                <w:sz w:val="18"/>
                <w:szCs w:val="18"/>
                <w:b w:val="1"/>
                <w:bCs w:val="1"/>
                <w:color w:val="auto"/>
              </w:rPr>
              <w:t>30.1</w:t>
            </w:r>
          </w:p>
        </w:tc>
        <w:tc>
          <w:tcPr>
            <w:tcW w:w="380" w:type="dxa"/>
            <w:vAlign w:val="bottom"/>
            <w:gridSpan w:val="2"/>
          </w:tcPr>
          <w:p>
            <w:pPr>
              <w:jc w:val="right"/>
              <w:ind w:right="47"/>
              <w:spacing w:after="0"/>
              <w:rPr>
                <w:sz w:val="20"/>
                <w:szCs w:val="20"/>
                <w:color w:val="auto"/>
              </w:rPr>
            </w:pPr>
            <w:r>
              <w:rPr>
                <w:rFonts w:ascii="Arial" w:cs="Arial" w:eastAsia="Arial" w:hAnsi="Arial"/>
                <w:sz w:val="18"/>
                <w:szCs w:val="18"/>
                <w:color w:val="auto"/>
              </w:rPr>
              <w:t>$</w:t>
            </w:r>
          </w:p>
        </w:tc>
        <w:tc>
          <w:tcPr>
            <w:tcW w:w="620" w:type="dxa"/>
            <w:vAlign w:val="bottom"/>
          </w:tcPr>
          <w:p>
            <w:pPr>
              <w:jc w:val="right"/>
              <w:spacing w:after="0"/>
              <w:rPr>
                <w:sz w:val="20"/>
                <w:szCs w:val="20"/>
                <w:color w:val="auto"/>
              </w:rPr>
            </w:pPr>
            <w:r>
              <w:rPr>
                <w:rFonts w:ascii="Arial" w:cs="Arial" w:eastAsia="Arial" w:hAnsi="Arial"/>
                <w:sz w:val="18"/>
                <w:szCs w:val="18"/>
                <w:color w:val="auto"/>
              </w:rPr>
              <w:t>41.9</w:t>
            </w:r>
          </w:p>
        </w:tc>
        <w:tc>
          <w:tcPr>
            <w:tcW w:w="18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(11.8)</w:t>
            </w:r>
          </w:p>
        </w:tc>
        <w:tc>
          <w:tcPr>
            <w:tcW w:w="200" w:type="dxa"/>
            <w:vAlign w:val="bottom"/>
          </w:tcPr>
          <w:p>
            <w:pPr>
              <w:jc w:val="right"/>
              <w:ind w:right="10"/>
              <w:spacing w:after="0"/>
              <w:rPr>
                <w:sz w:val="20"/>
                <w:szCs w:val="20"/>
                <w:color w:val="auto"/>
              </w:rPr>
            </w:pPr>
            <w:r>
              <w:rPr>
                <w:rFonts w:ascii="Arial" w:cs="Arial" w:eastAsia="Arial" w:hAnsi="Arial"/>
                <w:sz w:val="18"/>
                <w:szCs w:val="18"/>
                <w:b w:val="1"/>
                <w:bCs w:val="1"/>
                <w:color w:val="auto"/>
                <w:w w:val="79"/>
              </w:rPr>
              <w:t>$</w:t>
            </w:r>
          </w:p>
        </w:tc>
        <w:tc>
          <w:tcPr>
            <w:tcW w:w="660" w:type="dxa"/>
            <w:vAlign w:val="bottom"/>
          </w:tcPr>
          <w:p>
            <w:pPr>
              <w:jc w:val="right"/>
              <w:spacing w:after="0"/>
              <w:rPr>
                <w:sz w:val="20"/>
                <w:szCs w:val="20"/>
                <w:color w:val="auto"/>
              </w:rPr>
            </w:pPr>
            <w:r>
              <w:rPr>
                <w:rFonts w:ascii="Arial" w:cs="Arial" w:eastAsia="Arial" w:hAnsi="Arial"/>
                <w:sz w:val="18"/>
                <w:szCs w:val="18"/>
                <w:b w:val="1"/>
                <w:bCs w:val="1"/>
                <w:color w:val="auto"/>
              </w:rPr>
              <w:t>40.4</w:t>
            </w:r>
          </w:p>
        </w:tc>
        <w:tc>
          <w:tcPr>
            <w:tcW w:w="180" w:type="dxa"/>
            <w:vAlign w:val="bottom"/>
          </w:tcPr>
          <w:p>
            <w:pPr>
              <w:spacing w:after="0"/>
              <w:rPr>
                <w:sz w:val="18"/>
                <w:szCs w:val="18"/>
                <w:color w:val="auto"/>
              </w:rPr>
            </w:pPr>
          </w:p>
        </w:tc>
        <w:tc>
          <w:tcPr>
            <w:tcW w:w="180" w:type="dxa"/>
            <w:vAlign w:val="bottom"/>
          </w:tcPr>
          <w:p>
            <w:pPr>
              <w:jc w:val="right"/>
              <w:ind w:right="27"/>
              <w:spacing w:after="0"/>
              <w:rPr>
                <w:sz w:val="20"/>
                <w:szCs w:val="20"/>
                <w:color w:val="auto"/>
              </w:rPr>
            </w:pPr>
            <w:r>
              <w:rPr>
                <w:rFonts w:ascii="Arial" w:cs="Arial" w:eastAsia="Arial" w:hAnsi="Arial"/>
                <w:sz w:val="15"/>
                <w:szCs w:val="15"/>
                <w:color w:val="auto"/>
                <w:w w:val="71"/>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69.2</w:t>
            </w:r>
          </w:p>
        </w:tc>
        <w:tc>
          <w:tcPr>
            <w:tcW w:w="18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(28.8)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Fees and other revenues</w:t>
            </w: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110.3</w:t>
            </w: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127.6</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(17.3)</w:t>
            </w:r>
          </w:p>
        </w:tc>
        <w:tc>
          <w:tcPr>
            <w:tcW w:w="2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221.9</w:t>
            </w: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250.5</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tcBorders>
              <w:bottom w:val="single" w:sz="8" w:color="CCEEFF"/>
            </w:tcBorders>
          </w:tcPr>
          <w:p>
            <w:pPr>
              <w:ind w:left="100"/>
              <w:spacing w:after="0"/>
              <w:rPr>
                <w:sz w:val="20"/>
                <w:szCs w:val="20"/>
                <w:color w:val="auto"/>
              </w:rPr>
            </w:pPr>
            <w:r>
              <w:rPr>
                <w:rFonts w:ascii="Arial" w:cs="Arial" w:eastAsia="Arial" w:hAnsi="Arial"/>
                <w:sz w:val="18"/>
                <w:szCs w:val="18"/>
                <w:color w:val="auto"/>
              </w:rPr>
              <w:t>Net investment income</w:t>
            </w:r>
          </w:p>
        </w:tc>
        <w:tc>
          <w:tcPr>
            <w:tcW w:w="18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298.7</w:t>
            </w:r>
          </w:p>
        </w:tc>
        <w:tc>
          <w:tcPr>
            <w:tcW w:w="18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136.7</w:t>
            </w:r>
          </w:p>
        </w:tc>
        <w:tc>
          <w:tcPr>
            <w:tcW w:w="18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162.0</w:t>
            </w:r>
          </w:p>
        </w:tc>
        <w:tc>
          <w:tcPr>
            <w:tcW w:w="16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491.7</w:t>
            </w:r>
          </w:p>
        </w:tc>
        <w:tc>
          <w:tcPr>
            <w:tcW w:w="18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294.5</w:t>
            </w:r>
          </w:p>
        </w:tc>
        <w:tc>
          <w:tcPr>
            <w:tcW w:w="18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197.2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9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Total operating revenues</w:t>
            </w: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439.1</w:t>
            </w: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306.2</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132.9</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754.0</w:t>
            </w: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614.2</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139.8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tcPr>
          <w:p>
            <w:pPr>
              <w:spacing w:after="0"/>
              <w:rPr>
                <w:sz w:val="20"/>
                <w:szCs w:val="20"/>
                <w:color w:val="auto"/>
              </w:rPr>
            </w:pPr>
            <w:r>
              <w:rPr>
                <w:rFonts w:ascii="Arial" w:cs="Arial" w:eastAsia="Arial" w:hAnsi="Arial"/>
                <w:sz w:val="18"/>
                <w:szCs w:val="18"/>
                <w:color w:val="auto"/>
              </w:rPr>
              <w:t>Expenses:</w:t>
            </w:r>
          </w:p>
        </w:tc>
        <w:tc>
          <w:tcPr>
            <w:tcW w:w="1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Benefits, claims and settlement expenses</w:t>
            </w: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238.8</w:t>
            </w: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140.2</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98.6</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386.8</w:t>
            </w: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261.9</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124.9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tcPr>
          <w:p>
            <w:pPr>
              <w:ind w:left="100"/>
              <w:spacing w:after="0"/>
              <w:rPr>
                <w:sz w:val="20"/>
                <w:szCs w:val="20"/>
                <w:color w:val="auto"/>
              </w:rPr>
            </w:pPr>
            <w:r>
              <w:rPr>
                <w:rFonts w:ascii="Arial" w:cs="Arial" w:eastAsia="Arial" w:hAnsi="Arial"/>
                <w:sz w:val="18"/>
                <w:szCs w:val="18"/>
                <w:color w:val="auto"/>
              </w:rPr>
              <w:t>Operating expenses</w:t>
            </w:r>
          </w:p>
        </w:tc>
        <w:tc>
          <w:tcPr>
            <w:tcW w:w="1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b w:val="1"/>
                <w:bCs w:val="1"/>
                <w:color w:val="auto"/>
              </w:rPr>
              <w:t>107.2</w:t>
            </w: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117.3</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(10.1)</w:t>
            </w:r>
          </w:p>
        </w:tc>
        <w:tc>
          <w:tcPr>
            <w:tcW w:w="2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b w:val="1"/>
                <w:bCs w:val="1"/>
                <w:color w:val="auto"/>
              </w:rPr>
              <w:t>215.6</w:t>
            </w: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227.8</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(12.2)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920" w:type="dxa"/>
            <w:vAlign w:val="bottom"/>
            <w:tcBorders>
              <w:top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Total expenses</w:t>
            </w:r>
          </w:p>
        </w:tc>
        <w:tc>
          <w:tcPr>
            <w:tcW w:w="180" w:type="dxa"/>
            <w:vAlign w:val="bottom"/>
            <w:tcBorders>
              <w:top w:val="single" w:sz="8" w:color="auto"/>
            </w:tcBorders>
            <w:shd w:val="clear" w:color="auto" w:fill="CCEEFF"/>
          </w:tcPr>
          <w:p>
            <w:pPr>
              <w:spacing w:after="0"/>
              <w:rPr>
                <w:sz w:val="18"/>
                <w:szCs w:val="18"/>
                <w:color w:val="auto"/>
              </w:rPr>
            </w:pP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346.0</w:t>
            </w:r>
          </w:p>
        </w:tc>
        <w:tc>
          <w:tcPr>
            <w:tcW w:w="18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257.5</w:t>
            </w:r>
          </w:p>
        </w:tc>
        <w:tc>
          <w:tcPr>
            <w:tcW w:w="1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88.5</w:t>
            </w:r>
          </w:p>
        </w:tc>
        <w:tc>
          <w:tcPr>
            <w:tcW w:w="16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602.4</w:t>
            </w:r>
          </w:p>
        </w:tc>
        <w:tc>
          <w:tcPr>
            <w:tcW w:w="18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489.7</w:t>
            </w:r>
          </w:p>
        </w:tc>
        <w:tc>
          <w:tcPr>
            <w:tcW w:w="1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112.7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9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vMerge w:val="continue"/>
          </w:tcPr>
          <w:p>
            <w:pPr>
              <w:spacing w:after="0"/>
              <w:rPr>
                <w:sz w:val="17"/>
                <w:szCs w:val="17"/>
                <w:color w:val="auto"/>
              </w:rPr>
            </w:pPr>
          </w:p>
        </w:tc>
        <w:tc>
          <w:tcPr>
            <w:tcW w:w="392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Pre-tax operating earnings attributable to</w:t>
            </w:r>
          </w:p>
        </w:tc>
        <w:tc>
          <w:tcPr>
            <w:tcW w:w="180" w:type="dxa"/>
            <w:vAlign w:val="bottom"/>
            <w:shd w:val="clear" w:color="auto" w:fill="CCEEFF"/>
          </w:tcPr>
          <w:p>
            <w:pPr>
              <w:spacing w:after="0"/>
              <w:rPr>
                <w:sz w:val="17"/>
                <w:szCs w:val="17"/>
                <w:color w:val="auto"/>
              </w:rPr>
            </w:pPr>
          </w:p>
        </w:tc>
        <w:tc>
          <w:tcPr>
            <w:tcW w:w="66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1.0</w:t>
            </w:r>
          </w:p>
        </w:tc>
        <w:tc>
          <w:tcPr>
            <w:tcW w:w="1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6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1.4</w:t>
            </w:r>
          </w:p>
        </w:tc>
        <w:tc>
          <w:tcPr>
            <w:tcW w:w="1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920" w:type="dxa"/>
            <w:vAlign w:val="bottom"/>
            <w:shd w:val="clear" w:color="auto" w:fill="CCEEFF"/>
          </w:tcPr>
          <w:p>
            <w:pPr>
              <w:ind w:left="120"/>
              <w:spacing w:after="0"/>
              <w:rPr>
                <w:sz w:val="20"/>
                <w:szCs w:val="20"/>
                <w:color w:val="auto"/>
              </w:rPr>
            </w:pPr>
            <w:r>
              <w:rPr>
                <w:rFonts w:ascii="Arial" w:cs="Arial" w:eastAsia="Arial" w:hAnsi="Arial"/>
                <w:sz w:val="18"/>
                <w:szCs w:val="18"/>
                <w:color w:val="auto"/>
              </w:rPr>
              <w:t>noncontrolling interest</w:t>
            </w:r>
          </w:p>
        </w:tc>
        <w:tc>
          <w:tcPr>
            <w:tcW w:w="180" w:type="dxa"/>
            <w:vAlign w:val="bottom"/>
            <w:shd w:val="clear" w:color="auto" w:fill="CCEEFF"/>
          </w:tcPr>
          <w:p>
            <w:pPr>
              <w:spacing w:after="0"/>
              <w:rPr>
                <w:sz w:val="20"/>
                <w:szCs w:val="20"/>
                <w:color w:val="auto"/>
              </w:rPr>
            </w:pPr>
          </w:p>
        </w:tc>
        <w:tc>
          <w:tcPr>
            <w:tcW w:w="660" w:type="dxa"/>
            <w:vAlign w:val="bottom"/>
            <w:vMerge w:val="continue"/>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1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9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20"/>
                <w:szCs w:val="20"/>
                <w:color w:val="auto"/>
              </w:rPr>
            </w:pPr>
          </w:p>
        </w:tc>
        <w:tc>
          <w:tcPr>
            <w:tcW w:w="660" w:type="dxa"/>
            <w:vAlign w:val="bottom"/>
            <w:vMerge w:val="continue"/>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w:t>
            </w:r>
          </w:p>
        </w:tc>
        <w:tc>
          <w:tcPr>
            <w:tcW w:w="1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(0.3)</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3940" w:type="dxa"/>
            <w:vAlign w:val="bottom"/>
            <w:gridSpan w:val="2"/>
          </w:tcPr>
          <w:p>
            <w:pPr>
              <w:spacing w:after="0"/>
              <w:rPr>
                <w:sz w:val="20"/>
                <w:szCs w:val="20"/>
                <w:color w:val="auto"/>
              </w:rPr>
            </w:pPr>
            <w:r>
              <w:rPr>
                <w:rFonts w:ascii="Arial" w:cs="Arial" w:eastAsia="Arial" w:hAnsi="Arial"/>
                <w:sz w:val="18"/>
                <w:szCs w:val="18"/>
                <w:color w:val="auto"/>
              </w:rPr>
              <w:t>Pre-tax operating earnings</w:t>
            </w:r>
          </w:p>
        </w:tc>
        <w:tc>
          <w:tcPr>
            <w:tcW w:w="180" w:type="dxa"/>
            <w:vAlign w:val="bottom"/>
            <w:tcBorders>
              <w:top w:val="single" w:sz="8" w:color="auto"/>
              <w:bottom w:val="single" w:sz="8" w:color="auto"/>
            </w:tcBorders>
          </w:tcPr>
          <w:p>
            <w:pPr>
              <w:jc w:val="right"/>
              <w:ind w:right="27"/>
              <w:spacing w:after="0"/>
              <w:rPr>
                <w:sz w:val="20"/>
                <w:szCs w:val="20"/>
                <w:color w:val="auto"/>
              </w:rPr>
            </w:pPr>
            <w:r>
              <w:rPr>
                <w:rFonts w:ascii="Arial" w:cs="Arial" w:eastAsia="Arial" w:hAnsi="Arial"/>
                <w:sz w:val="15"/>
                <w:szCs w:val="15"/>
                <w:b w:val="1"/>
                <w:bCs w:val="1"/>
                <w:color w:val="auto"/>
                <w:w w:val="71"/>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92.1</w:t>
            </w:r>
          </w:p>
        </w:tc>
        <w:tc>
          <w:tcPr>
            <w:tcW w:w="180" w:type="dxa"/>
            <w:vAlign w:val="bottom"/>
          </w:tcPr>
          <w:p>
            <w:pPr>
              <w:spacing w:after="0"/>
              <w:rPr>
                <w:sz w:val="18"/>
                <w:szCs w:val="18"/>
                <w:color w:val="auto"/>
              </w:rPr>
            </w:pPr>
          </w:p>
        </w:tc>
        <w:tc>
          <w:tcPr>
            <w:tcW w:w="200" w:type="dxa"/>
            <w:vAlign w:val="bottom"/>
            <w:tcBorders>
              <w:top w:val="single" w:sz="8" w:color="auto"/>
              <w:bottom w:val="single" w:sz="8" w:color="auto"/>
            </w:tcBorders>
          </w:tcPr>
          <w:p>
            <w:pPr>
              <w:jc w:val="right"/>
              <w:ind w:right="47"/>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47.7</w:t>
            </w:r>
          </w:p>
        </w:tc>
        <w:tc>
          <w:tcPr>
            <w:tcW w:w="18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44.4</w:t>
            </w:r>
          </w:p>
        </w:tc>
        <w:tc>
          <w:tcPr>
            <w:tcW w:w="160" w:type="dxa"/>
            <w:vAlign w:val="bottom"/>
          </w:tcPr>
          <w:p>
            <w:pPr>
              <w:spacing w:after="0"/>
              <w:rPr>
                <w:sz w:val="18"/>
                <w:szCs w:val="18"/>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w w:val="79"/>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150.2</w:t>
            </w:r>
          </w:p>
        </w:tc>
        <w:tc>
          <w:tcPr>
            <w:tcW w:w="180" w:type="dxa"/>
            <w:vAlign w:val="bottom"/>
          </w:tcPr>
          <w:p>
            <w:pPr>
              <w:spacing w:after="0"/>
              <w:rPr>
                <w:sz w:val="18"/>
                <w:szCs w:val="18"/>
                <w:color w:val="auto"/>
              </w:rPr>
            </w:pPr>
          </w:p>
        </w:tc>
        <w:tc>
          <w:tcPr>
            <w:tcW w:w="180" w:type="dxa"/>
            <w:vAlign w:val="bottom"/>
            <w:tcBorders>
              <w:top w:val="single" w:sz="8" w:color="auto"/>
              <w:bottom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122.</w:t>
            </w:r>
            <w:r>
              <w:rPr>
                <w:rFonts w:ascii="Arial" w:cs="Arial" w:eastAsia="Arial" w:hAnsi="Arial"/>
                <w:sz w:val="18"/>
                <w:szCs w:val="18"/>
                <w:u w:val="single" w:color="auto"/>
                <w:color w:val="auto"/>
              </w:rPr>
              <w:t>8</w:t>
            </w:r>
          </w:p>
        </w:tc>
        <w:tc>
          <w:tcPr>
            <w:tcW w:w="18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27.4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9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4"/>
        </w:trPr>
        <w:tc>
          <w:tcPr>
            <w:tcW w:w="20" w:type="dxa"/>
            <w:vAlign w:val="bottom"/>
          </w:tcPr>
          <w:p>
            <w:pPr>
              <w:spacing w:after="0"/>
              <w:rPr>
                <w:sz w:val="24"/>
                <w:szCs w:val="24"/>
                <w:color w:val="auto"/>
              </w:rPr>
            </w:pPr>
          </w:p>
        </w:tc>
        <w:tc>
          <w:tcPr>
            <w:tcW w:w="39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380" w:type="dxa"/>
            <w:vAlign w:val="bottom"/>
            <w:gridSpan w:val="2"/>
          </w:tcPr>
          <w:p>
            <w:pPr>
              <w:jc w:val="right"/>
              <w:spacing w:after="0"/>
              <w:rPr>
                <w:sz w:val="20"/>
                <w:szCs w:val="20"/>
                <w:color w:val="auto"/>
              </w:rPr>
            </w:pPr>
            <w:r>
              <w:rPr>
                <w:rFonts w:ascii="Arial" w:cs="Arial" w:eastAsia="Arial" w:hAnsi="Arial"/>
                <w:sz w:val="18"/>
                <w:szCs w:val="18"/>
                <w:color w:val="auto"/>
                <w:w w:val="99"/>
              </w:rPr>
              <w:t>100</w:t>
            </w:r>
          </w:p>
        </w:tc>
        <w:tc>
          <w:tcPr>
            <w:tcW w:w="6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60"/>
        </w:trPr>
        <w:tc>
          <w:tcPr>
            <w:tcW w:w="20" w:type="dxa"/>
            <w:vAlign w:val="bottom"/>
          </w:tcPr>
          <w:p>
            <w:pPr>
              <w:spacing w:after="0"/>
              <w:rPr>
                <w:sz w:val="24"/>
                <w:szCs w:val="24"/>
                <w:color w:val="auto"/>
              </w:rPr>
            </w:pPr>
          </w:p>
        </w:tc>
        <w:tc>
          <w:tcPr>
            <w:tcW w:w="39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920"/>
          </w:cols>
          <w:pgMar w:left="980" w:top="665" w:right="999" w:bottom="1440" w:gutter="0" w:footer="0" w:header="0"/>
        </w:sectPr>
      </w:pPr>
    </w:p>
    <w:bookmarkStart w:id="100" w:name="page101"/>
    <w:bookmarkEnd w:id="100"/>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Three Months Ended June 30, 2022 Compared to Three Months Ended June 30, 2021</w:t>
      </w:r>
    </w:p>
    <w:p>
      <w:pPr>
        <w:spacing w:after="0" w:line="221"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Pre-Tax Operating Earnings</w:t>
      </w:r>
    </w:p>
    <w:p>
      <w:pPr>
        <w:spacing w:after="0" w:line="229" w:lineRule="exact"/>
        <w:rPr>
          <w:sz w:val="20"/>
          <w:szCs w:val="20"/>
          <w:color w:val="auto"/>
        </w:rPr>
      </w:pPr>
    </w:p>
    <w:p>
      <w:pPr>
        <w:ind w:right="240" w:firstLine="630"/>
        <w:spacing w:after="0" w:line="259" w:lineRule="auto"/>
        <w:rPr>
          <w:sz w:val="20"/>
          <w:szCs w:val="20"/>
          <w:color w:val="auto"/>
        </w:rPr>
      </w:pPr>
      <w:r>
        <w:rPr>
          <w:rFonts w:ascii="Arial" w:cs="Arial" w:eastAsia="Arial" w:hAnsi="Arial"/>
          <w:sz w:val="18"/>
          <w:szCs w:val="18"/>
          <w:color w:val="auto"/>
        </w:rPr>
        <w:t>Pre-tax operating earnings increased in Latin America primarily due to $23.4 million higher earnings from our equity method investments in Brazil, $12.7 million higher inflation-based investment returns on average invested assets and cash and $7.6 million favorable relative market performance on our required regulatory investments. These were partially offset by $4.3 million foreign currency headwinds.</w:t>
      </w:r>
    </w:p>
    <w:p>
      <w:pPr>
        <w:spacing w:after="0" w:line="183"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Net Revenue</w:t>
      </w:r>
    </w:p>
    <w:p>
      <w:pPr>
        <w:spacing w:after="0" w:line="229" w:lineRule="exact"/>
        <w:rPr>
          <w:sz w:val="20"/>
          <w:szCs w:val="20"/>
          <w:color w:val="auto"/>
        </w:rPr>
      </w:pPr>
    </w:p>
    <w:p>
      <w:pPr>
        <w:jc w:val="both"/>
        <w:ind w:right="180" w:firstLine="630"/>
        <w:spacing w:after="0" w:line="311" w:lineRule="auto"/>
        <w:rPr>
          <w:sz w:val="20"/>
          <w:szCs w:val="20"/>
          <w:color w:val="auto"/>
        </w:rPr>
      </w:pPr>
      <w:r>
        <w:rPr>
          <w:rFonts w:ascii="Arial" w:cs="Arial" w:eastAsia="Arial" w:hAnsi="Arial"/>
          <w:sz w:val="16"/>
          <w:szCs w:val="16"/>
          <w:color w:val="auto"/>
        </w:rPr>
        <w:t>Net revenue increased in Latin America primarily due to $23.4 million higher earnings from our equity method investments in Brazil, $12.7 million higher inflation-based investment returns on average invested assets and cash and $7.9 million favorable relative market performance on our required regulatory investments. These were partially offset by $11.2 million foreign currency headwinds.</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Six Months Ended June 30, 2022 Compared to Six Months Ended June 30, 2021</w:t>
      </w:r>
    </w:p>
    <w:p>
      <w:pPr>
        <w:spacing w:after="0" w:line="221"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Pre-Tax Operating Earnings</w:t>
      </w:r>
    </w:p>
    <w:p>
      <w:pPr>
        <w:spacing w:after="0" w:line="229" w:lineRule="exact"/>
        <w:rPr>
          <w:sz w:val="20"/>
          <w:szCs w:val="20"/>
          <w:color w:val="auto"/>
        </w:rPr>
      </w:pPr>
    </w:p>
    <w:p>
      <w:pPr>
        <w:ind w:right="240" w:firstLine="630"/>
        <w:spacing w:after="0" w:line="277" w:lineRule="auto"/>
        <w:rPr>
          <w:sz w:val="20"/>
          <w:szCs w:val="20"/>
          <w:color w:val="auto"/>
        </w:rPr>
      </w:pPr>
      <w:r>
        <w:rPr>
          <w:rFonts w:ascii="Arial" w:cs="Arial" w:eastAsia="Arial" w:hAnsi="Arial"/>
          <w:sz w:val="18"/>
          <w:szCs w:val="18"/>
          <w:color w:val="auto"/>
        </w:rPr>
        <w:t>Pre-tax operating earnings increased in Latin America primarily due to $37.4 million higher earnings from our equity method investments in Brazil. This was partially offset by $8.1 million foreign currency headwinds.</w:t>
      </w:r>
    </w:p>
    <w:p>
      <w:pPr>
        <w:spacing w:after="0" w:line="166"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Net Revenue</w:t>
      </w:r>
    </w:p>
    <w:p>
      <w:pPr>
        <w:spacing w:after="0" w:line="229" w:lineRule="exact"/>
        <w:rPr>
          <w:sz w:val="20"/>
          <w:szCs w:val="20"/>
          <w:color w:val="auto"/>
        </w:rPr>
      </w:pPr>
    </w:p>
    <w:p>
      <w:pPr>
        <w:ind w:right="180" w:firstLine="630"/>
        <w:spacing w:after="0" w:line="279" w:lineRule="auto"/>
        <w:rPr>
          <w:sz w:val="20"/>
          <w:szCs w:val="20"/>
          <w:color w:val="auto"/>
        </w:rPr>
      </w:pPr>
      <w:r>
        <w:rPr>
          <w:rFonts w:ascii="Arial" w:cs="Arial" w:eastAsia="Arial" w:hAnsi="Arial"/>
          <w:sz w:val="17"/>
          <w:szCs w:val="17"/>
          <w:color w:val="auto"/>
        </w:rPr>
        <w:t>Net revenue increased in Latin America primarily due to $37.4 million higher earnings from our equity method investments in Brazil and $4.6 million favorable variable investment income in Chile. These were partially offset by $19.6 million foreign currency headwinds. Net revenue decreased in Asia primarily due to $6.4 million lower management fee revenue as a result of lower average AUM in Hong Kong and $4.3 million due to exiting the India business in the prior year.</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 Insurance Solutions Segment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U.S. Insurance Solutions Segment Summary Financial Data</w:t>
      </w:r>
    </w:p>
    <w:p>
      <w:pPr>
        <w:spacing w:after="0" w:line="225" w:lineRule="exact"/>
        <w:rPr>
          <w:sz w:val="20"/>
          <w:szCs w:val="20"/>
          <w:color w:val="auto"/>
        </w:rPr>
      </w:pPr>
    </w:p>
    <w:p>
      <w:pPr>
        <w:ind w:right="180" w:firstLine="648"/>
        <w:spacing w:after="0" w:line="301" w:lineRule="auto"/>
        <w:rPr>
          <w:sz w:val="20"/>
          <w:szCs w:val="20"/>
          <w:color w:val="auto"/>
        </w:rPr>
      </w:pPr>
      <w:r>
        <w:rPr>
          <w:rFonts w:ascii="Arial" w:cs="Arial" w:eastAsia="Arial" w:hAnsi="Arial"/>
          <w:sz w:val="16"/>
          <w:szCs w:val="16"/>
          <w:color w:val="auto"/>
        </w:rPr>
        <w:t>Premium and fees are a key metric for growth in the U.S. Insurance Solutions segment. We receive premiums on our specialty benefits insurance products as well as our traditional life insurance products. Fees are generated from our specialty benefits fee-for-service products as well as our universal life, variable universal life and indexed universal life insurance products. We use several reinsurance programs to help manage the mortality and morbidity risk. Premium and fees are reported net of reinsurance premiums.</w:t>
      </w:r>
    </w:p>
    <w:p>
      <w:pPr>
        <w:spacing w:after="0" w:line="15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presents the U.S. Insurance Solutions segment premium and fees for the periods indicated:</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0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3360" w:type="dxa"/>
            <w:vAlign w:val="bottom"/>
            <w:gridSpan w:val="8"/>
          </w:tcPr>
          <w:p>
            <w:pPr>
              <w:ind w:left="340"/>
              <w:spacing w:after="0"/>
              <w:rPr>
                <w:sz w:val="20"/>
                <w:szCs w:val="20"/>
                <w:color w:val="auto"/>
              </w:rPr>
            </w:pPr>
            <w:r>
              <w:rPr>
                <w:rFonts w:ascii="Arial" w:cs="Arial" w:eastAsia="Arial" w:hAnsi="Arial"/>
                <w:sz w:val="14"/>
                <w:szCs w:val="14"/>
                <w:b w:val="1"/>
                <w:bCs w:val="1"/>
                <w:color w:val="auto"/>
              </w:rPr>
              <w:t>For the three months ended June 30,</w:t>
            </w:r>
          </w:p>
        </w:tc>
        <w:tc>
          <w:tcPr>
            <w:tcW w:w="300" w:type="dxa"/>
            <w:vAlign w:val="bottom"/>
          </w:tcPr>
          <w:p>
            <w:pPr>
              <w:spacing w:after="0"/>
              <w:rPr>
                <w:sz w:val="14"/>
                <w:szCs w:val="14"/>
                <w:color w:val="auto"/>
              </w:rPr>
            </w:pPr>
          </w:p>
        </w:tc>
        <w:tc>
          <w:tcPr>
            <w:tcW w:w="3060" w:type="dxa"/>
            <w:vAlign w:val="bottom"/>
            <w:gridSpan w:val="8"/>
          </w:tcPr>
          <w:p>
            <w:pPr>
              <w:ind w:left="300"/>
              <w:spacing w:after="0"/>
              <w:rPr>
                <w:sz w:val="20"/>
                <w:szCs w:val="20"/>
                <w:color w:val="auto"/>
              </w:rPr>
            </w:pPr>
            <w:r>
              <w:rPr>
                <w:rFonts w:ascii="Arial" w:cs="Arial" w:eastAsia="Arial" w:hAnsi="Arial"/>
                <w:sz w:val="14"/>
                <w:szCs w:val="14"/>
                <w:b w:val="1"/>
                <w:bCs w:val="1"/>
                <w:color w:val="auto"/>
              </w:rPr>
              <w:t>For the six months ended June 30,</w:t>
            </w:r>
          </w:p>
        </w:tc>
        <w:tc>
          <w:tcPr>
            <w:tcW w:w="0" w:type="dxa"/>
            <w:vAlign w:val="bottom"/>
          </w:tcPr>
          <w:p>
            <w:pPr>
              <w:spacing w:after="0"/>
              <w:rPr>
                <w:sz w:val="1"/>
                <w:szCs w:val="1"/>
                <w:color w:val="auto"/>
              </w:rPr>
            </w:pPr>
          </w:p>
        </w:tc>
      </w:tr>
      <w:tr>
        <w:trPr>
          <w:trHeight w:val="119"/>
        </w:trPr>
        <w:tc>
          <w:tcPr>
            <w:tcW w:w="3000" w:type="dxa"/>
            <w:vAlign w:val="bottom"/>
          </w:tcPr>
          <w:p>
            <w:pPr>
              <w:spacing w:after="0"/>
              <w:rPr>
                <w:sz w:val="10"/>
                <w:szCs w:val="10"/>
                <w:color w:val="auto"/>
              </w:rPr>
            </w:pPr>
          </w:p>
        </w:tc>
        <w:tc>
          <w:tcPr>
            <w:tcW w:w="220" w:type="dxa"/>
            <w:vAlign w:val="bottom"/>
            <w:tcBorders>
              <w:top w:val="single" w:sz="8" w:color="auto"/>
            </w:tcBorders>
          </w:tcPr>
          <w:p>
            <w:pPr>
              <w:spacing w:after="0"/>
              <w:rPr>
                <w:sz w:val="10"/>
                <w:szCs w:val="10"/>
                <w:color w:val="auto"/>
              </w:rPr>
            </w:pPr>
          </w:p>
        </w:tc>
        <w:tc>
          <w:tcPr>
            <w:tcW w:w="780" w:type="dxa"/>
            <w:vAlign w:val="bottom"/>
            <w:tcBorders>
              <w:top w:val="single" w:sz="8" w:color="auto"/>
            </w:tcBorders>
            <w:vMerge w:val="restart"/>
          </w:tcPr>
          <w:p>
            <w:pPr>
              <w:jc w:val="right"/>
              <w:ind w:right="279"/>
              <w:spacing w:after="0"/>
              <w:rPr>
                <w:sz w:val="20"/>
                <w:szCs w:val="20"/>
                <w:color w:val="auto"/>
              </w:rPr>
            </w:pPr>
            <w:r>
              <w:rPr>
                <w:rFonts w:ascii="Arial" w:cs="Arial" w:eastAsia="Arial" w:hAnsi="Arial"/>
                <w:sz w:val="14"/>
                <w:szCs w:val="14"/>
                <w:b w:val="1"/>
                <w:bCs w:val="1"/>
                <w:color w:val="auto"/>
              </w:rPr>
              <w:t>2022</w:t>
            </w:r>
          </w:p>
        </w:tc>
        <w:tc>
          <w:tcPr>
            <w:tcW w:w="200" w:type="dxa"/>
            <w:vAlign w:val="bottom"/>
            <w:tcBorders>
              <w:top w:val="single" w:sz="8" w:color="auto"/>
            </w:tcBorders>
          </w:tcPr>
          <w:p>
            <w:pPr>
              <w:spacing w:after="0"/>
              <w:rPr>
                <w:sz w:val="10"/>
                <w:szCs w:val="10"/>
                <w:color w:val="auto"/>
              </w:rPr>
            </w:pPr>
          </w:p>
        </w:tc>
        <w:tc>
          <w:tcPr>
            <w:tcW w:w="240" w:type="dxa"/>
            <w:vAlign w:val="bottom"/>
            <w:tcBorders>
              <w:top w:val="single" w:sz="8" w:color="auto"/>
            </w:tcBorders>
          </w:tcPr>
          <w:p>
            <w:pPr>
              <w:spacing w:after="0"/>
              <w:rPr>
                <w:sz w:val="10"/>
                <w:szCs w:val="10"/>
                <w:color w:val="auto"/>
              </w:rPr>
            </w:pPr>
          </w:p>
        </w:tc>
        <w:tc>
          <w:tcPr>
            <w:tcW w:w="780" w:type="dxa"/>
            <w:vAlign w:val="bottom"/>
            <w:tcBorders>
              <w:top w:val="single" w:sz="8" w:color="auto"/>
            </w:tcBorders>
            <w:vMerge w:val="restart"/>
          </w:tcPr>
          <w:p>
            <w:pPr>
              <w:jc w:val="right"/>
              <w:ind w:right="275"/>
              <w:spacing w:after="0"/>
              <w:rPr>
                <w:sz w:val="20"/>
                <w:szCs w:val="20"/>
                <w:color w:val="auto"/>
              </w:rPr>
            </w:pPr>
            <w:r>
              <w:rPr>
                <w:rFonts w:ascii="Arial" w:cs="Arial" w:eastAsia="Arial" w:hAnsi="Arial"/>
                <w:sz w:val="14"/>
                <w:szCs w:val="14"/>
                <w:b w:val="1"/>
                <w:bCs w:val="1"/>
                <w:color w:val="auto"/>
              </w:rPr>
              <w:t>2021</w:t>
            </w:r>
          </w:p>
        </w:tc>
        <w:tc>
          <w:tcPr>
            <w:tcW w:w="180" w:type="dxa"/>
            <w:vAlign w:val="bottom"/>
            <w:tcBorders>
              <w:top w:val="single" w:sz="8" w:color="auto"/>
            </w:tcBorders>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860" w:type="dxa"/>
            <w:vAlign w:val="bottom"/>
            <w:tcBorders>
              <w:top w:val="single" w:sz="8" w:color="auto"/>
            </w:tcBorders>
          </w:tcPr>
          <w:p>
            <w:pPr>
              <w:jc w:val="right"/>
              <w:ind w:right="162"/>
              <w:spacing w:after="0" w:line="119" w:lineRule="exact"/>
              <w:rPr>
                <w:sz w:val="20"/>
                <w:szCs w:val="20"/>
                <w:color w:val="auto"/>
              </w:rPr>
            </w:pPr>
            <w:r>
              <w:rPr>
                <w:rFonts w:ascii="Arial" w:cs="Arial" w:eastAsia="Arial" w:hAnsi="Arial"/>
                <w:sz w:val="13"/>
                <w:szCs w:val="13"/>
                <w:b w:val="1"/>
                <w:bCs w:val="1"/>
                <w:color w:val="auto"/>
              </w:rPr>
              <w:t>Increase</w:t>
            </w:r>
          </w:p>
        </w:tc>
        <w:tc>
          <w:tcPr>
            <w:tcW w:w="180" w:type="dxa"/>
            <w:vAlign w:val="bottom"/>
          </w:tcPr>
          <w:p>
            <w:pPr>
              <w:spacing w:after="0"/>
              <w:rPr>
                <w:sz w:val="10"/>
                <w:szCs w:val="10"/>
                <w:color w:val="auto"/>
              </w:rPr>
            </w:pPr>
          </w:p>
        </w:tc>
        <w:tc>
          <w:tcPr>
            <w:tcW w:w="300" w:type="dxa"/>
            <w:vAlign w:val="bottom"/>
            <w:tcBorders>
              <w:top w:val="single" w:sz="8" w:color="auto"/>
            </w:tcBorders>
          </w:tcPr>
          <w:p>
            <w:pPr>
              <w:spacing w:after="0"/>
              <w:rPr>
                <w:sz w:val="10"/>
                <w:szCs w:val="10"/>
                <w:color w:val="auto"/>
              </w:rPr>
            </w:pPr>
          </w:p>
        </w:tc>
        <w:tc>
          <w:tcPr>
            <w:tcW w:w="680" w:type="dxa"/>
            <w:vAlign w:val="bottom"/>
            <w:tcBorders>
              <w:top w:val="single" w:sz="8" w:color="auto"/>
            </w:tcBorders>
            <w:vMerge w:val="restart"/>
          </w:tcPr>
          <w:p>
            <w:pPr>
              <w:jc w:val="right"/>
              <w:ind w:right="259"/>
              <w:spacing w:after="0"/>
              <w:rPr>
                <w:sz w:val="20"/>
                <w:szCs w:val="20"/>
                <w:color w:val="auto"/>
              </w:rPr>
            </w:pPr>
            <w:r>
              <w:rPr>
                <w:rFonts w:ascii="Arial" w:cs="Arial" w:eastAsia="Arial" w:hAnsi="Arial"/>
                <w:sz w:val="14"/>
                <w:szCs w:val="14"/>
                <w:b w:val="1"/>
                <w:bCs w:val="1"/>
                <w:color w:val="auto"/>
              </w:rPr>
              <w:t>2022</w:t>
            </w:r>
          </w:p>
        </w:tc>
        <w:tc>
          <w:tcPr>
            <w:tcW w:w="200" w:type="dxa"/>
            <w:vAlign w:val="bottom"/>
            <w:tcBorders>
              <w:top w:val="single" w:sz="8" w:color="auto"/>
            </w:tcBorders>
          </w:tcPr>
          <w:p>
            <w:pPr>
              <w:spacing w:after="0"/>
              <w:rPr>
                <w:sz w:val="10"/>
                <w:szCs w:val="10"/>
                <w:color w:val="auto"/>
              </w:rPr>
            </w:pPr>
          </w:p>
        </w:tc>
        <w:tc>
          <w:tcPr>
            <w:tcW w:w="220" w:type="dxa"/>
            <w:vAlign w:val="bottom"/>
            <w:tcBorders>
              <w:top w:val="single" w:sz="8" w:color="auto"/>
            </w:tcBorders>
          </w:tcPr>
          <w:p>
            <w:pPr>
              <w:spacing w:after="0"/>
              <w:rPr>
                <w:sz w:val="10"/>
                <w:szCs w:val="10"/>
                <w:color w:val="auto"/>
              </w:rPr>
            </w:pPr>
          </w:p>
        </w:tc>
        <w:tc>
          <w:tcPr>
            <w:tcW w:w="760" w:type="dxa"/>
            <w:vAlign w:val="bottom"/>
            <w:tcBorders>
              <w:top w:val="single" w:sz="8" w:color="auto"/>
            </w:tcBorders>
            <w:vMerge w:val="restart"/>
          </w:tcPr>
          <w:p>
            <w:pPr>
              <w:jc w:val="right"/>
              <w:ind w:right="256"/>
              <w:spacing w:after="0"/>
              <w:rPr>
                <w:sz w:val="20"/>
                <w:szCs w:val="20"/>
                <w:color w:val="auto"/>
              </w:rPr>
            </w:pPr>
            <w:r>
              <w:rPr>
                <w:rFonts w:ascii="Arial" w:cs="Arial" w:eastAsia="Arial" w:hAnsi="Arial"/>
                <w:sz w:val="14"/>
                <w:szCs w:val="14"/>
                <w:b w:val="1"/>
                <w:bCs w:val="1"/>
                <w:color w:val="auto"/>
              </w:rPr>
              <w:t>2021</w:t>
            </w:r>
          </w:p>
        </w:tc>
        <w:tc>
          <w:tcPr>
            <w:tcW w:w="200" w:type="dxa"/>
            <w:vAlign w:val="bottom"/>
            <w:tcBorders>
              <w:top w:val="single" w:sz="8" w:color="auto"/>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860" w:type="dxa"/>
            <w:vAlign w:val="bottom"/>
            <w:tcBorders>
              <w:top w:val="single" w:sz="8" w:color="auto"/>
            </w:tcBorders>
          </w:tcPr>
          <w:p>
            <w:pPr>
              <w:jc w:val="right"/>
              <w:ind w:right="160"/>
              <w:spacing w:after="0" w:line="119" w:lineRule="exact"/>
              <w:rPr>
                <w:sz w:val="20"/>
                <w:szCs w:val="20"/>
                <w:color w:val="auto"/>
              </w:rPr>
            </w:pPr>
            <w:r>
              <w:rPr>
                <w:rFonts w:ascii="Arial" w:cs="Arial" w:eastAsia="Arial" w:hAnsi="Arial"/>
                <w:sz w:val="13"/>
                <w:szCs w:val="13"/>
                <w:b w:val="1"/>
                <w:bCs w:val="1"/>
                <w:color w:val="auto"/>
              </w:rPr>
              <w:t>Increase</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300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vMerge w:val="continue"/>
          </w:tcPr>
          <w:p>
            <w:pPr>
              <w:spacing w:after="0"/>
              <w:rPr>
                <w:sz w:val="14"/>
                <w:szCs w:val="14"/>
                <w:color w:val="auto"/>
              </w:rPr>
            </w:pPr>
          </w:p>
        </w:tc>
        <w:tc>
          <w:tcPr>
            <w:tcW w:w="20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vMerge w:val="continue"/>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right"/>
              <w:ind w:right="102"/>
              <w:spacing w:after="0"/>
              <w:rPr>
                <w:sz w:val="20"/>
                <w:szCs w:val="20"/>
                <w:color w:val="auto"/>
              </w:rPr>
            </w:pPr>
            <w:r>
              <w:rPr>
                <w:rFonts w:ascii="Arial" w:cs="Arial" w:eastAsia="Arial" w:hAnsi="Arial"/>
                <w:sz w:val="14"/>
                <w:szCs w:val="14"/>
                <w:b w:val="1"/>
                <w:bCs w:val="1"/>
                <w:color w:val="auto"/>
                <w:w w:val="94"/>
              </w:rPr>
              <w:t>(decrease)</w:t>
            </w:r>
          </w:p>
        </w:tc>
        <w:tc>
          <w:tcPr>
            <w:tcW w:w="180" w:type="dxa"/>
            <w:vAlign w:val="bottom"/>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vMerge w:val="continue"/>
          </w:tcPr>
          <w:p>
            <w:pPr>
              <w:spacing w:after="0"/>
              <w:rPr>
                <w:sz w:val="14"/>
                <w:szCs w:val="14"/>
                <w:color w:val="auto"/>
              </w:rPr>
            </w:pPr>
          </w:p>
        </w:tc>
        <w:tc>
          <w:tcPr>
            <w:tcW w:w="20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vMerge w:val="continue"/>
          </w:tcPr>
          <w:p>
            <w:pPr>
              <w:spacing w:after="0"/>
              <w:rPr>
                <w:sz w:val="14"/>
                <w:szCs w:val="14"/>
                <w:color w:val="auto"/>
              </w:rPr>
            </w:pPr>
          </w:p>
        </w:tc>
        <w:tc>
          <w:tcPr>
            <w:tcW w:w="2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right"/>
              <w:ind w:right="100"/>
              <w:spacing w:after="0"/>
              <w:rPr>
                <w:sz w:val="20"/>
                <w:szCs w:val="20"/>
                <w:color w:val="auto"/>
              </w:rPr>
            </w:pPr>
            <w:r>
              <w:rPr>
                <w:rFonts w:ascii="Arial" w:cs="Arial" w:eastAsia="Arial" w:hAnsi="Arial"/>
                <w:sz w:val="14"/>
                <w:szCs w:val="14"/>
                <w:b w:val="1"/>
                <w:bCs w:val="1"/>
                <w:color w:val="auto"/>
                <w:w w:val="94"/>
              </w:rPr>
              <w:t>(decrease)</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8"/>
        </w:trPr>
        <w:tc>
          <w:tcPr>
            <w:tcW w:w="30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340" w:type="dxa"/>
            <w:vAlign w:val="bottom"/>
            <w:gridSpan w:val="3"/>
          </w:tcPr>
          <w:p>
            <w:pPr>
              <w:jc w:val="right"/>
              <w:spacing w:after="0" w:line="129" w:lineRule="exact"/>
              <w:rPr>
                <w:sz w:val="20"/>
                <w:szCs w:val="20"/>
                <w:color w:val="auto"/>
              </w:rPr>
            </w:pPr>
            <w:r>
              <w:rPr>
                <w:rFonts w:ascii="Arial" w:cs="Arial" w:eastAsia="Arial" w:hAnsi="Arial"/>
                <w:sz w:val="14"/>
                <w:szCs w:val="14"/>
                <w:i w:val="1"/>
                <w:iCs w:val="1"/>
                <w:color w:val="auto"/>
              </w:rPr>
              <w:t>(in millions)</w:t>
            </w:r>
          </w:p>
        </w:tc>
        <w:tc>
          <w:tcPr>
            <w:tcW w:w="6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3000" w:type="dxa"/>
            <w:vAlign w:val="bottom"/>
            <w:shd w:val="clear" w:color="auto" w:fill="CCEEFF"/>
          </w:tcPr>
          <w:p>
            <w:pPr>
              <w:spacing w:after="0"/>
              <w:rPr>
                <w:sz w:val="20"/>
                <w:szCs w:val="20"/>
                <w:color w:val="auto"/>
              </w:rPr>
            </w:pPr>
            <w:r>
              <w:rPr>
                <w:rFonts w:ascii="Arial" w:cs="Arial" w:eastAsia="Arial" w:hAnsi="Arial"/>
                <w:sz w:val="18"/>
                <w:szCs w:val="18"/>
                <w:color w:val="auto"/>
              </w:rPr>
              <w:t>Premium and fees:</w:t>
            </w: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00" w:type="dxa"/>
            <w:vAlign w:val="bottom"/>
          </w:tcPr>
          <w:p>
            <w:pPr>
              <w:ind w:left="120"/>
              <w:spacing w:after="0"/>
              <w:rPr>
                <w:sz w:val="20"/>
                <w:szCs w:val="20"/>
                <w:color w:val="auto"/>
              </w:rPr>
            </w:pPr>
            <w:r>
              <w:rPr>
                <w:rFonts w:ascii="Arial" w:cs="Arial" w:eastAsia="Arial" w:hAnsi="Arial"/>
                <w:sz w:val="18"/>
                <w:szCs w:val="18"/>
                <w:color w:val="auto"/>
              </w:rPr>
              <w:t>Specialty Benefits insurance</w:t>
            </w:r>
          </w:p>
        </w:tc>
        <w:tc>
          <w:tcPr>
            <w:tcW w:w="220" w:type="dxa"/>
            <w:vAlign w:val="bottom"/>
          </w:tcPr>
          <w:p>
            <w:pPr>
              <w:jc w:val="right"/>
              <w:ind w:right="67"/>
              <w:spacing w:after="0"/>
              <w:rPr>
                <w:sz w:val="20"/>
                <w:szCs w:val="20"/>
                <w:color w:val="auto"/>
              </w:rPr>
            </w:pPr>
            <w:r>
              <w:rPr>
                <w:rFonts w:ascii="Arial" w:cs="Arial" w:eastAsia="Arial" w:hAnsi="Arial"/>
                <w:sz w:val="15"/>
                <w:szCs w:val="15"/>
                <w:b w:val="1"/>
                <w:bCs w:val="1"/>
                <w:color w:val="auto"/>
                <w:w w:val="71"/>
              </w:rPr>
              <w:t>$</w:t>
            </w:r>
          </w:p>
        </w:tc>
        <w:tc>
          <w:tcPr>
            <w:tcW w:w="780" w:type="dxa"/>
            <w:vAlign w:val="bottom"/>
          </w:tcPr>
          <w:p>
            <w:pPr>
              <w:ind w:left="320"/>
              <w:spacing w:after="0"/>
              <w:rPr>
                <w:sz w:val="20"/>
                <w:szCs w:val="20"/>
                <w:color w:val="auto"/>
              </w:rPr>
            </w:pPr>
            <w:r>
              <w:rPr>
                <w:rFonts w:ascii="Arial" w:cs="Arial" w:eastAsia="Arial" w:hAnsi="Arial"/>
                <w:sz w:val="18"/>
                <w:szCs w:val="18"/>
                <w:b w:val="1"/>
                <w:bCs w:val="1"/>
                <w:color w:val="auto"/>
                <w:w w:val="97"/>
              </w:rPr>
              <w:t>695.0</w:t>
            </w:r>
          </w:p>
        </w:tc>
        <w:tc>
          <w:tcPr>
            <w:tcW w:w="200" w:type="dxa"/>
            <w:vAlign w:val="bottom"/>
          </w:tcPr>
          <w:p>
            <w:pPr>
              <w:spacing w:after="0"/>
              <w:rPr>
                <w:sz w:val="18"/>
                <w:szCs w:val="18"/>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780" w:type="dxa"/>
            <w:vAlign w:val="bottom"/>
          </w:tcPr>
          <w:p>
            <w:pPr>
              <w:jc w:val="center"/>
              <w:ind w:left="175"/>
              <w:spacing w:after="0"/>
              <w:rPr>
                <w:sz w:val="20"/>
                <w:szCs w:val="20"/>
                <w:color w:val="auto"/>
              </w:rPr>
            </w:pPr>
            <w:r>
              <w:rPr>
                <w:rFonts w:ascii="Arial" w:cs="Arial" w:eastAsia="Arial" w:hAnsi="Arial"/>
                <w:sz w:val="18"/>
                <w:szCs w:val="18"/>
                <w:color w:val="auto"/>
                <w:w w:val="88"/>
              </w:rPr>
              <w:t>625.3</w:t>
            </w:r>
          </w:p>
        </w:tc>
        <w:tc>
          <w:tcPr>
            <w:tcW w:w="32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69.7</w:t>
            </w:r>
          </w:p>
        </w:tc>
        <w:tc>
          <w:tcPr>
            <w:tcW w:w="180" w:type="dxa"/>
            <w:vAlign w:val="bottom"/>
          </w:tcPr>
          <w:p>
            <w:pPr>
              <w:spacing w:after="0"/>
              <w:rPr>
                <w:sz w:val="18"/>
                <w:szCs w:val="18"/>
                <w:color w:val="auto"/>
              </w:rPr>
            </w:pPr>
          </w:p>
        </w:tc>
        <w:tc>
          <w:tcPr>
            <w:tcW w:w="300" w:type="dxa"/>
            <w:vAlign w:val="bottom"/>
          </w:tcPr>
          <w:p>
            <w:pPr>
              <w:jc w:val="right"/>
              <w:ind w:right="110"/>
              <w:spacing w:after="0"/>
              <w:rPr>
                <w:sz w:val="20"/>
                <w:szCs w:val="20"/>
                <w:color w:val="auto"/>
              </w:rPr>
            </w:pPr>
            <w:r>
              <w:rPr>
                <w:rFonts w:ascii="Arial" w:cs="Arial" w:eastAsia="Arial" w:hAnsi="Arial"/>
                <w:sz w:val="18"/>
                <w:szCs w:val="18"/>
                <w:b w:val="1"/>
                <w:bCs w:val="1"/>
                <w:color w:val="auto"/>
                <w:w w:val="79"/>
              </w:rPr>
              <w:t>$</w:t>
            </w:r>
          </w:p>
        </w:tc>
        <w:tc>
          <w:tcPr>
            <w:tcW w:w="680" w:type="dxa"/>
            <w:vAlign w:val="bottom"/>
          </w:tcPr>
          <w:p>
            <w:pPr>
              <w:jc w:val="right"/>
              <w:spacing w:after="0"/>
              <w:rPr>
                <w:sz w:val="20"/>
                <w:szCs w:val="20"/>
                <w:color w:val="auto"/>
              </w:rPr>
            </w:pPr>
            <w:r>
              <w:rPr>
                <w:rFonts w:ascii="Arial" w:cs="Arial" w:eastAsia="Arial" w:hAnsi="Arial"/>
                <w:sz w:val="18"/>
                <w:szCs w:val="18"/>
                <w:b w:val="1"/>
                <w:bCs w:val="1"/>
                <w:color w:val="auto"/>
              </w:rPr>
              <w:t>1,369.3</w:t>
            </w:r>
          </w:p>
        </w:tc>
        <w:tc>
          <w:tcPr>
            <w:tcW w:w="4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1,239.1</w:t>
            </w:r>
          </w:p>
        </w:tc>
        <w:tc>
          <w:tcPr>
            <w:tcW w:w="20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130.2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00" w:type="dxa"/>
            <w:vAlign w:val="bottom"/>
            <w:shd w:val="clear" w:color="auto" w:fill="CCEEFF"/>
          </w:tcPr>
          <w:p>
            <w:pPr>
              <w:ind w:left="120"/>
              <w:spacing w:after="0"/>
              <w:rPr>
                <w:sz w:val="20"/>
                <w:szCs w:val="20"/>
                <w:color w:val="auto"/>
              </w:rPr>
            </w:pPr>
            <w:r>
              <w:rPr>
                <w:rFonts w:ascii="Arial" w:cs="Arial" w:eastAsia="Arial" w:hAnsi="Arial"/>
                <w:sz w:val="18"/>
                <w:szCs w:val="18"/>
                <w:color w:val="auto"/>
              </w:rPr>
              <w:t>Individual Life insurance</w:t>
            </w: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ind w:left="320"/>
              <w:spacing w:after="0"/>
              <w:rPr>
                <w:sz w:val="20"/>
                <w:szCs w:val="20"/>
                <w:color w:val="auto"/>
              </w:rPr>
            </w:pPr>
            <w:r>
              <w:rPr>
                <w:rFonts w:ascii="Arial" w:cs="Arial" w:eastAsia="Arial" w:hAnsi="Arial"/>
                <w:sz w:val="18"/>
                <w:szCs w:val="18"/>
                <w:b w:val="1"/>
                <w:bCs w:val="1"/>
                <w:color w:val="auto"/>
                <w:w w:val="97"/>
              </w:rPr>
              <w:t>135.8</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80" w:type="dxa"/>
            <w:vAlign w:val="bottom"/>
            <w:shd w:val="clear" w:color="auto" w:fill="CCEEFF"/>
          </w:tcPr>
          <w:p>
            <w:pPr>
              <w:jc w:val="center"/>
              <w:ind w:left="175"/>
              <w:spacing w:after="0"/>
              <w:rPr>
                <w:sz w:val="20"/>
                <w:szCs w:val="20"/>
                <w:color w:val="auto"/>
              </w:rPr>
            </w:pPr>
            <w:r>
              <w:rPr>
                <w:rFonts w:ascii="Arial" w:cs="Arial" w:eastAsia="Arial" w:hAnsi="Arial"/>
                <w:sz w:val="18"/>
                <w:szCs w:val="18"/>
                <w:color w:val="auto"/>
                <w:w w:val="88"/>
              </w:rPr>
              <w:t>312.5</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(176.7)</w:t>
            </w:r>
          </w:p>
        </w:tc>
        <w:tc>
          <w:tcPr>
            <w:tcW w:w="3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466.0</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643.6</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(177.6)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864"/>
        </w:trPr>
        <w:tc>
          <w:tcPr>
            <w:tcW w:w="30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80" w:type="dxa"/>
            <w:vAlign w:val="bottom"/>
          </w:tcPr>
          <w:p>
            <w:pPr>
              <w:jc w:val="center"/>
              <w:ind w:left="175"/>
              <w:spacing w:after="0"/>
              <w:rPr>
                <w:sz w:val="20"/>
                <w:szCs w:val="20"/>
                <w:color w:val="auto"/>
              </w:rPr>
            </w:pPr>
            <w:r>
              <w:rPr>
                <w:rFonts w:ascii="Arial" w:cs="Arial" w:eastAsia="Arial" w:hAnsi="Arial"/>
                <w:sz w:val="18"/>
                <w:szCs w:val="18"/>
                <w:color w:val="auto"/>
                <w:w w:val="93"/>
              </w:rPr>
              <w:t>101</w:t>
            </w: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61"/>
        </w:trPr>
        <w:tc>
          <w:tcPr>
            <w:tcW w:w="30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920"/>
          </w:cols>
          <w:pgMar w:left="980" w:top="665" w:right="999" w:bottom="1440" w:gutter="0" w:footer="0" w:header="0"/>
        </w:sectPr>
      </w:pPr>
    </w:p>
    <w:bookmarkStart w:id="101" w:name="page102"/>
    <w:bookmarkEnd w:id="101"/>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9" w:lineRule="exact"/>
        <w:rPr>
          <w:sz w:val="20"/>
          <w:szCs w:val="20"/>
          <w:color w:val="auto"/>
        </w:rPr>
      </w:pPr>
    </w:p>
    <w:p>
      <w:pPr>
        <w:ind w:right="320" w:firstLine="648"/>
        <w:spacing w:after="0" w:line="277" w:lineRule="auto"/>
        <w:rPr>
          <w:sz w:val="20"/>
          <w:szCs w:val="20"/>
          <w:color w:val="auto"/>
        </w:rPr>
      </w:pPr>
      <w:r>
        <w:rPr>
          <w:rFonts w:ascii="Arial" w:cs="Arial" w:eastAsia="Arial" w:hAnsi="Arial"/>
          <w:sz w:val="18"/>
          <w:szCs w:val="18"/>
          <w:color w:val="auto"/>
        </w:rPr>
        <w:t>The following table presents certain summary financial data relating to the U.S. Insurance Solutions segment for the periods indicated:</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0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3360" w:type="dxa"/>
            <w:vAlign w:val="bottom"/>
            <w:gridSpan w:val="8"/>
          </w:tcPr>
          <w:p>
            <w:pPr>
              <w:ind w:left="340"/>
              <w:spacing w:after="0"/>
              <w:rPr>
                <w:sz w:val="20"/>
                <w:szCs w:val="20"/>
                <w:color w:val="auto"/>
              </w:rPr>
            </w:pPr>
            <w:r>
              <w:rPr>
                <w:rFonts w:ascii="Arial" w:cs="Arial" w:eastAsia="Arial" w:hAnsi="Arial"/>
                <w:sz w:val="14"/>
                <w:szCs w:val="14"/>
                <w:b w:val="1"/>
                <w:bCs w:val="1"/>
                <w:color w:val="auto"/>
              </w:rPr>
              <w:t>For the three months ended June 30,</w:t>
            </w:r>
          </w:p>
        </w:tc>
        <w:tc>
          <w:tcPr>
            <w:tcW w:w="300" w:type="dxa"/>
            <w:vAlign w:val="bottom"/>
          </w:tcPr>
          <w:p>
            <w:pPr>
              <w:spacing w:after="0"/>
              <w:rPr>
                <w:sz w:val="14"/>
                <w:szCs w:val="14"/>
                <w:color w:val="auto"/>
              </w:rPr>
            </w:pPr>
          </w:p>
        </w:tc>
        <w:tc>
          <w:tcPr>
            <w:tcW w:w="3060" w:type="dxa"/>
            <w:vAlign w:val="bottom"/>
            <w:gridSpan w:val="8"/>
          </w:tcPr>
          <w:p>
            <w:pPr>
              <w:ind w:left="300"/>
              <w:spacing w:after="0"/>
              <w:rPr>
                <w:sz w:val="20"/>
                <w:szCs w:val="20"/>
                <w:color w:val="auto"/>
              </w:rPr>
            </w:pPr>
            <w:r>
              <w:rPr>
                <w:rFonts w:ascii="Arial" w:cs="Arial" w:eastAsia="Arial" w:hAnsi="Arial"/>
                <w:sz w:val="14"/>
                <w:szCs w:val="14"/>
                <w:b w:val="1"/>
                <w:bCs w:val="1"/>
                <w:color w:val="auto"/>
              </w:rPr>
              <w:t>For the six months ended June 30,</w:t>
            </w:r>
          </w:p>
        </w:tc>
        <w:tc>
          <w:tcPr>
            <w:tcW w:w="0" w:type="dxa"/>
            <w:vAlign w:val="bottom"/>
          </w:tcPr>
          <w:p>
            <w:pPr>
              <w:spacing w:after="0"/>
              <w:rPr>
                <w:sz w:val="1"/>
                <w:szCs w:val="1"/>
                <w:color w:val="auto"/>
              </w:rPr>
            </w:pPr>
          </w:p>
        </w:tc>
      </w:tr>
      <w:tr>
        <w:trPr>
          <w:trHeight w:val="119"/>
        </w:trPr>
        <w:tc>
          <w:tcPr>
            <w:tcW w:w="3000" w:type="dxa"/>
            <w:vAlign w:val="bottom"/>
          </w:tcPr>
          <w:p>
            <w:pPr>
              <w:spacing w:after="0"/>
              <w:rPr>
                <w:sz w:val="10"/>
                <w:szCs w:val="10"/>
                <w:color w:val="auto"/>
              </w:rPr>
            </w:pPr>
          </w:p>
        </w:tc>
        <w:tc>
          <w:tcPr>
            <w:tcW w:w="220" w:type="dxa"/>
            <w:vAlign w:val="bottom"/>
            <w:tcBorders>
              <w:top w:val="single" w:sz="8" w:color="auto"/>
            </w:tcBorders>
          </w:tcPr>
          <w:p>
            <w:pPr>
              <w:spacing w:after="0"/>
              <w:rPr>
                <w:sz w:val="10"/>
                <w:szCs w:val="10"/>
                <w:color w:val="auto"/>
              </w:rPr>
            </w:pPr>
          </w:p>
        </w:tc>
        <w:tc>
          <w:tcPr>
            <w:tcW w:w="780" w:type="dxa"/>
            <w:vAlign w:val="bottom"/>
            <w:tcBorders>
              <w:top w:val="single" w:sz="8" w:color="auto"/>
            </w:tcBorders>
            <w:vMerge w:val="restart"/>
          </w:tcPr>
          <w:p>
            <w:pPr>
              <w:jc w:val="right"/>
              <w:ind w:right="273"/>
              <w:spacing w:after="0"/>
              <w:rPr>
                <w:sz w:val="20"/>
                <w:szCs w:val="20"/>
                <w:color w:val="auto"/>
              </w:rPr>
            </w:pPr>
            <w:r>
              <w:rPr>
                <w:rFonts w:ascii="Arial" w:cs="Arial" w:eastAsia="Arial" w:hAnsi="Arial"/>
                <w:sz w:val="14"/>
                <w:szCs w:val="14"/>
                <w:b w:val="1"/>
                <w:bCs w:val="1"/>
                <w:color w:val="auto"/>
              </w:rPr>
              <w:t>2022</w:t>
            </w:r>
          </w:p>
        </w:tc>
        <w:tc>
          <w:tcPr>
            <w:tcW w:w="200" w:type="dxa"/>
            <w:vAlign w:val="bottom"/>
            <w:tcBorders>
              <w:top w:val="single" w:sz="8" w:color="auto"/>
            </w:tcBorders>
          </w:tcPr>
          <w:p>
            <w:pPr>
              <w:spacing w:after="0"/>
              <w:rPr>
                <w:sz w:val="10"/>
                <w:szCs w:val="10"/>
                <w:color w:val="auto"/>
              </w:rPr>
            </w:pPr>
          </w:p>
        </w:tc>
        <w:tc>
          <w:tcPr>
            <w:tcW w:w="240" w:type="dxa"/>
            <w:vAlign w:val="bottom"/>
            <w:tcBorders>
              <w:top w:val="single" w:sz="8" w:color="auto"/>
            </w:tcBorders>
          </w:tcPr>
          <w:p>
            <w:pPr>
              <w:spacing w:after="0"/>
              <w:rPr>
                <w:sz w:val="10"/>
                <w:szCs w:val="10"/>
                <w:color w:val="auto"/>
              </w:rPr>
            </w:pPr>
          </w:p>
        </w:tc>
        <w:tc>
          <w:tcPr>
            <w:tcW w:w="780" w:type="dxa"/>
            <w:vAlign w:val="bottom"/>
            <w:tcBorders>
              <w:top w:val="single" w:sz="8" w:color="auto"/>
            </w:tcBorders>
            <w:vMerge w:val="restart"/>
          </w:tcPr>
          <w:p>
            <w:pPr>
              <w:jc w:val="right"/>
              <w:ind w:right="272"/>
              <w:spacing w:after="0"/>
              <w:rPr>
                <w:sz w:val="20"/>
                <w:szCs w:val="20"/>
                <w:color w:val="auto"/>
              </w:rPr>
            </w:pPr>
            <w:r>
              <w:rPr>
                <w:rFonts w:ascii="Arial" w:cs="Arial" w:eastAsia="Arial" w:hAnsi="Arial"/>
                <w:sz w:val="14"/>
                <w:szCs w:val="14"/>
                <w:b w:val="1"/>
                <w:bCs w:val="1"/>
                <w:color w:val="auto"/>
              </w:rPr>
              <w:t>2021</w:t>
            </w:r>
          </w:p>
        </w:tc>
        <w:tc>
          <w:tcPr>
            <w:tcW w:w="180" w:type="dxa"/>
            <w:vAlign w:val="bottom"/>
            <w:tcBorders>
              <w:top w:val="single" w:sz="8" w:color="auto"/>
            </w:tcBorders>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860" w:type="dxa"/>
            <w:vAlign w:val="bottom"/>
            <w:tcBorders>
              <w:top w:val="single" w:sz="8" w:color="auto"/>
            </w:tcBorders>
          </w:tcPr>
          <w:p>
            <w:pPr>
              <w:jc w:val="right"/>
              <w:ind w:right="155"/>
              <w:spacing w:after="0" w:line="119" w:lineRule="exact"/>
              <w:rPr>
                <w:sz w:val="20"/>
                <w:szCs w:val="20"/>
                <w:color w:val="auto"/>
              </w:rPr>
            </w:pPr>
            <w:r>
              <w:rPr>
                <w:rFonts w:ascii="Arial" w:cs="Arial" w:eastAsia="Arial" w:hAnsi="Arial"/>
                <w:sz w:val="13"/>
                <w:szCs w:val="13"/>
                <w:b w:val="1"/>
                <w:bCs w:val="1"/>
                <w:color w:val="auto"/>
              </w:rPr>
              <w:t>Increase</w:t>
            </w:r>
          </w:p>
        </w:tc>
        <w:tc>
          <w:tcPr>
            <w:tcW w:w="180" w:type="dxa"/>
            <w:vAlign w:val="bottom"/>
          </w:tcPr>
          <w:p>
            <w:pPr>
              <w:spacing w:after="0"/>
              <w:rPr>
                <w:sz w:val="10"/>
                <w:szCs w:val="10"/>
                <w:color w:val="auto"/>
              </w:rPr>
            </w:pPr>
          </w:p>
        </w:tc>
        <w:tc>
          <w:tcPr>
            <w:tcW w:w="300" w:type="dxa"/>
            <w:vAlign w:val="bottom"/>
            <w:tcBorders>
              <w:top w:val="single" w:sz="8" w:color="auto"/>
            </w:tcBorders>
          </w:tcPr>
          <w:p>
            <w:pPr>
              <w:spacing w:after="0"/>
              <w:rPr>
                <w:sz w:val="10"/>
                <w:szCs w:val="10"/>
                <w:color w:val="auto"/>
              </w:rPr>
            </w:pPr>
          </w:p>
        </w:tc>
        <w:tc>
          <w:tcPr>
            <w:tcW w:w="680" w:type="dxa"/>
            <w:vAlign w:val="bottom"/>
            <w:tcBorders>
              <w:top w:val="single" w:sz="8" w:color="auto"/>
            </w:tcBorders>
            <w:vMerge w:val="restart"/>
          </w:tcPr>
          <w:p>
            <w:pPr>
              <w:jc w:val="right"/>
              <w:ind w:right="253"/>
              <w:spacing w:after="0"/>
              <w:rPr>
                <w:sz w:val="20"/>
                <w:szCs w:val="20"/>
                <w:color w:val="auto"/>
              </w:rPr>
            </w:pPr>
            <w:r>
              <w:rPr>
                <w:rFonts w:ascii="Arial" w:cs="Arial" w:eastAsia="Arial" w:hAnsi="Arial"/>
                <w:sz w:val="14"/>
                <w:szCs w:val="14"/>
                <w:b w:val="1"/>
                <w:bCs w:val="1"/>
                <w:color w:val="auto"/>
              </w:rPr>
              <w:t>2022</w:t>
            </w:r>
          </w:p>
        </w:tc>
        <w:tc>
          <w:tcPr>
            <w:tcW w:w="200" w:type="dxa"/>
            <w:vAlign w:val="bottom"/>
            <w:tcBorders>
              <w:top w:val="single" w:sz="8" w:color="auto"/>
            </w:tcBorders>
          </w:tcPr>
          <w:p>
            <w:pPr>
              <w:spacing w:after="0"/>
              <w:rPr>
                <w:sz w:val="10"/>
                <w:szCs w:val="10"/>
                <w:color w:val="auto"/>
              </w:rPr>
            </w:pPr>
          </w:p>
        </w:tc>
        <w:tc>
          <w:tcPr>
            <w:tcW w:w="220" w:type="dxa"/>
            <w:vAlign w:val="bottom"/>
            <w:tcBorders>
              <w:top w:val="single" w:sz="8" w:color="auto"/>
            </w:tcBorders>
          </w:tcPr>
          <w:p>
            <w:pPr>
              <w:spacing w:after="0"/>
              <w:rPr>
                <w:sz w:val="10"/>
                <w:szCs w:val="10"/>
                <w:color w:val="auto"/>
              </w:rPr>
            </w:pPr>
          </w:p>
        </w:tc>
        <w:tc>
          <w:tcPr>
            <w:tcW w:w="760" w:type="dxa"/>
            <w:vAlign w:val="bottom"/>
            <w:tcBorders>
              <w:top w:val="single" w:sz="8" w:color="auto"/>
            </w:tcBorders>
            <w:vMerge w:val="restart"/>
          </w:tcPr>
          <w:p>
            <w:pPr>
              <w:jc w:val="right"/>
              <w:ind w:right="252"/>
              <w:spacing w:after="0"/>
              <w:rPr>
                <w:sz w:val="20"/>
                <w:szCs w:val="20"/>
                <w:color w:val="auto"/>
              </w:rPr>
            </w:pPr>
            <w:r>
              <w:rPr>
                <w:rFonts w:ascii="Arial" w:cs="Arial" w:eastAsia="Arial" w:hAnsi="Arial"/>
                <w:sz w:val="14"/>
                <w:szCs w:val="14"/>
                <w:b w:val="1"/>
                <w:bCs w:val="1"/>
                <w:color w:val="auto"/>
              </w:rPr>
              <w:t>2021</w:t>
            </w:r>
          </w:p>
        </w:tc>
        <w:tc>
          <w:tcPr>
            <w:tcW w:w="200" w:type="dxa"/>
            <w:vAlign w:val="bottom"/>
            <w:tcBorders>
              <w:top w:val="single" w:sz="8" w:color="auto"/>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860" w:type="dxa"/>
            <w:vAlign w:val="bottom"/>
            <w:tcBorders>
              <w:top w:val="single" w:sz="8" w:color="auto"/>
            </w:tcBorders>
          </w:tcPr>
          <w:p>
            <w:pPr>
              <w:jc w:val="right"/>
              <w:ind w:right="154"/>
              <w:spacing w:after="0" w:line="119" w:lineRule="exact"/>
              <w:rPr>
                <w:sz w:val="20"/>
                <w:szCs w:val="20"/>
                <w:color w:val="auto"/>
              </w:rPr>
            </w:pPr>
            <w:r>
              <w:rPr>
                <w:rFonts w:ascii="Arial" w:cs="Arial" w:eastAsia="Arial" w:hAnsi="Arial"/>
                <w:sz w:val="13"/>
                <w:szCs w:val="13"/>
                <w:b w:val="1"/>
                <w:bCs w:val="1"/>
                <w:color w:val="auto"/>
              </w:rPr>
              <w:t>Increase</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300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vMerge w:val="continue"/>
          </w:tcPr>
          <w:p>
            <w:pPr>
              <w:spacing w:after="0"/>
              <w:rPr>
                <w:sz w:val="14"/>
                <w:szCs w:val="14"/>
                <w:color w:val="auto"/>
              </w:rPr>
            </w:pPr>
          </w:p>
        </w:tc>
        <w:tc>
          <w:tcPr>
            <w:tcW w:w="20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vMerge w:val="continue"/>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right"/>
              <w:ind w:right="95"/>
              <w:spacing w:after="0"/>
              <w:rPr>
                <w:sz w:val="20"/>
                <w:szCs w:val="20"/>
                <w:color w:val="auto"/>
              </w:rPr>
            </w:pPr>
            <w:r>
              <w:rPr>
                <w:rFonts w:ascii="Arial" w:cs="Arial" w:eastAsia="Arial" w:hAnsi="Arial"/>
                <w:sz w:val="14"/>
                <w:szCs w:val="14"/>
                <w:b w:val="1"/>
                <w:bCs w:val="1"/>
                <w:color w:val="auto"/>
                <w:w w:val="94"/>
              </w:rPr>
              <w:t>(decrease)</w:t>
            </w:r>
          </w:p>
        </w:tc>
        <w:tc>
          <w:tcPr>
            <w:tcW w:w="180" w:type="dxa"/>
            <w:vAlign w:val="bottom"/>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vMerge w:val="continue"/>
          </w:tcPr>
          <w:p>
            <w:pPr>
              <w:spacing w:after="0"/>
              <w:rPr>
                <w:sz w:val="14"/>
                <w:szCs w:val="14"/>
                <w:color w:val="auto"/>
              </w:rPr>
            </w:pPr>
          </w:p>
        </w:tc>
        <w:tc>
          <w:tcPr>
            <w:tcW w:w="20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vMerge w:val="continue"/>
          </w:tcPr>
          <w:p>
            <w:pPr>
              <w:spacing w:after="0"/>
              <w:rPr>
                <w:sz w:val="14"/>
                <w:szCs w:val="14"/>
                <w:color w:val="auto"/>
              </w:rPr>
            </w:pPr>
          </w:p>
        </w:tc>
        <w:tc>
          <w:tcPr>
            <w:tcW w:w="2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right"/>
              <w:ind w:right="94"/>
              <w:spacing w:after="0"/>
              <w:rPr>
                <w:sz w:val="20"/>
                <w:szCs w:val="20"/>
                <w:color w:val="auto"/>
              </w:rPr>
            </w:pPr>
            <w:r>
              <w:rPr>
                <w:rFonts w:ascii="Arial" w:cs="Arial" w:eastAsia="Arial" w:hAnsi="Arial"/>
                <w:sz w:val="14"/>
                <w:szCs w:val="14"/>
                <w:b w:val="1"/>
                <w:bCs w:val="1"/>
                <w:color w:val="auto"/>
                <w:w w:val="94"/>
              </w:rPr>
              <w:t>(decrease)</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8"/>
        </w:trPr>
        <w:tc>
          <w:tcPr>
            <w:tcW w:w="30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340" w:type="dxa"/>
            <w:vAlign w:val="bottom"/>
            <w:gridSpan w:val="3"/>
          </w:tcPr>
          <w:p>
            <w:pPr>
              <w:jc w:val="right"/>
              <w:spacing w:after="0" w:line="129" w:lineRule="exact"/>
              <w:rPr>
                <w:sz w:val="20"/>
                <w:szCs w:val="20"/>
                <w:color w:val="auto"/>
              </w:rPr>
            </w:pPr>
            <w:r>
              <w:rPr>
                <w:rFonts w:ascii="Arial" w:cs="Arial" w:eastAsia="Arial" w:hAnsi="Arial"/>
                <w:sz w:val="14"/>
                <w:szCs w:val="14"/>
                <w:i w:val="1"/>
                <w:iCs w:val="1"/>
                <w:color w:val="auto"/>
              </w:rPr>
              <w:t>(in millions)</w:t>
            </w:r>
          </w:p>
        </w:tc>
        <w:tc>
          <w:tcPr>
            <w:tcW w:w="6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3000" w:type="dxa"/>
            <w:vAlign w:val="bottom"/>
            <w:shd w:val="clear" w:color="auto" w:fill="CCEEFF"/>
          </w:tcPr>
          <w:p>
            <w:pPr>
              <w:spacing w:after="0"/>
              <w:rPr>
                <w:sz w:val="20"/>
                <w:szCs w:val="20"/>
                <w:color w:val="auto"/>
              </w:rPr>
            </w:pPr>
            <w:r>
              <w:rPr>
                <w:rFonts w:ascii="Arial" w:cs="Arial" w:eastAsia="Arial" w:hAnsi="Arial"/>
                <w:sz w:val="18"/>
                <w:szCs w:val="18"/>
                <w:color w:val="auto"/>
              </w:rPr>
              <w:t>Operating revenues:</w:t>
            </w: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00" w:type="dxa"/>
            <w:vAlign w:val="bottom"/>
          </w:tcPr>
          <w:p>
            <w:pPr>
              <w:ind w:left="120"/>
              <w:spacing w:after="0"/>
              <w:rPr>
                <w:sz w:val="20"/>
                <w:szCs w:val="20"/>
                <w:color w:val="auto"/>
              </w:rPr>
            </w:pPr>
            <w:r>
              <w:rPr>
                <w:rFonts w:ascii="Arial" w:cs="Arial" w:eastAsia="Arial" w:hAnsi="Arial"/>
                <w:sz w:val="18"/>
                <w:szCs w:val="18"/>
                <w:color w:val="auto"/>
              </w:rPr>
              <w:t>Premiums and other considerations</w:t>
            </w:r>
          </w:p>
        </w:tc>
        <w:tc>
          <w:tcPr>
            <w:tcW w:w="220" w:type="dxa"/>
            <w:vAlign w:val="bottom"/>
          </w:tcPr>
          <w:p>
            <w:pPr>
              <w:jc w:val="right"/>
              <w:ind w:right="67"/>
              <w:spacing w:after="0"/>
              <w:rPr>
                <w:sz w:val="20"/>
                <w:szCs w:val="20"/>
                <w:color w:val="auto"/>
              </w:rPr>
            </w:pPr>
            <w:r>
              <w:rPr>
                <w:rFonts w:ascii="Arial" w:cs="Arial" w:eastAsia="Arial" w:hAnsi="Arial"/>
                <w:sz w:val="15"/>
                <w:szCs w:val="15"/>
                <w:b w:val="1"/>
                <w:bCs w:val="1"/>
                <w:color w:val="auto"/>
                <w:w w:val="71"/>
              </w:rPr>
              <w:t>$</w:t>
            </w:r>
          </w:p>
        </w:tc>
        <w:tc>
          <w:tcPr>
            <w:tcW w:w="780" w:type="dxa"/>
            <w:vAlign w:val="bottom"/>
          </w:tcPr>
          <w:p>
            <w:pPr>
              <w:jc w:val="right"/>
              <w:spacing w:after="0"/>
              <w:rPr>
                <w:sz w:val="20"/>
                <w:szCs w:val="20"/>
                <w:color w:val="auto"/>
              </w:rPr>
            </w:pPr>
            <w:r>
              <w:rPr>
                <w:rFonts w:ascii="Arial" w:cs="Arial" w:eastAsia="Arial" w:hAnsi="Arial"/>
                <w:sz w:val="18"/>
                <w:szCs w:val="18"/>
                <w:b w:val="1"/>
                <w:bCs w:val="1"/>
                <w:color w:val="auto"/>
              </w:rPr>
              <w:t>870.3</w:t>
            </w:r>
          </w:p>
        </w:tc>
        <w:tc>
          <w:tcPr>
            <w:tcW w:w="200" w:type="dxa"/>
            <w:vAlign w:val="bottom"/>
          </w:tcPr>
          <w:p>
            <w:pPr>
              <w:spacing w:after="0"/>
              <w:rPr>
                <w:sz w:val="18"/>
                <w:szCs w:val="18"/>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702.8</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167.5</w:t>
            </w:r>
          </w:p>
        </w:tc>
        <w:tc>
          <w:tcPr>
            <w:tcW w:w="180" w:type="dxa"/>
            <w:vAlign w:val="bottom"/>
          </w:tcPr>
          <w:p>
            <w:pPr>
              <w:spacing w:after="0"/>
              <w:rPr>
                <w:sz w:val="18"/>
                <w:szCs w:val="18"/>
                <w:color w:val="auto"/>
              </w:rPr>
            </w:pPr>
          </w:p>
        </w:tc>
        <w:tc>
          <w:tcPr>
            <w:tcW w:w="300" w:type="dxa"/>
            <w:vAlign w:val="bottom"/>
          </w:tcPr>
          <w:p>
            <w:pPr>
              <w:jc w:val="right"/>
              <w:ind w:right="110"/>
              <w:spacing w:after="0"/>
              <w:rPr>
                <w:sz w:val="20"/>
                <w:szCs w:val="20"/>
                <w:color w:val="auto"/>
              </w:rPr>
            </w:pPr>
            <w:r>
              <w:rPr>
                <w:rFonts w:ascii="Arial" w:cs="Arial" w:eastAsia="Arial" w:hAnsi="Arial"/>
                <w:sz w:val="18"/>
                <w:szCs w:val="18"/>
                <w:b w:val="1"/>
                <w:bCs w:val="1"/>
                <w:color w:val="auto"/>
                <w:w w:val="79"/>
              </w:rPr>
              <w:t>$</w:t>
            </w:r>
          </w:p>
        </w:tc>
        <w:tc>
          <w:tcPr>
            <w:tcW w:w="680" w:type="dxa"/>
            <w:vAlign w:val="bottom"/>
          </w:tcPr>
          <w:p>
            <w:pPr>
              <w:jc w:val="right"/>
              <w:spacing w:after="0"/>
              <w:rPr>
                <w:sz w:val="20"/>
                <w:szCs w:val="20"/>
                <w:color w:val="auto"/>
              </w:rPr>
            </w:pPr>
            <w:r>
              <w:rPr>
                <w:rFonts w:ascii="Arial" w:cs="Arial" w:eastAsia="Arial" w:hAnsi="Arial"/>
                <w:sz w:val="18"/>
                <w:szCs w:val="18"/>
                <w:b w:val="1"/>
                <w:bCs w:val="1"/>
                <w:color w:val="auto"/>
              </w:rPr>
              <w:t>1,624.6</w:t>
            </w:r>
          </w:p>
        </w:tc>
        <w:tc>
          <w:tcPr>
            <w:tcW w:w="420" w:type="dxa"/>
            <w:vAlign w:val="bottom"/>
            <w:gridSpan w:val="2"/>
          </w:tcPr>
          <w:p>
            <w:pPr>
              <w:jc w:val="right"/>
              <w:ind w:right="67"/>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1,405.3</w:t>
            </w:r>
          </w:p>
        </w:tc>
        <w:tc>
          <w:tcPr>
            <w:tcW w:w="20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219.3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00" w:type="dxa"/>
            <w:vAlign w:val="bottom"/>
            <w:shd w:val="clear" w:color="auto" w:fill="CCEEFF"/>
          </w:tcPr>
          <w:p>
            <w:pPr>
              <w:ind w:left="120"/>
              <w:spacing w:after="0"/>
              <w:rPr>
                <w:sz w:val="20"/>
                <w:szCs w:val="20"/>
                <w:color w:val="auto"/>
              </w:rPr>
            </w:pPr>
            <w:r>
              <w:rPr>
                <w:rFonts w:ascii="Arial" w:cs="Arial" w:eastAsia="Arial" w:hAnsi="Arial"/>
                <w:sz w:val="18"/>
                <w:szCs w:val="18"/>
                <w:color w:val="auto"/>
              </w:rPr>
              <w:t>Fees and other revenues</w:t>
            </w:r>
          </w:p>
        </w:tc>
        <w:tc>
          <w:tcPr>
            <w:tcW w:w="2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(39.7)</w:t>
            </w:r>
          </w:p>
        </w:tc>
        <w:tc>
          <w:tcPr>
            <w:tcW w:w="2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234.9</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(274.6)</w:t>
            </w:r>
          </w:p>
        </w:tc>
        <w:tc>
          <w:tcPr>
            <w:tcW w:w="3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210.4</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477.3</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(266.9)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00" w:type="dxa"/>
            <w:vAlign w:val="bottom"/>
          </w:tcPr>
          <w:p>
            <w:pPr>
              <w:ind w:left="120"/>
              <w:spacing w:after="0"/>
              <w:rPr>
                <w:sz w:val="20"/>
                <w:szCs w:val="20"/>
                <w:color w:val="auto"/>
              </w:rPr>
            </w:pPr>
            <w:r>
              <w:rPr>
                <w:rFonts w:ascii="Arial" w:cs="Arial" w:eastAsia="Arial" w:hAnsi="Arial"/>
                <w:sz w:val="18"/>
                <w:szCs w:val="18"/>
                <w:color w:val="auto"/>
              </w:rPr>
              <w:t>Net investment income</w:t>
            </w: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b w:val="1"/>
                <w:bCs w:val="1"/>
                <w:color w:val="auto"/>
              </w:rPr>
              <w:t>78.0</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244.2</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gridSpan w:val="2"/>
          </w:tcPr>
          <w:p>
            <w:pPr>
              <w:jc w:val="right"/>
              <w:ind w:right="180"/>
              <w:spacing w:after="0"/>
              <w:rPr>
                <w:sz w:val="20"/>
                <w:szCs w:val="20"/>
                <w:color w:val="auto"/>
              </w:rPr>
            </w:pPr>
            <w:r>
              <w:rPr>
                <w:rFonts w:ascii="Arial" w:cs="Arial" w:eastAsia="Arial" w:hAnsi="Arial"/>
                <w:sz w:val="18"/>
                <w:szCs w:val="18"/>
                <w:color w:val="auto"/>
              </w:rPr>
              <w:t>(166.2)</w:t>
            </w:r>
          </w:p>
        </w:tc>
        <w:tc>
          <w:tcPr>
            <w:tcW w:w="3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b w:val="1"/>
                <w:bCs w:val="1"/>
                <w:color w:val="auto"/>
              </w:rPr>
              <w:t>314.6</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474.2</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(159.6)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3000" w:type="dxa"/>
            <w:vAlign w:val="bottom"/>
            <w:tcBorders>
              <w:top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Total operating revenues</w:t>
            </w:r>
          </w:p>
        </w:tc>
        <w:tc>
          <w:tcPr>
            <w:tcW w:w="22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908.6</w:t>
            </w:r>
          </w:p>
        </w:tc>
        <w:tc>
          <w:tcPr>
            <w:tcW w:w="20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1,181.9</w:t>
            </w:r>
          </w:p>
        </w:tc>
        <w:tc>
          <w:tcPr>
            <w:tcW w:w="18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(273.3)</w:t>
            </w:r>
          </w:p>
        </w:tc>
        <w:tc>
          <w:tcPr>
            <w:tcW w:w="180" w:type="dxa"/>
            <w:vAlign w:val="bottom"/>
            <w:tcBorders>
              <w:top w:val="single" w:sz="8" w:color="CCEEFF"/>
            </w:tcBorders>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2,149.6</w:t>
            </w:r>
          </w:p>
        </w:tc>
        <w:tc>
          <w:tcPr>
            <w:tcW w:w="20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2,356.8</w:t>
            </w:r>
          </w:p>
        </w:tc>
        <w:tc>
          <w:tcPr>
            <w:tcW w:w="2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(207.2)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00" w:type="dxa"/>
            <w:vAlign w:val="bottom"/>
          </w:tcPr>
          <w:p>
            <w:pPr>
              <w:spacing w:after="0"/>
              <w:rPr>
                <w:sz w:val="20"/>
                <w:szCs w:val="20"/>
                <w:color w:val="auto"/>
              </w:rPr>
            </w:pPr>
            <w:r>
              <w:rPr>
                <w:rFonts w:ascii="Arial" w:cs="Arial" w:eastAsia="Arial" w:hAnsi="Arial"/>
                <w:sz w:val="18"/>
                <w:szCs w:val="18"/>
                <w:color w:val="auto"/>
              </w:rPr>
              <w:t>Expenses:</w:t>
            </w:r>
          </w:p>
        </w:tc>
        <w:tc>
          <w:tcPr>
            <w:tcW w:w="2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3000" w:type="dxa"/>
            <w:vAlign w:val="bottom"/>
            <w:shd w:val="clear" w:color="auto" w:fill="CCEEFF"/>
          </w:tcPr>
          <w:p>
            <w:pPr>
              <w:ind w:left="120"/>
              <w:spacing w:after="0" w:line="201" w:lineRule="exact"/>
              <w:rPr>
                <w:sz w:val="20"/>
                <w:szCs w:val="20"/>
                <w:color w:val="auto"/>
              </w:rPr>
            </w:pPr>
            <w:r>
              <w:rPr>
                <w:rFonts w:ascii="Arial" w:cs="Arial" w:eastAsia="Arial" w:hAnsi="Arial"/>
                <w:sz w:val="18"/>
                <w:szCs w:val="18"/>
                <w:color w:val="auto"/>
              </w:rPr>
              <w:t>Benefits, claims and settlement</w:t>
            </w:r>
          </w:p>
        </w:tc>
        <w:tc>
          <w:tcPr>
            <w:tcW w:w="220" w:type="dxa"/>
            <w:vAlign w:val="bottom"/>
            <w:shd w:val="clear" w:color="auto" w:fill="CCEEFF"/>
          </w:tcPr>
          <w:p>
            <w:pPr>
              <w:spacing w:after="0"/>
              <w:rPr>
                <w:sz w:val="17"/>
                <w:szCs w:val="17"/>
                <w:color w:val="auto"/>
              </w:rPr>
            </w:pPr>
          </w:p>
        </w:tc>
        <w:tc>
          <w:tcPr>
            <w:tcW w:w="78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435.8</w:t>
            </w:r>
          </w:p>
        </w:tc>
        <w:tc>
          <w:tcPr>
            <w:tcW w:w="2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68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1,231.0</w:t>
            </w:r>
          </w:p>
        </w:tc>
        <w:tc>
          <w:tcPr>
            <w:tcW w:w="2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000" w:type="dxa"/>
            <w:vAlign w:val="bottom"/>
            <w:shd w:val="clear" w:color="auto" w:fill="CCEEFF"/>
          </w:tcPr>
          <w:p>
            <w:pPr>
              <w:ind w:left="240"/>
              <w:spacing w:after="0"/>
              <w:rPr>
                <w:sz w:val="20"/>
                <w:szCs w:val="20"/>
                <w:color w:val="auto"/>
              </w:rPr>
            </w:pPr>
            <w:r>
              <w:rPr>
                <w:rFonts w:ascii="Arial" w:cs="Arial" w:eastAsia="Arial" w:hAnsi="Arial"/>
                <w:sz w:val="18"/>
                <w:szCs w:val="18"/>
                <w:color w:val="auto"/>
              </w:rPr>
              <w:t>expenses</w:t>
            </w:r>
          </w:p>
        </w:tc>
        <w:tc>
          <w:tcPr>
            <w:tcW w:w="220" w:type="dxa"/>
            <w:vAlign w:val="bottom"/>
            <w:shd w:val="clear" w:color="auto" w:fill="CCEEFF"/>
          </w:tcPr>
          <w:p>
            <w:pPr>
              <w:spacing w:after="0"/>
              <w:rPr>
                <w:sz w:val="20"/>
                <w:szCs w:val="20"/>
                <w:color w:val="auto"/>
              </w:rPr>
            </w:pPr>
          </w:p>
        </w:tc>
        <w:tc>
          <w:tcPr>
            <w:tcW w:w="780" w:type="dxa"/>
            <w:vAlign w:val="bottom"/>
            <w:vMerge w:val="continue"/>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732.9</w:t>
            </w:r>
          </w:p>
        </w:tc>
        <w:tc>
          <w:tcPr>
            <w:tcW w:w="18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0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(297.1)</w:t>
            </w:r>
          </w:p>
        </w:tc>
        <w:tc>
          <w:tcPr>
            <w:tcW w:w="300" w:type="dxa"/>
            <w:vAlign w:val="bottom"/>
            <w:shd w:val="clear" w:color="auto" w:fill="CCEEFF"/>
          </w:tcPr>
          <w:p>
            <w:pPr>
              <w:spacing w:after="0"/>
              <w:rPr>
                <w:sz w:val="20"/>
                <w:szCs w:val="20"/>
                <w:color w:val="auto"/>
              </w:rPr>
            </w:pPr>
          </w:p>
        </w:tc>
        <w:tc>
          <w:tcPr>
            <w:tcW w:w="680" w:type="dxa"/>
            <w:vAlign w:val="bottom"/>
            <w:vMerge w:val="continue"/>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1,503.7</w:t>
            </w:r>
          </w:p>
        </w:tc>
        <w:tc>
          <w:tcPr>
            <w:tcW w:w="2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(272.7)</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3000" w:type="dxa"/>
            <w:vAlign w:val="bottom"/>
          </w:tcPr>
          <w:p>
            <w:pPr>
              <w:ind w:left="120"/>
              <w:spacing w:after="0"/>
              <w:rPr>
                <w:sz w:val="20"/>
                <w:szCs w:val="20"/>
                <w:color w:val="auto"/>
              </w:rPr>
            </w:pPr>
            <w:r>
              <w:rPr>
                <w:rFonts w:ascii="Arial" w:cs="Arial" w:eastAsia="Arial" w:hAnsi="Arial"/>
                <w:sz w:val="18"/>
                <w:szCs w:val="18"/>
                <w:color w:val="auto"/>
              </w:rPr>
              <w:t>Dividends to policyholders</w:t>
            </w: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b w:val="1"/>
                <w:bCs w:val="1"/>
                <w:color w:val="auto"/>
              </w:rPr>
              <w:t>24.5</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28.7</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gridSpan w:val="2"/>
          </w:tcPr>
          <w:p>
            <w:pPr>
              <w:jc w:val="right"/>
              <w:ind w:right="180"/>
              <w:spacing w:after="0"/>
              <w:rPr>
                <w:sz w:val="20"/>
                <w:szCs w:val="20"/>
                <w:color w:val="auto"/>
              </w:rPr>
            </w:pPr>
            <w:r>
              <w:rPr>
                <w:rFonts w:ascii="Arial" w:cs="Arial" w:eastAsia="Arial" w:hAnsi="Arial"/>
                <w:sz w:val="18"/>
                <w:szCs w:val="18"/>
                <w:color w:val="auto"/>
              </w:rPr>
              <w:t>(4.2)</w:t>
            </w:r>
          </w:p>
        </w:tc>
        <w:tc>
          <w:tcPr>
            <w:tcW w:w="3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b w:val="1"/>
                <w:bCs w:val="1"/>
                <w:color w:val="auto"/>
              </w:rPr>
              <w:t>47.6</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46.9</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0.7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00" w:type="dxa"/>
            <w:vAlign w:val="bottom"/>
            <w:shd w:val="clear" w:color="auto" w:fill="CCEEFF"/>
          </w:tcPr>
          <w:p>
            <w:pPr>
              <w:ind w:left="120"/>
              <w:spacing w:after="0"/>
              <w:rPr>
                <w:sz w:val="20"/>
                <w:szCs w:val="20"/>
                <w:color w:val="auto"/>
              </w:rPr>
            </w:pPr>
            <w:r>
              <w:rPr>
                <w:rFonts w:ascii="Arial" w:cs="Arial" w:eastAsia="Arial" w:hAnsi="Arial"/>
                <w:sz w:val="18"/>
                <w:szCs w:val="18"/>
                <w:color w:val="auto"/>
              </w:rPr>
              <w:t>Operating expenses</w:t>
            </w:r>
          </w:p>
        </w:tc>
        <w:tc>
          <w:tcPr>
            <w:tcW w:w="22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296.6</w:t>
            </w:r>
          </w:p>
        </w:tc>
        <w:tc>
          <w:tcPr>
            <w:tcW w:w="20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293.7</w:t>
            </w:r>
          </w:p>
        </w:tc>
        <w:tc>
          <w:tcPr>
            <w:tcW w:w="18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w:t>
            </w:r>
          </w:p>
        </w:tc>
        <w:tc>
          <w:tcPr>
            <w:tcW w:w="180" w:type="dxa"/>
            <w:vAlign w:val="bottom"/>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603.5</w:t>
            </w:r>
          </w:p>
        </w:tc>
        <w:tc>
          <w:tcPr>
            <w:tcW w:w="20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584.4</w:t>
            </w:r>
          </w:p>
        </w:tc>
        <w:tc>
          <w:tcPr>
            <w:tcW w:w="20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3000" w:type="dxa"/>
            <w:vAlign w:val="bottom"/>
          </w:tcPr>
          <w:p>
            <w:pPr>
              <w:ind w:left="220"/>
              <w:spacing w:after="0"/>
              <w:rPr>
                <w:sz w:val="20"/>
                <w:szCs w:val="20"/>
                <w:color w:val="auto"/>
              </w:rPr>
            </w:pPr>
            <w:r>
              <w:rPr>
                <w:rFonts w:ascii="Arial" w:cs="Arial" w:eastAsia="Arial" w:hAnsi="Arial"/>
                <w:sz w:val="18"/>
                <w:szCs w:val="18"/>
                <w:color w:val="auto"/>
              </w:rPr>
              <w:t>Total expenses</w:t>
            </w: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b w:val="1"/>
                <w:bCs w:val="1"/>
                <w:color w:val="auto"/>
              </w:rPr>
              <w:t>756.9</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1,055.3</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(298.4)</w:t>
            </w:r>
          </w:p>
        </w:tc>
        <w:tc>
          <w:tcPr>
            <w:tcW w:w="1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b w:val="1"/>
                <w:bCs w:val="1"/>
                <w:color w:val="auto"/>
              </w:rPr>
              <w:t>1,882.1</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2,135.0</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(252.9)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0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3000" w:type="dxa"/>
            <w:vAlign w:val="bottom"/>
          </w:tcPr>
          <w:p>
            <w:pPr>
              <w:spacing w:after="0"/>
              <w:rPr>
                <w:sz w:val="20"/>
                <w:szCs w:val="20"/>
                <w:color w:val="auto"/>
              </w:rPr>
            </w:pPr>
            <w:r>
              <w:rPr>
                <w:rFonts w:ascii="Arial" w:cs="Arial" w:eastAsia="Arial" w:hAnsi="Arial"/>
                <w:sz w:val="18"/>
                <w:szCs w:val="18"/>
                <w:color w:val="auto"/>
              </w:rPr>
              <w:t>Pre-tax operating earnings</w:t>
            </w:r>
          </w:p>
        </w:tc>
        <w:tc>
          <w:tcPr>
            <w:tcW w:w="220" w:type="dxa"/>
            <w:vAlign w:val="bottom"/>
            <w:tcBorders>
              <w:bottom w:val="single" w:sz="8" w:color="auto"/>
            </w:tcBorders>
          </w:tcPr>
          <w:p>
            <w:pPr>
              <w:jc w:val="right"/>
              <w:ind w:right="67"/>
              <w:spacing w:after="0"/>
              <w:rPr>
                <w:sz w:val="20"/>
                <w:szCs w:val="20"/>
                <w:color w:val="auto"/>
              </w:rPr>
            </w:pPr>
            <w:r>
              <w:rPr>
                <w:rFonts w:ascii="Arial" w:cs="Arial" w:eastAsia="Arial" w:hAnsi="Arial"/>
                <w:sz w:val="15"/>
                <w:szCs w:val="15"/>
                <w:b w:val="1"/>
                <w:bCs w:val="1"/>
                <w:color w:val="auto"/>
                <w:w w:val="71"/>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151.7</w:t>
            </w:r>
          </w:p>
        </w:tc>
        <w:tc>
          <w:tcPr>
            <w:tcW w:w="200" w:type="dxa"/>
            <w:vAlign w:val="bottom"/>
          </w:tcPr>
          <w:p>
            <w:pPr>
              <w:spacing w:after="0"/>
              <w:rPr>
                <w:sz w:val="18"/>
                <w:szCs w:val="18"/>
                <w:color w:val="auto"/>
              </w:rPr>
            </w:pPr>
          </w:p>
        </w:tc>
        <w:tc>
          <w:tcPr>
            <w:tcW w:w="2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126.6</w:t>
            </w:r>
          </w:p>
        </w:tc>
        <w:tc>
          <w:tcPr>
            <w:tcW w:w="18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25.1</w:t>
            </w:r>
          </w:p>
        </w:tc>
        <w:tc>
          <w:tcPr>
            <w:tcW w:w="180" w:type="dxa"/>
            <w:vAlign w:val="bottom"/>
          </w:tcPr>
          <w:p>
            <w:pPr>
              <w:spacing w:after="0"/>
              <w:rPr>
                <w:sz w:val="18"/>
                <w:szCs w:val="18"/>
                <w:color w:val="auto"/>
              </w:rPr>
            </w:pPr>
          </w:p>
        </w:tc>
        <w:tc>
          <w:tcPr>
            <w:tcW w:w="30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b w:val="1"/>
                <w:bCs w:val="1"/>
                <w:color w:val="auto"/>
                <w:w w:val="79"/>
              </w:rPr>
              <w:t>$</w:t>
            </w: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267.5</w:t>
            </w:r>
          </w:p>
        </w:tc>
        <w:tc>
          <w:tcPr>
            <w:tcW w:w="200" w:type="dxa"/>
            <w:vAlign w:val="bottom"/>
          </w:tcPr>
          <w:p>
            <w:pPr>
              <w:spacing w:after="0"/>
              <w:rPr>
                <w:sz w:val="18"/>
                <w:szCs w:val="18"/>
                <w:color w:val="auto"/>
              </w:rPr>
            </w:pPr>
          </w:p>
        </w:tc>
        <w:tc>
          <w:tcPr>
            <w:tcW w:w="220" w:type="dxa"/>
            <w:vAlign w:val="bottom"/>
            <w:tcBorders>
              <w:bottom w:val="single" w:sz="8" w:color="auto"/>
            </w:tcBorders>
          </w:tcPr>
          <w:p>
            <w:pPr>
              <w:jc w:val="right"/>
              <w:ind w:right="67"/>
              <w:spacing w:after="0"/>
              <w:rPr>
                <w:sz w:val="20"/>
                <w:szCs w:val="20"/>
                <w:color w:val="auto"/>
              </w:rPr>
            </w:pPr>
            <w:r>
              <w:rPr>
                <w:rFonts w:ascii="Arial" w:cs="Arial" w:eastAsia="Arial" w:hAnsi="Arial"/>
                <w:sz w:val="15"/>
                <w:szCs w:val="15"/>
                <w:color w:val="auto"/>
                <w:w w:val="71"/>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221.8</w:t>
            </w:r>
          </w:p>
        </w:tc>
        <w:tc>
          <w:tcPr>
            <w:tcW w:w="200" w:type="dxa"/>
            <w:vAlign w:val="bottom"/>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45.7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0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Three Months Ended June 30, 2022 Compared to Three Months Ended June 30, 2021</w:t>
      </w:r>
    </w:p>
    <w:p>
      <w:pPr>
        <w:spacing w:after="0" w:line="221"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Pre-Tax Operating Earnings (Losses)</w:t>
      </w:r>
    </w:p>
    <w:p>
      <w:pPr>
        <w:spacing w:after="0" w:line="229" w:lineRule="exact"/>
        <w:rPr>
          <w:sz w:val="20"/>
          <w:szCs w:val="20"/>
          <w:color w:val="auto"/>
        </w:rPr>
      </w:pPr>
    </w:p>
    <w:p>
      <w:pPr>
        <w:ind w:right="180" w:firstLine="648"/>
        <w:spacing w:after="0" w:line="259" w:lineRule="auto"/>
        <w:rPr>
          <w:sz w:val="20"/>
          <w:szCs w:val="20"/>
          <w:color w:val="auto"/>
        </w:rPr>
      </w:pPr>
      <w:r>
        <w:rPr>
          <w:rFonts w:ascii="Arial" w:cs="Arial" w:eastAsia="Arial" w:hAnsi="Arial"/>
          <w:sz w:val="18"/>
          <w:szCs w:val="18"/>
          <w:color w:val="auto"/>
        </w:rPr>
        <w:t>Pre-tax operating earnings in our Specialty Benefits insurance business increased $15.6 million from improved claim experience, $12.3 million from higher variable investment income, and $7.8 million from growth in the business. Pre-tax operating earnings in our Individual Life insurance business decreased primarily due to a $7.5 million actuarial model refinement in 2021 as well as $4.5 million due to the impact of our exited ULSG business.</w:t>
      </w:r>
    </w:p>
    <w:p>
      <w:pPr>
        <w:spacing w:after="0" w:line="183"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Operating Revenues</w:t>
      </w:r>
    </w:p>
    <w:p>
      <w:pPr>
        <w:spacing w:after="0" w:line="229" w:lineRule="exact"/>
        <w:rPr>
          <w:sz w:val="20"/>
          <w:szCs w:val="20"/>
          <w:color w:val="auto"/>
        </w:rPr>
      </w:pPr>
    </w:p>
    <w:p>
      <w:pPr>
        <w:ind w:right="240" w:firstLine="648"/>
        <w:spacing w:after="0" w:line="263" w:lineRule="auto"/>
        <w:rPr>
          <w:sz w:val="20"/>
          <w:szCs w:val="20"/>
          <w:color w:val="auto"/>
        </w:rPr>
      </w:pPr>
      <w:r>
        <w:rPr>
          <w:rFonts w:ascii="Arial" w:cs="Arial" w:eastAsia="Arial" w:hAnsi="Arial"/>
          <w:sz w:val="18"/>
          <w:szCs w:val="18"/>
          <w:color w:val="auto"/>
        </w:rPr>
        <w:t>Premium and fees increased in our Specialty Benefits Insurance business due to $69.7 million from growth in the business. Premium and fees decreased in our Individual Life insurance business $176.7 million, primarily due to the impact of our exited ULSG business.</w:t>
      </w:r>
    </w:p>
    <w:p>
      <w:pPr>
        <w:spacing w:after="0" w:line="184" w:lineRule="exact"/>
        <w:rPr>
          <w:sz w:val="20"/>
          <w:szCs w:val="20"/>
          <w:color w:val="auto"/>
        </w:rPr>
      </w:pPr>
    </w:p>
    <w:p>
      <w:pPr>
        <w:ind w:right="100" w:firstLine="648"/>
        <w:spacing w:after="0" w:line="263" w:lineRule="auto"/>
        <w:rPr>
          <w:sz w:val="20"/>
          <w:szCs w:val="20"/>
          <w:color w:val="auto"/>
        </w:rPr>
      </w:pPr>
      <w:r>
        <w:rPr>
          <w:rFonts w:ascii="Arial" w:cs="Arial" w:eastAsia="Arial" w:hAnsi="Arial"/>
          <w:sz w:val="18"/>
          <w:szCs w:val="18"/>
          <w:color w:val="auto"/>
        </w:rPr>
        <w:t>Net investment income increased in our Specialty Benefits Insurance business primarily due to $12.3 million of higher variable investment income. Net investment income decreased in our Individual Life insurance business $180.2 million, primarily due to the impact of our exited ULSG business</w:t>
      </w:r>
    </w:p>
    <w:p>
      <w:pPr>
        <w:spacing w:after="0" w:line="180"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Total Expenses</w:t>
      </w:r>
    </w:p>
    <w:p>
      <w:pPr>
        <w:spacing w:after="0" w:line="229" w:lineRule="exact"/>
        <w:rPr>
          <w:sz w:val="20"/>
          <w:szCs w:val="20"/>
          <w:color w:val="auto"/>
        </w:rPr>
      </w:pPr>
    </w:p>
    <w:p>
      <w:pPr>
        <w:ind w:right="140" w:firstLine="648"/>
        <w:spacing w:after="0" w:line="286" w:lineRule="auto"/>
        <w:rPr>
          <w:sz w:val="20"/>
          <w:szCs w:val="20"/>
          <w:color w:val="auto"/>
        </w:rPr>
      </w:pPr>
      <w:r>
        <w:rPr>
          <w:rFonts w:ascii="Arial" w:cs="Arial" w:eastAsia="Arial" w:hAnsi="Arial"/>
          <w:sz w:val="17"/>
          <w:szCs w:val="17"/>
          <w:color w:val="auto"/>
        </w:rPr>
        <w:t>Benefits, claims and settlement expenses in our Specialty Benefits insurance business increased $45.2 million due to growth in the business partially offset by $15.6 million in improved claim experience. Benefits, claims and settlement expenses decreased in our Individual Life insurance business $326.7 million, primarily due to the impact of our exited ULSG business.</w:t>
      </w:r>
    </w:p>
    <w:p>
      <w:pPr>
        <w:spacing w:after="0" w:line="165" w:lineRule="exact"/>
        <w:rPr>
          <w:sz w:val="20"/>
          <w:szCs w:val="20"/>
          <w:color w:val="auto"/>
        </w:rPr>
      </w:pPr>
    </w:p>
    <w:p>
      <w:pPr>
        <w:ind w:right="460" w:firstLine="648"/>
        <w:spacing w:after="0" w:line="263" w:lineRule="auto"/>
        <w:rPr>
          <w:sz w:val="20"/>
          <w:szCs w:val="20"/>
          <w:color w:val="auto"/>
        </w:rPr>
      </w:pPr>
      <w:r>
        <w:rPr>
          <w:rFonts w:ascii="Arial" w:cs="Arial" w:eastAsia="Arial" w:hAnsi="Arial"/>
          <w:sz w:val="18"/>
          <w:szCs w:val="18"/>
          <w:color w:val="auto"/>
        </w:rPr>
        <w:t>Operating expenses in our Specialty Benefits insurance business increased $17.0 million, primarily due to growth in the business. Operating expenses in our Individual Life insurance business decreased $14.0 million, primarily due to the impact of our exited ULSG business.</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540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102" w:name="page103"/>
    <w:bookmarkEnd w:id="102"/>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Six Months Ended June 30, 2022 Compared to Six Months Ended June 30, 2021</w:t>
      </w:r>
    </w:p>
    <w:p>
      <w:pPr>
        <w:spacing w:after="0" w:line="221"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Pre-Tax Operating Earnings</w:t>
      </w:r>
    </w:p>
    <w:p>
      <w:pPr>
        <w:spacing w:after="0" w:line="229" w:lineRule="exact"/>
        <w:rPr>
          <w:sz w:val="20"/>
          <w:szCs w:val="20"/>
          <w:color w:val="auto"/>
        </w:rPr>
      </w:pPr>
    </w:p>
    <w:p>
      <w:pPr>
        <w:ind w:right="300" w:firstLine="648"/>
        <w:spacing w:after="0" w:line="259" w:lineRule="auto"/>
        <w:rPr>
          <w:sz w:val="20"/>
          <w:szCs w:val="20"/>
          <w:color w:val="auto"/>
        </w:rPr>
      </w:pPr>
      <w:r>
        <w:rPr>
          <w:rFonts w:ascii="Arial" w:cs="Arial" w:eastAsia="Arial" w:hAnsi="Arial"/>
          <w:sz w:val="18"/>
          <w:szCs w:val="18"/>
          <w:color w:val="auto"/>
        </w:rPr>
        <w:t>Pre-tax operating earnings increased in our Specialty Benefits insurance business due to $25.8 million in improved claim experience, $11.8 million from growth in the business, $9.6 million in higher variable investment income and $8.8 million in expense management. Pre-tax operating earnings in our Individual Life insurance decreased primarily due to a $7.5 million actuarial model refinement in 2021.</w:t>
      </w:r>
    </w:p>
    <w:p>
      <w:pPr>
        <w:spacing w:after="0" w:line="183"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Operating Revenues</w:t>
      </w:r>
    </w:p>
    <w:p>
      <w:pPr>
        <w:spacing w:after="0" w:line="229" w:lineRule="exact"/>
        <w:rPr>
          <w:sz w:val="20"/>
          <w:szCs w:val="20"/>
          <w:color w:val="auto"/>
        </w:rPr>
      </w:pPr>
    </w:p>
    <w:p>
      <w:pPr>
        <w:ind w:right="60" w:firstLine="648"/>
        <w:spacing w:after="0" w:line="263" w:lineRule="auto"/>
        <w:rPr>
          <w:sz w:val="20"/>
          <w:szCs w:val="20"/>
          <w:color w:val="auto"/>
        </w:rPr>
      </w:pPr>
      <w:r>
        <w:rPr>
          <w:rFonts w:ascii="Arial" w:cs="Arial" w:eastAsia="Arial" w:hAnsi="Arial"/>
          <w:sz w:val="18"/>
          <w:szCs w:val="18"/>
          <w:color w:val="auto"/>
        </w:rPr>
        <w:t>Premiums and fees in our Specialty Benefits insurance business increased $130.2 million, primarily due to growth in the business. Premium and fees in our Individual Life insurance business decreased $177.6 million, primarily due to the impact of our exited ULSG business.</w:t>
      </w:r>
    </w:p>
    <w:p>
      <w:pPr>
        <w:spacing w:after="0" w:line="184" w:lineRule="exact"/>
        <w:rPr>
          <w:sz w:val="20"/>
          <w:szCs w:val="20"/>
          <w:color w:val="auto"/>
        </w:rPr>
      </w:pPr>
    </w:p>
    <w:p>
      <w:pPr>
        <w:jc w:val="both"/>
        <w:ind w:right="80" w:firstLine="648"/>
        <w:spacing w:after="0" w:line="263" w:lineRule="auto"/>
        <w:rPr>
          <w:sz w:val="20"/>
          <w:szCs w:val="20"/>
          <w:color w:val="auto"/>
        </w:rPr>
      </w:pPr>
      <w:r>
        <w:rPr>
          <w:rFonts w:ascii="Arial" w:cs="Arial" w:eastAsia="Arial" w:hAnsi="Arial"/>
          <w:sz w:val="18"/>
          <w:szCs w:val="18"/>
          <w:color w:val="auto"/>
        </w:rPr>
        <w:t>Net investment income in our Specialty Benefits insurance business increased due to $9.6 million in higher variable investment income and $7.6 million from growth in assets to support the business. Net investment income in our Individual Life insurance business decreased $175.2 million, primarily due to the impact of our exited ULSG business.</w:t>
      </w:r>
    </w:p>
    <w:p>
      <w:pPr>
        <w:spacing w:after="0" w:line="180"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Total Expenses</w:t>
      </w:r>
    </w:p>
    <w:p>
      <w:pPr>
        <w:spacing w:after="0" w:line="229" w:lineRule="exact"/>
        <w:rPr>
          <w:sz w:val="20"/>
          <w:szCs w:val="20"/>
          <w:color w:val="auto"/>
        </w:rPr>
      </w:pPr>
    </w:p>
    <w:p>
      <w:pPr>
        <w:jc w:val="both"/>
        <w:ind w:right="180" w:firstLine="648"/>
        <w:spacing w:after="0" w:line="286" w:lineRule="auto"/>
        <w:rPr>
          <w:sz w:val="20"/>
          <w:szCs w:val="20"/>
          <w:color w:val="auto"/>
        </w:rPr>
      </w:pPr>
      <w:r>
        <w:rPr>
          <w:rFonts w:ascii="Arial" w:cs="Arial" w:eastAsia="Arial" w:hAnsi="Arial"/>
          <w:sz w:val="17"/>
          <w:szCs w:val="17"/>
          <w:color w:val="auto"/>
        </w:rPr>
        <w:t>Benefits claims and settlement expenses in our Specialty Benefits insurance business increased $84.9 million due to growth in the business, offset by $25.8 million from improved claim experience. Benefits, claims and settlement expenses in our Individual Life insurance business decreased $331.8 million, primarily due to the impact of our exited ULSG business</w:t>
      </w:r>
    </w:p>
    <w:p>
      <w:pPr>
        <w:spacing w:after="0" w:line="165" w:lineRule="exact"/>
        <w:rPr>
          <w:sz w:val="20"/>
          <w:szCs w:val="20"/>
          <w:color w:val="auto"/>
        </w:rPr>
      </w:pPr>
    </w:p>
    <w:p>
      <w:pPr>
        <w:ind w:right="300" w:firstLine="648"/>
        <w:spacing w:after="0" w:line="263" w:lineRule="auto"/>
        <w:rPr>
          <w:sz w:val="20"/>
          <w:szCs w:val="20"/>
          <w:color w:val="auto"/>
        </w:rPr>
      </w:pPr>
      <w:r>
        <w:rPr>
          <w:rFonts w:ascii="Arial" w:cs="Arial" w:eastAsia="Arial" w:hAnsi="Arial"/>
          <w:sz w:val="18"/>
          <w:szCs w:val="18"/>
          <w:color w:val="auto"/>
        </w:rPr>
        <w:t>Operating expenses in our Specialty Benefits business increased $41.4 million primarily due to growth in business, offset by $8.8 million from expense management. Operating expenses in our Individual Life insurance business decreased $13.3 million, primarily due to the impact of our exited ULSG business.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Corporate Segment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Corporate Segment Summary Financial Data</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The following table presents certain summary financial data relating to the Corporate segment for the periods indicated:</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46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500" w:type="dxa"/>
            <w:vAlign w:val="bottom"/>
            <w:gridSpan w:val="8"/>
          </w:tcPr>
          <w:p>
            <w:pPr>
              <w:spacing w:after="0"/>
              <w:rPr>
                <w:sz w:val="20"/>
                <w:szCs w:val="20"/>
                <w:color w:val="auto"/>
              </w:rPr>
            </w:pPr>
            <w:r>
              <w:rPr>
                <w:rFonts w:ascii="Arial" w:cs="Arial" w:eastAsia="Arial" w:hAnsi="Arial"/>
                <w:sz w:val="14"/>
                <w:szCs w:val="14"/>
                <w:b w:val="1"/>
                <w:bCs w:val="1"/>
                <w:color w:val="auto"/>
              </w:rPr>
              <w:t>For the three months ended June 30,</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440" w:type="dxa"/>
            <w:vAlign w:val="bottom"/>
            <w:gridSpan w:val="9"/>
          </w:tcPr>
          <w:p>
            <w:pPr>
              <w:ind w:left="60"/>
              <w:spacing w:after="0"/>
              <w:rPr>
                <w:sz w:val="20"/>
                <w:szCs w:val="20"/>
                <w:color w:val="auto"/>
              </w:rPr>
            </w:pPr>
            <w:r>
              <w:rPr>
                <w:rFonts w:ascii="Arial" w:cs="Arial" w:eastAsia="Arial" w:hAnsi="Arial"/>
                <w:sz w:val="14"/>
                <w:szCs w:val="14"/>
                <w:b w:val="1"/>
                <w:bCs w:val="1"/>
                <w:color w:val="auto"/>
              </w:rPr>
              <w:t>For the six months ended June 30,</w:t>
            </w: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4640" w:type="dxa"/>
            <w:vAlign w:val="bottom"/>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620" w:type="dxa"/>
            <w:vAlign w:val="bottom"/>
            <w:tcBorders>
              <w:top w:val="single" w:sz="8" w:color="auto"/>
            </w:tcBorders>
            <w:vMerge w:val="restart"/>
          </w:tcPr>
          <w:p>
            <w:pPr>
              <w:jc w:val="right"/>
              <w:ind w:right="136"/>
              <w:spacing w:after="0"/>
              <w:rPr>
                <w:sz w:val="20"/>
                <w:szCs w:val="20"/>
                <w:color w:val="auto"/>
              </w:rPr>
            </w:pPr>
            <w:r>
              <w:rPr>
                <w:rFonts w:ascii="Arial" w:cs="Arial" w:eastAsia="Arial" w:hAnsi="Arial"/>
                <w:sz w:val="14"/>
                <w:szCs w:val="14"/>
                <w:b w:val="1"/>
                <w:bCs w:val="1"/>
                <w:color w:val="auto"/>
              </w:rPr>
              <w:t>2022</w:t>
            </w:r>
          </w:p>
        </w:tc>
        <w:tc>
          <w:tcPr>
            <w:tcW w:w="160" w:type="dxa"/>
            <w:vAlign w:val="bottom"/>
            <w:tcBorders>
              <w:top w:val="single" w:sz="8" w:color="auto"/>
            </w:tcBorders>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560" w:type="dxa"/>
            <w:vAlign w:val="bottom"/>
            <w:tcBorders>
              <w:top w:val="single" w:sz="8" w:color="auto"/>
            </w:tcBorders>
            <w:vMerge w:val="restart"/>
          </w:tcPr>
          <w:p>
            <w:pPr>
              <w:jc w:val="right"/>
              <w:ind w:right="134"/>
              <w:spacing w:after="0"/>
              <w:rPr>
                <w:sz w:val="20"/>
                <w:szCs w:val="20"/>
                <w:color w:val="auto"/>
              </w:rPr>
            </w:pPr>
            <w:r>
              <w:rPr>
                <w:rFonts w:ascii="Arial" w:cs="Arial" w:eastAsia="Arial" w:hAnsi="Arial"/>
                <w:sz w:val="14"/>
                <w:szCs w:val="14"/>
                <w:b w:val="1"/>
                <w:bCs w:val="1"/>
                <w:color w:val="auto"/>
              </w:rPr>
              <w:t>2021</w:t>
            </w:r>
          </w:p>
        </w:tc>
        <w:tc>
          <w:tcPr>
            <w:tcW w:w="160" w:type="dxa"/>
            <w:vAlign w:val="bottom"/>
            <w:tcBorders>
              <w:top w:val="single" w:sz="8" w:color="auto"/>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640" w:type="dxa"/>
            <w:vAlign w:val="bottom"/>
            <w:tcBorders>
              <w:top w:val="single" w:sz="8" w:color="auto"/>
            </w:tcBorders>
          </w:tcPr>
          <w:p>
            <w:pPr>
              <w:jc w:val="right"/>
              <w:ind w:right="37"/>
              <w:spacing w:after="0" w:line="119" w:lineRule="exact"/>
              <w:rPr>
                <w:sz w:val="20"/>
                <w:szCs w:val="20"/>
                <w:color w:val="auto"/>
              </w:rPr>
            </w:pPr>
            <w:r>
              <w:rPr>
                <w:rFonts w:ascii="Arial" w:cs="Arial" w:eastAsia="Arial" w:hAnsi="Arial"/>
                <w:sz w:val="13"/>
                <w:szCs w:val="13"/>
                <w:b w:val="1"/>
                <w:bCs w:val="1"/>
                <w:color w:val="auto"/>
                <w:w w:val="94"/>
              </w:rPr>
              <w:t>Increase</w:t>
            </w: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600" w:type="dxa"/>
            <w:vAlign w:val="bottom"/>
            <w:tcBorders>
              <w:top w:val="single" w:sz="8" w:color="auto"/>
            </w:tcBorders>
            <w:vMerge w:val="restart"/>
          </w:tcPr>
          <w:p>
            <w:pPr>
              <w:jc w:val="right"/>
              <w:ind w:right="156"/>
              <w:spacing w:after="0"/>
              <w:rPr>
                <w:sz w:val="20"/>
                <w:szCs w:val="20"/>
                <w:color w:val="auto"/>
              </w:rPr>
            </w:pPr>
            <w:r>
              <w:rPr>
                <w:rFonts w:ascii="Arial" w:cs="Arial" w:eastAsia="Arial" w:hAnsi="Arial"/>
                <w:sz w:val="14"/>
                <w:szCs w:val="14"/>
                <w:b w:val="1"/>
                <w:bCs w:val="1"/>
                <w:color w:val="auto"/>
              </w:rPr>
              <w:t>2022</w:t>
            </w:r>
          </w:p>
        </w:tc>
        <w:tc>
          <w:tcPr>
            <w:tcW w:w="160" w:type="dxa"/>
            <w:vAlign w:val="bottom"/>
            <w:tcBorders>
              <w:top w:val="single" w:sz="8" w:color="auto"/>
            </w:tcBorders>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580" w:type="dxa"/>
            <w:vAlign w:val="bottom"/>
            <w:tcBorders>
              <w:top w:val="single" w:sz="8" w:color="auto"/>
            </w:tcBorders>
            <w:vMerge w:val="restart"/>
          </w:tcPr>
          <w:p>
            <w:pPr>
              <w:jc w:val="right"/>
              <w:ind w:right="134"/>
              <w:spacing w:after="0"/>
              <w:rPr>
                <w:sz w:val="20"/>
                <w:szCs w:val="20"/>
                <w:color w:val="auto"/>
              </w:rPr>
            </w:pPr>
            <w:r>
              <w:rPr>
                <w:rFonts w:ascii="Arial" w:cs="Arial" w:eastAsia="Arial" w:hAnsi="Arial"/>
                <w:sz w:val="14"/>
                <w:szCs w:val="14"/>
                <w:b w:val="1"/>
                <w:bCs w:val="1"/>
                <w:color w:val="auto"/>
              </w:rPr>
              <w:t>2021</w:t>
            </w:r>
          </w:p>
        </w:tc>
        <w:tc>
          <w:tcPr>
            <w:tcW w:w="80" w:type="dxa"/>
            <w:vAlign w:val="bottom"/>
            <w:tcBorders>
              <w:top w:val="single" w:sz="8" w:color="auto"/>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660" w:type="dxa"/>
            <w:vAlign w:val="bottom"/>
            <w:tcBorders>
              <w:top w:val="single" w:sz="8" w:color="auto"/>
            </w:tcBorders>
          </w:tcPr>
          <w:p>
            <w:pPr>
              <w:jc w:val="right"/>
              <w:ind w:right="35"/>
              <w:spacing w:after="0" w:line="119" w:lineRule="exact"/>
              <w:rPr>
                <w:sz w:val="20"/>
                <w:szCs w:val="20"/>
                <w:color w:val="auto"/>
              </w:rPr>
            </w:pPr>
            <w:r>
              <w:rPr>
                <w:rFonts w:ascii="Arial" w:cs="Arial" w:eastAsia="Arial" w:hAnsi="Arial"/>
                <w:sz w:val="13"/>
                <w:szCs w:val="13"/>
                <w:b w:val="1"/>
                <w:bCs w:val="1"/>
                <w:color w:val="auto"/>
                <w:w w:val="98"/>
              </w:rPr>
              <w:t>Increase</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464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vMerge w:val="continue"/>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vMerge w:val="continue"/>
          </w:tcPr>
          <w:p>
            <w:pPr>
              <w:spacing w:after="0"/>
              <w:rPr>
                <w:sz w:val="14"/>
                <w:szCs w:val="14"/>
                <w:color w:val="auto"/>
              </w:rPr>
            </w:pPr>
          </w:p>
        </w:tc>
        <w:tc>
          <w:tcPr>
            <w:tcW w:w="160" w:type="dxa"/>
            <w:vAlign w:val="bottom"/>
          </w:tcPr>
          <w:p>
            <w:pPr>
              <w:spacing w:after="0"/>
              <w:rPr>
                <w:sz w:val="14"/>
                <w:szCs w:val="14"/>
                <w:color w:val="auto"/>
              </w:rPr>
            </w:pPr>
          </w:p>
        </w:tc>
        <w:tc>
          <w:tcPr>
            <w:tcW w:w="76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7"/>
              </w:rPr>
              <w:t>(decrease)</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vMerge w:val="continue"/>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vMerge w:val="continue"/>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6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7"/>
              </w:rPr>
              <w:t>(decrease)</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46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540" w:type="dxa"/>
            <w:vAlign w:val="bottom"/>
            <w:gridSpan w:val="5"/>
          </w:tcPr>
          <w:p>
            <w:pPr>
              <w:jc w:val="right"/>
              <w:ind w:right="376"/>
              <w:spacing w:after="0" w:line="129" w:lineRule="exact"/>
              <w:rPr>
                <w:sz w:val="20"/>
                <w:szCs w:val="20"/>
                <w:color w:val="auto"/>
              </w:rPr>
            </w:pPr>
            <w:r>
              <w:rPr>
                <w:rFonts w:ascii="Arial" w:cs="Arial" w:eastAsia="Arial" w:hAnsi="Arial"/>
                <w:sz w:val="14"/>
                <w:szCs w:val="14"/>
                <w:i w:val="1"/>
                <w:iCs w:val="1"/>
                <w:color w:val="auto"/>
              </w:rPr>
              <w:t>(in millions)</w:t>
            </w: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40" w:type="dxa"/>
            <w:vAlign w:val="bottom"/>
            <w:shd w:val="clear" w:color="auto" w:fill="CCEEFF"/>
          </w:tcPr>
          <w:p>
            <w:pPr>
              <w:spacing w:after="0"/>
              <w:rPr>
                <w:sz w:val="20"/>
                <w:szCs w:val="20"/>
                <w:color w:val="auto"/>
              </w:rPr>
            </w:pPr>
            <w:r>
              <w:rPr>
                <w:rFonts w:ascii="Arial" w:cs="Arial" w:eastAsia="Arial" w:hAnsi="Arial"/>
                <w:sz w:val="18"/>
                <w:szCs w:val="18"/>
                <w:color w:val="auto"/>
              </w:rPr>
              <w:t>Operating revenues:</w:t>
            </w:r>
          </w:p>
        </w:tc>
        <w:tc>
          <w:tcPr>
            <w:tcW w:w="12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40" w:type="dxa"/>
            <w:vAlign w:val="bottom"/>
          </w:tcPr>
          <w:p>
            <w:pPr>
              <w:ind w:left="100"/>
              <w:spacing w:after="0"/>
              <w:rPr>
                <w:sz w:val="20"/>
                <w:szCs w:val="20"/>
                <w:color w:val="auto"/>
              </w:rPr>
            </w:pPr>
            <w:r>
              <w:rPr>
                <w:rFonts w:ascii="Arial" w:cs="Arial" w:eastAsia="Arial" w:hAnsi="Arial"/>
                <w:sz w:val="18"/>
                <w:szCs w:val="18"/>
                <w:color w:val="auto"/>
              </w:rPr>
              <w:t>Total operating revenues</w:t>
            </w:r>
          </w:p>
        </w:tc>
        <w:tc>
          <w:tcPr>
            <w:tcW w:w="12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78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(7.0)</w:t>
            </w:r>
          </w:p>
        </w:tc>
        <w:tc>
          <w:tcPr>
            <w:tcW w:w="160" w:type="dxa"/>
            <w:vAlign w:val="bottom"/>
          </w:tcPr>
          <w:p>
            <w:pPr>
              <w:jc w:val="right"/>
              <w:ind w:right="7"/>
              <w:spacing w:after="0"/>
              <w:rPr>
                <w:sz w:val="20"/>
                <w:szCs w:val="20"/>
                <w:color w:val="auto"/>
              </w:rPr>
            </w:pPr>
            <w:r>
              <w:rPr>
                <w:rFonts w:ascii="Arial" w:cs="Arial" w:eastAsia="Arial" w:hAnsi="Arial"/>
                <w:sz w:val="15"/>
                <w:szCs w:val="15"/>
                <w:color w:val="auto"/>
                <w:w w:val="71"/>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1.1</w:t>
            </w:r>
          </w:p>
        </w:tc>
        <w:tc>
          <w:tcPr>
            <w:tcW w:w="16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gridSpan w:val="2"/>
          </w:tcPr>
          <w:p>
            <w:pPr>
              <w:jc w:val="right"/>
              <w:ind w:right="80"/>
              <w:spacing w:after="0"/>
              <w:rPr>
                <w:sz w:val="20"/>
                <w:szCs w:val="20"/>
                <w:color w:val="auto"/>
              </w:rPr>
            </w:pPr>
            <w:r>
              <w:rPr>
                <w:rFonts w:ascii="Arial" w:cs="Arial" w:eastAsia="Arial" w:hAnsi="Arial"/>
                <w:sz w:val="18"/>
                <w:szCs w:val="18"/>
                <w:color w:val="auto"/>
              </w:rPr>
              <w:t>(8.1)</w:t>
            </w:r>
          </w:p>
        </w:tc>
        <w:tc>
          <w:tcPr>
            <w:tcW w:w="22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76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(7.3)</w:t>
            </w:r>
          </w:p>
        </w:tc>
        <w:tc>
          <w:tcPr>
            <w:tcW w:w="160" w:type="dxa"/>
            <w:vAlign w:val="bottom"/>
          </w:tcPr>
          <w:p>
            <w:pPr>
              <w:jc w:val="right"/>
              <w:ind w:right="7"/>
              <w:spacing w:after="0"/>
              <w:rPr>
                <w:sz w:val="20"/>
                <w:szCs w:val="20"/>
                <w:color w:val="auto"/>
              </w:rPr>
            </w:pPr>
            <w:r>
              <w:rPr>
                <w:rFonts w:ascii="Arial" w:cs="Arial" w:eastAsia="Arial" w:hAnsi="Arial"/>
                <w:sz w:val="15"/>
                <w:szCs w:val="15"/>
                <w:color w:val="auto"/>
                <w:w w:val="71"/>
              </w:rPr>
              <w:t>$</w:t>
            </w:r>
          </w:p>
        </w:tc>
        <w:tc>
          <w:tcPr>
            <w:tcW w:w="660" w:type="dxa"/>
            <w:vAlign w:val="bottom"/>
            <w:gridSpan w:val="2"/>
          </w:tcPr>
          <w:p>
            <w:pPr>
              <w:jc w:val="right"/>
              <w:ind w:right="80"/>
              <w:spacing w:after="0"/>
              <w:rPr>
                <w:sz w:val="20"/>
                <w:szCs w:val="20"/>
                <w:color w:val="auto"/>
              </w:rPr>
            </w:pPr>
            <w:r>
              <w:rPr>
                <w:rFonts w:ascii="Arial" w:cs="Arial" w:eastAsia="Arial" w:hAnsi="Arial"/>
                <w:sz w:val="18"/>
                <w:szCs w:val="18"/>
                <w:color w:val="auto"/>
              </w:rPr>
              <w:t>(7.5)</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0.2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40" w:type="dxa"/>
            <w:vAlign w:val="bottom"/>
            <w:shd w:val="clear" w:color="auto" w:fill="CCEEFF"/>
          </w:tcPr>
          <w:p>
            <w:pPr>
              <w:spacing w:after="0"/>
              <w:rPr>
                <w:sz w:val="20"/>
                <w:szCs w:val="20"/>
                <w:color w:val="auto"/>
              </w:rPr>
            </w:pPr>
            <w:r>
              <w:rPr>
                <w:rFonts w:ascii="Arial" w:cs="Arial" w:eastAsia="Arial" w:hAnsi="Arial"/>
                <w:sz w:val="18"/>
                <w:szCs w:val="18"/>
                <w:color w:val="auto"/>
              </w:rPr>
              <w:t>Expenses:</w:t>
            </w:r>
          </w:p>
        </w:tc>
        <w:tc>
          <w:tcPr>
            <w:tcW w:w="12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40" w:type="dxa"/>
            <w:vAlign w:val="bottom"/>
          </w:tcPr>
          <w:p>
            <w:pPr>
              <w:ind w:left="100"/>
              <w:spacing w:after="0"/>
              <w:rPr>
                <w:sz w:val="20"/>
                <w:szCs w:val="20"/>
                <w:color w:val="auto"/>
              </w:rPr>
            </w:pPr>
            <w:r>
              <w:rPr>
                <w:rFonts w:ascii="Arial" w:cs="Arial" w:eastAsia="Arial" w:hAnsi="Arial"/>
                <w:sz w:val="18"/>
                <w:szCs w:val="18"/>
                <w:color w:val="auto"/>
              </w:rPr>
              <w:t>Total expenses</w:t>
            </w:r>
          </w:p>
        </w:tc>
        <w:tc>
          <w:tcPr>
            <w:tcW w:w="12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b w:val="1"/>
                <w:bCs w:val="1"/>
                <w:color w:val="auto"/>
              </w:rPr>
              <w:t>108.9</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84.3</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24.6</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b w:val="1"/>
                <w:bCs w:val="1"/>
                <w:color w:val="auto"/>
              </w:rPr>
              <w:t>223.7</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170.2</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53.5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6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vMerge w:val="continue"/>
          </w:tcPr>
          <w:p>
            <w:pPr>
              <w:spacing w:after="0"/>
              <w:rPr>
                <w:sz w:val="17"/>
                <w:szCs w:val="17"/>
                <w:color w:val="auto"/>
              </w:rPr>
            </w:pPr>
          </w:p>
        </w:tc>
        <w:tc>
          <w:tcPr>
            <w:tcW w:w="4640" w:type="dxa"/>
            <w:vAlign w:val="bottom"/>
          </w:tcPr>
          <w:p>
            <w:pPr>
              <w:spacing w:after="0" w:line="201" w:lineRule="exact"/>
              <w:rPr>
                <w:sz w:val="20"/>
                <w:szCs w:val="20"/>
                <w:color w:val="auto"/>
              </w:rPr>
            </w:pPr>
            <w:r>
              <w:rPr>
                <w:rFonts w:ascii="Arial" w:cs="Arial" w:eastAsia="Arial" w:hAnsi="Arial"/>
                <w:sz w:val="18"/>
                <w:szCs w:val="18"/>
                <w:color w:val="auto"/>
              </w:rPr>
              <w:t>Pre-tax operating earnings (losses) attributable to</w:t>
            </w:r>
          </w:p>
        </w:tc>
        <w:tc>
          <w:tcPr>
            <w:tcW w:w="120" w:type="dxa"/>
            <w:vAlign w:val="bottom"/>
          </w:tcPr>
          <w:p>
            <w:pPr>
              <w:spacing w:after="0"/>
              <w:rPr>
                <w:sz w:val="17"/>
                <w:szCs w:val="17"/>
                <w:color w:val="auto"/>
              </w:rPr>
            </w:pPr>
          </w:p>
        </w:tc>
        <w:tc>
          <w:tcPr>
            <w:tcW w:w="62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37.0</w:t>
            </w: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0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50.9</w:t>
            </w: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640" w:type="dxa"/>
            <w:vAlign w:val="bottom"/>
          </w:tcPr>
          <w:p>
            <w:pPr>
              <w:ind w:left="120"/>
              <w:spacing w:after="0"/>
              <w:rPr>
                <w:sz w:val="20"/>
                <w:szCs w:val="20"/>
                <w:color w:val="auto"/>
              </w:rPr>
            </w:pPr>
            <w:r>
              <w:rPr>
                <w:rFonts w:ascii="Arial" w:cs="Arial" w:eastAsia="Arial" w:hAnsi="Arial"/>
                <w:sz w:val="18"/>
                <w:szCs w:val="18"/>
                <w:color w:val="auto"/>
              </w:rPr>
              <w:t>noncontrolling interest</w:t>
            </w:r>
          </w:p>
        </w:tc>
        <w:tc>
          <w:tcPr>
            <w:tcW w:w="120" w:type="dxa"/>
            <w:vAlign w:val="bottom"/>
          </w:tcPr>
          <w:p>
            <w:pPr>
              <w:spacing w:after="0"/>
              <w:rPr>
                <w:sz w:val="20"/>
                <w:szCs w:val="20"/>
                <w:color w:val="auto"/>
              </w:rPr>
            </w:pPr>
          </w:p>
        </w:tc>
        <w:tc>
          <w:tcPr>
            <w:tcW w:w="620" w:type="dxa"/>
            <w:vAlign w:val="bottom"/>
            <w:vMerge w:val="continue"/>
          </w:tcPr>
          <w:p>
            <w:pPr>
              <w:spacing w:after="0"/>
              <w:rPr>
                <w:sz w:val="20"/>
                <w:szCs w:val="20"/>
                <w:color w:val="auto"/>
              </w:rPr>
            </w:pPr>
          </w:p>
        </w:tc>
        <w:tc>
          <w:tcPr>
            <w:tcW w:w="1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8"/>
                <w:szCs w:val="18"/>
                <w:color w:val="auto"/>
              </w:rPr>
              <w:t>(0.5)</w:t>
            </w:r>
          </w:p>
        </w:tc>
        <w:tc>
          <w:tcPr>
            <w:tcW w:w="120" w:type="dxa"/>
            <w:vAlign w:val="bottom"/>
          </w:tcPr>
          <w:p>
            <w:pPr>
              <w:spacing w:after="0"/>
              <w:rPr>
                <w:sz w:val="20"/>
                <w:szCs w:val="20"/>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37.5</w:t>
            </w: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00" w:type="dxa"/>
            <w:vAlign w:val="bottom"/>
            <w:vMerge w:val="continue"/>
          </w:tcPr>
          <w:p>
            <w:pPr>
              <w:spacing w:after="0"/>
              <w:rPr>
                <w:sz w:val="20"/>
                <w:szCs w:val="20"/>
                <w:color w:val="auto"/>
              </w:rPr>
            </w:pPr>
          </w:p>
        </w:tc>
        <w:tc>
          <w:tcPr>
            <w:tcW w:w="1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60" w:type="dxa"/>
            <w:vAlign w:val="bottom"/>
            <w:gridSpan w:val="2"/>
          </w:tcPr>
          <w:p>
            <w:pPr>
              <w:jc w:val="right"/>
              <w:ind w:right="80"/>
              <w:spacing w:after="0"/>
              <w:rPr>
                <w:sz w:val="20"/>
                <w:szCs w:val="20"/>
                <w:color w:val="auto"/>
              </w:rPr>
            </w:pPr>
            <w:r>
              <w:rPr>
                <w:rFonts w:ascii="Arial" w:cs="Arial" w:eastAsia="Arial" w:hAnsi="Arial"/>
                <w:sz w:val="18"/>
                <w:szCs w:val="18"/>
                <w:color w:val="auto"/>
              </w:rPr>
              <w:t>(1.2)</w:t>
            </w: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52.1</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64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Pre-tax operating losses</w:t>
            </w: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(152.9)</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jc w:val="right"/>
              <w:ind w:right="7"/>
              <w:spacing w:after="0"/>
              <w:rPr>
                <w:sz w:val="20"/>
                <w:szCs w:val="20"/>
                <w:color w:val="auto"/>
              </w:rPr>
            </w:pPr>
            <w:r>
              <w:rPr>
                <w:rFonts w:ascii="Arial" w:cs="Arial" w:eastAsia="Arial" w:hAnsi="Arial"/>
                <w:sz w:val="15"/>
                <w:szCs w:val="15"/>
                <w:color w:val="auto"/>
                <w:w w:val="71"/>
              </w:rPr>
              <w:t>$</w:t>
            </w:r>
          </w:p>
        </w:tc>
        <w:tc>
          <w:tcPr>
            <w:tcW w:w="5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(82.7)</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(70.2)</w:t>
            </w: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6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(281.9)</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jc w:val="right"/>
              <w:ind w:right="7"/>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8"/>
              </w:rPr>
              <w:t>(176.5)</w:t>
            </w: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(105.4)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Three Months Ended June 30, 2022 Compared to Three Months Ended June 30, 2021</w:t>
      </w:r>
    </w:p>
    <w:p>
      <w:pPr>
        <w:spacing w:after="0" w:line="221"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Pre-Tax Operating Losses</w:t>
      </w:r>
    </w:p>
    <w:p>
      <w:pPr>
        <w:spacing w:after="0" w:line="229" w:lineRule="exact"/>
        <w:rPr>
          <w:sz w:val="20"/>
          <w:szCs w:val="20"/>
          <w:color w:val="auto"/>
        </w:rPr>
      </w:pPr>
    </w:p>
    <w:p>
      <w:pPr>
        <w:ind w:right="180" w:firstLine="648"/>
        <w:spacing w:after="0" w:line="277" w:lineRule="auto"/>
        <w:rPr>
          <w:sz w:val="20"/>
          <w:szCs w:val="20"/>
          <w:color w:val="auto"/>
        </w:rPr>
      </w:pPr>
      <w:r>
        <w:rPr>
          <w:rFonts w:ascii="Arial" w:cs="Arial" w:eastAsia="Arial" w:hAnsi="Arial"/>
          <w:sz w:val="18"/>
          <w:szCs w:val="18"/>
          <w:color w:val="auto"/>
        </w:rPr>
        <w:t>Pre-tax operating losses increased primarily due to $52.5 million lower net investment income largely resulting from mark-to-market losses on investments and $14.7 million stranded costs associated with reinsured businesses.</w:t>
      </w:r>
    </w:p>
    <w:p>
      <w:pPr>
        <w:sectPr>
          <w:pgSz w:w="11900" w:h="16838" w:orient="portrait"/>
          <w:cols w:equalWidth="0" w:num="1">
            <w:col w:w="9920"/>
          </w:cols>
          <w:pgMar w:left="980" w:top="665" w:right="999" w:bottom="1440" w:gutter="0" w:footer="0" w:header="0"/>
        </w:sectPr>
      </w:pP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372110</wp:posOffset>
            </wp:positionV>
            <wp:extent cx="6292215" cy="2603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type w:val="continuous"/>
        </w:sectPr>
      </w:pPr>
    </w:p>
    <w:bookmarkStart w:id="103" w:name="page104"/>
    <w:bookmarkEnd w:id="103"/>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Six Months Ended June 30, 2022 Compared to Six Months Ended June 30, 2021</w:t>
      </w:r>
    </w:p>
    <w:p>
      <w:pPr>
        <w:spacing w:after="0" w:line="221"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Pre-Tax Operating Losses</w:t>
      </w:r>
    </w:p>
    <w:p>
      <w:pPr>
        <w:spacing w:after="0" w:line="229" w:lineRule="exact"/>
        <w:rPr>
          <w:sz w:val="20"/>
          <w:szCs w:val="20"/>
          <w:color w:val="auto"/>
        </w:rPr>
      </w:pPr>
    </w:p>
    <w:p>
      <w:pPr>
        <w:ind w:right="120" w:firstLine="648"/>
        <w:spacing w:after="0" w:line="277" w:lineRule="auto"/>
        <w:rPr>
          <w:sz w:val="20"/>
          <w:szCs w:val="20"/>
          <w:color w:val="auto"/>
        </w:rPr>
      </w:pPr>
      <w:r>
        <w:rPr>
          <w:rFonts w:ascii="Arial" w:cs="Arial" w:eastAsia="Arial" w:hAnsi="Arial"/>
          <w:sz w:val="18"/>
          <w:szCs w:val="18"/>
          <w:color w:val="auto"/>
        </w:rPr>
        <w:t>Pre-tax operating losses increased primarily due to $74.7 million lower net investment income largely resulting from mark-to-market losses on investments and $14.7 million stranded costs associated with reinsured businesses.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29" w:lineRule="exact"/>
        <w:rPr>
          <w:sz w:val="20"/>
          <w:szCs w:val="20"/>
          <w:color w:val="auto"/>
        </w:rPr>
      </w:pPr>
    </w:p>
    <w:p>
      <w:pPr>
        <w:ind w:right="60" w:firstLine="635"/>
        <w:spacing w:after="0" w:line="270" w:lineRule="auto"/>
        <w:rPr>
          <w:sz w:val="20"/>
          <w:szCs w:val="20"/>
          <w:color w:val="auto"/>
        </w:rPr>
      </w:pPr>
      <w:r>
        <w:rPr>
          <w:rFonts w:ascii="Arial" w:cs="Arial" w:eastAsia="Arial" w:hAnsi="Arial"/>
          <w:sz w:val="17"/>
          <w:szCs w:val="17"/>
          <w:color w:val="auto"/>
        </w:rPr>
        <w:t>Liquidity and capital resources represent the overall strength of a company and its ability to generate strong cash flows, borrow funds at a competitive rate and raise new capital to meet operating and growth needs. We are in a strong capital and liquidity position as we face the uncertain, volatile and potentially material adverse economic disruptions to our business brought on by the COVID-19 pandemic. We are monitoring our liquidity closely and feel confident in our ability to meet all long-term obligations to customers, policyholders and debt holders. Our sources of strength include our laddered long-term debt maturities with the next maturity occurring September 2022, access to revolving credit facility and contingent funding arrangements, a strong risk-based capital position and our available cash and liquid assets. The combination of these financial levers will enable us to manage through this period of economic volatility. Our legal entity structure has an impact on our ability to meet cash flow needs as an organization. Following is a simplified organizational structure.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365760</wp:posOffset>
            </wp:positionH>
            <wp:positionV relativeFrom="paragraph">
              <wp:posOffset>123825</wp:posOffset>
            </wp:positionV>
            <wp:extent cx="5572125" cy="194627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5572125" cy="19462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Liquidity</w:t>
      </w:r>
    </w:p>
    <w:p>
      <w:pPr>
        <w:spacing w:after="0" w:line="225" w:lineRule="exact"/>
        <w:rPr>
          <w:sz w:val="20"/>
          <w:szCs w:val="20"/>
          <w:color w:val="auto"/>
        </w:rPr>
      </w:pPr>
    </w:p>
    <w:p>
      <w:pPr>
        <w:ind w:right="20" w:firstLine="648"/>
        <w:spacing w:after="0" w:line="259" w:lineRule="auto"/>
        <w:rPr>
          <w:sz w:val="20"/>
          <w:szCs w:val="20"/>
          <w:color w:val="auto"/>
        </w:rPr>
      </w:pPr>
      <w:r>
        <w:rPr>
          <w:rFonts w:ascii="Arial" w:cs="Arial" w:eastAsia="Arial" w:hAnsi="Arial"/>
          <w:sz w:val="18"/>
          <w:szCs w:val="18"/>
          <w:color w:val="auto"/>
        </w:rPr>
        <w:t>Our liquidity requirements have been and will continue to be met by funds from consolidated operations as well as the issuance of commercial paper, common stock, debt or other capital securities and borrowings from credit facilities. We believe the cash flows from these sources are sufficient to satisfy the current liquidity requirements of our operations, including reasonably foreseeable contingencies.</w:t>
      </w:r>
    </w:p>
    <w:p>
      <w:pPr>
        <w:spacing w:after="0" w:line="187" w:lineRule="exact"/>
        <w:rPr>
          <w:sz w:val="20"/>
          <w:szCs w:val="20"/>
          <w:color w:val="auto"/>
        </w:rPr>
      </w:pPr>
    </w:p>
    <w:p>
      <w:pPr>
        <w:ind w:right="200" w:firstLine="648"/>
        <w:spacing w:after="0" w:line="259" w:lineRule="auto"/>
        <w:rPr>
          <w:sz w:val="20"/>
          <w:szCs w:val="20"/>
          <w:color w:val="auto"/>
        </w:rPr>
      </w:pPr>
      <w:r>
        <w:rPr>
          <w:rFonts w:ascii="Arial" w:cs="Arial" w:eastAsia="Arial" w:hAnsi="Arial"/>
          <w:sz w:val="18"/>
          <w:szCs w:val="18"/>
          <w:color w:val="auto"/>
        </w:rPr>
        <w:t>We maintain a level of cash and securities which, combined with expected cash inflows from investments and operations, we believe to be adequate to meet anticipated short-term and long-term payment obligations. We will continue our prudent capital management practice of regularly exploring options available to us to maximize capital flexibility, including accessing the capital markets and careful attention to and management of expenses.</w:t>
      </w:r>
    </w:p>
    <w:p>
      <w:pPr>
        <w:spacing w:after="0" w:line="187" w:lineRule="exact"/>
        <w:rPr>
          <w:sz w:val="20"/>
          <w:szCs w:val="20"/>
          <w:color w:val="auto"/>
        </w:rPr>
      </w:pPr>
    </w:p>
    <w:p>
      <w:pPr>
        <w:jc w:val="both"/>
        <w:ind w:right="60" w:firstLine="648"/>
        <w:spacing w:after="0" w:line="286" w:lineRule="auto"/>
        <w:rPr>
          <w:sz w:val="20"/>
          <w:szCs w:val="20"/>
          <w:color w:val="auto"/>
        </w:rPr>
      </w:pPr>
      <w:r>
        <w:rPr>
          <w:rFonts w:ascii="Arial" w:cs="Arial" w:eastAsia="Arial" w:hAnsi="Arial"/>
          <w:sz w:val="17"/>
          <w:szCs w:val="17"/>
          <w:color w:val="auto"/>
        </w:rPr>
        <w:t>We perform rigorous liquidity stress testing to ensure our asset portfolio includes sufficient high quality liquid assets that could be utilized to bolster our liquidity position under increasingly stressed market conditions. These assets could be utilized as collateral for secured borrowing transactions with various third parties or by selling the securities in the open market if needed.</w:t>
      </w:r>
    </w:p>
    <w:p>
      <w:pPr>
        <w:spacing w:after="0" w:line="165" w:lineRule="exact"/>
        <w:rPr>
          <w:sz w:val="20"/>
          <w:szCs w:val="20"/>
          <w:color w:val="auto"/>
        </w:rPr>
      </w:pPr>
    </w:p>
    <w:p>
      <w:pPr>
        <w:ind w:firstLine="648"/>
        <w:spacing w:after="0" w:line="259" w:lineRule="auto"/>
        <w:rPr>
          <w:sz w:val="20"/>
          <w:szCs w:val="20"/>
          <w:color w:val="auto"/>
        </w:rPr>
      </w:pPr>
      <w:r>
        <w:rPr>
          <w:rFonts w:ascii="Arial" w:cs="Arial" w:eastAsia="Arial" w:hAnsi="Arial"/>
          <w:sz w:val="18"/>
          <w:szCs w:val="18"/>
          <w:color w:val="auto"/>
        </w:rPr>
        <w:t>We also manage liquidity risk by limiting the sales of liabilities with features such as puts or other options that can be exercised at inopportune times. For example, as of June 30, 2022, approximately $14.4 billion, or 99%, of our institutional guaranteed investment contracts and funding agreements cannot be redeemed by contractholders prior to maturity. Our individual annuity liabilities also contain surrender charges and other provisions limiting early surrenders.</w:t>
      </w:r>
    </w:p>
    <w:p>
      <w:pPr>
        <w:sectPr>
          <w:pgSz w:w="11900" w:h="16838" w:orient="portrait"/>
          <w:cols w:equalWidth="0" w:num="1">
            <w:col w:w="9860"/>
          </w:cols>
          <w:pgMar w:left="980" w:top="665" w:right="1059" w:bottom="1440" w:gutter="0" w:footer="0" w:header="0"/>
        </w:sectPr>
      </w:pPr>
    </w:p>
    <w:p>
      <w:pPr>
        <w:spacing w:after="0" w:line="200" w:lineRule="exact"/>
        <w:rPr>
          <w:sz w:val="20"/>
          <w:szCs w:val="20"/>
          <w:color w:val="auto"/>
        </w:rPr>
      </w:pPr>
    </w:p>
    <w:p>
      <w:pPr>
        <w:spacing w:after="0" w:line="203" w:lineRule="exact"/>
        <w:rPr>
          <w:sz w:val="20"/>
          <w:szCs w:val="20"/>
          <w:color w:val="auto"/>
        </w:rPr>
      </w:pPr>
    </w:p>
    <w:p>
      <w:pPr>
        <w:jc w:val="center"/>
        <w:ind w:right="-59"/>
        <w:spacing w:after="0"/>
        <w:rPr>
          <w:sz w:val="20"/>
          <w:szCs w:val="20"/>
          <w:color w:val="auto"/>
        </w:rPr>
      </w:pPr>
      <w:r>
        <w:rPr>
          <w:rFonts w:ascii="Arial" w:cs="Arial" w:eastAsia="Arial" w:hAnsi="Arial"/>
          <w:sz w:val="16"/>
          <w:szCs w:val="16"/>
          <w:color w:val="auto"/>
        </w:rPr>
        <w:t>104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372110</wp:posOffset>
            </wp:positionV>
            <wp:extent cx="6292215" cy="2540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860"/>
          </w:cols>
          <w:pgMar w:left="980" w:top="665" w:right="1059" w:bottom="1440" w:gutter="0" w:footer="0" w:header="0"/>
          <w:type w:val="continuous"/>
        </w:sectPr>
      </w:pPr>
    </w:p>
    <w:bookmarkStart w:id="104" w:name="page105"/>
    <w:bookmarkEnd w:id="104"/>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9" w:lineRule="exact"/>
        <w:rPr>
          <w:sz w:val="20"/>
          <w:szCs w:val="20"/>
          <w:color w:val="auto"/>
        </w:rPr>
      </w:pPr>
    </w:p>
    <w:p>
      <w:pPr>
        <w:ind w:right="100" w:firstLine="648"/>
        <w:spacing w:after="0" w:line="277" w:lineRule="auto"/>
        <w:rPr>
          <w:sz w:val="20"/>
          <w:szCs w:val="20"/>
          <w:color w:val="auto"/>
        </w:rPr>
      </w:pPr>
      <w:r>
        <w:rPr>
          <w:rFonts w:ascii="Arial" w:cs="Arial" w:eastAsia="Arial" w:hAnsi="Arial"/>
          <w:sz w:val="18"/>
          <w:szCs w:val="18"/>
          <w:color w:val="auto"/>
        </w:rPr>
        <w:t>The following table summarizes the withdrawal characteristics of our domestic general account investment contracts as of June 30, 2022.</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6900" w:type="dxa"/>
            <w:vAlign w:val="bottom"/>
          </w:tcPr>
          <w:p>
            <w:pPr>
              <w:spacing w:after="0"/>
              <w:rPr>
                <w:sz w:val="14"/>
                <w:szCs w:val="14"/>
                <w:color w:val="auto"/>
              </w:rPr>
            </w:pPr>
          </w:p>
        </w:tc>
        <w:tc>
          <w:tcPr>
            <w:tcW w:w="1680" w:type="dxa"/>
            <w:vAlign w:val="bottom"/>
            <w:gridSpan w:val="3"/>
          </w:tcPr>
          <w:p>
            <w:pPr>
              <w:ind w:left="60"/>
              <w:spacing w:after="0"/>
              <w:rPr>
                <w:sz w:val="20"/>
                <w:szCs w:val="20"/>
                <w:color w:val="auto"/>
              </w:rPr>
            </w:pPr>
            <w:r>
              <w:rPr>
                <w:rFonts w:ascii="Arial" w:cs="Arial" w:eastAsia="Arial" w:hAnsi="Arial"/>
                <w:sz w:val="14"/>
                <w:szCs w:val="14"/>
                <w:b w:val="1"/>
                <w:bCs w:val="1"/>
                <w:color w:val="auto"/>
              </w:rPr>
              <w:t>Contractholder funds</w:t>
            </w:r>
          </w:p>
        </w:tc>
        <w:tc>
          <w:tcPr>
            <w:tcW w:w="1340" w:type="dxa"/>
            <w:vAlign w:val="bottom"/>
            <w:gridSpan w:val="2"/>
          </w:tcPr>
          <w:p>
            <w:pPr>
              <w:jc w:val="right"/>
              <w:ind w:right="350"/>
              <w:spacing w:after="0"/>
              <w:rPr>
                <w:sz w:val="20"/>
                <w:szCs w:val="20"/>
                <w:color w:val="auto"/>
              </w:rPr>
            </w:pPr>
            <w:r>
              <w:rPr>
                <w:rFonts w:ascii="Arial" w:cs="Arial" w:eastAsia="Arial" w:hAnsi="Arial"/>
                <w:sz w:val="14"/>
                <w:szCs w:val="14"/>
                <w:b w:val="1"/>
                <w:bCs w:val="1"/>
                <w:color w:val="auto"/>
              </w:rPr>
              <w:t>Percentage</w:t>
            </w:r>
          </w:p>
        </w:tc>
      </w:tr>
      <w:tr>
        <w:trPr>
          <w:trHeight w:val="142"/>
        </w:trPr>
        <w:tc>
          <w:tcPr>
            <w:tcW w:w="6900" w:type="dxa"/>
            <w:vAlign w:val="bottom"/>
          </w:tcPr>
          <w:p>
            <w:pPr>
              <w:spacing w:after="0"/>
              <w:rPr>
                <w:sz w:val="12"/>
                <w:szCs w:val="12"/>
                <w:color w:val="auto"/>
              </w:rPr>
            </w:pPr>
          </w:p>
        </w:tc>
        <w:tc>
          <w:tcPr>
            <w:tcW w:w="240" w:type="dxa"/>
            <w:vAlign w:val="bottom"/>
            <w:tcBorders>
              <w:top w:val="single" w:sz="8" w:color="auto"/>
            </w:tcBorders>
          </w:tcPr>
          <w:p>
            <w:pPr>
              <w:spacing w:after="0"/>
              <w:rPr>
                <w:sz w:val="12"/>
                <w:szCs w:val="12"/>
                <w:color w:val="auto"/>
              </w:rPr>
            </w:pPr>
          </w:p>
        </w:tc>
        <w:tc>
          <w:tcPr>
            <w:tcW w:w="1220" w:type="dxa"/>
            <w:vAlign w:val="bottom"/>
            <w:tcBorders>
              <w:top w:val="single" w:sz="8" w:color="auto"/>
            </w:tcBorders>
          </w:tcPr>
          <w:p>
            <w:pPr>
              <w:jc w:val="right"/>
              <w:ind w:right="293"/>
              <w:spacing w:after="0" w:line="142" w:lineRule="exact"/>
              <w:rPr>
                <w:sz w:val="20"/>
                <w:szCs w:val="20"/>
                <w:color w:val="auto"/>
              </w:rPr>
            </w:pPr>
            <w:r>
              <w:rPr>
                <w:rFonts w:ascii="Arial" w:cs="Arial" w:eastAsia="Arial" w:hAnsi="Arial"/>
                <w:sz w:val="14"/>
                <w:szCs w:val="14"/>
                <w:i w:val="1"/>
                <w:iCs w:val="1"/>
                <w:color w:val="auto"/>
              </w:rPr>
              <w:t>(in millions)</w:t>
            </w:r>
          </w:p>
        </w:tc>
        <w:tc>
          <w:tcPr>
            <w:tcW w:w="220" w:type="dxa"/>
            <w:vAlign w:val="bottom"/>
          </w:tcPr>
          <w:p>
            <w:pPr>
              <w:spacing w:after="0"/>
              <w:rPr>
                <w:sz w:val="12"/>
                <w:szCs w:val="12"/>
                <w:color w:val="auto"/>
              </w:rPr>
            </w:pPr>
          </w:p>
        </w:tc>
        <w:tc>
          <w:tcPr>
            <w:tcW w:w="1140" w:type="dxa"/>
            <w:vAlign w:val="bottom"/>
            <w:tcBorders>
              <w:top w:val="single" w:sz="8" w:color="auto"/>
            </w:tcBorders>
          </w:tcPr>
          <w:p>
            <w:pPr>
              <w:spacing w:after="0"/>
              <w:rPr>
                <w:sz w:val="12"/>
                <w:szCs w:val="12"/>
                <w:color w:val="auto"/>
              </w:rPr>
            </w:pPr>
          </w:p>
        </w:tc>
        <w:tc>
          <w:tcPr>
            <w:tcW w:w="200" w:type="dxa"/>
            <w:vAlign w:val="bottom"/>
          </w:tcPr>
          <w:p>
            <w:pPr>
              <w:spacing w:after="0"/>
              <w:rPr>
                <w:sz w:val="12"/>
                <w:szCs w:val="12"/>
                <w:color w:val="auto"/>
              </w:rPr>
            </w:pPr>
          </w:p>
        </w:tc>
      </w:tr>
      <w:tr>
        <w:trPr>
          <w:trHeight w:val="216"/>
        </w:trPr>
        <w:tc>
          <w:tcPr>
            <w:tcW w:w="6900" w:type="dxa"/>
            <w:vAlign w:val="bottom"/>
            <w:shd w:val="clear" w:color="auto" w:fill="CCEEFF"/>
          </w:tcPr>
          <w:p>
            <w:pPr>
              <w:spacing w:after="0"/>
              <w:rPr>
                <w:sz w:val="20"/>
                <w:szCs w:val="20"/>
                <w:color w:val="auto"/>
              </w:rPr>
            </w:pPr>
            <w:r>
              <w:rPr>
                <w:rFonts w:ascii="Arial" w:cs="Arial" w:eastAsia="Arial" w:hAnsi="Arial"/>
                <w:sz w:val="18"/>
                <w:szCs w:val="18"/>
                <w:color w:val="auto"/>
              </w:rPr>
              <w:t>Not subject to discretionary withdrawal</w:t>
            </w:r>
          </w:p>
        </w:tc>
        <w:tc>
          <w:tcPr>
            <w:tcW w:w="240" w:type="dxa"/>
            <w:vAlign w:val="bottom"/>
            <w:shd w:val="clear" w:color="auto" w:fill="CCEEFF"/>
          </w:tcPr>
          <w:p>
            <w:pPr>
              <w:jc w:val="right"/>
              <w:ind w:right="56"/>
              <w:spacing w:after="0"/>
              <w:rPr>
                <w:sz w:val="20"/>
                <w:szCs w:val="20"/>
                <w:color w:val="auto"/>
              </w:rPr>
            </w:pPr>
            <w:r>
              <w:rPr>
                <w:rFonts w:ascii="Arial" w:cs="Arial" w:eastAsia="Arial" w:hAnsi="Arial"/>
                <w:sz w:val="18"/>
                <w:szCs w:val="18"/>
                <w:b w:val="1"/>
                <w:bCs w:val="1"/>
                <w:color w:val="auto"/>
                <w:w w:val="79"/>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15,693.9</w:t>
            </w:r>
          </w:p>
        </w:tc>
        <w:tc>
          <w:tcPr>
            <w:tcW w:w="2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44.1 %</w:t>
            </w:r>
          </w:p>
        </w:tc>
      </w:tr>
      <w:tr>
        <w:trPr>
          <w:trHeight w:val="216"/>
        </w:trPr>
        <w:tc>
          <w:tcPr>
            <w:tcW w:w="6900" w:type="dxa"/>
            <w:vAlign w:val="bottom"/>
          </w:tcPr>
          <w:p>
            <w:pPr>
              <w:spacing w:after="0"/>
              <w:rPr>
                <w:sz w:val="20"/>
                <w:szCs w:val="20"/>
                <w:color w:val="auto"/>
              </w:rPr>
            </w:pPr>
            <w:r>
              <w:rPr>
                <w:rFonts w:ascii="Arial" w:cs="Arial" w:eastAsia="Arial" w:hAnsi="Arial"/>
                <w:sz w:val="18"/>
                <w:szCs w:val="18"/>
                <w:color w:val="auto"/>
              </w:rPr>
              <w:t>Subject to discretionary withdrawal with adjustments:</w:t>
            </w:r>
          </w:p>
        </w:tc>
        <w:tc>
          <w:tcPr>
            <w:tcW w:w="24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00" w:type="dxa"/>
            <w:vAlign w:val="bottom"/>
          </w:tcPr>
          <w:p>
            <w:pPr>
              <w:spacing w:after="0"/>
              <w:rPr>
                <w:sz w:val="18"/>
                <w:szCs w:val="18"/>
                <w:color w:val="auto"/>
              </w:rPr>
            </w:pPr>
          </w:p>
        </w:tc>
      </w:tr>
      <w:tr>
        <w:trPr>
          <w:trHeight w:val="216"/>
        </w:trPr>
        <w:tc>
          <w:tcPr>
            <w:tcW w:w="6900" w:type="dxa"/>
            <w:vAlign w:val="bottom"/>
            <w:shd w:val="clear" w:color="auto" w:fill="CCEEFF"/>
          </w:tcPr>
          <w:p>
            <w:pPr>
              <w:ind w:left="120"/>
              <w:spacing w:after="0"/>
              <w:rPr>
                <w:sz w:val="20"/>
                <w:szCs w:val="20"/>
                <w:color w:val="auto"/>
              </w:rPr>
            </w:pPr>
            <w:r>
              <w:rPr>
                <w:rFonts w:ascii="Arial" w:cs="Arial" w:eastAsia="Arial" w:hAnsi="Arial"/>
                <w:sz w:val="18"/>
                <w:szCs w:val="18"/>
                <w:color w:val="auto"/>
              </w:rPr>
              <w:t>Specified surrender charges</w:t>
            </w:r>
          </w:p>
        </w:tc>
        <w:tc>
          <w:tcPr>
            <w:tcW w:w="24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9,966.3</w:t>
            </w:r>
          </w:p>
        </w:tc>
        <w:tc>
          <w:tcPr>
            <w:tcW w:w="22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28.0</w:t>
            </w:r>
          </w:p>
        </w:tc>
        <w:tc>
          <w:tcPr>
            <w:tcW w:w="200" w:type="dxa"/>
            <w:vAlign w:val="bottom"/>
            <w:shd w:val="clear" w:color="auto" w:fill="CCEEFF"/>
          </w:tcPr>
          <w:p>
            <w:pPr>
              <w:spacing w:after="0"/>
              <w:rPr>
                <w:sz w:val="18"/>
                <w:szCs w:val="18"/>
                <w:color w:val="auto"/>
              </w:rPr>
            </w:pPr>
          </w:p>
        </w:tc>
      </w:tr>
      <w:tr>
        <w:trPr>
          <w:trHeight w:val="216"/>
        </w:trPr>
        <w:tc>
          <w:tcPr>
            <w:tcW w:w="6900" w:type="dxa"/>
            <w:vAlign w:val="bottom"/>
          </w:tcPr>
          <w:p>
            <w:pPr>
              <w:ind w:left="120"/>
              <w:spacing w:after="0"/>
              <w:rPr>
                <w:sz w:val="20"/>
                <w:szCs w:val="20"/>
                <w:color w:val="auto"/>
              </w:rPr>
            </w:pPr>
            <w:r>
              <w:rPr>
                <w:rFonts w:ascii="Arial" w:cs="Arial" w:eastAsia="Arial" w:hAnsi="Arial"/>
                <w:sz w:val="18"/>
                <w:szCs w:val="18"/>
                <w:color w:val="auto"/>
              </w:rPr>
              <w:t>Market value adjustments</w:t>
            </w:r>
          </w:p>
        </w:tc>
        <w:tc>
          <w:tcPr>
            <w:tcW w:w="24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8"/>
                <w:szCs w:val="18"/>
                <w:b w:val="1"/>
                <w:bCs w:val="1"/>
                <w:color w:val="auto"/>
              </w:rPr>
              <w:t>5,043.1</w:t>
            </w:r>
          </w:p>
        </w:tc>
        <w:tc>
          <w:tcPr>
            <w:tcW w:w="22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14.2</w:t>
            </w:r>
          </w:p>
        </w:tc>
        <w:tc>
          <w:tcPr>
            <w:tcW w:w="200" w:type="dxa"/>
            <w:vAlign w:val="bottom"/>
          </w:tcPr>
          <w:p>
            <w:pPr>
              <w:spacing w:after="0"/>
              <w:rPr>
                <w:sz w:val="18"/>
                <w:szCs w:val="18"/>
                <w:color w:val="auto"/>
              </w:rPr>
            </w:pPr>
          </w:p>
        </w:tc>
      </w:tr>
      <w:tr>
        <w:trPr>
          <w:trHeight w:val="216"/>
        </w:trPr>
        <w:tc>
          <w:tcPr>
            <w:tcW w:w="6900" w:type="dxa"/>
            <w:vAlign w:val="bottom"/>
            <w:shd w:val="clear" w:color="auto" w:fill="CCEEFF"/>
          </w:tcPr>
          <w:p>
            <w:pPr>
              <w:spacing w:after="0"/>
              <w:rPr>
                <w:sz w:val="20"/>
                <w:szCs w:val="20"/>
                <w:color w:val="auto"/>
              </w:rPr>
            </w:pPr>
            <w:r>
              <w:rPr>
                <w:rFonts w:ascii="Arial" w:cs="Arial" w:eastAsia="Arial" w:hAnsi="Arial"/>
                <w:sz w:val="18"/>
                <w:szCs w:val="18"/>
                <w:color w:val="auto"/>
              </w:rPr>
              <w:t>Subject to discretionary withdrawal without adjustments</w:t>
            </w:r>
          </w:p>
        </w:tc>
        <w:tc>
          <w:tcPr>
            <w:tcW w:w="240" w:type="dxa"/>
            <w:vAlign w:val="bottom"/>
            <w:tcBorders>
              <w:bottom w:val="single" w:sz="8" w:color="auto"/>
            </w:tcBorders>
            <w:shd w:val="clear" w:color="auto" w:fill="CCEEFF"/>
          </w:tcPr>
          <w:p>
            <w:pPr>
              <w:spacing w:after="0"/>
              <w:rPr>
                <w:sz w:val="18"/>
                <w:szCs w:val="18"/>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4,892.9</w:t>
            </w:r>
          </w:p>
        </w:tc>
        <w:tc>
          <w:tcPr>
            <w:tcW w:w="220" w:type="dxa"/>
            <w:vAlign w:val="bottom"/>
            <w:shd w:val="clear" w:color="auto" w:fill="CCEEFF"/>
          </w:tcPr>
          <w:p>
            <w:pPr>
              <w:spacing w:after="0"/>
              <w:rPr>
                <w:sz w:val="18"/>
                <w:szCs w:val="18"/>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13.7</w:t>
            </w:r>
          </w:p>
        </w:tc>
        <w:tc>
          <w:tcPr>
            <w:tcW w:w="200" w:type="dxa"/>
            <w:vAlign w:val="bottom"/>
            <w:shd w:val="clear" w:color="auto" w:fill="CCEEFF"/>
          </w:tcPr>
          <w:p>
            <w:pPr>
              <w:spacing w:after="0"/>
              <w:rPr>
                <w:sz w:val="18"/>
                <w:szCs w:val="18"/>
                <w:color w:val="auto"/>
              </w:rPr>
            </w:pPr>
          </w:p>
        </w:tc>
      </w:tr>
      <w:tr>
        <w:trPr>
          <w:trHeight w:val="209"/>
        </w:trPr>
        <w:tc>
          <w:tcPr>
            <w:tcW w:w="6900" w:type="dxa"/>
            <w:vAlign w:val="bottom"/>
          </w:tcPr>
          <w:p>
            <w:pPr>
              <w:spacing w:after="0"/>
              <w:rPr>
                <w:sz w:val="20"/>
                <w:szCs w:val="20"/>
                <w:color w:val="auto"/>
              </w:rPr>
            </w:pPr>
            <w:r>
              <w:rPr>
                <w:rFonts w:ascii="Arial" w:cs="Arial" w:eastAsia="Arial" w:hAnsi="Arial"/>
                <w:sz w:val="18"/>
                <w:szCs w:val="18"/>
                <w:color w:val="auto"/>
              </w:rPr>
              <w:t>Total domestic investment contracts</w:t>
            </w:r>
          </w:p>
        </w:tc>
        <w:tc>
          <w:tcPr>
            <w:tcW w:w="240" w:type="dxa"/>
            <w:vAlign w:val="bottom"/>
            <w:tcBorders>
              <w:bottom w:val="single" w:sz="8" w:color="auto"/>
            </w:tcBorders>
          </w:tcPr>
          <w:p>
            <w:pPr>
              <w:jc w:val="right"/>
              <w:ind w:right="56"/>
              <w:spacing w:after="0"/>
              <w:rPr>
                <w:sz w:val="20"/>
                <w:szCs w:val="20"/>
                <w:color w:val="auto"/>
              </w:rPr>
            </w:pPr>
            <w:r>
              <w:rPr>
                <w:rFonts w:ascii="Arial" w:cs="Arial" w:eastAsia="Arial" w:hAnsi="Arial"/>
                <w:sz w:val="18"/>
                <w:szCs w:val="18"/>
                <w:b w:val="1"/>
                <w:bCs w:val="1"/>
                <w:color w:val="auto"/>
                <w:w w:val="79"/>
              </w:rPr>
              <w:t>$</w:t>
            </w: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35,596.2</w:t>
            </w:r>
          </w:p>
        </w:tc>
        <w:tc>
          <w:tcPr>
            <w:tcW w:w="220" w:type="dxa"/>
            <w:vAlign w:val="bottom"/>
          </w:tcPr>
          <w:p>
            <w:pPr>
              <w:spacing w:after="0"/>
              <w:rPr>
                <w:sz w:val="18"/>
                <w:szCs w:val="18"/>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100.0</w:t>
            </w:r>
          </w:p>
        </w:tc>
        <w:tc>
          <w:tcPr>
            <w:tcW w:w="200" w:type="dxa"/>
            <w:vAlign w:val="bottom"/>
          </w:tcPr>
          <w:p>
            <w:pPr>
              <w:jc w:val="right"/>
              <w:spacing w:after="0"/>
              <w:rPr>
                <w:sz w:val="20"/>
                <w:szCs w:val="20"/>
                <w:color w:val="auto"/>
              </w:rPr>
            </w:pPr>
            <w:r>
              <w:rPr>
                <w:rFonts w:ascii="Arial" w:cs="Arial" w:eastAsia="Arial" w:hAnsi="Arial"/>
                <w:sz w:val="18"/>
                <w:szCs w:val="18"/>
                <w:b w:val="1"/>
                <w:bCs w:val="1"/>
                <w:color w:val="auto"/>
                <w:w w:val="99"/>
              </w:rPr>
              <w:t>%</w:t>
            </w:r>
          </w:p>
        </w:tc>
      </w:tr>
      <w:tr>
        <w:trPr>
          <w:trHeight w:val="20"/>
        </w:trPr>
        <w:tc>
          <w:tcPr>
            <w:tcW w:w="69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r>
    </w:tbl>
    <w:p>
      <w:pPr>
        <w:spacing w:after="0" w:line="202" w:lineRule="exact"/>
        <w:rPr>
          <w:sz w:val="20"/>
          <w:szCs w:val="20"/>
          <w:color w:val="auto"/>
        </w:rPr>
      </w:pPr>
    </w:p>
    <w:p>
      <w:pPr>
        <w:ind w:right="120" w:firstLine="648"/>
        <w:spacing w:after="0" w:line="259" w:lineRule="auto"/>
        <w:rPr>
          <w:sz w:val="20"/>
          <w:szCs w:val="20"/>
          <w:color w:val="auto"/>
        </w:rPr>
      </w:pPr>
      <w:r>
        <w:rPr>
          <w:rFonts w:ascii="Arial" w:cs="Arial" w:eastAsia="Arial" w:hAnsi="Arial"/>
          <w:sz w:val="18"/>
          <w:szCs w:val="18"/>
          <w:color w:val="auto"/>
        </w:rPr>
        <w:t>Universal life insurance and certain traditional life insurance policies are also subject to discretionary withdrawals by policyholders. However, life insurance policies tend to be less susceptible to withdrawal than our investment contracts because policyholders may be subject to a new underwriting process in order to obtain a new life insurance policy. In addition, our life insurance liabilities include surrender charges to discourage early surrenders.</w:t>
      </w:r>
    </w:p>
    <w:p>
      <w:pPr>
        <w:spacing w:after="0" w:line="18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We had the following short-term credit facilities with various financial institutions as of June 30, 2022:</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68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Obligor/Applicant</w:t>
            </w:r>
          </w:p>
        </w:tc>
        <w:tc>
          <w:tcPr>
            <w:tcW w:w="220" w:type="dxa"/>
            <w:vAlign w:val="bottom"/>
          </w:tcPr>
          <w:p>
            <w:pPr>
              <w:spacing w:after="0"/>
              <w:rPr>
                <w:sz w:val="14"/>
                <w:szCs w:val="14"/>
                <w:color w:val="auto"/>
              </w:rPr>
            </w:pPr>
          </w:p>
        </w:tc>
        <w:tc>
          <w:tcPr>
            <w:tcW w:w="21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3"/>
              </w:rPr>
              <w:t>Financing</w:t>
            </w:r>
          </w:p>
        </w:tc>
        <w:tc>
          <w:tcPr>
            <w:tcW w:w="1260" w:type="dxa"/>
            <w:vAlign w:val="bottom"/>
            <w:vMerge w:val="restart"/>
          </w:tcPr>
          <w:p>
            <w:pPr>
              <w:ind w:left="360"/>
              <w:spacing w:after="0"/>
              <w:rPr>
                <w:sz w:val="20"/>
                <w:szCs w:val="20"/>
                <w:color w:val="auto"/>
              </w:rPr>
            </w:pPr>
            <w:r>
              <w:rPr>
                <w:rFonts w:ascii="Arial" w:cs="Arial" w:eastAsia="Arial" w:hAnsi="Arial"/>
                <w:sz w:val="14"/>
                <w:szCs w:val="14"/>
                <w:b w:val="1"/>
                <w:bCs w:val="1"/>
                <w:color w:val="auto"/>
              </w:rPr>
              <w:t>Maturity</w:t>
            </w:r>
          </w:p>
        </w:tc>
        <w:tc>
          <w:tcPr>
            <w:tcW w:w="220" w:type="dxa"/>
            <w:vAlign w:val="bottom"/>
            <w:vMerge w:val="restart"/>
          </w:tcPr>
          <w:p>
            <w:pPr>
              <w:spacing w:after="0"/>
              <w:rPr>
                <w:sz w:val="14"/>
                <w:szCs w:val="14"/>
                <w:color w:val="auto"/>
              </w:rPr>
            </w:pPr>
          </w:p>
        </w:tc>
        <w:tc>
          <w:tcPr>
            <w:tcW w:w="180" w:type="dxa"/>
            <w:vAlign w:val="bottom"/>
          </w:tcPr>
          <w:p>
            <w:pPr>
              <w:spacing w:after="0"/>
              <w:rPr>
                <w:sz w:val="14"/>
                <w:szCs w:val="14"/>
                <w:color w:val="auto"/>
              </w:rPr>
            </w:pPr>
          </w:p>
        </w:tc>
        <w:tc>
          <w:tcPr>
            <w:tcW w:w="920" w:type="dxa"/>
            <w:vAlign w:val="bottom"/>
            <w:vMerge w:val="restart"/>
          </w:tcPr>
          <w:p>
            <w:pPr>
              <w:jc w:val="right"/>
              <w:ind w:right="196"/>
              <w:spacing w:after="0"/>
              <w:rPr>
                <w:sz w:val="20"/>
                <w:szCs w:val="20"/>
                <w:color w:val="auto"/>
              </w:rPr>
            </w:pPr>
            <w:r>
              <w:rPr>
                <w:rFonts w:ascii="Arial" w:cs="Arial" w:eastAsia="Arial" w:hAnsi="Arial"/>
                <w:sz w:val="14"/>
                <w:szCs w:val="14"/>
                <w:b w:val="1"/>
                <w:bCs w:val="1"/>
                <w:color w:val="auto"/>
              </w:rPr>
              <w:t>Capacity</w:t>
            </w:r>
          </w:p>
        </w:tc>
        <w:tc>
          <w:tcPr>
            <w:tcW w:w="220" w:type="dxa"/>
            <w:vAlign w:val="bottom"/>
            <w:vMerge w:val="restart"/>
          </w:tcPr>
          <w:p>
            <w:pPr>
              <w:spacing w:after="0"/>
              <w:rPr>
                <w:sz w:val="14"/>
                <w:szCs w:val="14"/>
                <w:color w:val="auto"/>
              </w:rPr>
            </w:pPr>
          </w:p>
        </w:tc>
        <w:tc>
          <w:tcPr>
            <w:tcW w:w="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40" w:type="dxa"/>
            <w:vAlign w:val="bottom"/>
          </w:tcPr>
          <w:p>
            <w:pPr>
              <w:jc w:val="right"/>
              <w:ind w:right="214"/>
              <w:spacing w:after="0"/>
              <w:rPr>
                <w:sz w:val="20"/>
                <w:szCs w:val="20"/>
                <w:color w:val="auto"/>
              </w:rPr>
            </w:pPr>
            <w:r>
              <w:rPr>
                <w:rFonts w:ascii="Arial" w:cs="Arial" w:eastAsia="Arial" w:hAnsi="Arial"/>
                <w:sz w:val="14"/>
                <w:szCs w:val="14"/>
                <w:b w:val="1"/>
                <w:bCs w:val="1"/>
                <w:color w:val="auto"/>
                <w:w w:val="98"/>
              </w:rPr>
              <w:t>Amount</w:t>
            </w:r>
          </w:p>
        </w:tc>
        <w:tc>
          <w:tcPr>
            <w:tcW w:w="0" w:type="dxa"/>
            <w:vAlign w:val="bottom"/>
          </w:tcPr>
          <w:p>
            <w:pPr>
              <w:spacing w:after="0"/>
              <w:rPr>
                <w:sz w:val="1"/>
                <w:szCs w:val="1"/>
                <w:color w:val="auto"/>
              </w:rPr>
            </w:pPr>
          </w:p>
        </w:tc>
      </w:tr>
      <w:tr>
        <w:trPr>
          <w:trHeight w:val="171"/>
        </w:trPr>
        <w:tc>
          <w:tcPr>
            <w:tcW w:w="3680" w:type="dxa"/>
            <w:vAlign w:val="bottom"/>
            <w:tcBorders>
              <w:bottom w:val="single" w:sz="8" w:color="auto"/>
            </w:tcBorders>
            <w:gridSpan w:val="2"/>
            <w:vMerge w:val="continue"/>
          </w:tcPr>
          <w:p>
            <w:pPr>
              <w:spacing w:after="0"/>
              <w:rPr>
                <w:sz w:val="14"/>
                <w:szCs w:val="14"/>
                <w:color w:val="auto"/>
              </w:rPr>
            </w:pPr>
          </w:p>
        </w:tc>
        <w:tc>
          <w:tcPr>
            <w:tcW w:w="220" w:type="dxa"/>
            <w:vAlign w:val="bottom"/>
          </w:tcPr>
          <w:p>
            <w:pPr>
              <w:spacing w:after="0"/>
              <w:rPr>
                <w:sz w:val="14"/>
                <w:szCs w:val="14"/>
                <w:color w:val="auto"/>
              </w:rPr>
            </w:pPr>
          </w:p>
        </w:tc>
        <w:tc>
          <w:tcPr>
            <w:tcW w:w="19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structure</w:t>
            </w:r>
          </w:p>
        </w:tc>
        <w:tc>
          <w:tcPr>
            <w:tcW w:w="220" w:type="dxa"/>
            <w:vAlign w:val="bottom"/>
          </w:tcPr>
          <w:p>
            <w:pPr>
              <w:spacing w:after="0"/>
              <w:rPr>
                <w:sz w:val="14"/>
                <w:szCs w:val="14"/>
                <w:color w:val="auto"/>
              </w:rPr>
            </w:pPr>
          </w:p>
        </w:tc>
        <w:tc>
          <w:tcPr>
            <w:tcW w:w="1260" w:type="dxa"/>
            <w:vAlign w:val="bottom"/>
            <w:tcBorders>
              <w:bottom w:val="single" w:sz="8" w:color="auto"/>
            </w:tcBorders>
            <w:vMerge w:val="continue"/>
          </w:tcPr>
          <w:p>
            <w:pPr>
              <w:spacing w:after="0"/>
              <w:rPr>
                <w:sz w:val="14"/>
                <w:szCs w:val="14"/>
                <w:color w:val="auto"/>
              </w:rPr>
            </w:pPr>
          </w:p>
        </w:tc>
        <w:tc>
          <w:tcPr>
            <w:tcW w:w="220" w:type="dxa"/>
            <w:vAlign w:val="bottom"/>
            <w:vMerge w:val="continue"/>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vMerge w:val="continue"/>
          </w:tcPr>
          <w:p>
            <w:pPr>
              <w:spacing w:after="0"/>
              <w:rPr>
                <w:sz w:val="14"/>
                <w:szCs w:val="14"/>
                <w:color w:val="auto"/>
              </w:rPr>
            </w:pPr>
          </w:p>
        </w:tc>
        <w:tc>
          <w:tcPr>
            <w:tcW w:w="220" w:type="dxa"/>
            <w:vAlign w:val="bottom"/>
            <w:vMerge w:val="continue"/>
          </w:tcPr>
          <w:p>
            <w:pPr>
              <w:spacing w:after="0"/>
              <w:rPr>
                <w:sz w:val="14"/>
                <w:szCs w:val="14"/>
                <w:color w:val="auto"/>
              </w:rPr>
            </w:pPr>
          </w:p>
        </w:tc>
        <w:tc>
          <w:tcPr>
            <w:tcW w:w="20" w:type="dxa"/>
            <w:vAlign w:val="bottom"/>
          </w:tcPr>
          <w:p>
            <w:pPr>
              <w:spacing w:after="0"/>
              <w:rPr>
                <w:sz w:val="14"/>
                <w:szCs w:val="14"/>
                <w:color w:val="auto"/>
              </w:rPr>
            </w:pPr>
          </w:p>
        </w:tc>
        <w:tc>
          <w:tcPr>
            <w:tcW w:w="108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6"/>
              </w:rPr>
              <w:t>outstanding (3)</w:t>
            </w:r>
          </w:p>
        </w:tc>
        <w:tc>
          <w:tcPr>
            <w:tcW w:w="0" w:type="dxa"/>
            <w:vAlign w:val="bottom"/>
          </w:tcPr>
          <w:p>
            <w:pPr>
              <w:spacing w:after="0"/>
              <w:rPr>
                <w:sz w:val="1"/>
                <w:szCs w:val="1"/>
                <w:color w:val="auto"/>
              </w:rPr>
            </w:pPr>
          </w:p>
        </w:tc>
      </w:tr>
      <w:tr>
        <w:trPr>
          <w:trHeight w:val="142"/>
        </w:trPr>
        <w:tc>
          <w:tcPr>
            <w:tcW w:w="248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9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00" w:type="dxa"/>
            <w:vAlign w:val="bottom"/>
            <w:gridSpan w:val="4"/>
          </w:tcPr>
          <w:p>
            <w:pPr>
              <w:jc w:val="right"/>
              <w:spacing w:after="0" w:line="142" w:lineRule="exact"/>
              <w:rPr>
                <w:sz w:val="20"/>
                <w:szCs w:val="20"/>
                <w:color w:val="auto"/>
              </w:rPr>
            </w:pPr>
            <w:r>
              <w:rPr>
                <w:rFonts w:ascii="Arial" w:cs="Arial" w:eastAsia="Arial" w:hAnsi="Arial"/>
                <w:sz w:val="14"/>
                <w:szCs w:val="14"/>
                <w:i w:val="1"/>
                <w:iCs w:val="1"/>
                <w:color w:val="auto"/>
              </w:rPr>
              <w:t>(in millions)</w:t>
            </w:r>
          </w:p>
        </w:tc>
        <w:tc>
          <w:tcPr>
            <w:tcW w:w="8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368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94"/>
              </w:rPr>
              <w:t>PFG, PFS and Principal Life as co-borrowers (1)</w:t>
            </w:r>
          </w:p>
        </w:tc>
        <w:tc>
          <w:tcPr>
            <w:tcW w:w="2340" w:type="dxa"/>
            <w:vAlign w:val="bottom"/>
            <w:gridSpan w:val="3"/>
            <w:shd w:val="clear" w:color="auto" w:fill="CCEEFF"/>
          </w:tcPr>
          <w:p>
            <w:pPr>
              <w:ind w:left="220"/>
              <w:spacing w:after="0"/>
              <w:rPr>
                <w:sz w:val="20"/>
                <w:szCs w:val="20"/>
                <w:color w:val="auto"/>
              </w:rPr>
            </w:pPr>
            <w:r>
              <w:rPr>
                <w:rFonts w:ascii="Arial" w:cs="Arial" w:eastAsia="Arial" w:hAnsi="Arial"/>
                <w:sz w:val="18"/>
                <w:szCs w:val="18"/>
                <w:color w:val="auto"/>
              </w:rPr>
              <w:t>Credit facility</w:t>
            </w:r>
          </w:p>
        </w:tc>
        <w:tc>
          <w:tcPr>
            <w:tcW w:w="1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November 2023</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600.0</w:t>
            </w:r>
          </w:p>
        </w:tc>
        <w:tc>
          <w:tcPr>
            <w:tcW w:w="220" w:type="dxa"/>
            <w:vAlign w:val="bottom"/>
            <w:shd w:val="clear" w:color="auto" w:fill="CCEEFF"/>
          </w:tcPr>
          <w:p>
            <w:pPr>
              <w:spacing w:after="0"/>
              <w:rPr>
                <w:sz w:val="18"/>
                <w:szCs w:val="18"/>
                <w:color w:val="auto"/>
              </w:rPr>
            </w:pPr>
          </w:p>
        </w:tc>
        <w:tc>
          <w:tcPr>
            <w:tcW w:w="260" w:type="dxa"/>
            <w:vAlign w:val="bottom"/>
            <w:gridSpan w:val="2"/>
            <w:shd w:val="clear" w:color="auto" w:fill="CCEEFF"/>
          </w:tcPr>
          <w:p>
            <w:pPr>
              <w:jc w:val="right"/>
              <w:ind w:right="119"/>
              <w:spacing w:after="0"/>
              <w:rPr>
                <w:sz w:val="20"/>
                <w:szCs w:val="20"/>
                <w:color w:val="auto"/>
              </w:rPr>
            </w:pPr>
            <w:r>
              <w:rPr>
                <w:rFonts w:ascii="Arial" w:cs="Arial" w:eastAsia="Arial" w:hAnsi="Arial"/>
                <w:sz w:val="15"/>
                <w:szCs w:val="15"/>
                <w:b w:val="1"/>
                <w:bCs w:val="1"/>
                <w:color w:val="auto"/>
                <w:w w:val="71"/>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02"/>
        </w:trPr>
        <w:tc>
          <w:tcPr>
            <w:tcW w:w="3680" w:type="dxa"/>
            <w:vAlign w:val="bottom"/>
            <w:gridSpan w:val="2"/>
          </w:tcPr>
          <w:p>
            <w:pPr>
              <w:spacing w:after="0" w:line="201" w:lineRule="exact"/>
              <w:rPr>
                <w:sz w:val="20"/>
                <w:szCs w:val="20"/>
                <w:color w:val="auto"/>
              </w:rPr>
            </w:pPr>
            <w:r>
              <w:rPr>
                <w:rFonts w:ascii="Arial" w:cs="Arial" w:eastAsia="Arial" w:hAnsi="Arial"/>
                <w:sz w:val="18"/>
                <w:szCs w:val="18"/>
                <w:color w:val="auto"/>
                <w:w w:val="96"/>
              </w:rPr>
              <w:t>PFG, PFS, Principal Life and Principal Financial</w:t>
            </w:r>
          </w:p>
        </w:tc>
        <w:tc>
          <w:tcPr>
            <w:tcW w:w="220" w:type="dxa"/>
            <w:vAlign w:val="bottom"/>
          </w:tcPr>
          <w:p>
            <w:pPr>
              <w:spacing w:after="0"/>
              <w:rPr>
                <w:sz w:val="17"/>
                <w:szCs w:val="17"/>
                <w:color w:val="auto"/>
              </w:rPr>
            </w:pPr>
          </w:p>
        </w:tc>
        <w:tc>
          <w:tcPr>
            <w:tcW w:w="19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2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200.0</w:t>
            </w: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4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30"/>
        </w:trPr>
        <w:tc>
          <w:tcPr>
            <w:tcW w:w="3680" w:type="dxa"/>
            <w:vAlign w:val="bottom"/>
            <w:gridSpan w:val="2"/>
          </w:tcPr>
          <w:p>
            <w:pPr>
              <w:ind w:left="140"/>
              <w:spacing w:after="0"/>
              <w:rPr>
                <w:sz w:val="20"/>
                <w:szCs w:val="20"/>
                <w:color w:val="auto"/>
              </w:rPr>
            </w:pPr>
            <w:r>
              <w:rPr>
                <w:rFonts w:ascii="Arial" w:cs="Arial" w:eastAsia="Arial" w:hAnsi="Arial"/>
                <w:sz w:val="18"/>
                <w:szCs w:val="18"/>
                <w:color w:val="auto"/>
              </w:rPr>
              <w:t>Services V (UK) Ltd as co-borrowers (1)</w:t>
            </w:r>
          </w:p>
        </w:tc>
        <w:tc>
          <w:tcPr>
            <w:tcW w:w="2340" w:type="dxa"/>
            <w:vAlign w:val="bottom"/>
            <w:gridSpan w:val="3"/>
          </w:tcPr>
          <w:p>
            <w:pPr>
              <w:ind w:left="220"/>
              <w:spacing w:after="0"/>
              <w:rPr>
                <w:sz w:val="20"/>
                <w:szCs w:val="20"/>
                <w:color w:val="auto"/>
              </w:rPr>
            </w:pPr>
            <w:r>
              <w:rPr>
                <w:rFonts w:ascii="Arial" w:cs="Arial" w:eastAsia="Arial" w:hAnsi="Arial"/>
                <w:sz w:val="18"/>
                <w:szCs w:val="18"/>
                <w:color w:val="auto"/>
              </w:rPr>
              <w:t>Credit facility</w:t>
            </w:r>
          </w:p>
        </w:tc>
        <w:tc>
          <w:tcPr>
            <w:tcW w:w="1480" w:type="dxa"/>
            <w:vAlign w:val="bottom"/>
            <w:gridSpan w:val="2"/>
          </w:tcPr>
          <w:p>
            <w:pPr>
              <w:spacing w:after="0"/>
              <w:rPr>
                <w:sz w:val="20"/>
                <w:szCs w:val="20"/>
                <w:color w:val="auto"/>
              </w:rPr>
            </w:pPr>
            <w:r>
              <w:rPr>
                <w:rFonts w:ascii="Arial" w:cs="Arial" w:eastAsia="Arial" w:hAnsi="Arial"/>
                <w:sz w:val="18"/>
                <w:szCs w:val="18"/>
                <w:color w:val="auto"/>
              </w:rPr>
              <w:t>November 2023</w:t>
            </w:r>
          </w:p>
        </w:tc>
        <w:tc>
          <w:tcPr>
            <w:tcW w:w="180" w:type="dxa"/>
            <w:vAlign w:val="bottom"/>
          </w:tcPr>
          <w:p>
            <w:pPr>
              <w:spacing w:after="0"/>
              <w:rPr>
                <w:sz w:val="20"/>
                <w:szCs w:val="20"/>
                <w:color w:val="auto"/>
              </w:rPr>
            </w:pPr>
          </w:p>
        </w:tc>
        <w:tc>
          <w:tcPr>
            <w:tcW w:w="920" w:type="dxa"/>
            <w:vAlign w:val="bottom"/>
            <w:vMerge w:val="continue"/>
          </w:tcPr>
          <w:p>
            <w:pPr>
              <w:spacing w:after="0"/>
              <w:rPr>
                <w:sz w:val="20"/>
                <w:szCs w:val="20"/>
                <w:color w:val="auto"/>
              </w:rPr>
            </w:pPr>
          </w:p>
        </w:tc>
        <w:tc>
          <w:tcPr>
            <w:tcW w:w="2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4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36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International Chile (2)</w:t>
            </w:r>
          </w:p>
        </w:tc>
        <w:tc>
          <w:tcPr>
            <w:tcW w:w="2340" w:type="dxa"/>
            <w:vAlign w:val="bottom"/>
            <w:gridSpan w:val="3"/>
            <w:shd w:val="clear" w:color="auto" w:fill="CCEEFF"/>
          </w:tcPr>
          <w:p>
            <w:pPr>
              <w:ind w:left="220"/>
              <w:spacing w:after="0"/>
              <w:rPr>
                <w:sz w:val="20"/>
                <w:szCs w:val="20"/>
                <w:color w:val="auto"/>
              </w:rPr>
            </w:pPr>
            <w:r>
              <w:rPr>
                <w:rFonts w:ascii="Arial" w:cs="Arial" w:eastAsia="Arial" w:hAnsi="Arial"/>
                <w:sz w:val="18"/>
                <w:szCs w:val="18"/>
                <w:color w:val="auto"/>
              </w:rPr>
              <w:t>Unsecured lines of credit</w:t>
            </w:r>
          </w:p>
        </w:tc>
        <w:tc>
          <w:tcPr>
            <w:tcW w:w="12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122.5</w:t>
            </w:r>
          </w:p>
        </w:tc>
        <w:tc>
          <w:tcPr>
            <w:tcW w:w="2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66.9</w:t>
            </w:r>
          </w:p>
        </w:tc>
        <w:tc>
          <w:tcPr>
            <w:tcW w:w="0" w:type="dxa"/>
            <w:vAlign w:val="bottom"/>
          </w:tcPr>
          <w:p>
            <w:pPr>
              <w:spacing w:after="0"/>
              <w:rPr>
                <w:sz w:val="1"/>
                <w:szCs w:val="1"/>
                <w:color w:val="auto"/>
              </w:rPr>
            </w:pPr>
          </w:p>
        </w:tc>
      </w:tr>
      <w:tr>
        <w:trPr>
          <w:trHeight w:val="210"/>
        </w:trPr>
        <w:tc>
          <w:tcPr>
            <w:tcW w:w="3680" w:type="dxa"/>
            <w:vAlign w:val="bottom"/>
            <w:gridSpan w:val="2"/>
          </w:tcPr>
          <w:p>
            <w:pPr>
              <w:spacing w:after="0"/>
              <w:rPr>
                <w:sz w:val="20"/>
                <w:szCs w:val="20"/>
                <w:color w:val="auto"/>
              </w:rPr>
            </w:pPr>
            <w:r>
              <w:rPr>
                <w:rFonts w:ascii="Arial" w:cs="Arial" w:eastAsia="Arial" w:hAnsi="Arial"/>
                <w:sz w:val="18"/>
                <w:szCs w:val="18"/>
                <w:color w:val="auto"/>
              </w:rPr>
              <w:t>Total</w:t>
            </w:r>
          </w:p>
        </w:tc>
        <w:tc>
          <w:tcPr>
            <w:tcW w:w="220" w:type="dxa"/>
            <w:vAlign w:val="bottom"/>
          </w:tcPr>
          <w:p>
            <w:pPr>
              <w:spacing w:after="0"/>
              <w:rPr>
                <w:sz w:val="18"/>
                <w:szCs w:val="18"/>
                <w:color w:val="auto"/>
              </w:rPr>
            </w:pPr>
          </w:p>
        </w:tc>
        <w:tc>
          <w:tcPr>
            <w:tcW w:w="1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922.5</w:t>
            </w:r>
          </w:p>
        </w:tc>
        <w:tc>
          <w:tcPr>
            <w:tcW w:w="22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240" w:type="dxa"/>
            <w:vAlign w:val="bottom"/>
            <w:tcBorders>
              <w:bottom w:val="single" w:sz="8" w:color="auto"/>
            </w:tcBorders>
          </w:tcPr>
          <w:p>
            <w:pPr>
              <w:jc w:val="right"/>
              <w:ind w:right="119"/>
              <w:spacing w:after="0"/>
              <w:rPr>
                <w:sz w:val="20"/>
                <w:szCs w:val="20"/>
                <w:color w:val="auto"/>
              </w:rPr>
            </w:pPr>
            <w:r>
              <w:rPr>
                <w:rFonts w:ascii="Arial" w:cs="Arial" w:eastAsia="Arial" w:hAnsi="Arial"/>
                <w:sz w:val="10"/>
                <w:szCs w:val="10"/>
                <w:b w:val="1"/>
                <w:bCs w:val="1"/>
                <w:color w:val="auto"/>
                <w:w w:val="71"/>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66.9</w:t>
            </w:r>
          </w:p>
        </w:tc>
        <w:tc>
          <w:tcPr>
            <w:tcW w:w="0" w:type="dxa"/>
            <w:vAlign w:val="bottom"/>
          </w:tcPr>
          <w:p>
            <w:pPr>
              <w:spacing w:after="0"/>
              <w:rPr>
                <w:sz w:val="1"/>
                <w:szCs w:val="1"/>
                <w:color w:val="auto"/>
              </w:rPr>
            </w:pPr>
          </w:p>
        </w:tc>
      </w:tr>
      <w:tr>
        <w:trPr>
          <w:trHeight w:val="20"/>
        </w:trPr>
        <w:tc>
          <w:tcPr>
            <w:tcW w:w="248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2480" w:type="dxa"/>
            <w:vAlign w:val="bottom"/>
            <w:tcBorders>
              <w:bottom w:val="single" w:sz="8" w:color="auto"/>
            </w:tcBorders>
          </w:tcPr>
          <w:p>
            <w:pPr>
              <w:spacing w:after="0"/>
              <w:rPr>
                <w:sz w:val="7"/>
                <w:szCs w:val="7"/>
                <w:color w:val="auto"/>
              </w:rPr>
            </w:pPr>
          </w:p>
        </w:tc>
        <w:tc>
          <w:tcPr>
            <w:tcW w:w="1200" w:type="dxa"/>
            <w:vAlign w:val="bottom"/>
          </w:tcPr>
          <w:p>
            <w:pPr>
              <w:spacing w:after="0"/>
              <w:rPr>
                <w:sz w:val="7"/>
                <w:szCs w:val="7"/>
                <w:color w:val="auto"/>
              </w:rPr>
            </w:pPr>
          </w:p>
        </w:tc>
        <w:tc>
          <w:tcPr>
            <w:tcW w:w="220" w:type="dxa"/>
            <w:vAlign w:val="bottom"/>
          </w:tcPr>
          <w:p>
            <w:pPr>
              <w:spacing w:after="0"/>
              <w:rPr>
                <w:sz w:val="7"/>
                <w:szCs w:val="7"/>
                <w:color w:val="auto"/>
              </w:rPr>
            </w:pPr>
          </w:p>
        </w:tc>
        <w:tc>
          <w:tcPr>
            <w:tcW w:w="1900" w:type="dxa"/>
            <w:vAlign w:val="bottom"/>
          </w:tcPr>
          <w:p>
            <w:pPr>
              <w:spacing w:after="0"/>
              <w:rPr>
                <w:sz w:val="7"/>
                <w:szCs w:val="7"/>
                <w:color w:val="auto"/>
              </w:rPr>
            </w:pPr>
          </w:p>
        </w:tc>
        <w:tc>
          <w:tcPr>
            <w:tcW w:w="220" w:type="dxa"/>
            <w:vAlign w:val="bottom"/>
          </w:tcPr>
          <w:p>
            <w:pPr>
              <w:spacing w:after="0"/>
              <w:rPr>
                <w:sz w:val="7"/>
                <w:szCs w:val="7"/>
                <w:color w:val="auto"/>
              </w:rPr>
            </w:pPr>
          </w:p>
        </w:tc>
        <w:tc>
          <w:tcPr>
            <w:tcW w:w="1260" w:type="dxa"/>
            <w:vAlign w:val="bottom"/>
          </w:tcPr>
          <w:p>
            <w:pPr>
              <w:spacing w:after="0"/>
              <w:rPr>
                <w:sz w:val="7"/>
                <w:szCs w:val="7"/>
                <w:color w:val="auto"/>
              </w:rPr>
            </w:pPr>
          </w:p>
        </w:tc>
        <w:tc>
          <w:tcPr>
            <w:tcW w:w="220" w:type="dxa"/>
            <w:vAlign w:val="bottom"/>
          </w:tcPr>
          <w:p>
            <w:pPr>
              <w:spacing w:after="0"/>
              <w:rPr>
                <w:sz w:val="7"/>
                <w:szCs w:val="7"/>
                <w:color w:val="auto"/>
              </w:rPr>
            </w:pPr>
          </w:p>
        </w:tc>
        <w:tc>
          <w:tcPr>
            <w:tcW w:w="180" w:type="dxa"/>
            <w:vAlign w:val="bottom"/>
          </w:tcPr>
          <w:p>
            <w:pPr>
              <w:spacing w:after="0"/>
              <w:rPr>
                <w:sz w:val="7"/>
                <w:szCs w:val="7"/>
                <w:color w:val="auto"/>
              </w:rPr>
            </w:pPr>
          </w:p>
        </w:tc>
        <w:tc>
          <w:tcPr>
            <w:tcW w:w="920" w:type="dxa"/>
            <w:vAlign w:val="bottom"/>
          </w:tcPr>
          <w:p>
            <w:pPr>
              <w:spacing w:after="0"/>
              <w:rPr>
                <w:sz w:val="7"/>
                <w:szCs w:val="7"/>
                <w:color w:val="auto"/>
              </w:rPr>
            </w:pPr>
          </w:p>
        </w:tc>
        <w:tc>
          <w:tcPr>
            <w:tcW w:w="220" w:type="dxa"/>
            <w:vAlign w:val="bottom"/>
          </w:tcPr>
          <w:p>
            <w:pPr>
              <w:spacing w:after="0"/>
              <w:rPr>
                <w:sz w:val="7"/>
                <w:szCs w:val="7"/>
                <w:color w:val="auto"/>
              </w:rPr>
            </w:pPr>
          </w:p>
        </w:tc>
        <w:tc>
          <w:tcPr>
            <w:tcW w:w="20" w:type="dxa"/>
            <w:vAlign w:val="bottom"/>
          </w:tcPr>
          <w:p>
            <w:pPr>
              <w:spacing w:after="0"/>
              <w:rPr>
                <w:sz w:val="7"/>
                <w:szCs w:val="7"/>
                <w:color w:val="auto"/>
              </w:rPr>
            </w:pPr>
          </w:p>
        </w:tc>
        <w:tc>
          <w:tcPr>
            <w:tcW w:w="240" w:type="dxa"/>
            <w:vAlign w:val="bottom"/>
          </w:tcPr>
          <w:p>
            <w:pPr>
              <w:spacing w:after="0"/>
              <w:rPr>
                <w:sz w:val="7"/>
                <w:szCs w:val="7"/>
                <w:color w:val="auto"/>
              </w:rPr>
            </w:pPr>
          </w:p>
        </w:tc>
        <w:tc>
          <w:tcPr>
            <w:tcW w:w="84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80" w:lineRule="exact"/>
        <w:rPr>
          <w:sz w:val="20"/>
          <w:szCs w:val="20"/>
          <w:color w:val="auto"/>
        </w:rPr>
      </w:pPr>
    </w:p>
    <w:p>
      <w:pPr>
        <w:ind w:left="340" w:hanging="332"/>
        <w:spacing w:after="0"/>
        <w:tabs>
          <w:tab w:leader="none" w:pos="3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The credit facility is supported by eighteen banks.</w:t>
      </w:r>
    </w:p>
    <w:p>
      <w:pPr>
        <w:spacing w:after="0" w:line="23" w:lineRule="exact"/>
        <w:rPr>
          <w:rFonts w:ascii="Arial" w:cs="Arial" w:eastAsia="Arial" w:hAnsi="Arial"/>
          <w:sz w:val="18"/>
          <w:szCs w:val="18"/>
          <w:color w:val="auto"/>
        </w:rPr>
      </w:pPr>
    </w:p>
    <w:p>
      <w:pPr>
        <w:ind w:left="340" w:right="500" w:hanging="332"/>
        <w:spacing w:after="0" w:line="250" w:lineRule="auto"/>
        <w:tabs>
          <w:tab w:leader="none" w:pos="3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The unsecured lines of credit can be used for repurchase agreements or other borrowings. Each line has a maturity of less than one year.</w:t>
      </w:r>
    </w:p>
    <w:p>
      <w:pPr>
        <w:ind w:left="340" w:hanging="332"/>
        <w:spacing w:after="0"/>
        <w:tabs>
          <w:tab w:leader="none" w:pos="3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The amount outstanding is reported in short-term debt on the consolidated statements of financial position.</w:t>
      </w:r>
    </w:p>
    <w:p>
      <w:pPr>
        <w:spacing w:after="0" w:line="211" w:lineRule="exact"/>
        <w:rPr>
          <w:sz w:val="20"/>
          <w:szCs w:val="20"/>
          <w:color w:val="auto"/>
        </w:rPr>
      </w:pPr>
    </w:p>
    <w:p>
      <w:pPr>
        <w:ind w:right="40" w:firstLine="648"/>
        <w:spacing w:after="0" w:line="257" w:lineRule="auto"/>
        <w:rPr>
          <w:sz w:val="20"/>
          <w:szCs w:val="20"/>
          <w:color w:val="auto"/>
        </w:rPr>
      </w:pPr>
      <w:r>
        <w:rPr>
          <w:rFonts w:ascii="Arial" w:cs="Arial" w:eastAsia="Arial" w:hAnsi="Arial"/>
          <w:sz w:val="18"/>
          <w:szCs w:val="18"/>
          <w:color w:val="auto"/>
        </w:rPr>
        <w:t>The revolving credit facilities are committed and available for general corporate purposes. These credit facilities also provide 100% back-stop support for our commercial paper program, of which we had no outstanding balances as of June 30, 2022 and December 31, 2021. Most of the banks supporting the credit facilities have other relationships with us. Due to the financial strength and the strong relationships we have with these providers, we are comfortable we have very low risk the financial institutions would be unable or unwilling to fund these facilities.</w:t>
      </w:r>
    </w:p>
    <w:p>
      <w:pPr>
        <w:spacing w:after="0" w:line="188" w:lineRule="exact"/>
        <w:rPr>
          <w:sz w:val="20"/>
          <w:szCs w:val="20"/>
          <w:color w:val="auto"/>
        </w:rPr>
      </w:pPr>
    </w:p>
    <w:p>
      <w:pPr>
        <w:ind w:firstLine="648"/>
        <w:spacing w:after="0" w:line="254" w:lineRule="auto"/>
        <w:rPr>
          <w:sz w:val="20"/>
          <w:szCs w:val="20"/>
          <w:color w:val="auto"/>
        </w:rPr>
      </w:pPr>
      <w:r>
        <w:rPr>
          <w:rFonts w:ascii="Arial" w:cs="Arial" w:eastAsia="Arial" w:hAnsi="Arial"/>
          <w:sz w:val="18"/>
          <w:szCs w:val="18"/>
          <w:b w:val="1"/>
          <w:bCs w:val="1"/>
          <w:i w:val="1"/>
          <w:iCs w:val="1"/>
          <w:color w:val="auto"/>
        </w:rPr>
        <w:t xml:space="preserve">The Holding Companies: PFG and PFS. </w:t>
      </w:r>
      <w:r>
        <w:rPr>
          <w:rFonts w:ascii="Arial" w:cs="Arial" w:eastAsia="Arial" w:hAnsi="Arial"/>
          <w:sz w:val="18"/>
          <w:szCs w:val="18"/>
          <w:color w:val="auto"/>
        </w:rPr>
        <w:t>The principal sources of funds available to our parent holding company, PFG, are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dividends from subsidiaries as well as its ability to borrow funds at competitive rates and raise capital to meet operating and growth needs. These funds are used by PFG to meet its obligations, which include the payment of dividends on common stock, debt service and the repurchase of stock. The declaration and payment of common stock dividends is subject to the discretion of our Board and will depend on our overall financial condition, results of operations, capital levels, cash requirements, future prospects, receipt of dividends or other distributions from Principal Life (as described below), risk management considerations and other factors deemed relevant by the Board. No significant restrictions limit the payment of dividends by PFG, except those generally applicable to corporations incorporated in Delaware.</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603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105" w:name="page106"/>
    <w:bookmarkEnd w:id="105"/>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9" w:lineRule="exact"/>
        <w:rPr>
          <w:sz w:val="20"/>
          <w:szCs w:val="20"/>
          <w:color w:val="auto"/>
        </w:rPr>
      </w:pPr>
    </w:p>
    <w:p>
      <w:pPr>
        <w:ind w:firstLine="648"/>
        <w:spacing w:after="0" w:line="288" w:lineRule="auto"/>
        <w:rPr>
          <w:sz w:val="20"/>
          <w:szCs w:val="20"/>
          <w:color w:val="auto"/>
        </w:rPr>
      </w:pPr>
      <w:r>
        <w:rPr>
          <w:rFonts w:ascii="Arial" w:cs="Arial" w:eastAsia="Arial" w:hAnsi="Arial"/>
          <w:sz w:val="16"/>
          <w:szCs w:val="16"/>
          <w:color w:val="auto"/>
        </w:rPr>
        <w:t>Dividends or other distributions from Principal Life, our primary subsidiary, are limited by Iowa law. Under Iowa law, Principal Life may pay dividends or make other distributions only from the earned surplus arising from its business and must receive the prior approval of the Commissioner of Insurance of the State of Iowa (the “Commissioner”) to pay stockholder dividends or make any other distribution if such distribution would exceed certain statutory limitations. Iowa law gives the Commissioner discretion to disapprove requests for distributions in excess of these limitations. Extraordinary dividends include those made, together with dividends and other distributions, within the preceding twelve months that exceed the greater of (i) 10% of statutory policyholder surplus as of the previous year-end or (ii) the statutory net gain from operations from the previous calendar year, not to exceed earned surplus. Based on statutory results for the year ended December 31, 2021, the ordinary stockholder dividend limitation for Principal Life is approximately $961.7 million in 2022. However, because the dividend test is based on dividends previously paid over rolling 12-month periods, if paid before a specified date during 2022, some or all of such dividends may be extraordinary and require regulatory approval.</w:t>
      </w:r>
    </w:p>
    <w:p>
      <w:pPr>
        <w:spacing w:after="0" w:line="168" w:lineRule="exact"/>
        <w:rPr>
          <w:sz w:val="20"/>
          <w:szCs w:val="20"/>
          <w:color w:val="auto"/>
        </w:rPr>
      </w:pPr>
    </w:p>
    <w:p>
      <w:pPr>
        <w:ind w:right="40" w:firstLine="648"/>
        <w:spacing w:after="0" w:line="259" w:lineRule="auto"/>
        <w:rPr>
          <w:sz w:val="20"/>
          <w:szCs w:val="20"/>
          <w:color w:val="auto"/>
        </w:rPr>
      </w:pPr>
      <w:r>
        <w:rPr>
          <w:rFonts w:ascii="Arial" w:cs="Arial" w:eastAsia="Arial" w:hAnsi="Arial"/>
          <w:sz w:val="18"/>
          <w:szCs w:val="18"/>
          <w:color w:val="auto"/>
        </w:rPr>
        <w:t>Total stockholder dividends paid by Principal Life to its parent for the six months ended June 30, 2022, were $550.0 million, all of which was extraordinary and approved by the Commissioner. As of June 30, 2022, we had $1,723.9 million of cash and liquid assets held in our holding companies and other subsidiaries, which is available for corporate purposes. Corporate balances held in foreign holding companies meet the indefinite reinvestment exception.</w:t>
      </w:r>
    </w:p>
    <w:p>
      <w:pPr>
        <w:spacing w:after="0" w:line="187" w:lineRule="exact"/>
        <w:rPr>
          <w:sz w:val="20"/>
          <w:szCs w:val="20"/>
          <w:color w:val="auto"/>
        </w:rPr>
      </w:pPr>
    </w:p>
    <w:p>
      <w:pPr>
        <w:ind w:firstLine="648"/>
        <w:spacing w:after="0" w:line="291" w:lineRule="auto"/>
        <w:rPr>
          <w:sz w:val="20"/>
          <w:szCs w:val="20"/>
          <w:color w:val="auto"/>
        </w:rPr>
      </w:pPr>
      <w:r>
        <w:rPr>
          <w:rFonts w:ascii="Arial" w:cs="Arial" w:eastAsia="Arial" w:hAnsi="Arial"/>
          <w:sz w:val="16"/>
          <w:szCs w:val="16"/>
          <w:b w:val="1"/>
          <w:bCs w:val="1"/>
          <w:i w:val="1"/>
          <w:iCs w:val="1"/>
          <w:color w:val="auto"/>
        </w:rPr>
        <w:t xml:space="preserve">Operations. </w:t>
      </w:r>
      <w:r>
        <w:rPr>
          <w:rFonts w:ascii="Arial" w:cs="Arial" w:eastAsia="Arial" w:hAnsi="Arial"/>
          <w:sz w:val="16"/>
          <w:szCs w:val="16"/>
          <w:color w:val="auto"/>
        </w:rPr>
        <w:t>Our primary consolidated cash flow sources are premiums from insurance products, pension and annuity deposits,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asset management fee revenues, administrative services fee revenues, income from investments and proceeds from the sales or maturity of investments. Cash outflows consist primarily of payment of benefits to policyholders and beneficiaries, income and other taxes, current operating expenses, payment of dividends to policyholders, payments in connection with investments acquired, payments made to acquire subsidiaries, payments relating to policy and contract surrenders, withdrawals, policy loans, interest payments and repayment of short-term debt and long-term debt. Our investment strategies are generally intended to provide adequate funds to pay benefits without forced sales of investments. For a discussion of our investment objectives and strategies, see “Investments.”</w:t>
      </w:r>
    </w:p>
    <w:p>
      <w:pPr>
        <w:spacing w:after="0" w:line="166" w:lineRule="exact"/>
        <w:rPr>
          <w:sz w:val="20"/>
          <w:szCs w:val="20"/>
          <w:color w:val="auto"/>
        </w:rPr>
      </w:pPr>
    </w:p>
    <w:p>
      <w:pPr>
        <w:jc w:val="both"/>
        <w:ind w:right="320" w:firstLine="648"/>
        <w:spacing w:after="0" w:line="263" w:lineRule="auto"/>
        <w:rPr>
          <w:sz w:val="20"/>
          <w:szCs w:val="20"/>
          <w:color w:val="auto"/>
        </w:rPr>
      </w:pPr>
      <w:r>
        <w:rPr>
          <w:rFonts w:ascii="Arial" w:cs="Arial" w:eastAsia="Arial" w:hAnsi="Arial"/>
          <w:sz w:val="18"/>
          <w:szCs w:val="18"/>
          <w:b w:val="1"/>
          <w:bCs w:val="1"/>
          <w:i w:val="1"/>
          <w:iCs w:val="1"/>
          <w:color w:val="auto"/>
        </w:rPr>
        <w:t xml:space="preserve">Cash Flows. </w:t>
      </w:r>
      <w:r>
        <w:rPr>
          <w:rFonts w:ascii="Arial" w:cs="Arial" w:eastAsia="Arial" w:hAnsi="Arial"/>
          <w:sz w:val="18"/>
          <w:szCs w:val="18"/>
          <w:color w:val="auto"/>
        </w:rPr>
        <w:t>All cash flow activity, as reported in our consolidated statements of cash flows, provides relevant information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regarding our sources and uses of cash. The following discussion of our operating, investing and financing portions of the cash flows excludes cash flows attributable to the separate accounts.</w:t>
      </w:r>
    </w:p>
    <w:p>
      <w:pPr>
        <w:spacing w:after="0" w:line="184" w:lineRule="exact"/>
        <w:rPr>
          <w:sz w:val="20"/>
          <w:szCs w:val="20"/>
          <w:color w:val="auto"/>
        </w:rPr>
      </w:pPr>
    </w:p>
    <w:p>
      <w:pPr>
        <w:ind w:right="100" w:firstLine="648"/>
        <w:spacing w:after="0" w:line="272" w:lineRule="auto"/>
        <w:rPr>
          <w:sz w:val="20"/>
          <w:szCs w:val="20"/>
          <w:color w:val="auto"/>
        </w:rPr>
      </w:pPr>
      <w:r>
        <w:rPr>
          <w:rFonts w:ascii="Arial" w:cs="Arial" w:eastAsia="Arial" w:hAnsi="Arial"/>
          <w:sz w:val="17"/>
          <w:szCs w:val="17"/>
          <w:color w:val="auto"/>
        </w:rPr>
        <w:t>Net cash provided by operating activities was $838.7 million and $1,133.6 million for the six months ended June 30, 2022 and 2021, respectively. Our insurance business typically generates positive cash flows from operating activities, as premiums collected from our insurance products and income received from our investments exceed acquisition costs, benefits paid, redemptions and operating expenses. These positive cash flows are then invested to support the obligations of our insurance and investment products and required capital supporting these products. Our cash flows from operating activities are affected by the timing of premiums, fees and investment income received and benefits and expenses paid. The decrease in cash provided by operating activities was primarily due to net purchases of fixed maturities trading securities.</w:t>
      </w:r>
    </w:p>
    <w:p>
      <w:pPr>
        <w:spacing w:after="0" w:line="177" w:lineRule="exact"/>
        <w:rPr>
          <w:sz w:val="20"/>
          <w:szCs w:val="20"/>
          <w:color w:val="auto"/>
        </w:rPr>
      </w:pPr>
    </w:p>
    <w:p>
      <w:pPr>
        <w:jc w:val="both"/>
        <w:ind w:right="280" w:firstLine="648"/>
        <w:spacing w:after="0" w:line="263" w:lineRule="auto"/>
        <w:rPr>
          <w:sz w:val="20"/>
          <w:szCs w:val="20"/>
          <w:color w:val="auto"/>
        </w:rPr>
      </w:pPr>
      <w:r>
        <w:rPr>
          <w:rFonts w:ascii="Arial" w:cs="Arial" w:eastAsia="Arial" w:hAnsi="Arial"/>
          <w:sz w:val="18"/>
          <w:szCs w:val="18"/>
          <w:color w:val="auto"/>
        </w:rPr>
        <w:t>Net cash used in investing activities was $97.9 million and $942.8 million for the six months ended June 30, 2022 and 2021, respectively. The decrease in cash used in investing activities was primarily due to real estate sold in 2022 and lower seed investment acquisitions in 2022 as compared to 2021.</w:t>
      </w:r>
    </w:p>
    <w:p>
      <w:pPr>
        <w:spacing w:after="0" w:line="184"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Net cash provided by financing activities was $100.3 million for the six months ended June 30, 2022, compared to net cash used in financing activities of $623.2 million for the six months ended June 30, 2021. The increase in cash provided by financing activities was primarily due to increased banking operation deposits related to our Principal Deposit Sweep program and higher net investment contract deposits as compared to 2021. These increases were partially offset by increased share repurchases in 2022 primarily related to our 2022 accelerated share repurchase agreement.</w:t>
      </w:r>
    </w:p>
    <w:p>
      <w:pPr>
        <w:spacing w:after="0" w:line="188" w:lineRule="exact"/>
        <w:rPr>
          <w:sz w:val="20"/>
          <w:szCs w:val="20"/>
          <w:color w:val="auto"/>
        </w:rPr>
      </w:pPr>
    </w:p>
    <w:p>
      <w:pPr>
        <w:ind w:right="260" w:firstLine="648"/>
        <w:spacing w:after="0" w:line="301" w:lineRule="auto"/>
        <w:rPr>
          <w:sz w:val="20"/>
          <w:szCs w:val="20"/>
          <w:color w:val="auto"/>
        </w:rPr>
      </w:pPr>
      <w:r>
        <w:rPr>
          <w:rFonts w:ascii="Arial" w:cs="Arial" w:eastAsia="Arial" w:hAnsi="Arial"/>
          <w:sz w:val="16"/>
          <w:szCs w:val="16"/>
          <w:b w:val="1"/>
          <w:bCs w:val="1"/>
          <w:i w:val="1"/>
          <w:iCs w:val="1"/>
          <w:color w:val="auto"/>
        </w:rPr>
        <w:t xml:space="preserve">Shelf Registration. </w:t>
      </w:r>
      <w:r>
        <w:rPr>
          <w:rFonts w:ascii="Arial" w:cs="Arial" w:eastAsia="Arial" w:hAnsi="Arial"/>
          <w:sz w:val="16"/>
          <w:szCs w:val="16"/>
          <w:color w:val="auto"/>
        </w:rPr>
        <w:t>Under our current shelf registration, we have the ability to issue, in unlimited amounts, unsecured senior</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debt securities or subordinated debt securities, junior subordinated debt, preferred stock, common stock, warrants, depositary shares, purchase contracts and purchase units of PFG. Our wholly owned subsidiary, PFS, may guarantee, fully and unconditionally or otherwise, our obligations with respect to any non-convertible securities, other than common stock, described in the shelf registration.</w:t>
      </w:r>
    </w:p>
    <w:p>
      <w:pPr>
        <w:spacing w:after="0" w:line="37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540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00"/>
          </w:cols>
          <w:pgMar w:left="980" w:top="665" w:right="1019" w:bottom="1440" w:gutter="0" w:footer="0" w:header="0"/>
        </w:sectPr>
      </w:pPr>
    </w:p>
    <w:bookmarkStart w:id="106" w:name="page107"/>
    <w:bookmarkEnd w:id="106"/>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9" w:lineRule="exact"/>
        <w:rPr>
          <w:sz w:val="20"/>
          <w:szCs w:val="20"/>
          <w:color w:val="auto"/>
        </w:rPr>
      </w:pPr>
    </w:p>
    <w:p>
      <w:pPr>
        <w:ind w:firstLine="648"/>
        <w:spacing w:after="0" w:line="275" w:lineRule="auto"/>
        <w:rPr>
          <w:sz w:val="20"/>
          <w:szCs w:val="20"/>
          <w:color w:val="auto"/>
        </w:rPr>
      </w:pPr>
      <w:r>
        <w:rPr>
          <w:rFonts w:ascii="Arial" w:cs="Arial" w:eastAsia="Arial" w:hAnsi="Arial"/>
          <w:sz w:val="17"/>
          <w:szCs w:val="17"/>
          <w:b w:val="1"/>
          <w:bCs w:val="1"/>
          <w:i w:val="1"/>
          <w:iCs w:val="1"/>
          <w:color w:val="auto"/>
        </w:rPr>
        <w:t xml:space="preserve">Guarantors and Issuers of Guaranteed Securities. </w:t>
      </w:r>
      <w:r>
        <w:rPr>
          <w:rFonts w:ascii="Arial" w:cs="Arial" w:eastAsia="Arial" w:hAnsi="Arial"/>
          <w:sz w:val="17"/>
          <w:szCs w:val="17"/>
          <w:color w:val="auto"/>
        </w:rPr>
        <w:t>PFG has issued certain notes pursuant to transactions registered under the</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Securities Act of 1933. Such notes include all currently outstanding senior notes and junior subordinated notes, which are subordinated to all our senior debt (collectively, the “registered notes”). For additional information on the senior notes and junior subordinated notes, see Item 8. “Financial Statements and Supplementary Data, Notes to Consolidated Financial Statements, Note 9, Debt” in our Annual Report on Form 10-K for the year ended December 31, 2021.</w:t>
      </w:r>
    </w:p>
    <w:p>
      <w:pPr>
        <w:spacing w:after="0" w:line="176" w:lineRule="exact"/>
        <w:rPr>
          <w:sz w:val="20"/>
          <w:szCs w:val="20"/>
          <w:color w:val="auto"/>
        </w:rPr>
      </w:pPr>
    </w:p>
    <w:p>
      <w:pPr>
        <w:ind w:right="20" w:firstLine="648"/>
        <w:spacing w:after="0" w:line="257" w:lineRule="auto"/>
        <w:rPr>
          <w:sz w:val="20"/>
          <w:szCs w:val="20"/>
          <w:color w:val="auto"/>
        </w:rPr>
      </w:pPr>
      <w:r>
        <w:rPr>
          <w:rFonts w:ascii="Arial" w:cs="Arial" w:eastAsia="Arial" w:hAnsi="Arial"/>
          <w:sz w:val="18"/>
          <w:szCs w:val="18"/>
          <w:color w:val="auto"/>
        </w:rPr>
        <w:t>PFS, a wholly owned subsidiary of PFG, has guaranteed each of the registered notes on a full and unconditional basis. The full and unconditional guarantees require PFS to satisfy the obligations of the guaranteed security immediately, if and when PFG has failed to make a scheduled payment thereunder. If PFS does not make such payment, any holder of the guaranteed security may immediately bring suit directly against PFS for payment of amounts due and payable. No other subsidiary of PFG has guaranteed any of the registered notes.</w:t>
      </w:r>
    </w:p>
    <w:p>
      <w:pPr>
        <w:spacing w:after="0" w:line="188" w:lineRule="exact"/>
        <w:rPr>
          <w:sz w:val="20"/>
          <w:szCs w:val="20"/>
          <w:color w:val="auto"/>
        </w:rPr>
      </w:pPr>
    </w:p>
    <w:p>
      <w:pPr>
        <w:ind w:right="40" w:firstLine="648"/>
        <w:spacing w:after="0" w:line="263" w:lineRule="auto"/>
        <w:rPr>
          <w:sz w:val="20"/>
          <w:szCs w:val="20"/>
          <w:color w:val="auto"/>
        </w:rPr>
      </w:pPr>
      <w:r>
        <w:rPr>
          <w:rFonts w:ascii="Arial" w:cs="Arial" w:eastAsia="Arial" w:hAnsi="Arial"/>
          <w:sz w:val="18"/>
          <w:szCs w:val="18"/>
          <w:color w:val="auto"/>
        </w:rPr>
        <w:t>Summary financial information is presented below on a combined basis for PFG and PFS (the “obligor group”) and transactions between the obligor group have been eliminated. The summary financial information excludes subsidiaries that are not issuers or guarantors. Any investments by the obligor group in other subsidiaries have been excluded.</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82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780" w:type="dxa"/>
            <w:vAlign w:val="bottom"/>
            <w:tcBorders>
              <w:bottom w:val="single" w:sz="8" w:color="auto"/>
            </w:tcBorders>
          </w:tcPr>
          <w:p>
            <w:pPr>
              <w:jc w:val="center"/>
              <w:ind w:right="55"/>
              <w:spacing w:after="0"/>
              <w:rPr>
                <w:sz w:val="20"/>
                <w:szCs w:val="20"/>
                <w:color w:val="auto"/>
              </w:rPr>
            </w:pPr>
            <w:r>
              <w:rPr>
                <w:rFonts w:ascii="Arial" w:cs="Arial" w:eastAsia="Arial" w:hAnsi="Arial"/>
                <w:sz w:val="14"/>
                <w:szCs w:val="14"/>
                <w:b w:val="1"/>
                <w:bCs w:val="1"/>
                <w:color w:val="auto"/>
                <w:w w:val="92"/>
              </w:rPr>
              <w:t>June 30, 2022</w:t>
            </w:r>
          </w:p>
        </w:tc>
        <w:tc>
          <w:tcPr>
            <w:tcW w:w="240" w:type="dxa"/>
            <w:vAlign w:val="bottom"/>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620" w:type="dxa"/>
            <w:vAlign w:val="bottom"/>
            <w:tcBorders>
              <w:bottom w:val="single" w:sz="8" w:color="auto"/>
            </w:tcBorders>
          </w:tcPr>
          <w:p>
            <w:pPr>
              <w:jc w:val="right"/>
              <w:ind w:right="293"/>
              <w:spacing w:after="0"/>
              <w:rPr>
                <w:sz w:val="20"/>
                <w:szCs w:val="20"/>
                <w:color w:val="auto"/>
              </w:rPr>
            </w:pPr>
            <w:r>
              <w:rPr>
                <w:rFonts w:ascii="Arial" w:cs="Arial" w:eastAsia="Arial" w:hAnsi="Arial"/>
                <w:sz w:val="14"/>
                <w:szCs w:val="14"/>
                <w:b w:val="1"/>
                <w:bCs w:val="1"/>
                <w:color w:val="auto"/>
                <w:w w:val="96"/>
              </w:rPr>
              <w:t>December 31, 2021</w:t>
            </w:r>
          </w:p>
        </w:tc>
      </w:tr>
      <w:tr>
        <w:trPr>
          <w:trHeight w:val="128"/>
        </w:trPr>
        <w:tc>
          <w:tcPr>
            <w:tcW w:w="58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340" w:type="dxa"/>
            <w:vAlign w:val="bottom"/>
            <w:gridSpan w:val="3"/>
          </w:tcPr>
          <w:p>
            <w:pPr>
              <w:jc w:val="right"/>
              <w:spacing w:after="0" w:line="129" w:lineRule="exact"/>
              <w:rPr>
                <w:sz w:val="20"/>
                <w:szCs w:val="20"/>
                <w:color w:val="auto"/>
              </w:rPr>
            </w:pPr>
            <w:r>
              <w:rPr>
                <w:rFonts w:ascii="Arial" w:cs="Arial" w:eastAsia="Arial" w:hAnsi="Arial"/>
                <w:sz w:val="14"/>
                <w:szCs w:val="14"/>
                <w:i w:val="1"/>
                <w:iCs w:val="1"/>
                <w:color w:val="auto"/>
              </w:rPr>
              <w:t>(in millions)</w:t>
            </w:r>
          </w:p>
        </w:tc>
        <w:tc>
          <w:tcPr>
            <w:tcW w:w="1620" w:type="dxa"/>
            <w:vAlign w:val="bottom"/>
          </w:tcPr>
          <w:p>
            <w:pPr>
              <w:spacing w:after="0"/>
              <w:rPr>
                <w:sz w:val="11"/>
                <w:szCs w:val="11"/>
                <w:color w:val="auto"/>
              </w:rPr>
            </w:pPr>
          </w:p>
        </w:tc>
      </w:tr>
      <w:tr>
        <w:trPr>
          <w:trHeight w:val="216"/>
        </w:trPr>
        <w:tc>
          <w:tcPr>
            <w:tcW w:w="58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Summary Statements of Financial Position Information:</w:t>
            </w:r>
          </w:p>
        </w:tc>
        <w:tc>
          <w:tcPr>
            <w:tcW w:w="140" w:type="dxa"/>
            <w:vAlign w:val="bottom"/>
            <w:shd w:val="clear" w:color="auto" w:fill="CCEEFF"/>
          </w:tcPr>
          <w:p>
            <w:pPr>
              <w:spacing w:after="0"/>
              <w:rPr>
                <w:sz w:val="18"/>
                <w:szCs w:val="18"/>
                <w:color w:val="auto"/>
              </w:rPr>
            </w:pPr>
          </w:p>
        </w:tc>
        <w:tc>
          <w:tcPr>
            <w:tcW w:w="17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620" w:type="dxa"/>
            <w:vAlign w:val="bottom"/>
            <w:shd w:val="clear" w:color="auto" w:fill="CCEEFF"/>
          </w:tcPr>
          <w:p>
            <w:pPr>
              <w:spacing w:after="0"/>
              <w:rPr>
                <w:sz w:val="18"/>
                <w:szCs w:val="18"/>
                <w:color w:val="auto"/>
              </w:rPr>
            </w:pPr>
          </w:p>
        </w:tc>
      </w:tr>
      <w:tr>
        <w:trPr>
          <w:trHeight w:val="216"/>
        </w:trPr>
        <w:tc>
          <w:tcPr>
            <w:tcW w:w="5820" w:type="dxa"/>
            <w:vAlign w:val="bottom"/>
          </w:tcPr>
          <w:p>
            <w:pPr>
              <w:spacing w:after="0"/>
              <w:rPr>
                <w:sz w:val="20"/>
                <w:szCs w:val="20"/>
                <w:color w:val="auto"/>
              </w:rPr>
            </w:pPr>
            <w:r>
              <w:rPr>
                <w:rFonts w:ascii="Arial" w:cs="Arial" w:eastAsia="Arial" w:hAnsi="Arial"/>
                <w:sz w:val="18"/>
                <w:szCs w:val="18"/>
                <w:color w:val="auto"/>
              </w:rPr>
              <w:t>Total investments</w:t>
            </w:r>
          </w:p>
        </w:tc>
        <w:tc>
          <w:tcPr>
            <w:tcW w:w="14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780" w:type="dxa"/>
            <w:vAlign w:val="bottom"/>
          </w:tcPr>
          <w:p>
            <w:pPr>
              <w:jc w:val="right"/>
              <w:spacing w:after="0"/>
              <w:rPr>
                <w:sz w:val="20"/>
                <w:szCs w:val="20"/>
                <w:color w:val="auto"/>
              </w:rPr>
            </w:pPr>
            <w:r>
              <w:rPr>
                <w:rFonts w:ascii="Arial" w:cs="Arial" w:eastAsia="Arial" w:hAnsi="Arial"/>
                <w:sz w:val="18"/>
                <w:szCs w:val="18"/>
                <w:b w:val="1"/>
                <w:bCs w:val="1"/>
                <w:color w:val="auto"/>
              </w:rPr>
              <w:t>377.5</w:t>
            </w:r>
          </w:p>
        </w:tc>
        <w:tc>
          <w:tcPr>
            <w:tcW w:w="240" w:type="dxa"/>
            <w:vAlign w:val="bottom"/>
          </w:tcPr>
          <w:p>
            <w:pPr>
              <w:spacing w:after="0"/>
              <w:rPr>
                <w:sz w:val="18"/>
                <w:szCs w:val="18"/>
                <w:color w:val="auto"/>
              </w:rPr>
            </w:pP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1620" w:type="dxa"/>
            <w:vAlign w:val="bottom"/>
          </w:tcPr>
          <w:p>
            <w:pPr>
              <w:jc w:val="right"/>
              <w:spacing w:after="0"/>
              <w:rPr>
                <w:sz w:val="20"/>
                <w:szCs w:val="20"/>
                <w:color w:val="auto"/>
              </w:rPr>
            </w:pPr>
            <w:r>
              <w:rPr>
                <w:rFonts w:ascii="Arial" w:cs="Arial" w:eastAsia="Arial" w:hAnsi="Arial"/>
                <w:sz w:val="18"/>
                <w:szCs w:val="18"/>
                <w:color w:val="auto"/>
              </w:rPr>
              <w:t>1,338.2</w:t>
            </w:r>
          </w:p>
        </w:tc>
      </w:tr>
      <w:tr>
        <w:trPr>
          <w:trHeight w:val="216"/>
        </w:trPr>
        <w:tc>
          <w:tcPr>
            <w:tcW w:w="582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w:t>
            </w:r>
          </w:p>
        </w:tc>
        <w:tc>
          <w:tcPr>
            <w:tcW w:w="140" w:type="dxa"/>
            <w:vAlign w:val="bottom"/>
            <w:shd w:val="clear" w:color="auto" w:fill="CCEEFF"/>
          </w:tcPr>
          <w:p>
            <w:pPr>
              <w:spacing w:after="0"/>
              <w:rPr>
                <w:sz w:val="18"/>
                <w:szCs w:val="18"/>
                <w:color w:val="auto"/>
              </w:rPr>
            </w:pPr>
          </w:p>
        </w:tc>
        <w:tc>
          <w:tcPr>
            <w:tcW w:w="17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1,100.5</w:t>
            </w:r>
          </w:p>
        </w:tc>
        <w:tc>
          <w:tcPr>
            <w:tcW w:w="2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516.4</w:t>
            </w:r>
          </w:p>
        </w:tc>
      </w:tr>
      <w:tr>
        <w:trPr>
          <w:trHeight w:val="216"/>
        </w:trPr>
        <w:tc>
          <w:tcPr>
            <w:tcW w:w="5820" w:type="dxa"/>
            <w:vAlign w:val="bottom"/>
          </w:tcPr>
          <w:p>
            <w:pPr>
              <w:spacing w:after="0"/>
              <w:rPr>
                <w:sz w:val="20"/>
                <w:szCs w:val="20"/>
                <w:color w:val="auto"/>
              </w:rPr>
            </w:pPr>
            <w:r>
              <w:rPr>
                <w:rFonts w:ascii="Arial" w:cs="Arial" w:eastAsia="Arial" w:hAnsi="Arial"/>
                <w:sz w:val="18"/>
                <w:szCs w:val="18"/>
                <w:color w:val="auto"/>
              </w:rPr>
              <w:t>Goodwill</w:t>
            </w:r>
          </w:p>
        </w:tc>
        <w:tc>
          <w:tcPr>
            <w:tcW w:w="140" w:type="dxa"/>
            <w:vAlign w:val="bottom"/>
          </w:tcPr>
          <w:p>
            <w:pPr>
              <w:spacing w:after="0"/>
              <w:rPr>
                <w:sz w:val="18"/>
                <w:szCs w:val="18"/>
                <w:color w:val="auto"/>
              </w:rPr>
            </w:pPr>
          </w:p>
        </w:tc>
        <w:tc>
          <w:tcPr>
            <w:tcW w:w="1780" w:type="dxa"/>
            <w:vAlign w:val="bottom"/>
          </w:tcPr>
          <w:p>
            <w:pPr>
              <w:jc w:val="right"/>
              <w:spacing w:after="0"/>
              <w:rPr>
                <w:sz w:val="20"/>
                <w:szCs w:val="20"/>
                <w:color w:val="auto"/>
              </w:rPr>
            </w:pPr>
            <w:r>
              <w:rPr>
                <w:rFonts w:ascii="Arial" w:cs="Arial" w:eastAsia="Arial" w:hAnsi="Arial"/>
                <w:sz w:val="18"/>
                <w:szCs w:val="18"/>
                <w:b w:val="1"/>
                <w:bCs w:val="1"/>
                <w:color w:val="auto"/>
              </w:rPr>
              <w:t>618.5</w:t>
            </w:r>
          </w:p>
        </w:tc>
        <w:tc>
          <w:tcPr>
            <w:tcW w:w="2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620" w:type="dxa"/>
            <w:vAlign w:val="bottom"/>
          </w:tcPr>
          <w:p>
            <w:pPr>
              <w:jc w:val="right"/>
              <w:spacing w:after="0"/>
              <w:rPr>
                <w:sz w:val="20"/>
                <w:szCs w:val="20"/>
                <w:color w:val="auto"/>
              </w:rPr>
            </w:pPr>
            <w:r>
              <w:rPr>
                <w:rFonts w:ascii="Arial" w:cs="Arial" w:eastAsia="Arial" w:hAnsi="Arial"/>
                <w:sz w:val="18"/>
                <w:szCs w:val="18"/>
                <w:color w:val="auto"/>
              </w:rPr>
              <w:t>618.5</w:t>
            </w:r>
          </w:p>
        </w:tc>
      </w:tr>
      <w:tr>
        <w:trPr>
          <w:trHeight w:val="216"/>
        </w:trPr>
        <w:tc>
          <w:tcPr>
            <w:tcW w:w="5820" w:type="dxa"/>
            <w:vAlign w:val="bottom"/>
            <w:shd w:val="clear" w:color="auto" w:fill="CCEEFF"/>
          </w:tcPr>
          <w:p>
            <w:pPr>
              <w:spacing w:after="0"/>
              <w:rPr>
                <w:sz w:val="20"/>
                <w:szCs w:val="20"/>
                <w:color w:val="auto"/>
              </w:rPr>
            </w:pPr>
            <w:r>
              <w:rPr>
                <w:rFonts w:ascii="Arial" w:cs="Arial" w:eastAsia="Arial" w:hAnsi="Arial"/>
                <w:sz w:val="18"/>
                <w:szCs w:val="18"/>
                <w:color w:val="auto"/>
              </w:rPr>
              <w:t>Other intangibles</w:t>
            </w:r>
          </w:p>
        </w:tc>
        <w:tc>
          <w:tcPr>
            <w:tcW w:w="140" w:type="dxa"/>
            <w:vAlign w:val="bottom"/>
            <w:shd w:val="clear" w:color="auto" w:fill="CCEEFF"/>
          </w:tcPr>
          <w:p>
            <w:pPr>
              <w:spacing w:after="0"/>
              <w:rPr>
                <w:sz w:val="18"/>
                <w:szCs w:val="18"/>
                <w:color w:val="auto"/>
              </w:rPr>
            </w:pPr>
          </w:p>
        </w:tc>
        <w:tc>
          <w:tcPr>
            <w:tcW w:w="17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461.4</w:t>
            </w:r>
          </w:p>
        </w:tc>
        <w:tc>
          <w:tcPr>
            <w:tcW w:w="2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475.5</w:t>
            </w:r>
          </w:p>
        </w:tc>
      </w:tr>
      <w:tr>
        <w:trPr>
          <w:trHeight w:val="216"/>
        </w:trPr>
        <w:tc>
          <w:tcPr>
            <w:tcW w:w="5820" w:type="dxa"/>
            <w:vAlign w:val="bottom"/>
          </w:tcPr>
          <w:p>
            <w:pPr>
              <w:spacing w:after="0"/>
              <w:rPr>
                <w:sz w:val="20"/>
                <w:szCs w:val="20"/>
                <w:color w:val="auto"/>
              </w:rPr>
            </w:pPr>
            <w:r>
              <w:rPr>
                <w:rFonts w:ascii="Arial" w:cs="Arial" w:eastAsia="Arial" w:hAnsi="Arial"/>
                <w:sz w:val="18"/>
                <w:szCs w:val="18"/>
                <w:color w:val="auto"/>
              </w:rPr>
              <w:t>Other assets</w:t>
            </w:r>
          </w:p>
        </w:tc>
        <w:tc>
          <w:tcPr>
            <w:tcW w:w="140" w:type="dxa"/>
            <w:vAlign w:val="bottom"/>
          </w:tcPr>
          <w:p>
            <w:pPr>
              <w:spacing w:after="0"/>
              <w:rPr>
                <w:sz w:val="18"/>
                <w:szCs w:val="18"/>
                <w:color w:val="auto"/>
              </w:rPr>
            </w:pPr>
          </w:p>
        </w:tc>
        <w:tc>
          <w:tcPr>
            <w:tcW w:w="1780" w:type="dxa"/>
            <w:vAlign w:val="bottom"/>
          </w:tcPr>
          <w:p>
            <w:pPr>
              <w:jc w:val="right"/>
              <w:spacing w:after="0"/>
              <w:rPr>
                <w:sz w:val="20"/>
                <w:szCs w:val="20"/>
                <w:color w:val="auto"/>
              </w:rPr>
            </w:pPr>
            <w:r>
              <w:rPr>
                <w:rFonts w:ascii="Arial" w:cs="Arial" w:eastAsia="Arial" w:hAnsi="Arial"/>
                <w:sz w:val="18"/>
                <w:szCs w:val="18"/>
                <w:b w:val="1"/>
                <w:bCs w:val="1"/>
                <w:color w:val="auto"/>
              </w:rPr>
              <w:t>377.9</w:t>
            </w:r>
          </w:p>
        </w:tc>
        <w:tc>
          <w:tcPr>
            <w:tcW w:w="2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620" w:type="dxa"/>
            <w:vAlign w:val="bottom"/>
          </w:tcPr>
          <w:p>
            <w:pPr>
              <w:jc w:val="right"/>
              <w:spacing w:after="0"/>
              <w:rPr>
                <w:sz w:val="20"/>
                <w:szCs w:val="20"/>
                <w:color w:val="auto"/>
              </w:rPr>
            </w:pPr>
            <w:r>
              <w:rPr>
                <w:rFonts w:ascii="Arial" w:cs="Arial" w:eastAsia="Arial" w:hAnsi="Arial"/>
                <w:sz w:val="18"/>
                <w:szCs w:val="18"/>
                <w:color w:val="auto"/>
              </w:rPr>
              <w:t>385.7</w:t>
            </w:r>
          </w:p>
        </w:tc>
      </w:tr>
      <w:tr>
        <w:trPr>
          <w:trHeight w:val="216"/>
        </w:trPr>
        <w:tc>
          <w:tcPr>
            <w:tcW w:w="5820" w:type="dxa"/>
            <w:vAlign w:val="bottom"/>
            <w:shd w:val="clear" w:color="auto" w:fill="CCEEFF"/>
          </w:tcPr>
          <w:p>
            <w:pPr>
              <w:spacing w:after="0"/>
              <w:rPr>
                <w:sz w:val="20"/>
                <w:szCs w:val="20"/>
                <w:color w:val="auto"/>
              </w:rPr>
            </w:pPr>
            <w:r>
              <w:rPr>
                <w:rFonts w:ascii="Arial" w:cs="Arial" w:eastAsia="Arial" w:hAnsi="Arial"/>
                <w:sz w:val="18"/>
                <w:szCs w:val="18"/>
                <w:color w:val="auto"/>
              </w:rPr>
              <w:t>Due from non-obligor subsidiaries</w:t>
            </w:r>
          </w:p>
        </w:tc>
        <w:tc>
          <w:tcPr>
            <w:tcW w:w="140" w:type="dxa"/>
            <w:vAlign w:val="bottom"/>
            <w:shd w:val="clear" w:color="auto" w:fill="CCEEFF"/>
          </w:tcPr>
          <w:p>
            <w:pPr>
              <w:spacing w:after="0"/>
              <w:rPr>
                <w:sz w:val="18"/>
                <w:szCs w:val="18"/>
                <w:color w:val="auto"/>
              </w:rPr>
            </w:pPr>
          </w:p>
        </w:tc>
        <w:tc>
          <w:tcPr>
            <w:tcW w:w="17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101.4</w:t>
            </w:r>
          </w:p>
        </w:tc>
        <w:tc>
          <w:tcPr>
            <w:tcW w:w="2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208.2</w:t>
            </w:r>
          </w:p>
        </w:tc>
      </w:tr>
      <w:tr>
        <w:trPr>
          <w:trHeight w:val="216"/>
        </w:trPr>
        <w:tc>
          <w:tcPr>
            <w:tcW w:w="5820" w:type="dxa"/>
            <w:vAlign w:val="bottom"/>
          </w:tcPr>
          <w:p>
            <w:pPr>
              <w:spacing w:after="0"/>
              <w:rPr>
                <w:sz w:val="20"/>
                <w:szCs w:val="20"/>
                <w:color w:val="auto"/>
              </w:rPr>
            </w:pPr>
            <w:r>
              <w:rPr>
                <w:rFonts w:ascii="Arial" w:cs="Arial" w:eastAsia="Arial" w:hAnsi="Arial"/>
                <w:sz w:val="18"/>
                <w:szCs w:val="18"/>
                <w:color w:val="auto"/>
              </w:rPr>
              <w:t>Total assets</w:t>
            </w:r>
          </w:p>
        </w:tc>
        <w:tc>
          <w:tcPr>
            <w:tcW w:w="140" w:type="dxa"/>
            <w:vAlign w:val="bottom"/>
          </w:tcPr>
          <w:p>
            <w:pPr>
              <w:spacing w:after="0"/>
              <w:rPr>
                <w:sz w:val="18"/>
                <w:szCs w:val="18"/>
                <w:color w:val="auto"/>
              </w:rPr>
            </w:pPr>
          </w:p>
        </w:tc>
        <w:tc>
          <w:tcPr>
            <w:tcW w:w="1780" w:type="dxa"/>
            <w:vAlign w:val="bottom"/>
          </w:tcPr>
          <w:p>
            <w:pPr>
              <w:jc w:val="right"/>
              <w:spacing w:after="0"/>
              <w:rPr>
                <w:sz w:val="20"/>
                <w:szCs w:val="20"/>
                <w:color w:val="auto"/>
              </w:rPr>
            </w:pPr>
            <w:r>
              <w:rPr>
                <w:rFonts w:ascii="Arial" w:cs="Arial" w:eastAsia="Arial" w:hAnsi="Arial"/>
                <w:sz w:val="18"/>
                <w:szCs w:val="18"/>
                <w:b w:val="1"/>
                <w:bCs w:val="1"/>
                <w:color w:val="auto"/>
              </w:rPr>
              <w:t>3,067.7</w:t>
            </w:r>
          </w:p>
        </w:tc>
        <w:tc>
          <w:tcPr>
            <w:tcW w:w="2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620" w:type="dxa"/>
            <w:vAlign w:val="bottom"/>
          </w:tcPr>
          <w:p>
            <w:pPr>
              <w:jc w:val="right"/>
              <w:spacing w:after="0"/>
              <w:rPr>
                <w:sz w:val="20"/>
                <w:szCs w:val="20"/>
                <w:color w:val="auto"/>
              </w:rPr>
            </w:pPr>
            <w:r>
              <w:rPr>
                <w:rFonts w:ascii="Arial" w:cs="Arial" w:eastAsia="Arial" w:hAnsi="Arial"/>
                <w:sz w:val="18"/>
                <w:szCs w:val="18"/>
                <w:color w:val="auto"/>
              </w:rPr>
              <w:t>3,593.8</w:t>
            </w:r>
          </w:p>
        </w:tc>
      </w:tr>
      <w:tr>
        <w:trPr>
          <w:trHeight w:val="216"/>
        </w:trPr>
        <w:tc>
          <w:tcPr>
            <w:tcW w:w="5820" w:type="dxa"/>
            <w:vAlign w:val="bottom"/>
            <w:shd w:val="clear" w:color="auto" w:fill="CCEEFF"/>
          </w:tcPr>
          <w:p>
            <w:pPr>
              <w:spacing w:after="0"/>
              <w:rPr>
                <w:sz w:val="20"/>
                <w:szCs w:val="20"/>
                <w:color w:val="auto"/>
              </w:rPr>
            </w:pPr>
            <w:r>
              <w:rPr>
                <w:rFonts w:ascii="Arial" w:cs="Arial" w:eastAsia="Arial" w:hAnsi="Arial"/>
                <w:sz w:val="18"/>
                <w:szCs w:val="18"/>
                <w:color w:val="auto"/>
              </w:rPr>
              <w:t>Long-term debt</w:t>
            </w:r>
          </w:p>
        </w:tc>
        <w:tc>
          <w:tcPr>
            <w:tcW w:w="140" w:type="dxa"/>
            <w:vAlign w:val="bottom"/>
            <w:shd w:val="clear" w:color="auto" w:fill="CCEEFF"/>
          </w:tcPr>
          <w:p>
            <w:pPr>
              <w:spacing w:after="0"/>
              <w:rPr>
                <w:sz w:val="18"/>
                <w:szCs w:val="18"/>
                <w:color w:val="auto"/>
              </w:rPr>
            </w:pPr>
          </w:p>
        </w:tc>
        <w:tc>
          <w:tcPr>
            <w:tcW w:w="17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4,227.7</w:t>
            </w:r>
          </w:p>
        </w:tc>
        <w:tc>
          <w:tcPr>
            <w:tcW w:w="2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4,226.1</w:t>
            </w:r>
          </w:p>
        </w:tc>
      </w:tr>
      <w:tr>
        <w:trPr>
          <w:trHeight w:val="216"/>
        </w:trPr>
        <w:tc>
          <w:tcPr>
            <w:tcW w:w="5820" w:type="dxa"/>
            <w:vAlign w:val="bottom"/>
          </w:tcPr>
          <w:p>
            <w:pPr>
              <w:spacing w:after="0"/>
              <w:rPr>
                <w:sz w:val="20"/>
                <w:szCs w:val="20"/>
                <w:color w:val="auto"/>
              </w:rPr>
            </w:pPr>
            <w:r>
              <w:rPr>
                <w:rFonts w:ascii="Arial" w:cs="Arial" w:eastAsia="Arial" w:hAnsi="Arial"/>
                <w:sz w:val="18"/>
                <w:szCs w:val="18"/>
                <w:color w:val="auto"/>
              </w:rPr>
              <w:t>Other liabilities</w:t>
            </w:r>
          </w:p>
        </w:tc>
        <w:tc>
          <w:tcPr>
            <w:tcW w:w="140" w:type="dxa"/>
            <w:vAlign w:val="bottom"/>
          </w:tcPr>
          <w:p>
            <w:pPr>
              <w:spacing w:after="0"/>
              <w:rPr>
                <w:sz w:val="18"/>
                <w:szCs w:val="18"/>
                <w:color w:val="auto"/>
              </w:rPr>
            </w:pPr>
          </w:p>
        </w:tc>
        <w:tc>
          <w:tcPr>
            <w:tcW w:w="1780" w:type="dxa"/>
            <w:vAlign w:val="bottom"/>
          </w:tcPr>
          <w:p>
            <w:pPr>
              <w:jc w:val="right"/>
              <w:spacing w:after="0"/>
              <w:rPr>
                <w:sz w:val="20"/>
                <w:szCs w:val="20"/>
                <w:color w:val="auto"/>
              </w:rPr>
            </w:pPr>
            <w:r>
              <w:rPr>
                <w:rFonts w:ascii="Arial" w:cs="Arial" w:eastAsia="Arial" w:hAnsi="Arial"/>
                <w:sz w:val="18"/>
                <w:szCs w:val="18"/>
                <w:b w:val="1"/>
                <w:bCs w:val="1"/>
                <w:color w:val="auto"/>
              </w:rPr>
              <w:t>526.1</w:t>
            </w:r>
          </w:p>
        </w:tc>
        <w:tc>
          <w:tcPr>
            <w:tcW w:w="2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620" w:type="dxa"/>
            <w:vAlign w:val="bottom"/>
          </w:tcPr>
          <w:p>
            <w:pPr>
              <w:jc w:val="right"/>
              <w:spacing w:after="0"/>
              <w:rPr>
                <w:sz w:val="20"/>
                <w:szCs w:val="20"/>
                <w:color w:val="auto"/>
              </w:rPr>
            </w:pPr>
            <w:r>
              <w:rPr>
                <w:rFonts w:ascii="Arial" w:cs="Arial" w:eastAsia="Arial" w:hAnsi="Arial"/>
                <w:sz w:val="18"/>
                <w:szCs w:val="18"/>
                <w:color w:val="auto"/>
              </w:rPr>
              <w:t>563.6</w:t>
            </w:r>
          </w:p>
        </w:tc>
      </w:tr>
      <w:tr>
        <w:trPr>
          <w:trHeight w:val="216"/>
        </w:trPr>
        <w:tc>
          <w:tcPr>
            <w:tcW w:w="5820" w:type="dxa"/>
            <w:vAlign w:val="bottom"/>
            <w:shd w:val="clear" w:color="auto" w:fill="CCEEFF"/>
          </w:tcPr>
          <w:p>
            <w:pPr>
              <w:spacing w:after="0"/>
              <w:rPr>
                <w:sz w:val="20"/>
                <w:szCs w:val="20"/>
                <w:color w:val="auto"/>
              </w:rPr>
            </w:pPr>
            <w:r>
              <w:rPr>
                <w:rFonts w:ascii="Arial" w:cs="Arial" w:eastAsia="Arial" w:hAnsi="Arial"/>
                <w:sz w:val="18"/>
                <w:szCs w:val="18"/>
                <w:color w:val="auto"/>
              </w:rPr>
              <w:t>Due to non-obligor subsidiaries</w:t>
            </w:r>
          </w:p>
        </w:tc>
        <w:tc>
          <w:tcPr>
            <w:tcW w:w="140" w:type="dxa"/>
            <w:vAlign w:val="bottom"/>
            <w:shd w:val="clear" w:color="auto" w:fill="CCEEFF"/>
          </w:tcPr>
          <w:p>
            <w:pPr>
              <w:spacing w:after="0"/>
              <w:rPr>
                <w:sz w:val="18"/>
                <w:szCs w:val="18"/>
                <w:color w:val="auto"/>
              </w:rPr>
            </w:pPr>
          </w:p>
        </w:tc>
        <w:tc>
          <w:tcPr>
            <w:tcW w:w="17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824.9</w:t>
            </w:r>
          </w:p>
        </w:tc>
        <w:tc>
          <w:tcPr>
            <w:tcW w:w="2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904.7</w:t>
            </w:r>
          </w:p>
        </w:tc>
      </w:tr>
      <w:tr>
        <w:trPr>
          <w:trHeight w:val="234"/>
        </w:trPr>
        <w:tc>
          <w:tcPr>
            <w:tcW w:w="5820" w:type="dxa"/>
            <w:vAlign w:val="bottom"/>
          </w:tcPr>
          <w:p>
            <w:pPr>
              <w:spacing w:after="0"/>
              <w:rPr>
                <w:sz w:val="20"/>
                <w:szCs w:val="20"/>
                <w:color w:val="auto"/>
              </w:rPr>
            </w:pPr>
            <w:r>
              <w:rPr>
                <w:rFonts w:ascii="Arial" w:cs="Arial" w:eastAsia="Arial" w:hAnsi="Arial"/>
                <w:sz w:val="18"/>
                <w:szCs w:val="18"/>
                <w:color w:val="auto"/>
              </w:rPr>
              <w:t>Total liabilities</w:t>
            </w:r>
          </w:p>
        </w:tc>
        <w:tc>
          <w:tcPr>
            <w:tcW w:w="140" w:type="dxa"/>
            <w:vAlign w:val="bottom"/>
          </w:tcPr>
          <w:p>
            <w:pPr>
              <w:spacing w:after="0"/>
              <w:rPr>
                <w:sz w:val="20"/>
                <w:szCs w:val="20"/>
                <w:color w:val="auto"/>
              </w:rPr>
            </w:pPr>
          </w:p>
        </w:tc>
        <w:tc>
          <w:tcPr>
            <w:tcW w:w="1780" w:type="dxa"/>
            <w:vAlign w:val="bottom"/>
          </w:tcPr>
          <w:p>
            <w:pPr>
              <w:jc w:val="right"/>
              <w:spacing w:after="0"/>
              <w:rPr>
                <w:sz w:val="20"/>
                <w:szCs w:val="20"/>
                <w:color w:val="auto"/>
              </w:rPr>
            </w:pPr>
            <w:r>
              <w:rPr>
                <w:rFonts w:ascii="Arial" w:cs="Arial" w:eastAsia="Arial" w:hAnsi="Arial"/>
                <w:sz w:val="18"/>
                <w:szCs w:val="18"/>
                <w:b w:val="1"/>
                <w:bCs w:val="1"/>
                <w:color w:val="auto"/>
              </w:rPr>
              <w:t>5,634.5</w:t>
            </w:r>
          </w:p>
        </w:tc>
        <w:tc>
          <w:tcPr>
            <w:tcW w:w="2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620" w:type="dxa"/>
            <w:vAlign w:val="bottom"/>
          </w:tcPr>
          <w:p>
            <w:pPr>
              <w:jc w:val="right"/>
              <w:spacing w:after="0"/>
              <w:rPr>
                <w:sz w:val="20"/>
                <w:szCs w:val="20"/>
                <w:color w:val="auto"/>
              </w:rPr>
            </w:pPr>
            <w:r>
              <w:rPr>
                <w:rFonts w:ascii="Arial" w:cs="Arial" w:eastAsia="Arial" w:hAnsi="Arial"/>
                <w:sz w:val="18"/>
                <w:szCs w:val="18"/>
                <w:color w:val="auto"/>
              </w:rPr>
              <w:t>5,741.2</w:t>
            </w:r>
          </w:p>
        </w:tc>
      </w:tr>
      <w:tr>
        <w:trPr>
          <w:trHeight w:val="337"/>
        </w:trPr>
        <w:tc>
          <w:tcPr>
            <w:tcW w:w="58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2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1"/>
              </w:rPr>
              <w:t>For the six months ended</w:t>
            </w:r>
          </w:p>
        </w:tc>
        <w:tc>
          <w:tcPr>
            <w:tcW w:w="320" w:type="dxa"/>
            <w:vAlign w:val="bottom"/>
          </w:tcPr>
          <w:p>
            <w:pPr>
              <w:spacing w:after="0"/>
              <w:rPr>
                <w:sz w:val="24"/>
                <w:szCs w:val="24"/>
                <w:color w:val="auto"/>
              </w:rPr>
            </w:pPr>
          </w:p>
        </w:tc>
        <w:tc>
          <w:tcPr>
            <w:tcW w:w="1620" w:type="dxa"/>
            <w:vAlign w:val="bottom"/>
          </w:tcPr>
          <w:p>
            <w:pPr>
              <w:jc w:val="right"/>
              <w:ind w:right="293"/>
              <w:spacing w:after="0"/>
              <w:rPr>
                <w:sz w:val="20"/>
                <w:szCs w:val="20"/>
                <w:color w:val="auto"/>
              </w:rPr>
            </w:pPr>
            <w:r>
              <w:rPr>
                <w:rFonts w:ascii="Arial" w:cs="Arial" w:eastAsia="Arial" w:hAnsi="Arial"/>
                <w:sz w:val="14"/>
                <w:szCs w:val="14"/>
                <w:b w:val="1"/>
                <w:bCs w:val="1"/>
                <w:color w:val="auto"/>
                <w:w w:val="97"/>
              </w:rPr>
              <w:t>For the year ended</w:t>
            </w:r>
          </w:p>
        </w:tc>
      </w:tr>
      <w:tr>
        <w:trPr>
          <w:trHeight w:val="171"/>
        </w:trPr>
        <w:tc>
          <w:tcPr>
            <w:tcW w:w="582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780" w:type="dxa"/>
            <w:vAlign w:val="bottom"/>
            <w:tcBorders>
              <w:bottom w:val="single" w:sz="8" w:color="auto"/>
            </w:tcBorders>
          </w:tcPr>
          <w:p>
            <w:pPr>
              <w:jc w:val="center"/>
              <w:ind w:right="55"/>
              <w:spacing w:after="0"/>
              <w:rPr>
                <w:sz w:val="20"/>
                <w:szCs w:val="20"/>
                <w:color w:val="auto"/>
              </w:rPr>
            </w:pPr>
            <w:r>
              <w:rPr>
                <w:rFonts w:ascii="Arial" w:cs="Arial" w:eastAsia="Arial" w:hAnsi="Arial"/>
                <w:sz w:val="14"/>
                <w:szCs w:val="14"/>
                <w:b w:val="1"/>
                <w:bCs w:val="1"/>
                <w:color w:val="auto"/>
                <w:w w:val="92"/>
              </w:rPr>
              <w:t>June 30, 2022</w:t>
            </w:r>
          </w:p>
        </w:tc>
        <w:tc>
          <w:tcPr>
            <w:tcW w:w="240" w:type="dxa"/>
            <w:vAlign w:val="bottom"/>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620" w:type="dxa"/>
            <w:vAlign w:val="bottom"/>
            <w:tcBorders>
              <w:bottom w:val="single" w:sz="8" w:color="auto"/>
            </w:tcBorders>
          </w:tcPr>
          <w:p>
            <w:pPr>
              <w:jc w:val="right"/>
              <w:ind w:right="293"/>
              <w:spacing w:after="0"/>
              <w:rPr>
                <w:sz w:val="20"/>
                <w:szCs w:val="20"/>
                <w:color w:val="auto"/>
              </w:rPr>
            </w:pPr>
            <w:r>
              <w:rPr>
                <w:rFonts w:ascii="Arial" w:cs="Arial" w:eastAsia="Arial" w:hAnsi="Arial"/>
                <w:sz w:val="14"/>
                <w:szCs w:val="14"/>
                <w:b w:val="1"/>
                <w:bCs w:val="1"/>
                <w:color w:val="auto"/>
                <w:w w:val="96"/>
              </w:rPr>
              <w:t>December 31, 2021</w:t>
            </w:r>
          </w:p>
        </w:tc>
      </w:tr>
      <w:tr>
        <w:trPr>
          <w:trHeight w:val="128"/>
        </w:trPr>
        <w:tc>
          <w:tcPr>
            <w:tcW w:w="58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340" w:type="dxa"/>
            <w:vAlign w:val="bottom"/>
            <w:gridSpan w:val="3"/>
          </w:tcPr>
          <w:p>
            <w:pPr>
              <w:jc w:val="right"/>
              <w:spacing w:after="0" w:line="129" w:lineRule="exact"/>
              <w:rPr>
                <w:sz w:val="20"/>
                <w:szCs w:val="20"/>
                <w:color w:val="auto"/>
              </w:rPr>
            </w:pPr>
            <w:r>
              <w:rPr>
                <w:rFonts w:ascii="Arial" w:cs="Arial" w:eastAsia="Arial" w:hAnsi="Arial"/>
                <w:sz w:val="14"/>
                <w:szCs w:val="14"/>
                <w:i w:val="1"/>
                <w:iCs w:val="1"/>
                <w:color w:val="auto"/>
              </w:rPr>
              <w:t>(in millions)</w:t>
            </w:r>
          </w:p>
        </w:tc>
        <w:tc>
          <w:tcPr>
            <w:tcW w:w="1620" w:type="dxa"/>
            <w:vAlign w:val="bottom"/>
          </w:tcPr>
          <w:p>
            <w:pPr>
              <w:spacing w:after="0"/>
              <w:rPr>
                <w:sz w:val="11"/>
                <w:szCs w:val="11"/>
                <w:color w:val="auto"/>
              </w:rPr>
            </w:pPr>
          </w:p>
        </w:tc>
      </w:tr>
      <w:tr>
        <w:trPr>
          <w:trHeight w:val="216"/>
        </w:trPr>
        <w:tc>
          <w:tcPr>
            <w:tcW w:w="58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Summary Statements of Operations Information:</w:t>
            </w:r>
          </w:p>
        </w:tc>
        <w:tc>
          <w:tcPr>
            <w:tcW w:w="140" w:type="dxa"/>
            <w:vAlign w:val="bottom"/>
            <w:shd w:val="clear" w:color="auto" w:fill="CCEEFF"/>
          </w:tcPr>
          <w:p>
            <w:pPr>
              <w:spacing w:after="0"/>
              <w:rPr>
                <w:sz w:val="18"/>
                <w:szCs w:val="18"/>
                <w:color w:val="auto"/>
              </w:rPr>
            </w:pPr>
          </w:p>
        </w:tc>
        <w:tc>
          <w:tcPr>
            <w:tcW w:w="17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620" w:type="dxa"/>
            <w:vAlign w:val="bottom"/>
            <w:shd w:val="clear" w:color="auto" w:fill="CCEEFF"/>
          </w:tcPr>
          <w:p>
            <w:pPr>
              <w:spacing w:after="0"/>
              <w:rPr>
                <w:sz w:val="18"/>
                <w:szCs w:val="18"/>
                <w:color w:val="auto"/>
              </w:rPr>
            </w:pPr>
          </w:p>
        </w:tc>
      </w:tr>
      <w:tr>
        <w:trPr>
          <w:trHeight w:val="216"/>
        </w:trPr>
        <w:tc>
          <w:tcPr>
            <w:tcW w:w="5820" w:type="dxa"/>
            <w:vAlign w:val="bottom"/>
          </w:tcPr>
          <w:p>
            <w:pPr>
              <w:spacing w:after="0"/>
              <w:rPr>
                <w:sz w:val="20"/>
                <w:szCs w:val="20"/>
                <w:color w:val="auto"/>
              </w:rPr>
            </w:pPr>
            <w:r>
              <w:rPr>
                <w:rFonts w:ascii="Arial" w:cs="Arial" w:eastAsia="Arial" w:hAnsi="Arial"/>
                <w:sz w:val="18"/>
                <w:szCs w:val="18"/>
                <w:color w:val="auto"/>
              </w:rPr>
              <w:t>Total revenues</w:t>
            </w:r>
          </w:p>
        </w:tc>
        <w:tc>
          <w:tcPr>
            <w:tcW w:w="14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202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(0.6)</w:t>
            </w: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1620" w:type="dxa"/>
            <w:vAlign w:val="bottom"/>
          </w:tcPr>
          <w:p>
            <w:pPr>
              <w:jc w:val="right"/>
              <w:spacing w:after="0"/>
              <w:rPr>
                <w:sz w:val="20"/>
                <w:szCs w:val="20"/>
                <w:color w:val="auto"/>
              </w:rPr>
            </w:pPr>
            <w:r>
              <w:rPr>
                <w:rFonts w:ascii="Arial" w:cs="Arial" w:eastAsia="Arial" w:hAnsi="Arial"/>
                <w:sz w:val="18"/>
                <w:szCs w:val="18"/>
                <w:color w:val="auto"/>
              </w:rPr>
              <w:t>223.7</w:t>
            </w:r>
          </w:p>
        </w:tc>
      </w:tr>
      <w:tr>
        <w:trPr>
          <w:trHeight w:val="216"/>
        </w:trPr>
        <w:tc>
          <w:tcPr>
            <w:tcW w:w="5820" w:type="dxa"/>
            <w:vAlign w:val="bottom"/>
            <w:shd w:val="clear" w:color="auto" w:fill="CCEEFF"/>
          </w:tcPr>
          <w:p>
            <w:pPr>
              <w:spacing w:after="0"/>
              <w:rPr>
                <w:sz w:val="20"/>
                <w:szCs w:val="20"/>
                <w:color w:val="auto"/>
              </w:rPr>
            </w:pPr>
            <w:r>
              <w:rPr>
                <w:rFonts w:ascii="Arial" w:cs="Arial" w:eastAsia="Arial" w:hAnsi="Arial"/>
                <w:sz w:val="18"/>
                <w:szCs w:val="18"/>
                <w:color w:val="auto"/>
              </w:rPr>
              <w:t>Total expenses</w:t>
            </w:r>
          </w:p>
        </w:tc>
        <w:tc>
          <w:tcPr>
            <w:tcW w:w="140" w:type="dxa"/>
            <w:vAlign w:val="bottom"/>
            <w:shd w:val="clear" w:color="auto" w:fill="CCEEFF"/>
          </w:tcPr>
          <w:p>
            <w:pPr>
              <w:spacing w:after="0"/>
              <w:rPr>
                <w:sz w:val="18"/>
                <w:szCs w:val="18"/>
                <w:color w:val="auto"/>
              </w:rPr>
            </w:pPr>
          </w:p>
        </w:tc>
        <w:tc>
          <w:tcPr>
            <w:tcW w:w="17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313.1</w:t>
            </w:r>
          </w:p>
        </w:tc>
        <w:tc>
          <w:tcPr>
            <w:tcW w:w="2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649.7</w:t>
            </w:r>
          </w:p>
        </w:tc>
      </w:tr>
      <w:tr>
        <w:trPr>
          <w:trHeight w:val="234"/>
        </w:trPr>
        <w:tc>
          <w:tcPr>
            <w:tcW w:w="5820" w:type="dxa"/>
            <w:vAlign w:val="bottom"/>
          </w:tcPr>
          <w:p>
            <w:pPr>
              <w:spacing w:after="0"/>
              <w:rPr>
                <w:sz w:val="20"/>
                <w:szCs w:val="20"/>
                <w:color w:val="auto"/>
              </w:rPr>
            </w:pPr>
            <w:r>
              <w:rPr>
                <w:rFonts w:ascii="Arial" w:cs="Arial" w:eastAsia="Arial" w:hAnsi="Arial"/>
                <w:sz w:val="18"/>
                <w:szCs w:val="18"/>
                <w:color w:val="auto"/>
              </w:rPr>
              <w:t>Net loss</w:t>
            </w:r>
          </w:p>
        </w:tc>
        <w:tc>
          <w:tcPr>
            <w:tcW w:w="140" w:type="dxa"/>
            <w:vAlign w:val="bottom"/>
          </w:tcPr>
          <w:p>
            <w:pPr>
              <w:spacing w:after="0"/>
              <w:rPr>
                <w:sz w:val="20"/>
                <w:szCs w:val="20"/>
                <w:color w:val="auto"/>
              </w:rPr>
            </w:pPr>
          </w:p>
        </w:tc>
        <w:tc>
          <w:tcPr>
            <w:tcW w:w="202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(256.2)</w:t>
            </w:r>
          </w:p>
        </w:tc>
        <w:tc>
          <w:tcPr>
            <w:tcW w:w="320" w:type="dxa"/>
            <w:vAlign w:val="bottom"/>
          </w:tcPr>
          <w:p>
            <w:pPr>
              <w:spacing w:after="0"/>
              <w:rPr>
                <w:sz w:val="20"/>
                <w:szCs w:val="20"/>
                <w:color w:val="auto"/>
              </w:rPr>
            </w:pPr>
          </w:p>
        </w:tc>
        <w:tc>
          <w:tcPr>
            <w:tcW w:w="1620" w:type="dxa"/>
            <w:vAlign w:val="bottom"/>
          </w:tcPr>
          <w:p>
            <w:pPr>
              <w:jc w:val="right"/>
              <w:spacing w:after="0"/>
              <w:rPr>
                <w:sz w:val="20"/>
                <w:szCs w:val="20"/>
                <w:color w:val="auto"/>
              </w:rPr>
            </w:pPr>
            <w:r>
              <w:rPr>
                <w:rFonts w:ascii="Arial" w:cs="Arial" w:eastAsia="Arial" w:hAnsi="Arial"/>
                <w:sz w:val="18"/>
                <w:szCs w:val="18"/>
                <w:color w:val="auto"/>
              </w:rPr>
              <w:t>(335.3)</w:t>
            </w:r>
          </w:p>
        </w:tc>
      </w:tr>
    </w:tbl>
    <w:p>
      <w:pPr>
        <w:spacing w:after="0" w:line="183"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Short-Term Debt. </w:t>
      </w:r>
      <w:r>
        <w:rPr>
          <w:rFonts w:ascii="Arial" w:cs="Arial" w:eastAsia="Arial" w:hAnsi="Arial"/>
          <w:sz w:val="18"/>
          <w:szCs w:val="18"/>
          <w:color w:val="auto"/>
        </w:rPr>
        <w:t>The components of short-term debt were as follows: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040" w:type="dxa"/>
            <w:vAlign w:val="bottom"/>
          </w:tcPr>
          <w:p>
            <w:pPr>
              <w:spacing w:after="0"/>
              <w:rPr>
                <w:sz w:val="14"/>
                <w:szCs w:val="14"/>
                <w:color w:val="auto"/>
              </w:rPr>
            </w:pPr>
          </w:p>
        </w:tc>
        <w:tc>
          <w:tcPr>
            <w:tcW w:w="1820" w:type="dxa"/>
            <w:vAlign w:val="bottom"/>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560" w:type="dxa"/>
            <w:vAlign w:val="bottom"/>
            <w:tcBorders>
              <w:bottom w:val="single" w:sz="8" w:color="auto"/>
            </w:tcBorders>
          </w:tcPr>
          <w:p>
            <w:pPr>
              <w:jc w:val="right"/>
              <w:ind w:right="439"/>
              <w:spacing w:after="0"/>
              <w:rPr>
                <w:sz w:val="20"/>
                <w:szCs w:val="20"/>
                <w:color w:val="auto"/>
              </w:rPr>
            </w:pPr>
            <w:r>
              <w:rPr>
                <w:rFonts w:ascii="Arial" w:cs="Arial" w:eastAsia="Arial" w:hAnsi="Arial"/>
                <w:sz w:val="14"/>
                <w:szCs w:val="14"/>
                <w:b w:val="1"/>
                <w:bCs w:val="1"/>
                <w:color w:val="auto"/>
              </w:rPr>
              <w:t>June 30, 2022</w:t>
            </w:r>
          </w:p>
        </w:tc>
        <w:tc>
          <w:tcPr>
            <w:tcW w:w="300" w:type="dxa"/>
            <w:vAlign w:val="bottom"/>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600" w:type="dxa"/>
            <w:vAlign w:val="bottom"/>
            <w:tcBorders>
              <w:bottom w:val="single" w:sz="8" w:color="auto"/>
            </w:tcBorders>
          </w:tcPr>
          <w:p>
            <w:pPr>
              <w:jc w:val="right"/>
              <w:ind w:right="276"/>
              <w:spacing w:after="0"/>
              <w:rPr>
                <w:sz w:val="20"/>
                <w:szCs w:val="20"/>
                <w:color w:val="auto"/>
              </w:rPr>
            </w:pPr>
            <w:r>
              <w:rPr>
                <w:rFonts w:ascii="Arial" w:cs="Arial" w:eastAsia="Arial" w:hAnsi="Arial"/>
                <w:sz w:val="14"/>
                <w:szCs w:val="14"/>
                <w:b w:val="1"/>
                <w:bCs w:val="1"/>
                <w:color w:val="auto"/>
                <w:w w:val="96"/>
              </w:rPr>
              <w:t>December 31, 2021</w:t>
            </w:r>
          </w:p>
        </w:tc>
      </w:tr>
      <w:tr>
        <w:trPr>
          <w:trHeight w:val="129"/>
        </w:trPr>
        <w:tc>
          <w:tcPr>
            <w:tcW w:w="4040" w:type="dxa"/>
            <w:vAlign w:val="bottom"/>
          </w:tcPr>
          <w:p>
            <w:pPr>
              <w:spacing w:after="0"/>
              <w:rPr>
                <w:sz w:val="11"/>
                <w:szCs w:val="11"/>
                <w:color w:val="auto"/>
              </w:rPr>
            </w:pPr>
          </w:p>
        </w:tc>
        <w:tc>
          <w:tcPr>
            <w:tcW w:w="18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2140" w:type="dxa"/>
            <w:vAlign w:val="bottom"/>
            <w:gridSpan w:val="3"/>
          </w:tcPr>
          <w:p>
            <w:pPr>
              <w:jc w:val="right"/>
              <w:spacing w:after="0" w:line="129" w:lineRule="exact"/>
              <w:rPr>
                <w:sz w:val="20"/>
                <w:szCs w:val="20"/>
                <w:color w:val="auto"/>
              </w:rPr>
            </w:pPr>
            <w:r>
              <w:rPr>
                <w:rFonts w:ascii="Arial" w:cs="Arial" w:eastAsia="Arial" w:hAnsi="Arial"/>
                <w:sz w:val="14"/>
                <w:szCs w:val="14"/>
                <w:i w:val="1"/>
                <w:iCs w:val="1"/>
                <w:color w:val="auto"/>
              </w:rPr>
              <w:t>(in millions)</w:t>
            </w:r>
          </w:p>
        </w:tc>
        <w:tc>
          <w:tcPr>
            <w:tcW w:w="1600" w:type="dxa"/>
            <w:vAlign w:val="bottom"/>
          </w:tcPr>
          <w:p>
            <w:pPr>
              <w:spacing w:after="0"/>
              <w:rPr>
                <w:sz w:val="11"/>
                <w:szCs w:val="11"/>
                <w:color w:val="auto"/>
              </w:rPr>
            </w:pPr>
          </w:p>
        </w:tc>
      </w:tr>
      <w:tr>
        <w:trPr>
          <w:trHeight w:val="216"/>
        </w:trPr>
        <w:tc>
          <w:tcPr>
            <w:tcW w:w="4040" w:type="dxa"/>
            <w:vAlign w:val="bottom"/>
            <w:shd w:val="clear" w:color="auto" w:fill="CCEEFF"/>
          </w:tcPr>
          <w:p>
            <w:pPr>
              <w:spacing w:after="0"/>
              <w:rPr>
                <w:sz w:val="20"/>
                <w:szCs w:val="20"/>
                <w:color w:val="auto"/>
              </w:rPr>
            </w:pPr>
            <w:r>
              <w:rPr>
                <w:rFonts w:ascii="Arial" w:cs="Arial" w:eastAsia="Arial" w:hAnsi="Arial"/>
                <w:sz w:val="18"/>
                <w:szCs w:val="18"/>
                <w:color w:val="auto"/>
              </w:rPr>
              <w:t>Other recourse short-term debt</w:t>
            </w:r>
          </w:p>
        </w:tc>
        <w:tc>
          <w:tcPr>
            <w:tcW w:w="2140" w:type="dxa"/>
            <w:vAlign w:val="bottom"/>
            <w:gridSpan w:val="2"/>
            <w:shd w:val="clear" w:color="auto" w:fill="CCEEFF"/>
          </w:tcPr>
          <w:p>
            <w:pPr>
              <w:jc w:val="right"/>
              <w:ind w:right="130"/>
              <w:spacing w:after="0"/>
              <w:rPr>
                <w:sz w:val="20"/>
                <w:szCs w:val="20"/>
                <w:color w:val="auto"/>
              </w:rPr>
            </w:pPr>
            <w:r>
              <w:rPr>
                <w:rFonts w:ascii="Arial" w:cs="Arial" w:eastAsia="Arial" w:hAnsi="Arial"/>
                <w:sz w:val="18"/>
                <w:szCs w:val="18"/>
                <w:b w:val="1"/>
                <w:bCs w:val="1"/>
                <w:color w:val="auto"/>
              </w:rPr>
              <w:t>$</w:t>
            </w:r>
          </w:p>
        </w:tc>
        <w:tc>
          <w:tcPr>
            <w:tcW w:w="1560" w:type="dxa"/>
            <w:vAlign w:val="bottom"/>
            <w:shd w:val="clear" w:color="auto" w:fill="CCEEFF"/>
          </w:tcPr>
          <w:p>
            <w:pPr>
              <w:jc w:val="right"/>
              <w:ind w:right="19"/>
              <w:spacing w:after="0"/>
              <w:rPr>
                <w:sz w:val="20"/>
                <w:szCs w:val="20"/>
                <w:color w:val="auto"/>
              </w:rPr>
            </w:pPr>
            <w:r>
              <w:rPr>
                <w:rFonts w:ascii="Arial" w:cs="Arial" w:eastAsia="Arial" w:hAnsi="Arial"/>
                <w:sz w:val="18"/>
                <w:szCs w:val="18"/>
                <w:b w:val="1"/>
                <w:bCs w:val="1"/>
                <w:color w:val="auto"/>
              </w:rPr>
              <w:t>66.9</w:t>
            </w:r>
          </w:p>
        </w:tc>
        <w:tc>
          <w:tcPr>
            <w:tcW w:w="30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79.8</w:t>
            </w:r>
          </w:p>
        </w:tc>
      </w:tr>
      <w:tr>
        <w:trPr>
          <w:trHeight w:val="210"/>
        </w:trPr>
        <w:tc>
          <w:tcPr>
            <w:tcW w:w="4040" w:type="dxa"/>
            <w:vAlign w:val="bottom"/>
          </w:tcPr>
          <w:p>
            <w:pPr>
              <w:spacing w:after="0"/>
              <w:rPr>
                <w:sz w:val="20"/>
                <w:szCs w:val="20"/>
                <w:color w:val="auto"/>
              </w:rPr>
            </w:pPr>
            <w:r>
              <w:rPr>
                <w:rFonts w:ascii="Arial" w:cs="Arial" w:eastAsia="Arial" w:hAnsi="Arial"/>
                <w:sz w:val="18"/>
                <w:szCs w:val="18"/>
                <w:color w:val="auto"/>
              </w:rPr>
              <w:t>Total short-term debt</w:t>
            </w:r>
          </w:p>
        </w:tc>
        <w:tc>
          <w:tcPr>
            <w:tcW w:w="1820" w:type="dxa"/>
            <w:vAlign w:val="bottom"/>
          </w:tcPr>
          <w:p>
            <w:pPr>
              <w:spacing w:after="0"/>
              <w:rPr>
                <w:sz w:val="18"/>
                <w:szCs w:val="18"/>
                <w:color w:val="auto"/>
              </w:rPr>
            </w:pPr>
          </w:p>
        </w:tc>
        <w:tc>
          <w:tcPr>
            <w:tcW w:w="32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8"/>
                <w:szCs w:val="18"/>
                <w:b w:val="1"/>
                <w:bCs w:val="1"/>
                <w:color w:val="auto"/>
                <w:w w:val="79"/>
              </w:rPr>
              <w:t>$</w:t>
            </w:r>
          </w:p>
        </w:tc>
        <w:tc>
          <w:tcPr>
            <w:tcW w:w="156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8"/>
                <w:szCs w:val="18"/>
                <w:b w:val="1"/>
                <w:bCs w:val="1"/>
                <w:color w:val="auto"/>
              </w:rPr>
              <w:t>66.9</w:t>
            </w:r>
          </w:p>
        </w:tc>
        <w:tc>
          <w:tcPr>
            <w:tcW w:w="300" w:type="dxa"/>
            <w:vAlign w:val="bottom"/>
          </w:tcPr>
          <w:p>
            <w:pPr>
              <w:spacing w:after="0"/>
              <w:rPr>
                <w:sz w:val="18"/>
                <w:szCs w:val="18"/>
                <w:color w:val="auto"/>
              </w:rPr>
            </w:pPr>
          </w:p>
        </w:tc>
        <w:tc>
          <w:tcPr>
            <w:tcW w:w="28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w w:val="79"/>
              </w:rPr>
              <w:t>$</w:t>
            </w:r>
          </w:p>
        </w:tc>
        <w:tc>
          <w:tcPr>
            <w:tcW w:w="1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79.8</w:t>
            </w:r>
          </w:p>
        </w:tc>
      </w:tr>
      <w:tr>
        <w:trPr>
          <w:trHeight w:val="20"/>
        </w:trPr>
        <w:tc>
          <w:tcPr>
            <w:tcW w:w="4040" w:type="dxa"/>
            <w:vAlign w:val="bottom"/>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460" w:firstLine="648"/>
        <w:spacing w:after="0" w:line="277" w:lineRule="auto"/>
        <w:rPr>
          <w:sz w:val="20"/>
          <w:szCs w:val="20"/>
          <w:color w:val="auto"/>
        </w:rPr>
      </w:pPr>
      <w:r>
        <w:rPr>
          <w:rFonts w:ascii="Arial" w:cs="Arial" w:eastAsia="Arial" w:hAnsi="Arial"/>
          <w:sz w:val="18"/>
          <w:szCs w:val="18"/>
          <w:color w:val="auto"/>
        </w:rPr>
        <w:t>The short-term credit facilities are used for general corporate purposes and borrowings outstanding can fluctuate as part of working capital management.</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7"/>
          <w:szCs w:val="17"/>
          <w:b w:val="1"/>
          <w:bCs w:val="1"/>
          <w:i w:val="1"/>
          <w:iCs w:val="1"/>
          <w:color w:val="auto"/>
        </w:rPr>
        <w:t xml:space="preserve">Long-Term Debt. </w:t>
      </w:r>
      <w:r>
        <w:rPr>
          <w:rFonts w:ascii="Arial" w:cs="Arial" w:eastAsia="Arial" w:hAnsi="Arial"/>
          <w:sz w:val="17"/>
          <w:szCs w:val="17"/>
          <w:color w:val="auto"/>
        </w:rPr>
        <w:t>As of June 30, 2022, no significant changes have occurred to long-term debt since December 31, 2021.</w:t>
      </w:r>
    </w:p>
    <w:p>
      <w:pPr>
        <w:spacing w:after="0" w:line="237" w:lineRule="exact"/>
        <w:rPr>
          <w:sz w:val="20"/>
          <w:szCs w:val="20"/>
          <w:color w:val="auto"/>
        </w:rPr>
      </w:pPr>
    </w:p>
    <w:p>
      <w:pPr>
        <w:ind w:right="640" w:firstLine="648"/>
        <w:spacing w:after="0" w:line="263" w:lineRule="auto"/>
        <w:rPr>
          <w:sz w:val="20"/>
          <w:szCs w:val="20"/>
          <w:color w:val="auto"/>
        </w:rPr>
      </w:pPr>
      <w:r>
        <w:rPr>
          <w:rFonts w:ascii="Arial" w:cs="Arial" w:eastAsia="Arial" w:hAnsi="Arial"/>
          <w:sz w:val="18"/>
          <w:szCs w:val="18"/>
          <w:b w:val="1"/>
          <w:bCs w:val="1"/>
          <w:i w:val="1"/>
          <w:iCs w:val="1"/>
          <w:color w:val="auto"/>
        </w:rPr>
        <w:t xml:space="preserve">Contingent Funding Agreements for Senior Debt Issuance. </w:t>
      </w:r>
      <w:r>
        <w:rPr>
          <w:rFonts w:ascii="Arial" w:cs="Arial" w:eastAsia="Arial" w:hAnsi="Arial"/>
          <w:sz w:val="18"/>
          <w:szCs w:val="18"/>
          <w:color w:val="auto"/>
        </w:rPr>
        <w:t>In March 2018, we entered into two contingent funding</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agreements that give us the right at any time over a ten-year or thirty-year period to issue up to $400.0 million or $350.0 million, respectively, of senior notes.</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540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107" w:name="page108"/>
    <w:bookmarkEnd w:id="107"/>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9"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Stockholders’ Equity. </w:t>
      </w:r>
      <w:r>
        <w:rPr>
          <w:rFonts w:ascii="Arial" w:cs="Arial" w:eastAsia="Arial" w:hAnsi="Arial"/>
          <w:sz w:val="18"/>
          <w:szCs w:val="18"/>
          <w:color w:val="auto"/>
        </w:rPr>
        <w:t>The following table summarizes our return of capital to common stockholders.</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480" w:type="dxa"/>
            <w:vAlign w:val="bottom"/>
          </w:tcPr>
          <w:p>
            <w:pPr>
              <w:spacing w:after="0"/>
              <w:rPr>
                <w:sz w:val="14"/>
                <w:szCs w:val="14"/>
                <w:color w:val="auto"/>
              </w:rPr>
            </w:pPr>
          </w:p>
        </w:tc>
        <w:tc>
          <w:tcPr>
            <w:tcW w:w="2600" w:type="dxa"/>
            <w:vAlign w:val="bottom"/>
          </w:tcPr>
          <w:p>
            <w:pPr>
              <w:spacing w:after="0"/>
              <w:rPr>
                <w:sz w:val="14"/>
                <w:szCs w:val="14"/>
                <w:color w:val="auto"/>
              </w:rPr>
            </w:pPr>
          </w:p>
        </w:tc>
        <w:tc>
          <w:tcPr>
            <w:tcW w:w="1780" w:type="dxa"/>
            <w:vAlign w:val="bottom"/>
          </w:tcPr>
          <w:p>
            <w:pPr>
              <w:spacing w:after="0"/>
              <w:rPr>
                <w:sz w:val="14"/>
                <w:szCs w:val="14"/>
                <w:color w:val="auto"/>
              </w:rPr>
            </w:pPr>
          </w:p>
        </w:tc>
        <w:tc>
          <w:tcPr>
            <w:tcW w:w="1580" w:type="dxa"/>
            <w:vAlign w:val="bottom"/>
            <w:gridSpan w:val="2"/>
          </w:tcPr>
          <w:p>
            <w:pPr>
              <w:ind w:left="20"/>
              <w:spacing w:after="0"/>
              <w:rPr>
                <w:sz w:val="20"/>
                <w:szCs w:val="20"/>
                <w:color w:val="auto"/>
              </w:rPr>
            </w:pPr>
            <w:r>
              <w:rPr>
                <w:rFonts w:ascii="Arial" w:cs="Arial" w:eastAsia="Arial" w:hAnsi="Arial"/>
                <w:sz w:val="14"/>
                <w:szCs w:val="14"/>
                <w:b w:val="1"/>
                <w:bCs w:val="1"/>
                <w:color w:val="auto"/>
                <w:w w:val="90"/>
              </w:rPr>
              <w:t>For the six months ended</w:t>
            </w:r>
          </w:p>
        </w:tc>
        <w:tc>
          <w:tcPr>
            <w:tcW w:w="180" w:type="dxa"/>
            <w:vAlign w:val="bottom"/>
          </w:tcPr>
          <w:p>
            <w:pPr>
              <w:spacing w:after="0"/>
              <w:rPr>
                <w:sz w:val="14"/>
                <w:szCs w:val="14"/>
                <w:color w:val="auto"/>
              </w:rPr>
            </w:pPr>
          </w:p>
        </w:tc>
        <w:tc>
          <w:tcPr>
            <w:tcW w:w="1300" w:type="dxa"/>
            <w:vAlign w:val="bottom"/>
            <w:gridSpan w:val="2"/>
          </w:tcPr>
          <w:p>
            <w:pPr>
              <w:jc w:val="right"/>
              <w:spacing w:after="0"/>
              <w:rPr>
                <w:sz w:val="20"/>
                <w:szCs w:val="20"/>
                <w:color w:val="auto"/>
              </w:rPr>
            </w:pPr>
            <w:r>
              <w:rPr>
                <w:rFonts w:ascii="Arial" w:cs="Arial" w:eastAsia="Arial" w:hAnsi="Arial"/>
                <w:sz w:val="14"/>
                <w:szCs w:val="14"/>
                <w:b w:val="1"/>
                <w:bCs w:val="1"/>
                <w:color w:val="auto"/>
                <w:w w:val="95"/>
              </w:rPr>
              <w:t>For the year ended</w:t>
            </w:r>
          </w:p>
        </w:tc>
      </w:tr>
      <w:tr>
        <w:trPr>
          <w:trHeight w:val="171"/>
        </w:trPr>
        <w:tc>
          <w:tcPr>
            <w:tcW w:w="2480" w:type="dxa"/>
            <w:vAlign w:val="bottom"/>
          </w:tcPr>
          <w:p>
            <w:pPr>
              <w:spacing w:after="0"/>
              <w:rPr>
                <w:sz w:val="14"/>
                <w:szCs w:val="14"/>
                <w:color w:val="auto"/>
              </w:rPr>
            </w:pPr>
          </w:p>
        </w:tc>
        <w:tc>
          <w:tcPr>
            <w:tcW w:w="2600" w:type="dxa"/>
            <w:vAlign w:val="bottom"/>
          </w:tcPr>
          <w:p>
            <w:pPr>
              <w:spacing w:after="0"/>
              <w:rPr>
                <w:sz w:val="14"/>
                <w:szCs w:val="14"/>
                <w:color w:val="auto"/>
              </w:rPr>
            </w:pPr>
          </w:p>
        </w:tc>
        <w:tc>
          <w:tcPr>
            <w:tcW w:w="178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340" w:type="dxa"/>
            <w:vAlign w:val="bottom"/>
            <w:tcBorders>
              <w:bottom w:val="single" w:sz="8" w:color="auto"/>
            </w:tcBorders>
          </w:tcPr>
          <w:p>
            <w:pPr>
              <w:jc w:val="right"/>
              <w:ind w:right="277"/>
              <w:spacing w:after="0"/>
              <w:rPr>
                <w:sz w:val="20"/>
                <w:szCs w:val="20"/>
                <w:color w:val="auto"/>
              </w:rPr>
            </w:pPr>
            <w:r>
              <w:rPr>
                <w:rFonts w:ascii="Arial" w:cs="Arial" w:eastAsia="Arial" w:hAnsi="Arial"/>
                <w:sz w:val="14"/>
                <w:szCs w:val="14"/>
                <w:b w:val="1"/>
                <w:bCs w:val="1"/>
                <w:color w:val="auto"/>
              </w:rPr>
              <w:t>June 30, 2022</w:t>
            </w:r>
          </w:p>
        </w:tc>
        <w:tc>
          <w:tcPr>
            <w:tcW w:w="180" w:type="dxa"/>
            <w:vAlign w:val="bottom"/>
          </w:tcPr>
          <w:p>
            <w:pPr>
              <w:spacing w:after="0"/>
              <w:rPr>
                <w:sz w:val="14"/>
                <w:szCs w:val="14"/>
                <w:color w:val="auto"/>
              </w:rPr>
            </w:pPr>
          </w:p>
        </w:tc>
        <w:tc>
          <w:tcPr>
            <w:tcW w:w="130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6"/>
              </w:rPr>
              <w:t>December 31, 2021</w:t>
            </w:r>
          </w:p>
        </w:tc>
      </w:tr>
      <w:tr>
        <w:trPr>
          <w:trHeight w:val="129"/>
        </w:trPr>
        <w:tc>
          <w:tcPr>
            <w:tcW w:w="248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7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520" w:type="dxa"/>
            <w:vAlign w:val="bottom"/>
            <w:gridSpan w:val="2"/>
          </w:tcPr>
          <w:p>
            <w:pPr>
              <w:ind w:left="940"/>
              <w:spacing w:after="0" w:line="129" w:lineRule="exact"/>
              <w:rPr>
                <w:sz w:val="20"/>
                <w:szCs w:val="20"/>
                <w:color w:val="auto"/>
              </w:rPr>
            </w:pPr>
            <w:r>
              <w:rPr>
                <w:rFonts w:ascii="Arial" w:cs="Arial" w:eastAsia="Arial" w:hAnsi="Arial"/>
                <w:sz w:val="14"/>
                <w:szCs w:val="14"/>
                <w:i w:val="1"/>
                <w:iCs w:val="1"/>
                <w:color w:val="auto"/>
                <w:w w:val="79"/>
              </w:rPr>
              <w:t>(in millions)</w:t>
            </w:r>
          </w:p>
        </w:tc>
        <w:tc>
          <w:tcPr>
            <w:tcW w:w="420" w:type="dxa"/>
            <w:vAlign w:val="bottom"/>
          </w:tcPr>
          <w:p>
            <w:pPr>
              <w:spacing w:after="0"/>
              <w:rPr>
                <w:sz w:val="11"/>
                <w:szCs w:val="11"/>
                <w:color w:val="auto"/>
              </w:rPr>
            </w:pPr>
          </w:p>
        </w:tc>
        <w:tc>
          <w:tcPr>
            <w:tcW w:w="880" w:type="dxa"/>
            <w:vAlign w:val="bottom"/>
          </w:tcPr>
          <w:p>
            <w:pPr>
              <w:spacing w:after="0"/>
              <w:rPr>
                <w:sz w:val="11"/>
                <w:szCs w:val="11"/>
                <w:color w:val="auto"/>
              </w:rPr>
            </w:pPr>
          </w:p>
        </w:tc>
      </w:tr>
      <w:tr>
        <w:trPr>
          <w:trHeight w:val="216"/>
        </w:trPr>
        <w:tc>
          <w:tcPr>
            <w:tcW w:w="50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Dividends to stockholders</w:t>
            </w:r>
          </w:p>
        </w:tc>
        <w:tc>
          <w:tcPr>
            <w:tcW w:w="2020" w:type="dxa"/>
            <w:vAlign w:val="bottom"/>
            <w:gridSpan w:val="2"/>
            <w:shd w:val="clear" w:color="auto" w:fill="CCEEFF"/>
          </w:tcPr>
          <w:p>
            <w:pPr>
              <w:ind w:left="1780"/>
              <w:spacing w:after="0"/>
              <w:rPr>
                <w:sz w:val="20"/>
                <w:szCs w:val="20"/>
                <w:color w:val="auto"/>
              </w:rPr>
            </w:pPr>
            <w:r>
              <w:rPr>
                <w:rFonts w:ascii="Arial" w:cs="Arial" w:eastAsia="Arial" w:hAnsi="Arial"/>
                <w:sz w:val="18"/>
                <w:szCs w:val="18"/>
                <w:b w:val="1"/>
                <w:bCs w:val="1"/>
                <w:color w:val="auto"/>
              </w:rPr>
              <w:t>$</w:t>
            </w: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328.7</w:t>
            </w:r>
          </w:p>
        </w:tc>
        <w:tc>
          <w:tcPr>
            <w:tcW w:w="600" w:type="dxa"/>
            <w:vAlign w:val="bottom"/>
            <w:gridSpan w:val="2"/>
            <w:shd w:val="clear" w:color="auto" w:fill="CCEEFF"/>
          </w:tcPr>
          <w:p>
            <w:pPr>
              <w:jc w:val="right"/>
              <w:ind w:right="242"/>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654.1</w:t>
            </w:r>
          </w:p>
        </w:tc>
      </w:tr>
      <w:tr>
        <w:trPr>
          <w:trHeight w:val="216"/>
        </w:trPr>
        <w:tc>
          <w:tcPr>
            <w:tcW w:w="5080" w:type="dxa"/>
            <w:vAlign w:val="bottom"/>
            <w:tcBorders>
              <w:bottom w:val="single" w:sz="8" w:color="CCEEFF"/>
            </w:tcBorders>
            <w:gridSpan w:val="2"/>
          </w:tcPr>
          <w:p>
            <w:pPr>
              <w:spacing w:after="0"/>
              <w:rPr>
                <w:sz w:val="20"/>
                <w:szCs w:val="20"/>
                <w:color w:val="auto"/>
              </w:rPr>
            </w:pPr>
            <w:r>
              <w:rPr>
                <w:rFonts w:ascii="Arial" w:cs="Arial" w:eastAsia="Arial" w:hAnsi="Arial"/>
                <w:sz w:val="18"/>
                <w:szCs w:val="18"/>
                <w:color w:val="auto"/>
              </w:rPr>
              <w:t>Repurchase of common stock (1)</w:t>
            </w:r>
          </w:p>
        </w:tc>
        <w:tc>
          <w:tcPr>
            <w:tcW w:w="178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951.3</w:t>
            </w:r>
          </w:p>
        </w:tc>
        <w:tc>
          <w:tcPr>
            <w:tcW w:w="180" w:type="dxa"/>
            <w:vAlign w:val="bottom"/>
            <w:tcBorders>
              <w:bottom w:val="single" w:sz="8" w:color="CCEEFF"/>
            </w:tcBorders>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937.2</w:t>
            </w:r>
          </w:p>
        </w:tc>
      </w:tr>
      <w:tr>
        <w:trPr>
          <w:trHeight w:val="209"/>
        </w:trPr>
        <w:tc>
          <w:tcPr>
            <w:tcW w:w="5080" w:type="dxa"/>
            <w:vAlign w:val="bottom"/>
            <w:tcBorders>
              <w:bottom w:val="single" w:sz="8" w:color="CCEEFF"/>
            </w:tcBorders>
            <w:gridSpan w:val="2"/>
            <w:shd w:val="clear" w:color="auto" w:fill="CCEEFF"/>
          </w:tcPr>
          <w:p>
            <w:pPr>
              <w:ind w:left="120"/>
              <w:spacing w:after="0"/>
              <w:rPr>
                <w:sz w:val="20"/>
                <w:szCs w:val="20"/>
                <w:color w:val="auto"/>
              </w:rPr>
            </w:pPr>
            <w:r>
              <w:rPr>
                <w:rFonts w:ascii="Arial" w:cs="Arial" w:eastAsia="Arial" w:hAnsi="Arial"/>
                <w:sz w:val="18"/>
                <w:szCs w:val="18"/>
                <w:color w:val="auto"/>
              </w:rPr>
              <w:t>Total cash returned to common stockholders</w:t>
            </w:r>
          </w:p>
        </w:tc>
        <w:tc>
          <w:tcPr>
            <w:tcW w:w="1780" w:type="dxa"/>
            <w:vAlign w:val="bottom"/>
            <w:tcBorders>
              <w:bottom w:val="single" w:sz="8" w:color="CCEEFF"/>
            </w:tcBorders>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rPr>
              <w:t>$</w:t>
            </w: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1,280.0</w:t>
            </w:r>
          </w:p>
        </w:tc>
        <w:tc>
          <w:tcPr>
            <w:tcW w:w="180" w:type="dxa"/>
            <w:vAlign w:val="bottom"/>
            <w:tcBorders>
              <w:bottom w:val="single" w:sz="8" w:color="CCEEFF"/>
            </w:tcBorders>
            <w:shd w:val="clear" w:color="auto" w:fill="CCEEFF"/>
          </w:tcPr>
          <w:p>
            <w:pPr>
              <w:spacing w:after="0"/>
              <w:rPr>
                <w:sz w:val="18"/>
                <w:szCs w:val="18"/>
                <w:color w:val="auto"/>
              </w:rPr>
            </w:pPr>
          </w:p>
        </w:tc>
        <w:tc>
          <w:tcPr>
            <w:tcW w:w="420" w:type="dxa"/>
            <w:vAlign w:val="bottom"/>
            <w:tcBorders>
              <w:bottom w:val="single" w:sz="8" w:color="auto"/>
            </w:tcBorders>
            <w:shd w:val="clear" w:color="auto" w:fill="CCEEFF"/>
          </w:tcPr>
          <w:p>
            <w:pPr>
              <w:jc w:val="right"/>
              <w:ind w:right="242"/>
              <w:spacing w:after="0"/>
              <w:rPr>
                <w:sz w:val="20"/>
                <w:szCs w:val="20"/>
                <w:color w:val="auto"/>
              </w:rPr>
            </w:pPr>
            <w:r>
              <w:rPr>
                <w:rFonts w:ascii="Arial" w:cs="Arial" w:eastAsia="Arial" w:hAnsi="Arial"/>
                <w:sz w:val="18"/>
                <w:szCs w:val="18"/>
                <w:color w:val="auto"/>
                <w:w w:val="79"/>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1,591.3</w:t>
            </w:r>
          </w:p>
        </w:tc>
      </w:tr>
      <w:tr>
        <w:trPr>
          <w:trHeight w:val="20"/>
        </w:trPr>
        <w:tc>
          <w:tcPr>
            <w:tcW w:w="2480" w:type="dxa"/>
            <w:vAlign w:val="bottom"/>
          </w:tcPr>
          <w:p>
            <w:pPr>
              <w:spacing w:after="0" w:line="20" w:lineRule="exact"/>
              <w:rPr>
                <w:sz w:val="1"/>
                <w:szCs w:val="1"/>
                <w:color w:val="auto"/>
              </w:rPr>
            </w:pPr>
          </w:p>
        </w:tc>
        <w:tc>
          <w:tcPr>
            <w:tcW w:w="260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r>
      <w:tr>
        <w:trPr>
          <w:trHeight w:val="89"/>
        </w:trPr>
        <w:tc>
          <w:tcPr>
            <w:tcW w:w="2480" w:type="dxa"/>
            <w:vAlign w:val="bottom"/>
            <w:tcBorders>
              <w:bottom w:val="single" w:sz="8" w:color="auto"/>
            </w:tcBorders>
          </w:tcPr>
          <w:p>
            <w:pPr>
              <w:spacing w:after="0"/>
              <w:rPr>
                <w:sz w:val="7"/>
                <w:szCs w:val="7"/>
                <w:color w:val="auto"/>
              </w:rPr>
            </w:pPr>
          </w:p>
        </w:tc>
        <w:tc>
          <w:tcPr>
            <w:tcW w:w="2600" w:type="dxa"/>
            <w:vAlign w:val="bottom"/>
          </w:tcPr>
          <w:p>
            <w:pPr>
              <w:spacing w:after="0"/>
              <w:rPr>
                <w:sz w:val="7"/>
                <w:szCs w:val="7"/>
                <w:color w:val="auto"/>
              </w:rPr>
            </w:pPr>
          </w:p>
        </w:tc>
        <w:tc>
          <w:tcPr>
            <w:tcW w:w="1780" w:type="dxa"/>
            <w:vAlign w:val="bottom"/>
          </w:tcPr>
          <w:p>
            <w:pPr>
              <w:spacing w:after="0"/>
              <w:rPr>
                <w:sz w:val="7"/>
                <w:szCs w:val="7"/>
                <w:color w:val="auto"/>
              </w:rPr>
            </w:pPr>
          </w:p>
        </w:tc>
        <w:tc>
          <w:tcPr>
            <w:tcW w:w="240" w:type="dxa"/>
            <w:vAlign w:val="bottom"/>
          </w:tcPr>
          <w:p>
            <w:pPr>
              <w:spacing w:after="0"/>
              <w:rPr>
                <w:sz w:val="7"/>
                <w:szCs w:val="7"/>
                <w:color w:val="auto"/>
              </w:rPr>
            </w:pPr>
          </w:p>
        </w:tc>
        <w:tc>
          <w:tcPr>
            <w:tcW w:w="1340" w:type="dxa"/>
            <w:vAlign w:val="bottom"/>
          </w:tcPr>
          <w:p>
            <w:pPr>
              <w:spacing w:after="0"/>
              <w:rPr>
                <w:sz w:val="7"/>
                <w:szCs w:val="7"/>
                <w:color w:val="auto"/>
              </w:rPr>
            </w:pPr>
          </w:p>
        </w:tc>
        <w:tc>
          <w:tcPr>
            <w:tcW w:w="180" w:type="dxa"/>
            <w:vAlign w:val="bottom"/>
          </w:tcPr>
          <w:p>
            <w:pPr>
              <w:spacing w:after="0"/>
              <w:rPr>
                <w:sz w:val="7"/>
                <w:szCs w:val="7"/>
                <w:color w:val="auto"/>
              </w:rPr>
            </w:pPr>
          </w:p>
        </w:tc>
        <w:tc>
          <w:tcPr>
            <w:tcW w:w="420" w:type="dxa"/>
            <w:vAlign w:val="bottom"/>
          </w:tcPr>
          <w:p>
            <w:pPr>
              <w:spacing w:after="0"/>
              <w:rPr>
                <w:sz w:val="7"/>
                <w:szCs w:val="7"/>
                <w:color w:val="auto"/>
              </w:rPr>
            </w:pPr>
          </w:p>
        </w:tc>
        <w:tc>
          <w:tcPr>
            <w:tcW w:w="880" w:type="dxa"/>
            <w:vAlign w:val="bottom"/>
          </w:tcPr>
          <w:p>
            <w:pPr>
              <w:spacing w:after="0"/>
              <w:rPr>
                <w:sz w:val="7"/>
                <w:szCs w:val="7"/>
                <w:color w:val="auto"/>
              </w:rPr>
            </w:pPr>
          </w:p>
        </w:tc>
      </w:tr>
    </w:tbl>
    <w:p>
      <w:pPr>
        <w:spacing w:after="0" w:line="80" w:lineRule="exact"/>
        <w:rPr>
          <w:sz w:val="20"/>
          <w:szCs w:val="20"/>
          <w:color w:val="auto"/>
        </w:rPr>
      </w:pPr>
    </w:p>
    <w:p>
      <w:pPr>
        <w:ind w:left="340" w:right="540" w:hanging="332"/>
        <w:spacing w:after="0" w:line="277" w:lineRule="auto"/>
        <w:tabs>
          <w:tab w:leader="none" w:pos="340" w:val="left"/>
        </w:tabs>
        <w:numPr>
          <w:ilvl w:val="0"/>
          <w:numId w:val="47"/>
        </w:numPr>
        <w:rPr>
          <w:rFonts w:ascii="Arial" w:cs="Arial" w:eastAsia="Arial" w:hAnsi="Arial"/>
          <w:sz w:val="18"/>
          <w:szCs w:val="18"/>
          <w:color w:val="auto"/>
        </w:rPr>
      </w:pPr>
      <w:r>
        <w:rPr>
          <w:rFonts w:ascii="Arial" w:cs="Arial" w:eastAsia="Arial" w:hAnsi="Arial"/>
          <w:sz w:val="18"/>
          <w:szCs w:val="18"/>
          <w:color w:val="auto"/>
        </w:rPr>
        <w:t>Includes common stock utilized to execute certain stock incentive awards and shares purchased as part of publicly announced programs.</w:t>
      </w:r>
    </w:p>
    <w:p>
      <w:pPr>
        <w:spacing w:after="0" w:line="170" w:lineRule="exact"/>
        <w:rPr>
          <w:sz w:val="20"/>
          <w:szCs w:val="20"/>
          <w:color w:val="auto"/>
        </w:rPr>
      </w:pPr>
    </w:p>
    <w:p>
      <w:pPr>
        <w:ind w:right="280" w:firstLine="648"/>
        <w:spacing w:after="0" w:line="277" w:lineRule="auto"/>
        <w:rPr>
          <w:sz w:val="20"/>
          <w:szCs w:val="20"/>
          <w:color w:val="auto"/>
        </w:rPr>
      </w:pPr>
      <w:r>
        <w:rPr>
          <w:rFonts w:ascii="Arial" w:cs="Arial" w:eastAsia="Arial" w:hAnsi="Arial"/>
          <w:sz w:val="18"/>
          <w:szCs w:val="18"/>
          <w:color w:val="auto"/>
        </w:rPr>
        <w:t>In March 2022, we entered into an accelerated share repurchase program with a third party financial institution to repurchase $700.0 million of common stock. This program closed in June 2022.</w:t>
      </w:r>
    </w:p>
    <w:p>
      <w:pPr>
        <w:spacing w:after="0" w:line="170" w:lineRule="exact"/>
        <w:rPr>
          <w:sz w:val="20"/>
          <w:szCs w:val="20"/>
          <w:color w:val="auto"/>
        </w:rPr>
      </w:pPr>
    </w:p>
    <w:p>
      <w:pPr>
        <w:ind w:right="20" w:firstLine="648"/>
        <w:spacing w:after="0" w:line="277" w:lineRule="auto"/>
        <w:rPr>
          <w:sz w:val="20"/>
          <w:szCs w:val="20"/>
          <w:color w:val="auto"/>
        </w:rPr>
      </w:pPr>
      <w:r>
        <w:rPr>
          <w:rFonts w:ascii="Arial" w:cs="Arial" w:eastAsia="Arial" w:hAnsi="Arial"/>
          <w:sz w:val="18"/>
          <w:szCs w:val="18"/>
          <w:color w:val="auto"/>
        </w:rPr>
        <w:t>For additional stockholders’ equity information, see Item 1. “Financial Statements, Notes to Unaudited Condensed Consolidated Financial Statements, Note 11, Stockholders’ Equity.”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Capitalization</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summarizes our capital structure:</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694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tcPr>
          <w:p>
            <w:pPr>
              <w:jc w:val="right"/>
              <w:ind w:right="135"/>
              <w:spacing w:after="0"/>
              <w:rPr>
                <w:sz w:val="20"/>
                <w:szCs w:val="20"/>
                <w:color w:val="auto"/>
              </w:rPr>
            </w:pPr>
            <w:r>
              <w:rPr>
                <w:rFonts w:ascii="Arial" w:cs="Arial" w:eastAsia="Arial" w:hAnsi="Arial"/>
                <w:sz w:val="14"/>
                <w:szCs w:val="14"/>
                <w:b w:val="1"/>
                <w:bCs w:val="1"/>
                <w:color w:val="auto"/>
                <w:w w:val="96"/>
              </w:rPr>
              <w:t>June 30, 2022</w:t>
            </w:r>
          </w:p>
        </w:tc>
        <w:tc>
          <w:tcPr>
            <w:tcW w:w="260" w:type="dxa"/>
            <w:vAlign w:val="bottom"/>
          </w:tcPr>
          <w:p>
            <w:pPr>
              <w:spacing w:after="0"/>
              <w:rPr>
                <w:sz w:val="14"/>
                <w:szCs w:val="14"/>
                <w:color w:val="auto"/>
              </w:rPr>
            </w:pPr>
          </w:p>
        </w:tc>
        <w:tc>
          <w:tcPr>
            <w:tcW w:w="126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3"/>
              </w:rPr>
              <w:t>December 31, 2021</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9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0" w:type="dxa"/>
            <w:vAlign w:val="bottom"/>
            <w:gridSpan w:val="3"/>
          </w:tcPr>
          <w:p>
            <w:pPr>
              <w:jc w:val="right"/>
              <w:ind w:right="76"/>
              <w:spacing w:after="0" w:line="129" w:lineRule="exact"/>
              <w:rPr>
                <w:sz w:val="20"/>
                <w:szCs w:val="20"/>
                <w:color w:val="auto"/>
              </w:rPr>
            </w:pPr>
            <w:r>
              <w:rPr>
                <w:rFonts w:ascii="Arial" w:cs="Arial" w:eastAsia="Arial" w:hAnsi="Arial"/>
                <w:sz w:val="14"/>
                <w:szCs w:val="14"/>
                <w:i w:val="1"/>
                <w:iCs w:val="1"/>
                <w:color w:val="auto"/>
              </w:rPr>
              <w:t>($ in millions)</w:t>
            </w:r>
          </w:p>
        </w:tc>
        <w:tc>
          <w:tcPr>
            <w:tcW w:w="8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8"/>
                <w:szCs w:val="18"/>
                <w:color w:val="auto"/>
              </w:rPr>
              <w:t>Debt:</w:t>
            </w:r>
          </w:p>
        </w:tc>
        <w:tc>
          <w:tcPr>
            <w:tcW w:w="16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tcPr>
          <w:p>
            <w:pPr>
              <w:ind w:left="100"/>
              <w:spacing w:after="0"/>
              <w:rPr>
                <w:sz w:val="20"/>
                <w:szCs w:val="20"/>
                <w:color w:val="auto"/>
              </w:rPr>
            </w:pPr>
            <w:r>
              <w:rPr>
                <w:rFonts w:ascii="Arial" w:cs="Arial" w:eastAsia="Arial" w:hAnsi="Arial"/>
                <w:sz w:val="18"/>
                <w:szCs w:val="18"/>
                <w:color w:val="auto"/>
              </w:rPr>
              <w:t>Short-term debt</w:t>
            </w:r>
          </w:p>
        </w:tc>
        <w:tc>
          <w:tcPr>
            <w:tcW w:w="16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120" w:type="dxa"/>
            <w:vAlign w:val="bottom"/>
          </w:tcPr>
          <w:p>
            <w:pPr>
              <w:jc w:val="right"/>
              <w:spacing w:after="0"/>
              <w:rPr>
                <w:sz w:val="20"/>
                <w:szCs w:val="20"/>
                <w:color w:val="auto"/>
              </w:rPr>
            </w:pPr>
            <w:r>
              <w:rPr>
                <w:rFonts w:ascii="Arial" w:cs="Arial" w:eastAsia="Arial" w:hAnsi="Arial"/>
                <w:sz w:val="18"/>
                <w:szCs w:val="18"/>
                <w:b w:val="1"/>
                <w:bCs w:val="1"/>
                <w:color w:val="auto"/>
              </w:rPr>
              <w:t>66.9</w:t>
            </w:r>
          </w:p>
        </w:tc>
        <w:tc>
          <w:tcPr>
            <w:tcW w:w="260" w:type="dxa"/>
            <w:vAlign w:val="bottom"/>
          </w:tcPr>
          <w:p>
            <w:pPr>
              <w:spacing w:after="0"/>
              <w:rPr>
                <w:sz w:val="18"/>
                <w:szCs w:val="18"/>
                <w:color w:val="auto"/>
              </w:rPr>
            </w:pPr>
          </w:p>
        </w:tc>
        <w:tc>
          <w:tcPr>
            <w:tcW w:w="420" w:type="dxa"/>
            <w:vAlign w:val="bottom"/>
          </w:tcPr>
          <w:p>
            <w:pPr>
              <w:jc w:val="right"/>
              <w:ind w:right="236"/>
              <w:spacing w:after="0"/>
              <w:rPr>
                <w:sz w:val="20"/>
                <w:szCs w:val="20"/>
                <w:color w:val="auto"/>
              </w:rPr>
            </w:pPr>
            <w:r>
              <w:rPr>
                <w:rFonts w:ascii="Arial" w:cs="Arial" w:eastAsia="Arial" w:hAnsi="Arial"/>
                <w:sz w:val="18"/>
                <w:szCs w:val="18"/>
                <w:color w:val="auto"/>
                <w:w w:val="79"/>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79.8</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ind w:left="100"/>
              <w:spacing w:after="0"/>
              <w:rPr>
                <w:sz w:val="20"/>
                <w:szCs w:val="20"/>
                <w:color w:val="auto"/>
              </w:rPr>
            </w:pPr>
            <w:r>
              <w:rPr>
                <w:rFonts w:ascii="Arial" w:cs="Arial" w:eastAsia="Arial" w:hAnsi="Arial"/>
                <w:sz w:val="18"/>
                <w:szCs w:val="18"/>
                <w:color w:val="auto"/>
              </w:rPr>
              <w:t>Long-term debt</w:t>
            </w:r>
          </w:p>
        </w:tc>
        <w:tc>
          <w:tcPr>
            <w:tcW w:w="16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4,280.7</w:t>
            </w:r>
          </w:p>
        </w:tc>
        <w:tc>
          <w:tcPr>
            <w:tcW w:w="260" w:type="dxa"/>
            <w:vAlign w:val="bottom"/>
            <w:shd w:val="clear" w:color="auto" w:fill="CCEEFF"/>
          </w:tcPr>
          <w:p>
            <w:pPr>
              <w:spacing w:after="0"/>
              <w:rPr>
                <w:sz w:val="18"/>
                <w:szCs w:val="18"/>
                <w:color w:val="auto"/>
              </w:rPr>
            </w:pPr>
          </w:p>
        </w:tc>
        <w:tc>
          <w:tcPr>
            <w:tcW w:w="42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4,280.2</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940" w:type="dxa"/>
            <w:vAlign w:val="bottom"/>
          </w:tcPr>
          <w:p>
            <w:pPr>
              <w:ind w:left="100"/>
              <w:spacing w:after="0"/>
              <w:rPr>
                <w:sz w:val="20"/>
                <w:szCs w:val="20"/>
                <w:color w:val="auto"/>
              </w:rPr>
            </w:pPr>
            <w:r>
              <w:rPr>
                <w:rFonts w:ascii="Arial" w:cs="Arial" w:eastAsia="Arial" w:hAnsi="Arial"/>
                <w:sz w:val="18"/>
                <w:szCs w:val="18"/>
                <w:color w:val="auto"/>
              </w:rPr>
              <w:t>Total debt</w:t>
            </w:r>
          </w:p>
        </w:tc>
        <w:tc>
          <w:tcPr>
            <w:tcW w:w="16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Arial" w:cs="Arial" w:eastAsia="Arial" w:hAnsi="Arial"/>
                <w:sz w:val="18"/>
                <w:szCs w:val="18"/>
                <w:b w:val="1"/>
                <w:bCs w:val="1"/>
                <w:color w:val="auto"/>
              </w:rPr>
              <w:t>4,347.6</w:t>
            </w:r>
          </w:p>
        </w:tc>
        <w:tc>
          <w:tcPr>
            <w:tcW w:w="2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4,360.0</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69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94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Total stockholders’ equity attributable to PFG (1)</w:t>
            </w:r>
          </w:p>
        </w:tc>
        <w:tc>
          <w:tcPr>
            <w:tcW w:w="16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11,036.8</w:t>
            </w:r>
          </w:p>
        </w:tc>
        <w:tc>
          <w:tcPr>
            <w:tcW w:w="260" w:type="dxa"/>
            <w:vAlign w:val="bottom"/>
            <w:tcBorders>
              <w:bottom w:val="single" w:sz="8" w:color="CCEEFF"/>
            </w:tcBorders>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16,069.4</w:t>
            </w:r>
          </w:p>
        </w:tc>
        <w:tc>
          <w:tcPr>
            <w:tcW w:w="16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69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capitalization</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15,384.4</w:t>
            </w:r>
          </w:p>
        </w:tc>
        <w:tc>
          <w:tcPr>
            <w:tcW w:w="260" w:type="dxa"/>
            <w:vAlign w:val="bottom"/>
            <w:tcBorders>
              <w:bottom w:val="single" w:sz="8" w:color="CCEEFF"/>
            </w:tcBorders>
            <w:shd w:val="clear" w:color="auto" w:fill="CCEEFF"/>
          </w:tcPr>
          <w:p>
            <w:pPr>
              <w:spacing w:after="0"/>
              <w:rPr>
                <w:sz w:val="18"/>
                <w:szCs w:val="18"/>
                <w:color w:val="auto"/>
              </w:rPr>
            </w:pPr>
          </w:p>
        </w:tc>
        <w:tc>
          <w:tcPr>
            <w:tcW w:w="420" w:type="dxa"/>
            <w:vAlign w:val="bottom"/>
            <w:tcBorders>
              <w:bottom w:val="single" w:sz="8" w:color="auto"/>
            </w:tcBorders>
            <w:shd w:val="clear" w:color="auto" w:fill="CCEEFF"/>
          </w:tcPr>
          <w:p>
            <w:pPr>
              <w:jc w:val="right"/>
              <w:ind w:right="236"/>
              <w:spacing w:after="0"/>
              <w:rPr>
                <w:sz w:val="20"/>
                <w:szCs w:val="20"/>
                <w:color w:val="auto"/>
              </w:rPr>
            </w:pPr>
            <w:r>
              <w:rPr>
                <w:rFonts w:ascii="Arial" w:cs="Arial" w:eastAsia="Arial" w:hAnsi="Arial"/>
                <w:sz w:val="18"/>
                <w:szCs w:val="18"/>
                <w:color w:val="auto"/>
                <w:w w:val="79"/>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20,429.4</w:t>
            </w:r>
          </w:p>
        </w:tc>
        <w:tc>
          <w:tcPr>
            <w:tcW w:w="16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9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480" w:type="dxa"/>
            <w:vAlign w:val="bottom"/>
          </w:tcPr>
          <w:p>
            <w:pPr>
              <w:spacing w:after="0"/>
              <w:rPr>
                <w:sz w:val="20"/>
                <w:szCs w:val="20"/>
                <w:color w:val="auto"/>
              </w:rPr>
            </w:pPr>
            <w:r>
              <w:rPr>
                <w:rFonts w:ascii="Arial" w:cs="Arial" w:eastAsia="Arial" w:hAnsi="Arial"/>
                <w:sz w:val="18"/>
                <w:szCs w:val="18"/>
                <w:color w:val="auto"/>
              </w:rPr>
              <w:t>Debt to equity</w:t>
            </w:r>
          </w:p>
        </w:tc>
        <w:tc>
          <w:tcPr>
            <w:tcW w:w="6480" w:type="dxa"/>
            <w:vAlign w:val="bottom"/>
          </w:tcPr>
          <w:p>
            <w:pPr>
              <w:jc w:val="right"/>
              <w:ind w:right="450"/>
              <w:spacing w:after="0"/>
              <w:rPr>
                <w:sz w:val="20"/>
                <w:szCs w:val="20"/>
                <w:color w:val="auto"/>
              </w:rPr>
            </w:pPr>
            <w:r>
              <w:rPr>
                <w:rFonts w:ascii="Arial" w:cs="Arial" w:eastAsia="Arial" w:hAnsi="Arial"/>
                <w:sz w:val="18"/>
                <w:szCs w:val="18"/>
                <w:b w:val="1"/>
                <w:bCs w:val="1"/>
                <w:color w:val="auto"/>
              </w:rPr>
              <w:t>39 %</w:t>
            </w:r>
          </w:p>
        </w:tc>
        <w:tc>
          <w:tcPr>
            <w:tcW w:w="960" w:type="dxa"/>
            <w:vAlign w:val="bottom"/>
          </w:tcPr>
          <w:p>
            <w:pPr>
              <w:jc w:val="right"/>
              <w:spacing w:after="0"/>
              <w:rPr>
                <w:sz w:val="20"/>
                <w:szCs w:val="20"/>
                <w:color w:val="auto"/>
              </w:rPr>
            </w:pPr>
            <w:r>
              <w:rPr>
                <w:rFonts w:ascii="Arial" w:cs="Arial" w:eastAsia="Arial" w:hAnsi="Arial"/>
                <w:sz w:val="18"/>
                <w:szCs w:val="18"/>
                <w:color w:val="auto"/>
              </w:rPr>
              <w:t>27 %</w:t>
            </w:r>
          </w:p>
        </w:tc>
      </w:tr>
      <w:tr>
        <w:trPr>
          <w:trHeight w:val="216"/>
        </w:trPr>
        <w:tc>
          <w:tcPr>
            <w:tcW w:w="2480" w:type="dxa"/>
            <w:vAlign w:val="bottom"/>
            <w:shd w:val="clear" w:color="auto" w:fill="CCEEFF"/>
          </w:tcPr>
          <w:p>
            <w:pPr>
              <w:spacing w:after="0"/>
              <w:rPr>
                <w:sz w:val="20"/>
                <w:szCs w:val="20"/>
                <w:color w:val="auto"/>
              </w:rPr>
            </w:pPr>
            <w:r>
              <w:rPr>
                <w:rFonts w:ascii="Arial" w:cs="Arial" w:eastAsia="Arial" w:hAnsi="Arial"/>
                <w:sz w:val="18"/>
                <w:szCs w:val="18"/>
                <w:color w:val="auto"/>
              </w:rPr>
              <w:t>Debt to capitalization</w:t>
            </w:r>
          </w:p>
        </w:tc>
        <w:tc>
          <w:tcPr>
            <w:tcW w:w="6480" w:type="dxa"/>
            <w:vAlign w:val="bottom"/>
            <w:shd w:val="clear" w:color="auto" w:fill="CCEEFF"/>
          </w:tcPr>
          <w:p>
            <w:pPr>
              <w:jc w:val="right"/>
              <w:ind w:right="450"/>
              <w:spacing w:after="0"/>
              <w:rPr>
                <w:sz w:val="20"/>
                <w:szCs w:val="20"/>
                <w:color w:val="auto"/>
              </w:rPr>
            </w:pPr>
            <w:r>
              <w:rPr>
                <w:rFonts w:ascii="Arial" w:cs="Arial" w:eastAsia="Arial" w:hAnsi="Arial"/>
                <w:sz w:val="18"/>
                <w:szCs w:val="18"/>
                <w:b w:val="1"/>
                <w:bCs w:val="1"/>
                <w:color w:val="auto"/>
              </w:rPr>
              <w:t>28 %</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21 %</w:t>
            </w:r>
          </w:p>
        </w:tc>
      </w:tr>
      <w:tr>
        <w:trPr>
          <w:trHeight w:val="108"/>
        </w:trPr>
        <w:tc>
          <w:tcPr>
            <w:tcW w:w="2480" w:type="dxa"/>
            <w:vAlign w:val="bottom"/>
            <w:tcBorders>
              <w:bottom w:val="single" w:sz="8" w:color="auto"/>
            </w:tcBorders>
          </w:tcPr>
          <w:p>
            <w:pPr>
              <w:spacing w:after="0"/>
              <w:rPr>
                <w:sz w:val="9"/>
                <w:szCs w:val="9"/>
                <w:color w:val="auto"/>
              </w:rPr>
            </w:pPr>
          </w:p>
        </w:tc>
        <w:tc>
          <w:tcPr>
            <w:tcW w:w="6480" w:type="dxa"/>
            <w:vAlign w:val="bottom"/>
          </w:tcPr>
          <w:p>
            <w:pPr>
              <w:spacing w:after="0"/>
              <w:rPr>
                <w:sz w:val="9"/>
                <w:szCs w:val="9"/>
                <w:color w:val="auto"/>
              </w:rPr>
            </w:pPr>
          </w:p>
        </w:tc>
        <w:tc>
          <w:tcPr>
            <w:tcW w:w="960" w:type="dxa"/>
            <w:vAlign w:val="bottom"/>
          </w:tcPr>
          <w:p>
            <w:pPr>
              <w:spacing w:after="0"/>
              <w:rPr>
                <w:sz w:val="9"/>
                <w:szCs w:val="9"/>
                <w:color w:val="auto"/>
              </w:rPr>
            </w:pPr>
          </w:p>
        </w:tc>
      </w:tr>
    </w:tbl>
    <w:p>
      <w:pPr>
        <w:spacing w:after="0" w:line="80" w:lineRule="exact"/>
        <w:rPr>
          <w:sz w:val="20"/>
          <w:szCs w:val="20"/>
          <w:color w:val="auto"/>
        </w:rPr>
      </w:pPr>
    </w:p>
    <w:p>
      <w:pPr>
        <w:spacing w:after="0"/>
        <w:rPr>
          <w:sz w:val="20"/>
          <w:szCs w:val="20"/>
          <w:color w:val="auto"/>
        </w:rPr>
      </w:pPr>
      <w:r>
        <w:rPr>
          <w:rFonts w:ascii="Arial" w:cs="Arial" w:eastAsia="Arial" w:hAnsi="Arial"/>
          <w:sz w:val="18"/>
          <w:szCs w:val="18"/>
          <w:color w:val="auto"/>
        </w:rPr>
        <w:t>(1) Decrease primarily due to change in AOCI during 2022</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Contractual Obligations and Contractual Commitments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As of June 30, 2022, we had no unique material cash requirements from known contractual and other obligations.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Off-Balance Sheet Arrangements</w:t>
      </w:r>
    </w:p>
    <w:p>
      <w:pPr>
        <w:spacing w:after="0" w:line="225" w:lineRule="exact"/>
        <w:rPr>
          <w:sz w:val="20"/>
          <w:szCs w:val="20"/>
          <w:color w:val="auto"/>
        </w:rPr>
      </w:pPr>
    </w:p>
    <w:p>
      <w:pPr>
        <w:ind w:right="40" w:firstLine="648"/>
        <w:spacing w:after="0" w:line="259" w:lineRule="auto"/>
        <w:rPr>
          <w:sz w:val="20"/>
          <w:szCs w:val="20"/>
          <w:color w:val="auto"/>
        </w:rPr>
      </w:pPr>
      <w:r>
        <w:rPr>
          <w:rFonts w:ascii="Arial" w:cs="Arial" w:eastAsia="Arial" w:hAnsi="Arial"/>
          <w:sz w:val="18"/>
          <w:szCs w:val="18"/>
          <w:b w:val="1"/>
          <w:bCs w:val="1"/>
          <w:i w:val="1"/>
          <w:iCs w:val="1"/>
          <w:color w:val="auto"/>
        </w:rPr>
        <w:t xml:space="preserve">Variable Interest Entities. </w:t>
      </w:r>
      <w:r>
        <w:rPr>
          <w:rFonts w:ascii="Arial" w:cs="Arial" w:eastAsia="Arial" w:hAnsi="Arial"/>
          <w:sz w:val="18"/>
          <w:szCs w:val="18"/>
          <w:color w:val="auto"/>
        </w:rPr>
        <w:t>We have relationships with various types of special purpose entities and other entities where we have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 variable interest as described in Item 1. “Financial Statements, Notes to Unaudited Condensed Consolidated Financial Statements, Note 2, Variable Interest Entities.” We have made commitments to fund certain limited partnerships, some of which are classified as unconsolidated variable interest entities.</w:t>
      </w:r>
    </w:p>
    <w:p>
      <w:pPr>
        <w:spacing w:after="0" w:line="187" w:lineRule="exact"/>
        <w:rPr>
          <w:sz w:val="20"/>
          <w:szCs w:val="20"/>
          <w:color w:val="auto"/>
        </w:rPr>
      </w:pPr>
    </w:p>
    <w:p>
      <w:pPr>
        <w:ind w:right="100" w:firstLine="648"/>
        <w:spacing w:after="0" w:line="259" w:lineRule="auto"/>
        <w:rPr>
          <w:sz w:val="20"/>
          <w:szCs w:val="20"/>
          <w:color w:val="auto"/>
        </w:rPr>
      </w:pPr>
      <w:r>
        <w:rPr>
          <w:rFonts w:ascii="Arial" w:cs="Arial" w:eastAsia="Arial" w:hAnsi="Arial"/>
          <w:sz w:val="18"/>
          <w:szCs w:val="18"/>
          <w:b w:val="1"/>
          <w:bCs w:val="1"/>
          <w:i w:val="1"/>
          <w:iCs w:val="1"/>
          <w:color w:val="auto"/>
        </w:rPr>
        <w:t xml:space="preserve">Guarantees and Indemnifications. </w:t>
      </w:r>
      <w:r>
        <w:rPr>
          <w:rFonts w:ascii="Arial" w:cs="Arial" w:eastAsia="Arial" w:hAnsi="Arial"/>
          <w:sz w:val="18"/>
          <w:szCs w:val="18"/>
          <w:color w:val="auto"/>
        </w:rPr>
        <w:t>As of June 30, 2022, no significant changes to guarantees and indemnifications have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occurred since December 31, 2021. For guarantee and indemnification information, see Item 1. “Financial Statements, Notes to Unaudited Condensed Consolidated Financial Statements, Note 10, Contingencies, Guarantees and Indemnifications” under the caption, “Guarantees and Indemnifications.”</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1714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6292215" cy="17145"/>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108" w:name="page109"/>
    <w:bookmarkEnd w:id="108"/>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Financial Strength and Credit Ratings</w:t>
      </w:r>
    </w:p>
    <w:p>
      <w:pPr>
        <w:spacing w:after="0" w:line="225" w:lineRule="exact"/>
        <w:rPr>
          <w:sz w:val="20"/>
          <w:szCs w:val="20"/>
          <w:color w:val="auto"/>
        </w:rPr>
      </w:pPr>
    </w:p>
    <w:p>
      <w:pPr>
        <w:ind w:right="100" w:firstLine="648"/>
        <w:spacing w:after="0" w:line="263" w:lineRule="auto"/>
        <w:rPr>
          <w:sz w:val="20"/>
          <w:szCs w:val="20"/>
          <w:color w:val="auto"/>
        </w:rPr>
      </w:pPr>
      <w:r>
        <w:rPr>
          <w:rFonts w:ascii="Arial" w:cs="Arial" w:eastAsia="Arial" w:hAnsi="Arial"/>
          <w:sz w:val="18"/>
          <w:szCs w:val="18"/>
          <w:color w:val="auto"/>
        </w:rPr>
        <w:t>Our ratings are influenced by the relative ratings of our peers/competitors as well as many other factors including our operating and financial performance, capital levels, asset quality, liquidity, asset/liability management, overall portfolio mix, financial leverage (i.e., debt), risk exposures, operating leverage and other factors.</w:t>
      </w:r>
    </w:p>
    <w:p>
      <w:pPr>
        <w:spacing w:after="0" w:line="184" w:lineRule="exact"/>
        <w:rPr>
          <w:sz w:val="20"/>
          <w:szCs w:val="20"/>
          <w:color w:val="auto"/>
        </w:rPr>
      </w:pPr>
    </w:p>
    <w:p>
      <w:pPr>
        <w:ind w:right="60" w:firstLine="648"/>
        <w:spacing w:after="0" w:line="277" w:lineRule="auto"/>
        <w:rPr>
          <w:sz w:val="20"/>
          <w:szCs w:val="20"/>
          <w:color w:val="auto"/>
        </w:rPr>
      </w:pPr>
      <w:r>
        <w:rPr>
          <w:rFonts w:ascii="Arial" w:cs="Arial" w:eastAsia="Arial" w:hAnsi="Arial"/>
          <w:sz w:val="18"/>
          <w:szCs w:val="18"/>
          <w:color w:val="auto"/>
        </w:rPr>
        <w:t>The following is a summary of the significant changes or actions in ratings and rating outlooks that have occurred from January 1, 2022, through the date of this filing:</w:t>
      </w:r>
    </w:p>
    <w:p>
      <w:pPr>
        <w:spacing w:after="0" w:line="170" w:lineRule="exact"/>
        <w:rPr>
          <w:sz w:val="20"/>
          <w:szCs w:val="20"/>
          <w:color w:val="auto"/>
        </w:rPr>
      </w:pPr>
    </w:p>
    <w:p>
      <w:pPr>
        <w:ind w:right="240" w:firstLine="648"/>
        <w:spacing w:after="0" w:line="257" w:lineRule="auto"/>
        <w:rPr>
          <w:sz w:val="20"/>
          <w:szCs w:val="20"/>
          <w:color w:val="auto"/>
        </w:rPr>
      </w:pPr>
      <w:r>
        <w:rPr>
          <w:rFonts w:ascii="Arial" w:cs="Arial" w:eastAsia="Arial" w:hAnsi="Arial"/>
          <w:sz w:val="18"/>
          <w:szCs w:val="18"/>
          <w:color w:val="auto"/>
        </w:rPr>
        <w:t>In January 2022, Moody’s affirmed the ‘A1’ financial strength ratings of Principal Life and Principal National Life Insurance Company. Moody’s also affirmed PFG’s senior unsecured debt at ‘Baa1’, which is guaranteed by PFS. The outlook for PFG, Principal Life and its affiliates has been changed to ‘stable’ from ‘positive’. The rating action follows the announcement of the Reinsurance Transaction. The outlook revision reflects positive credit attributes offset by the introduction of counterparty risk and uncertainty with PFG’s operations in Chile.</w:t>
      </w:r>
    </w:p>
    <w:p>
      <w:pPr>
        <w:spacing w:after="0" w:line="188" w:lineRule="exact"/>
        <w:rPr>
          <w:sz w:val="20"/>
          <w:szCs w:val="20"/>
          <w:color w:val="auto"/>
        </w:rPr>
      </w:pPr>
    </w:p>
    <w:p>
      <w:pPr>
        <w:ind w:right="140" w:firstLine="648"/>
        <w:spacing w:after="0" w:line="286" w:lineRule="auto"/>
        <w:rPr>
          <w:sz w:val="20"/>
          <w:szCs w:val="20"/>
          <w:color w:val="auto"/>
        </w:rPr>
      </w:pPr>
      <w:r>
        <w:rPr>
          <w:rFonts w:ascii="Arial" w:cs="Arial" w:eastAsia="Arial" w:hAnsi="Arial"/>
          <w:sz w:val="17"/>
          <w:szCs w:val="17"/>
          <w:color w:val="auto"/>
        </w:rPr>
        <w:t>The following table summarizes our significant financial strength and debt ratings from the major independent rating organizations. A rating is not a recommendation to buy, sell or hold securities. Such a rating may be subject to revision or withdrawal at any time by the assigning rating agency. Each rating should be evaluated independently of any other rating.</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6120" w:type="dxa"/>
            <w:vAlign w:val="bottom"/>
          </w:tcPr>
          <w:p>
            <w:pPr>
              <w:spacing w:after="0"/>
              <w:rPr>
                <w:sz w:val="14"/>
                <w:szCs w:val="14"/>
                <w:color w:val="auto"/>
              </w:rPr>
            </w:pPr>
          </w:p>
        </w:tc>
        <w:tc>
          <w:tcPr>
            <w:tcW w:w="104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7"/>
              </w:rPr>
              <w:t>A.M. Best</w:t>
            </w:r>
          </w:p>
        </w:tc>
        <w:tc>
          <w:tcPr>
            <w:tcW w:w="90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5"/>
              </w:rPr>
              <w:t>Fitch</w:t>
            </w:r>
          </w:p>
        </w:tc>
        <w:tc>
          <w:tcPr>
            <w:tcW w:w="112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1"/>
              </w:rPr>
              <w:t>Moody’s</w:t>
            </w:r>
          </w:p>
        </w:tc>
        <w:tc>
          <w:tcPr>
            <w:tcW w:w="740" w:type="dxa"/>
            <w:vAlign w:val="bottom"/>
          </w:tcPr>
          <w:p>
            <w:pPr>
              <w:jc w:val="center"/>
              <w:spacing w:after="0"/>
              <w:rPr>
                <w:sz w:val="20"/>
                <w:szCs w:val="20"/>
                <w:color w:val="auto"/>
              </w:rPr>
            </w:pPr>
            <w:r>
              <w:rPr>
                <w:rFonts w:ascii="Arial" w:cs="Arial" w:eastAsia="Arial" w:hAnsi="Arial"/>
                <w:sz w:val="14"/>
                <w:szCs w:val="14"/>
                <w:b w:val="1"/>
                <w:bCs w:val="1"/>
                <w:color w:val="auto"/>
              </w:rPr>
              <w:t>S&amp;P</w:t>
            </w:r>
          </w:p>
        </w:tc>
      </w:tr>
      <w:tr>
        <w:trPr>
          <w:trHeight w:val="210"/>
        </w:trPr>
        <w:tc>
          <w:tcPr>
            <w:tcW w:w="61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Last review date</w:t>
            </w:r>
          </w:p>
        </w:tc>
        <w:tc>
          <w:tcPr>
            <w:tcW w:w="9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March 2022</w:t>
            </w:r>
          </w:p>
        </w:tc>
        <w:tc>
          <w:tcPr>
            <w:tcW w:w="140" w:type="dxa"/>
            <w:vAlign w:val="bottom"/>
            <w:tcBorders>
              <w:top w:val="single" w:sz="8" w:color="CCEEFF"/>
            </w:tcBorders>
            <w:shd w:val="clear" w:color="auto" w:fill="CCEEFF"/>
          </w:tcPr>
          <w:p>
            <w:pPr>
              <w:spacing w:after="0"/>
              <w:rPr>
                <w:sz w:val="18"/>
                <w:szCs w:val="18"/>
                <w:color w:val="auto"/>
              </w:rPr>
            </w:pPr>
          </w:p>
        </w:tc>
        <w:tc>
          <w:tcPr>
            <w:tcW w:w="74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7"/>
              </w:rPr>
              <w:t>June 2022</w:t>
            </w:r>
          </w:p>
        </w:tc>
        <w:tc>
          <w:tcPr>
            <w:tcW w:w="160" w:type="dxa"/>
            <w:vAlign w:val="bottom"/>
            <w:tcBorders>
              <w:top w:val="single" w:sz="8" w:color="CCEEFF"/>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7"/>
              </w:rPr>
              <w:t>January 2022</w:t>
            </w:r>
          </w:p>
        </w:tc>
        <w:tc>
          <w:tcPr>
            <w:tcW w:w="160" w:type="dxa"/>
            <w:vAlign w:val="bottom"/>
            <w:tcBorders>
              <w:top w:val="single" w:sz="8" w:color="CCEEFF"/>
            </w:tcBorders>
            <w:shd w:val="clear" w:color="auto" w:fill="CCEEFF"/>
          </w:tcPr>
          <w:p>
            <w:pPr>
              <w:spacing w:after="0"/>
              <w:rPr>
                <w:sz w:val="18"/>
                <w:szCs w:val="18"/>
                <w:color w:val="auto"/>
              </w:rPr>
            </w:pPr>
          </w:p>
        </w:tc>
        <w:tc>
          <w:tcPr>
            <w:tcW w:w="74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7"/>
              </w:rPr>
              <w:t>June 2022</w:t>
            </w:r>
          </w:p>
        </w:tc>
      </w:tr>
      <w:tr>
        <w:trPr>
          <w:trHeight w:val="216"/>
        </w:trPr>
        <w:tc>
          <w:tcPr>
            <w:tcW w:w="6120" w:type="dxa"/>
            <w:vAlign w:val="bottom"/>
          </w:tcPr>
          <w:p>
            <w:pPr>
              <w:spacing w:after="0"/>
              <w:rPr>
                <w:sz w:val="20"/>
                <w:szCs w:val="20"/>
                <w:color w:val="auto"/>
              </w:rPr>
            </w:pPr>
            <w:r>
              <w:rPr>
                <w:rFonts w:ascii="Arial" w:cs="Arial" w:eastAsia="Arial" w:hAnsi="Arial"/>
                <w:sz w:val="18"/>
                <w:szCs w:val="18"/>
                <w:b w:val="1"/>
                <w:bCs w:val="1"/>
                <w:color w:val="auto"/>
              </w:rPr>
              <w:t>Current outlook</w:t>
            </w:r>
          </w:p>
        </w:tc>
        <w:tc>
          <w:tcPr>
            <w:tcW w:w="1040" w:type="dxa"/>
            <w:vAlign w:val="bottom"/>
            <w:gridSpan w:val="2"/>
          </w:tcPr>
          <w:p>
            <w:pPr>
              <w:jc w:val="center"/>
              <w:ind w:right="140"/>
              <w:spacing w:after="0"/>
              <w:rPr>
                <w:sz w:val="20"/>
                <w:szCs w:val="20"/>
                <w:color w:val="auto"/>
              </w:rPr>
            </w:pPr>
            <w:r>
              <w:rPr>
                <w:rFonts w:ascii="Arial" w:cs="Arial" w:eastAsia="Arial" w:hAnsi="Arial"/>
                <w:sz w:val="18"/>
                <w:szCs w:val="18"/>
                <w:color w:val="auto"/>
                <w:w w:val="90"/>
              </w:rPr>
              <w:t>Stable</w:t>
            </w:r>
          </w:p>
        </w:tc>
        <w:tc>
          <w:tcPr>
            <w:tcW w:w="900" w:type="dxa"/>
            <w:vAlign w:val="bottom"/>
            <w:gridSpan w:val="2"/>
          </w:tcPr>
          <w:p>
            <w:pPr>
              <w:jc w:val="center"/>
              <w:ind w:right="140"/>
              <w:spacing w:after="0"/>
              <w:rPr>
                <w:sz w:val="20"/>
                <w:szCs w:val="20"/>
                <w:color w:val="auto"/>
              </w:rPr>
            </w:pPr>
            <w:r>
              <w:rPr>
                <w:rFonts w:ascii="Arial" w:cs="Arial" w:eastAsia="Arial" w:hAnsi="Arial"/>
                <w:sz w:val="18"/>
                <w:szCs w:val="18"/>
                <w:color w:val="auto"/>
                <w:w w:val="86"/>
              </w:rPr>
              <w:t>Stable</w:t>
            </w:r>
          </w:p>
        </w:tc>
        <w:tc>
          <w:tcPr>
            <w:tcW w:w="1120" w:type="dxa"/>
            <w:vAlign w:val="bottom"/>
            <w:gridSpan w:val="2"/>
          </w:tcPr>
          <w:p>
            <w:pPr>
              <w:jc w:val="center"/>
              <w:ind w:right="160"/>
              <w:spacing w:after="0"/>
              <w:rPr>
                <w:sz w:val="20"/>
                <w:szCs w:val="20"/>
                <w:color w:val="auto"/>
              </w:rPr>
            </w:pPr>
            <w:r>
              <w:rPr>
                <w:rFonts w:ascii="Arial" w:cs="Arial" w:eastAsia="Arial" w:hAnsi="Arial"/>
                <w:sz w:val="18"/>
                <w:szCs w:val="18"/>
                <w:color w:val="auto"/>
                <w:w w:val="86"/>
              </w:rPr>
              <w:t>Stable</w:t>
            </w:r>
          </w:p>
        </w:tc>
        <w:tc>
          <w:tcPr>
            <w:tcW w:w="740" w:type="dxa"/>
            <w:vAlign w:val="bottom"/>
          </w:tcPr>
          <w:p>
            <w:pPr>
              <w:jc w:val="center"/>
              <w:spacing w:after="0"/>
              <w:rPr>
                <w:sz w:val="20"/>
                <w:szCs w:val="20"/>
                <w:color w:val="auto"/>
              </w:rPr>
            </w:pPr>
            <w:r>
              <w:rPr>
                <w:rFonts w:ascii="Arial" w:cs="Arial" w:eastAsia="Arial" w:hAnsi="Arial"/>
                <w:sz w:val="18"/>
                <w:szCs w:val="18"/>
                <w:color w:val="auto"/>
                <w:w w:val="90"/>
              </w:rPr>
              <w:t>Stable</w:t>
            </w:r>
          </w:p>
        </w:tc>
      </w:tr>
      <w:tr>
        <w:trPr>
          <w:trHeight w:val="216"/>
        </w:trPr>
        <w:tc>
          <w:tcPr>
            <w:tcW w:w="61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Principal Financial Group</w:t>
            </w:r>
          </w:p>
        </w:tc>
        <w:tc>
          <w:tcPr>
            <w:tcW w:w="9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r>
      <w:tr>
        <w:trPr>
          <w:trHeight w:val="216"/>
        </w:trPr>
        <w:tc>
          <w:tcPr>
            <w:tcW w:w="6120" w:type="dxa"/>
            <w:vAlign w:val="bottom"/>
          </w:tcPr>
          <w:p>
            <w:pPr>
              <w:spacing w:after="0"/>
              <w:rPr>
                <w:sz w:val="20"/>
                <w:szCs w:val="20"/>
                <w:color w:val="auto"/>
              </w:rPr>
            </w:pPr>
            <w:r>
              <w:rPr>
                <w:rFonts w:ascii="Arial" w:cs="Arial" w:eastAsia="Arial" w:hAnsi="Arial"/>
                <w:sz w:val="18"/>
                <w:szCs w:val="18"/>
                <w:color w:val="auto"/>
              </w:rPr>
              <w:t>Senior Unsecured Debt</w:t>
            </w:r>
          </w:p>
        </w:tc>
        <w:tc>
          <w:tcPr>
            <w:tcW w:w="1040" w:type="dxa"/>
            <w:vAlign w:val="bottom"/>
            <w:gridSpan w:val="2"/>
          </w:tcPr>
          <w:p>
            <w:pPr>
              <w:jc w:val="center"/>
              <w:ind w:right="120"/>
              <w:spacing w:after="0"/>
              <w:rPr>
                <w:sz w:val="20"/>
                <w:szCs w:val="20"/>
                <w:color w:val="auto"/>
              </w:rPr>
            </w:pPr>
            <w:r>
              <w:rPr>
                <w:rFonts w:ascii="Arial" w:cs="Arial" w:eastAsia="Arial" w:hAnsi="Arial"/>
                <w:sz w:val="18"/>
                <w:szCs w:val="18"/>
                <w:color w:val="auto"/>
                <w:w w:val="79"/>
              </w:rPr>
              <w:t>a</w:t>
            </w:r>
          </w:p>
        </w:tc>
        <w:tc>
          <w:tcPr>
            <w:tcW w:w="900" w:type="dxa"/>
            <w:vAlign w:val="bottom"/>
            <w:gridSpan w:val="2"/>
          </w:tcPr>
          <w:p>
            <w:pPr>
              <w:jc w:val="center"/>
              <w:ind w:right="140"/>
              <w:spacing w:after="0"/>
              <w:rPr>
                <w:sz w:val="20"/>
                <w:szCs w:val="20"/>
                <w:color w:val="auto"/>
              </w:rPr>
            </w:pPr>
            <w:r>
              <w:rPr>
                <w:rFonts w:ascii="Arial" w:cs="Arial" w:eastAsia="Arial" w:hAnsi="Arial"/>
                <w:sz w:val="18"/>
                <w:szCs w:val="18"/>
                <w:color w:val="auto"/>
              </w:rPr>
              <w:t>A-</w:t>
            </w:r>
          </w:p>
        </w:tc>
        <w:tc>
          <w:tcPr>
            <w:tcW w:w="1120" w:type="dxa"/>
            <w:vAlign w:val="bottom"/>
            <w:gridSpan w:val="2"/>
          </w:tcPr>
          <w:p>
            <w:pPr>
              <w:jc w:val="center"/>
              <w:ind w:right="160"/>
              <w:spacing w:after="0"/>
              <w:rPr>
                <w:sz w:val="20"/>
                <w:szCs w:val="20"/>
                <w:color w:val="auto"/>
              </w:rPr>
            </w:pPr>
            <w:r>
              <w:rPr>
                <w:rFonts w:ascii="Arial" w:cs="Arial" w:eastAsia="Arial" w:hAnsi="Arial"/>
                <w:sz w:val="18"/>
                <w:szCs w:val="18"/>
                <w:color w:val="auto"/>
                <w:w w:val="85"/>
              </w:rPr>
              <w:t>Baa1</w:t>
            </w:r>
          </w:p>
        </w:tc>
        <w:tc>
          <w:tcPr>
            <w:tcW w:w="740" w:type="dxa"/>
            <w:vAlign w:val="bottom"/>
          </w:tcPr>
          <w:p>
            <w:pPr>
              <w:jc w:val="center"/>
              <w:spacing w:after="0"/>
              <w:rPr>
                <w:sz w:val="20"/>
                <w:szCs w:val="20"/>
                <w:color w:val="auto"/>
              </w:rPr>
            </w:pPr>
            <w:r>
              <w:rPr>
                <w:rFonts w:ascii="Arial" w:cs="Arial" w:eastAsia="Arial" w:hAnsi="Arial"/>
                <w:sz w:val="18"/>
                <w:szCs w:val="18"/>
                <w:color w:val="auto"/>
                <w:w w:val="99"/>
              </w:rPr>
              <w:t>A-</w:t>
            </w:r>
          </w:p>
        </w:tc>
      </w:tr>
      <w:tr>
        <w:trPr>
          <w:trHeight w:val="216"/>
        </w:trPr>
        <w:tc>
          <w:tcPr>
            <w:tcW w:w="6120" w:type="dxa"/>
            <w:vAlign w:val="bottom"/>
            <w:shd w:val="clear" w:color="auto" w:fill="CCEEFF"/>
          </w:tcPr>
          <w:p>
            <w:pPr>
              <w:spacing w:after="0"/>
              <w:rPr>
                <w:sz w:val="20"/>
                <w:szCs w:val="20"/>
                <w:color w:val="auto"/>
              </w:rPr>
            </w:pPr>
            <w:r>
              <w:rPr>
                <w:rFonts w:ascii="Arial" w:cs="Arial" w:eastAsia="Arial" w:hAnsi="Arial"/>
                <w:sz w:val="18"/>
                <w:szCs w:val="18"/>
                <w:color w:val="auto"/>
              </w:rPr>
              <w:t>Junior Subordinated Debt</w:t>
            </w:r>
          </w:p>
        </w:tc>
        <w:tc>
          <w:tcPr>
            <w:tcW w:w="1040" w:type="dxa"/>
            <w:vAlign w:val="bottom"/>
            <w:gridSpan w:val="2"/>
            <w:shd w:val="clear" w:color="auto" w:fill="CCEEFF"/>
          </w:tcPr>
          <w:p>
            <w:pPr>
              <w:jc w:val="center"/>
              <w:ind w:right="140"/>
              <w:spacing w:after="0"/>
              <w:rPr>
                <w:sz w:val="20"/>
                <w:szCs w:val="20"/>
                <w:color w:val="auto"/>
              </w:rPr>
            </w:pPr>
            <w:r>
              <w:rPr>
                <w:rFonts w:ascii="Arial" w:cs="Arial" w:eastAsia="Arial" w:hAnsi="Arial"/>
                <w:sz w:val="18"/>
                <w:szCs w:val="18"/>
                <w:color w:val="auto"/>
                <w:w w:val="87"/>
              </w:rPr>
              <w:t>a-</w:t>
            </w:r>
          </w:p>
        </w:tc>
        <w:tc>
          <w:tcPr>
            <w:tcW w:w="7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center"/>
              <w:ind w:right="160"/>
              <w:spacing w:after="0"/>
              <w:rPr>
                <w:sz w:val="20"/>
                <w:szCs w:val="20"/>
                <w:color w:val="auto"/>
              </w:rPr>
            </w:pPr>
            <w:r>
              <w:rPr>
                <w:rFonts w:ascii="Arial" w:cs="Arial" w:eastAsia="Arial" w:hAnsi="Arial"/>
                <w:sz w:val="18"/>
                <w:szCs w:val="18"/>
                <w:color w:val="auto"/>
                <w:w w:val="85"/>
              </w:rPr>
              <w:t>Baa2</w:t>
            </w:r>
          </w:p>
        </w:tc>
        <w:tc>
          <w:tcPr>
            <w:tcW w:w="7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BBB</w:t>
            </w:r>
          </w:p>
        </w:tc>
      </w:tr>
      <w:tr>
        <w:trPr>
          <w:trHeight w:val="216"/>
        </w:trPr>
        <w:tc>
          <w:tcPr>
            <w:tcW w:w="6120" w:type="dxa"/>
            <w:vAlign w:val="bottom"/>
          </w:tcPr>
          <w:p>
            <w:pPr>
              <w:spacing w:after="0"/>
              <w:rPr>
                <w:sz w:val="20"/>
                <w:szCs w:val="20"/>
                <w:color w:val="auto"/>
              </w:rPr>
            </w:pPr>
            <w:r>
              <w:rPr>
                <w:rFonts w:ascii="Arial" w:cs="Arial" w:eastAsia="Arial" w:hAnsi="Arial"/>
                <w:sz w:val="18"/>
                <w:szCs w:val="18"/>
                <w:color w:val="auto"/>
              </w:rPr>
              <w:t>Long-Term Issuer Default Rating</w:t>
            </w: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gridSpan w:val="2"/>
          </w:tcPr>
          <w:p>
            <w:pPr>
              <w:jc w:val="center"/>
              <w:ind w:right="140"/>
              <w:spacing w:after="0"/>
              <w:rPr>
                <w:sz w:val="20"/>
                <w:szCs w:val="20"/>
                <w:color w:val="auto"/>
              </w:rPr>
            </w:pPr>
            <w:r>
              <w:rPr>
                <w:rFonts w:ascii="Arial" w:cs="Arial" w:eastAsia="Arial" w:hAnsi="Arial"/>
                <w:sz w:val="18"/>
                <w:szCs w:val="18"/>
                <w:color w:val="auto"/>
                <w:w w:val="99"/>
              </w:rPr>
              <w:t>A</w:t>
            </w:r>
          </w:p>
        </w:tc>
        <w:tc>
          <w:tcPr>
            <w:tcW w:w="9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tcPr>
          <w:p>
            <w:pPr>
              <w:spacing w:after="0"/>
              <w:rPr>
                <w:sz w:val="18"/>
                <w:szCs w:val="18"/>
                <w:color w:val="auto"/>
              </w:rPr>
            </w:pPr>
          </w:p>
        </w:tc>
      </w:tr>
      <w:tr>
        <w:trPr>
          <w:trHeight w:val="216"/>
        </w:trPr>
        <w:tc>
          <w:tcPr>
            <w:tcW w:w="61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Principal Life Insurance Company</w:t>
            </w:r>
          </w:p>
        </w:tc>
        <w:tc>
          <w:tcPr>
            <w:tcW w:w="9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r>
      <w:tr>
        <w:trPr>
          <w:trHeight w:val="216"/>
        </w:trPr>
        <w:tc>
          <w:tcPr>
            <w:tcW w:w="6120" w:type="dxa"/>
            <w:vAlign w:val="bottom"/>
          </w:tcPr>
          <w:p>
            <w:pPr>
              <w:spacing w:after="0"/>
              <w:rPr>
                <w:sz w:val="20"/>
                <w:szCs w:val="20"/>
                <w:color w:val="auto"/>
              </w:rPr>
            </w:pPr>
            <w:r>
              <w:rPr>
                <w:rFonts w:ascii="Arial" w:cs="Arial" w:eastAsia="Arial" w:hAnsi="Arial"/>
                <w:sz w:val="18"/>
                <w:szCs w:val="18"/>
                <w:color w:val="auto"/>
              </w:rPr>
              <w:t>Insurer Financial Strength</w:t>
            </w:r>
          </w:p>
        </w:tc>
        <w:tc>
          <w:tcPr>
            <w:tcW w:w="1040" w:type="dxa"/>
            <w:vAlign w:val="bottom"/>
            <w:gridSpan w:val="2"/>
          </w:tcPr>
          <w:p>
            <w:pPr>
              <w:jc w:val="center"/>
              <w:ind w:right="140"/>
              <w:spacing w:after="0"/>
              <w:rPr>
                <w:sz w:val="20"/>
                <w:szCs w:val="20"/>
                <w:color w:val="auto"/>
              </w:rPr>
            </w:pPr>
            <w:r>
              <w:rPr>
                <w:rFonts w:ascii="Arial" w:cs="Arial" w:eastAsia="Arial" w:hAnsi="Arial"/>
                <w:sz w:val="18"/>
                <w:szCs w:val="18"/>
                <w:color w:val="auto"/>
                <w:w w:val="97"/>
              </w:rPr>
              <w:t>A+</w:t>
            </w:r>
          </w:p>
        </w:tc>
        <w:tc>
          <w:tcPr>
            <w:tcW w:w="900" w:type="dxa"/>
            <w:vAlign w:val="bottom"/>
            <w:gridSpan w:val="2"/>
          </w:tcPr>
          <w:p>
            <w:pPr>
              <w:jc w:val="center"/>
              <w:ind w:right="140"/>
              <w:spacing w:after="0"/>
              <w:rPr>
                <w:sz w:val="20"/>
                <w:szCs w:val="20"/>
                <w:color w:val="auto"/>
              </w:rPr>
            </w:pPr>
            <w:r>
              <w:rPr>
                <w:rFonts w:ascii="Arial" w:cs="Arial" w:eastAsia="Arial" w:hAnsi="Arial"/>
                <w:sz w:val="18"/>
                <w:szCs w:val="18"/>
                <w:color w:val="auto"/>
              </w:rPr>
              <w:t>AA-</w:t>
            </w:r>
          </w:p>
        </w:tc>
        <w:tc>
          <w:tcPr>
            <w:tcW w:w="1120" w:type="dxa"/>
            <w:vAlign w:val="bottom"/>
            <w:gridSpan w:val="2"/>
          </w:tcPr>
          <w:p>
            <w:pPr>
              <w:jc w:val="center"/>
              <w:ind w:right="140"/>
              <w:spacing w:after="0"/>
              <w:rPr>
                <w:sz w:val="20"/>
                <w:szCs w:val="20"/>
                <w:color w:val="auto"/>
              </w:rPr>
            </w:pPr>
            <w:r>
              <w:rPr>
                <w:rFonts w:ascii="Arial" w:cs="Arial" w:eastAsia="Arial" w:hAnsi="Arial"/>
                <w:sz w:val="18"/>
                <w:szCs w:val="18"/>
                <w:color w:val="auto"/>
                <w:w w:val="99"/>
              </w:rPr>
              <w:t>A1</w:t>
            </w:r>
          </w:p>
        </w:tc>
        <w:tc>
          <w:tcPr>
            <w:tcW w:w="740" w:type="dxa"/>
            <w:vAlign w:val="bottom"/>
          </w:tcPr>
          <w:p>
            <w:pPr>
              <w:jc w:val="center"/>
              <w:spacing w:after="0"/>
              <w:rPr>
                <w:sz w:val="20"/>
                <w:szCs w:val="20"/>
                <w:color w:val="auto"/>
              </w:rPr>
            </w:pPr>
            <w:r>
              <w:rPr>
                <w:rFonts w:ascii="Arial" w:cs="Arial" w:eastAsia="Arial" w:hAnsi="Arial"/>
                <w:sz w:val="18"/>
                <w:szCs w:val="18"/>
                <w:color w:val="auto"/>
                <w:w w:val="97"/>
              </w:rPr>
              <w:t>A+</w:t>
            </w:r>
          </w:p>
        </w:tc>
      </w:tr>
      <w:tr>
        <w:trPr>
          <w:trHeight w:val="216"/>
        </w:trPr>
        <w:tc>
          <w:tcPr>
            <w:tcW w:w="6120" w:type="dxa"/>
            <w:vAlign w:val="bottom"/>
            <w:shd w:val="clear" w:color="auto" w:fill="CCEEFF"/>
          </w:tcPr>
          <w:p>
            <w:pPr>
              <w:spacing w:after="0"/>
              <w:rPr>
                <w:sz w:val="20"/>
                <w:szCs w:val="20"/>
                <w:color w:val="auto"/>
              </w:rPr>
            </w:pPr>
            <w:r>
              <w:rPr>
                <w:rFonts w:ascii="Arial" w:cs="Arial" w:eastAsia="Arial" w:hAnsi="Arial"/>
                <w:sz w:val="18"/>
                <w:szCs w:val="18"/>
                <w:color w:val="auto"/>
              </w:rPr>
              <w:t>Issuer Credit Rating</w:t>
            </w:r>
          </w:p>
        </w:tc>
        <w:tc>
          <w:tcPr>
            <w:tcW w:w="1040" w:type="dxa"/>
            <w:vAlign w:val="bottom"/>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79"/>
              </w:rPr>
              <w:t>aa</w:t>
            </w:r>
          </w:p>
        </w:tc>
        <w:tc>
          <w:tcPr>
            <w:tcW w:w="7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r>
      <w:tr>
        <w:trPr>
          <w:trHeight w:val="216"/>
        </w:trPr>
        <w:tc>
          <w:tcPr>
            <w:tcW w:w="6120" w:type="dxa"/>
            <w:vAlign w:val="bottom"/>
          </w:tcPr>
          <w:p>
            <w:pPr>
              <w:spacing w:after="0"/>
              <w:rPr>
                <w:sz w:val="20"/>
                <w:szCs w:val="20"/>
                <w:color w:val="auto"/>
              </w:rPr>
            </w:pPr>
            <w:r>
              <w:rPr>
                <w:rFonts w:ascii="Arial" w:cs="Arial" w:eastAsia="Arial" w:hAnsi="Arial"/>
                <w:sz w:val="18"/>
                <w:szCs w:val="18"/>
                <w:color w:val="auto"/>
              </w:rPr>
              <w:t>Commercial Paper</w:t>
            </w:r>
          </w:p>
        </w:tc>
        <w:tc>
          <w:tcPr>
            <w:tcW w:w="1040" w:type="dxa"/>
            <w:vAlign w:val="bottom"/>
            <w:gridSpan w:val="2"/>
          </w:tcPr>
          <w:p>
            <w:pPr>
              <w:jc w:val="center"/>
              <w:ind w:right="140"/>
              <w:spacing w:after="0" w:line="207" w:lineRule="exact"/>
              <w:rPr>
                <w:sz w:val="20"/>
                <w:szCs w:val="20"/>
                <w:color w:val="auto"/>
              </w:rPr>
            </w:pPr>
            <w:r>
              <w:rPr>
                <w:rFonts w:ascii="Arial" w:cs="Arial" w:eastAsia="Arial" w:hAnsi="Arial"/>
                <w:sz w:val="18"/>
                <w:szCs w:val="18"/>
                <w:color w:val="auto"/>
              </w:rPr>
              <w:t>AMB</w:t>
            </w:r>
            <w:r>
              <w:rPr>
                <w:rFonts w:ascii="MS PGothic" w:cs="MS PGothic" w:eastAsia="MS PGothic" w:hAnsi="MS PGothic"/>
                <w:sz w:val="18"/>
                <w:szCs w:val="18"/>
                <w:color w:val="auto"/>
              </w:rPr>
              <w:t>‑</w:t>
            </w:r>
            <w:r>
              <w:rPr>
                <w:rFonts w:ascii="Arial" w:cs="Arial" w:eastAsia="Arial" w:hAnsi="Arial"/>
                <w:sz w:val="18"/>
                <w:szCs w:val="18"/>
                <w:color w:val="auto"/>
              </w:rPr>
              <w:t>1+</w:t>
            </w:r>
          </w:p>
        </w:tc>
        <w:tc>
          <w:tcPr>
            <w:tcW w:w="7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center"/>
              <w:ind w:right="160"/>
              <w:spacing w:after="0"/>
              <w:rPr>
                <w:sz w:val="20"/>
                <w:szCs w:val="20"/>
                <w:color w:val="auto"/>
              </w:rPr>
            </w:pPr>
            <w:r>
              <w:rPr>
                <w:rFonts w:ascii="Arial" w:cs="Arial" w:eastAsia="Arial" w:hAnsi="Arial"/>
                <w:sz w:val="18"/>
                <w:szCs w:val="18"/>
                <w:color w:val="auto"/>
                <w:w w:val="85"/>
              </w:rPr>
              <w:t>P-1</w:t>
            </w:r>
          </w:p>
        </w:tc>
        <w:tc>
          <w:tcPr>
            <w:tcW w:w="740" w:type="dxa"/>
            <w:vAlign w:val="bottom"/>
          </w:tcPr>
          <w:p>
            <w:pPr>
              <w:jc w:val="center"/>
              <w:spacing w:after="0"/>
              <w:rPr>
                <w:sz w:val="20"/>
                <w:szCs w:val="20"/>
                <w:color w:val="auto"/>
              </w:rPr>
            </w:pPr>
            <w:r>
              <w:rPr>
                <w:rFonts w:ascii="Arial" w:cs="Arial" w:eastAsia="Arial" w:hAnsi="Arial"/>
                <w:sz w:val="18"/>
                <w:szCs w:val="18"/>
                <w:color w:val="auto"/>
                <w:w w:val="98"/>
              </w:rPr>
              <w:t>A-1+</w:t>
            </w:r>
          </w:p>
        </w:tc>
      </w:tr>
      <w:tr>
        <w:trPr>
          <w:trHeight w:val="216"/>
        </w:trPr>
        <w:tc>
          <w:tcPr>
            <w:tcW w:w="61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Principal National Life Insurance Company</w:t>
            </w:r>
          </w:p>
        </w:tc>
        <w:tc>
          <w:tcPr>
            <w:tcW w:w="9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r>
      <w:tr>
        <w:trPr>
          <w:trHeight w:val="230"/>
        </w:trPr>
        <w:tc>
          <w:tcPr>
            <w:tcW w:w="6120" w:type="dxa"/>
            <w:vAlign w:val="bottom"/>
          </w:tcPr>
          <w:p>
            <w:pPr>
              <w:spacing w:after="0"/>
              <w:rPr>
                <w:sz w:val="20"/>
                <w:szCs w:val="20"/>
                <w:color w:val="auto"/>
              </w:rPr>
            </w:pPr>
            <w:r>
              <w:rPr>
                <w:rFonts w:ascii="Arial" w:cs="Arial" w:eastAsia="Arial" w:hAnsi="Arial"/>
                <w:sz w:val="18"/>
                <w:szCs w:val="18"/>
                <w:color w:val="auto"/>
              </w:rPr>
              <w:t>Insurer Financial Strength</w:t>
            </w:r>
          </w:p>
        </w:tc>
        <w:tc>
          <w:tcPr>
            <w:tcW w:w="1040" w:type="dxa"/>
            <w:vAlign w:val="bottom"/>
            <w:gridSpan w:val="2"/>
          </w:tcPr>
          <w:p>
            <w:pPr>
              <w:jc w:val="center"/>
              <w:ind w:right="140"/>
              <w:spacing w:after="0"/>
              <w:rPr>
                <w:sz w:val="20"/>
                <w:szCs w:val="20"/>
                <w:color w:val="auto"/>
              </w:rPr>
            </w:pPr>
            <w:r>
              <w:rPr>
                <w:rFonts w:ascii="Arial" w:cs="Arial" w:eastAsia="Arial" w:hAnsi="Arial"/>
                <w:sz w:val="18"/>
                <w:szCs w:val="18"/>
                <w:color w:val="auto"/>
                <w:w w:val="97"/>
              </w:rPr>
              <w:t>A+</w:t>
            </w:r>
          </w:p>
        </w:tc>
        <w:tc>
          <w:tcPr>
            <w:tcW w:w="900" w:type="dxa"/>
            <w:vAlign w:val="bottom"/>
            <w:gridSpan w:val="2"/>
          </w:tcPr>
          <w:p>
            <w:pPr>
              <w:jc w:val="center"/>
              <w:ind w:right="140"/>
              <w:spacing w:after="0"/>
              <w:rPr>
                <w:sz w:val="20"/>
                <w:szCs w:val="20"/>
                <w:color w:val="auto"/>
              </w:rPr>
            </w:pPr>
            <w:r>
              <w:rPr>
                <w:rFonts w:ascii="Arial" w:cs="Arial" w:eastAsia="Arial" w:hAnsi="Arial"/>
                <w:sz w:val="18"/>
                <w:szCs w:val="18"/>
                <w:color w:val="auto"/>
              </w:rPr>
              <w:t>AA-</w:t>
            </w:r>
          </w:p>
        </w:tc>
        <w:tc>
          <w:tcPr>
            <w:tcW w:w="1120" w:type="dxa"/>
            <w:vAlign w:val="bottom"/>
            <w:gridSpan w:val="2"/>
          </w:tcPr>
          <w:p>
            <w:pPr>
              <w:jc w:val="center"/>
              <w:ind w:right="140"/>
              <w:spacing w:after="0"/>
              <w:rPr>
                <w:sz w:val="20"/>
                <w:szCs w:val="20"/>
                <w:color w:val="auto"/>
              </w:rPr>
            </w:pPr>
            <w:r>
              <w:rPr>
                <w:rFonts w:ascii="Arial" w:cs="Arial" w:eastAsia="Arial" w:hAnsi="Arial"/>
                <w:sz w:val="18"/>
                <w:szCs w:val="18"/>
                <w:color w:val="auto"/>
                <w:w w:val="99"/>
              </w:rPr>
              <w:t>A1</w:t>
            </w:r>
          </w:p>
        </w:tc>
        <w:tc>
          <w:tcPr>
            <w:tcW w:w="740" w:type="dxa"/>
            <w:vAlign w:val="bottom"/>
          </w:tcPr>
          <w:p>
            <w:pPr>
              <w:jc w:val="center"/>
              <w:spacing w:after="0"/>
              <w:rPr>
                <w:sz w:val="20"/>
                <w:szCs w:val="20"/>
                <w:color w:val="auto"/>
              </w:rPr>
            </w:pPr>
            <w:r>
              <w:rPr>
                <w:rFonts w:ascii="Arial" w:cs="Arial" w:eastAsia="Arial" w:hAnsi="Arial"/>
                <w:sz w:val="18"/>
                <w:szCs w:val="18"/>
                <w:color w:val="auto"/>
                <w:w w:val="97"/>
              </w:rPr>
              <w:t>A+</w:t>
            </w:r>
          </w:p>
        </w:tc>
      </w:tr>
      <w:tr>
        <w:trPr>
          <w:trHeight w:val="418"/>
        </w:trPr>
        <w:tc>
          <w:tcPr>
            <w:tcW w:w="6120" w:type="dxa"/>
            <w:vAlign w:val="bottom"/>
          </w:tcPr>
          <w:p>
            <w:pPr>
              <w:spacing w:after="0"/>
              <w:rPr>
                <w:sz w:val="20"/>
                <w:szCs w:val="20"/>
                <w:color w:val="auto"/>
              </w:rPr>
            </w:pPr>
            <w:r>
              <w:rPr>
                <w:rFonts w:ascii="Arial" w:cs="Arial" w:eastAsia="Arial" w:hAnsi="Arial"/>
                <w:sz w:val="18"/>
                <w:szCs w:val="18"/>
                <w:b w:val="1"/>
                <w:bCs w:val="1"/>
                <w:color w:val="auto"/>
              </w:rPr>
              <w:t>Fair Value Measurement</w:t>
            </w:r>
          </w:p>
        </w:tc>
        <w:tc>
          <w:tcPr>
            <w:tcW w:w="9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40" w:type="dxa"/>
            <w:vAlign w:val="bottom"/>
          </w:tcPr>
          <w:p>
            <w:pPr>
              <w:spacing w:after="0"/>
              <w:rPr>
                <w:sz w:val="24"/>
                <w:szCs w:val="24"/>
                <w:color w:val="auto"/>
              </w:rPr>
            </w:pPr>
          </w:p>
        </w:tc>
      </w:tr>
    </w:tbl>
    <w:p>
      <w:pPr>
        <w:spacing w:after="0" w:line="202" w:lineRule="exact"/>
        <w:rPr>
          <w:sz w:val="20"/>
          <w:szCs w:val="20"/>
          <w:color w:val="auto"/>
        </w:rPr>
      </w:pPr>
    </w:p>
    <w:p>
      <w:pPr>
        <w:ind w:right="100" w:firstLine="648"/>
        <w:spacing w:after="0" w:line="271" w:lineRule="auto"/>
        <w:rPr>
          <w:sz w:val="20"/>
          <w:szCs w:val="20"/>
          <w:color w:val="auto"/>
        </w:rPr>
      </w:pPr>
      <w:r>
        <w:rPr>
          <w:rFonts w:ascii="Arial" w:cs="Arial" w:eastAsia="Arial" w:hAnsi="Arial"/>
          <w:sz w:val="17"/>
          <w:szCs w:val="17"/>
          <w:color w:val="auto"/>
        </w:rPr>
        <w:t>Fair value is defined as the price that would be received to sell an asset or paid to transfer a liability in an orderly transaction between market participants at the measurement date (an exit price). The fair value hierarchy prioritizes the inputs to valuation techniques used to measure fair value into three levels. The fair value hierarchy gives the highest priority (Level 1) to unadjusted quoted prices in active markets for identical assets or liabilities and gives the lowest priority (Level 3) to unobservable inputs. The level in the fair value hierarchy within which the fair value measurement in its entirety falls is determined based on the lowest level input that is significant to the fair value measurement in its entirety considering factors specific to the asset or liability. See Item 1. “Financial Statements, Notes to Unaudited Condensed Consolidated Financial Statements, Note 12, Fair Value Measurements” for further details, including a reconciliation of changes in Level 3 fair value measurements.</w:t>
      </w:r>
    </w:p>
    <w:p>
      <w:pPr>
        <w:spacing w:after="0" w:line="178" w:lineRule="exact"/>
        <w:rPr>
          <w:sz w:val="20"/>
          <w:szCs w:val="20"/>
          <w:color w:val="auto"/>
        </w:rPr>
      </w:pPr>
    </w:p>
    <w:p>
      <w:pPr>
        <w:ind w:right="440" w:firstLine="648"/>
        <w:spacing w:after="0" w:line="342" w:lineRule="auto"/>
        <w:rPr>
          <w:sz w:val="20"/>
          <w:szCs w:val="20"/>
          <w:color w:val="auto"/>
        </w:rPr>
      </w:pPr>
      <w:r>
        <w:rPr>
          <w:rFonts w:ascii="Arial" w:cs="Arial" w:eastAsia="Arial" w:hAnsi="Arial"/>
          <w:sz w:val="16"/>
          <w:szCs w:val="16"/>
          <w:color w:val="auto"/>
        </w:rPr>
        <w:t>As of June 30, 2022, 44% of our net assets (liabilities) were Level 1, 54% were Level 2 and 2% were Level 3. Excluding separate account assets as of June 30, 2022, 4% of our net assets (liabilities) were Level 1, 90% were Level 2 and 6% were Level 3.</w:t>
      </w:r>
    </w:p>
    <w:p>
      <w:pPr>
        <w:spacing w:after="0" w:line="124" w:lineRule="exact"/>
        <w:rPr>
          <w:sz w:val="20"/>
          <w:szCs w:val="20"/>
          <w:color w:val="auto"/>
        </w:rPr>
      </w:pPr>
    </w:p>
    <w:p>
      <w:pPr>
        <w:ind w:right="20" w:firstLine="648"/>
        <w:spacing w:after="0" w:line="342" w:lineRule="auto"/>
        <w:rPr>
          <w:sz w:val="20"/>
          <w:szCs w:val="20"/>
          <w:color w:val="auto"/>
        </w:rPr>
      </w:pPr>
      <w:r>
        <w:rPr>
          <w:rFonts w:ascii="Arial" w:cs="Arial" w:eastAsia="Arial" w:hAnsi="Arial"/>
          <w:sz w:val="16"/>
          <w:szCs w:val="16"/>
          <w:color w:val="auto"/>
        </w:rPr>
        <w:t>As of December 31, 2021, 46% of our net assets (liabilities) were Level 1, 53% were Level 2 and 1% were Level 3. Excluding separate account assets as of December 31, 2021, 4% of our net assets (liabilities) were Level 1, 95% were Level 2 and 1% were Level 3.</w:t>
      </w: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603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109" w:name="page110"/>
    <w:bookmarkEnd w:id="109"/>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Changes in Level 3 Fair Value Measurements</w:t>
      </w:r>
    </w:p>
    <w:p>
      <w:pPr>
        <w:spacing w:after="0" w:line="225" w:lineRule="exact"/>
        <w:rPr>
          <w:sz w:val="20"/>
          <w:szCs w:val="20"/>
          <w:color w:val="auto"/>
        </w:rPr>
      </w:pPr>
    </w:p>
    <w:p>
      <w:pPr>
        <w:ind w:right="40" w:firstLine="648"/>
        <w:spacing w:after="0" w:line="301" w:lineRule="auto"/>
        <w:rPr>
          <w:sz w:val="20"/>
          <w:szCs w:val="20"/>
          <w:color w:val="auto"/>
        </w:rPr>
      </w:pPr>
      <w:r>
        <w:rPr>
          <w:rFonts w:ascii="Arial" w:cs="Arial" w:eastAsia="Arial" w:hAnsi="Arial"/>
          <w:sz w:val="16"/>
          <w:szCs w:val="16"/>
          <w:color w:val="auto"/>
        </w:rPr>
        <w:t>Net assets (liabilities) measured at fair value on a recurring basis using significant unobservable inputs (Level 3) as of June 30, 2022, were $5,498.6 million as compared to $1,672.2 million as of December 31, 2021. The increase was primarily related to an increase in the embedded derivative related to the funds withheld agreement, partially offset by a decrease in manually priced private corporate credit securities and a reduction of variable annuity liabilities due to an increase in interest rates during the quarter.</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Investments</w:t>
      </w:r>
    </w:p>
    <w:p>
      <w:pPr>
        <w:spacing w:after="0" w:line="229" w:lineRule="exact"/>
        <w:rPr>
          <w:sz w:val="20"/>
          <w:szCs w:val="20"/>
          <w:color w:val="auto"/>
        </w:rPr>
      </w:pPr>
    </w:p>
    <w:p>
      <w:pPr>
        <w:ind w:right="20" w:firstLine="648"/>
        <w:spacing w:after="0" w:line="272" w:lineRule="auto"/>
        <w:rPr>
          <w:sz w:val="20"/>
          <w:szCs w:val="20"/>
          <w:color w:val="auto"/>
        </w:rPr>
      </w:pPr>
      <w:r>
        <w:rPr>
          <w:rFonts w:ascii="Arial" w:cs="Arial" w:eastAsia="Arial" w:hAnsi="Arial"/>
          <w:sz w:val="17"/>
          <w:szCs w:val="17"/>
          <w:color w:val="auto"/>
        </w:rPr>
        <w:t>We had total consolidated assets as of June 30, 2022, of $293,220.2 million, of which $97,841.7 million were invested assets. A portion of our invested assets represent funds withheld backing reserves as part of a coinsurance with funds withheld reinsurance agreement. The funds withheld assets and associated net investment income and net realized capital gains (losses) are not included in the discussions below as the investment risk is passed to the reinsurer. See Item 1. “Financial Statements, Notes to Unaudited Condensed Consolidated Financial Statements, Note 7, Reinsurance” for more information on the funds withheld assets. The rest of our total consolidated assets are comprised primarily of separate account assets for which we do not bear investment risk; therefore, the discussion and financial information below does not include such assets.</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Overall Composition of Invested Assets</w:t>
      </w:r>
    </w:p>
    <w:p>
      <w:pPr>
        <w:spacing w:after="0" w:line="229" w:lineRule="exact"/>
        <w:rPr>
          <w:sz w:val="20"/>
          <w:szCs w:val="20"/>
          <w:color w:val="auto"/>
        </w:rPr>
      </w:pPr>
    </w:p>
    <w:p>
      <w:pPr>
        <w:ind w:right="200" w:firstLine="648"/>
        <w:spacing w:after="0" w:line="311" w:lineRule="auto"/>
        <w:rPr>
          <w:sz w:val="20"/>
          <w:szCs w:val="20"/>
          <w:color w:val="auto"/>
        </w:rPr>
      </w:pPr>
      <w:r>
        <w:rPr>
          <w:rFonts w:ascii="Arial" w:cs="Arial" w:eastAsia="Arial" w:hAnsi="Arial"/>
          <w:sz w:val="16"/>
          <w:szCs w:val="16"/>
          <w:color w:val="auto"/>
        </w:rPr>
        <w:t>Invested assets as of June 30, 2022, were predominantly high quality and broadly diversified across asset class, individual credit, industry and geographic location. Asset allocation is determined based on cash flow and the risk/return requirements of our products. As shown in the following table, the major categories of invested assets are fixed maturities and commercial mortgage loans.</w:t>
      </w:r>
    </w:p>
    <w:p>
      <w:pPr>
        <w:spacing w:after="0" w:line="154"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540" w:type="dxa"/>
            <w:vAlign w:val="bottom"/>
          </w:tcPr>
          <w:p>
            <w:pPr>
              <w:spacing w:after="0"/>
              <w:rPr>
                <w:sz w:val="14"/>
                <w:szCs w:val="14"/>
                <w:color w:val="auto"/>
              </w:rPr>
            </w:pPr>
          </w:p>
        </w:tc>
        <w:tc>
          <w:tcPr>
            <w:tcW w:w="30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0"/>
              </w:rPr>
              <w:t>June 30, 2022</w:t>
            </w:r>
          </w:p>
        </w:tc>
        <w:tc>
          <w:tcPr>
            <w:tcW w:w="6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3540" w:type="dxa"/>
            <w:vAlign w:val="bottom"/>
          </w:tcPr>
          <w:p>
            <w:pPr>
              <w:spacing w:after="0"/>
              <w:rPr>
                <w:sz w:val="10"/>
                <w:szCs w:val="10"/>
                <w:color w:val="auto"/>
              </w:rPr>
            </w:pPr>
          </w:p>
        </w:tc>
        <w:tc>
          <w:tcPr>
            <w:tcW w:w="30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40" w:type="dxa"/>
            <w:vAlign w:val="bottom"/>
          </w:tcPr>
          <w:p>
            <w:pPr>
              <w:jc w:val="center"/>
              <w:ind w:right="34"/>
              <w:spacing w:after="0" w:line="119" w:lineRule="exact"/>
              <w:rPr>
                <w:sz w:val="20"/>
                <w:szCs w:val="20"/>
                <w:color w:val="auto"/>
              </w:rPr>
            </w:pPr>
            <w:r>
              <w:rPr>
                <w:rFonts w:ascii="Arial" w:cs="Arial" w:eastAsia="Arial" w:hAnsi="Arial"/>
                <w:sz w:val="13"/>
                <w:szCs w:val="13"/>
                <w:b w:val="1"/>
                <w:bCs w:val="1"/>
                <w:color w:val="auto"/>
                <w:w w:val="97"/>
              </w:rPr>
              <w:t>Investments</w:t>
            </w:r>
          </w:p>
        </w:tc>
        <w:tc>
          <w:tcPr>
            <w:tcW w:w="2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2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0"/>
              </w:rPr>
              <w:t>Funds</w:t>
            </w:r>
          </w:p>
        </w:tc>
        <w:tc>
          <w:tcPr>
            <w:tcW w:w="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8"/>
        </w:trPr>
        <w:tc>
          <w:tcPr>
            <w:tcW w:w="3540" w:type="dxa"/>
            <w:vAlign w:val="bottom"/>
          </w:tcPr>
          <w:p>
            <w:pPr>
              <w:spacing w:after="0"/>
              <w:rPr>
                <w:sz w:val="12"/>
                <w:szCs w:val="12"/>
                <w:color w:val="auto"/>
              </w:rPr>
            </w:pPr>
          </w:p>
        </w:tc>
        <w:tc>
          <w:tcPr>
            <w:tcW w:w="30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jc w:val="center"/>
              <w:ind w:right="14"/>
              <w:spacing w:after="0" w:line="149" w:lineRule="exact"/>
              <w:rPr>
                <w:sz w:val="20"/>
                <w:szCs w:val="20"/>
                <w:color w:val="auto"/>
              </w:rPr>
            </w:pPr>
            <w:r>
              <w:rPr>
                <w:rFonts w:ascii="Arial" w:cs="Arial" w:eastAsia="Arial" w:hAnsi="Arial"/>
                <w:sz w:val="14"/>
                <w:szCs w:val="14"/>
                <w:b w:val="1"/>
                <w:bCs w:val="1"/>
                <w:color w:val="auto"/>
                <w:w w:val="91"/>
              </w:rPr>
              <w:t>excluding</w:t>
            </w: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40" w:type="dxa"/>
            <w:vAlign w:val="bottom"/>
            <w:vMerge w:val="restart"/>
          </w:tcPr>
          <w:p>
            <w:pPr>
              <w:jc w:val="right"/>
              <w:ind w:right="252"/>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71"/>
        </w:trPr>
        <w:tc>
          <w:tcPr>
            <w:tcW w:w="3540" w:type="dxa"/>
            <w:vAlign w:val="bottom"/>
          </w:tcPr>
          <w:p>
            <w:pPr>
              <w:spacing w:after="0"/>
              <w:rPr>
                <w:sz w:val="14"/>
                <w:szCs w:val="14"/>
                <w:color w:val="auto"/>
              </w:rPr>
            </w:pPr>
          </w:p>
        </w:tc>
        <w:tc>
          <w:tcPr>
            <w:tcW w:w="3000" w:type="dxa"/>
            <w:vAlign w:val="bottom"/>
          </w:tcPr>
          <w:p>
            <w:pPr>
              <w:spacing w:after="0"/>
              <w:rPr>
                <w:sz w:val="14"/>
                <w:szCs w:val="14"/>
                <w:color w:val="auto"/>
              </w:rPr>
            </w:pPr>
          </w:p>
        </w:tc>
        <w:tc>
          <w:tcPr>
            <w:tcW w:w="1060" w:type="dxa"/>
            <w:vAlign w:val="bottom"/>
            <w:gridSpan w:val="2"/>
          </w:tcPr>
          <w:p>
            <w:pPr>
              <w:jc w:val="center"/>
              <w:spacing w:after="0"/>
              <w:rPr>
                <w:sz w:val="20"/>
                <w:szCs w:val="20"/>
                <w:color w:val="auto"/>
              </w:rPr>
            </w:pPr>
            <w:r>
              <w:rPr>
                <w:rFonts w:ascii="Arial" w:cs="Arial" w:eastAsia="Arial" w:hAnsi="Arial"/>
                <w:sz w:val="14"/>
                <w:szCs w:val="14"/>
                <w:b w:val="1"/>
                <w:bCs w:val="1"/>
                <w:color w:val="auto"/>
                <w:w w:val="93"/>
              </w:rPr>
              <w:t>funds withheld</w:t>
            </w: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5"/>
              </w:rPr>
              <w:t>withheld</w:t>
            </w: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4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28"/>
        </w:trPr>
        <w:tc>
          <w:tcPr>
            <w:tcW w:w="3540" w:type="dxa"/>
            <w:vAlign w:val="bottom"/>
          </w:tcPr>
          <w:p>
            <w:pPr>
              <w:spacing w:after="0"/>
              <w:rPr>
                <w:sz w:val="11"/>
                <w:szCs w:val="11"/>
                <w:color w:val="auto"/>
              </w:rPr>
            </w:pPr>
          </w:p>
        </w:tc>
        <w:tc>
          <w:tcPr>
            <w:tcW w:w="300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940" w:type="dxa"/>
            <w:vAlign w:val="bottom"/>
            <w:tcBorders>
              <w:top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Borders>
              <w:top w:val="single" w:sz="8" w:color="auto"/>
            </w:tcBorders>
            <w:gridSpan w:val="2"/>
          </w:tcPr>
          <w:p>
            <w:pPr>
              <w:jc w:val="center"/>
              <w:spacing w:after="0" w:line="129" w:lineRule="exact"/>
              <w:rPr>
                <w:sz w:val="20"/>
                <w:szCs w:val="20"/>
                <w:color w:val="auto"/>
              </w:rPr>
            </w:pPr>
            <w:r>
              <w:rPr>
                <w:rFonts w:ascii="Arial" w:cs="Arial" w:eastAsia="Arial" w:hAnsi="Arial"/>
                <w:sz w:val="14"/>
                <w:szCs w:val="14"/>
                <w:i w:val="1"/>
                <w:iCs w:val="1"/>
                <w:color w:val="auto"/>
                <w:w w:val="98"/>
              </w:rPr>
              <w:t>(in millions)</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840" w:type="dxa"/>
            <w:vAlign w:val="bottom"/>
            <w:tcBorders>
              <w:top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3540" w:type="dxa"/>
            <w:vAlign w:val="bottom"/>
            <w:shd w:val="clear" w:color="auto" w:fill="CCEEFF"/>
          </w:tcPr>
          <w:p>
            <w:pPr>
              <w:spacing w:after="0"/>
              <w:rPr>
                <w:sz w:val="20"/>
                <w:szCs w:val="20"/>
                <w:color w:val="auto"/>
              </w:rPr>
            </w:pPr>
            <w:r>
              <w:rPr>
                <w:rFonts w:ascii="Arial" w:cs="Arial" w:eastAsia="Arial" w:hAnsi="Arial"/>
                <w:sz w:val="18"/>
                <w:szCs w:val="18"/>
                <w:color w:val="auto"/>
              </w:rPr>
              <w:t>Fixed maturities</w:t>
            </w:r>
          </w:p>
        </w:tc>
        <w:tc>
          <w:tcPr>
            <w:tcW w:w="31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48,218.0</w:t>
            </w:r>
          </w:p>
        </w:tc>
        <w:tc>
          <w:tcPr>
            <w:tcW w:w="34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19,378.9</w:t>
            </w:r>
          </w:p>
        </w:tc>
        <w:tc>
          <w:tcPr>
            <w:tcW w:w="14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ind w:right="7"/>
              <w:spacing w:after="0"/>
              <w:rPr>
                <w:sz w:val="20"/>
                <w:szCs w:val="20"/>
                <w:color w:val="auto"/>
              </w:rPr>
            </w:pPr>
            <w:r>
              <w:rPr>
                <w:rFonts w:ascii="Arial" w:cs="Arial" w:eastAsia="Arial" w:hAnsi="Arial"/>
                <w:sz w:val="18"/>
                <w:szCs w:val="18"/>
                <w:b w:val="1"/>
                <w:bCs w:val="1"/>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67,596.9</w:t>
            </w:r>
          </w:p>
        </w:tc>
        <w:tc>
          <w:tcPr>
            <w:tcW w:w="0" w:type="dxa"/>
            <w:vAlign w:val="bottom"/>
          </w:tcPr>
          <w:p>
            <w:pPr>
              <w:spacing w:after="0"/>
              <w:rPr>
                <w:sz w:val="1"/>
                <w:szCs w:val="1"/>
                <w:color w:val="auto"/>
              </w:rPr>
            </w:pPr>
          </w:p>
        </w:tc>
      </w:tr>
      <w:tr>
        <w:trPr>
          <w:trHeight w:val="216"/>
        </w:trPr>
        <w:tc>
          <w:tcPr>
            <w:tcW w:w="3540" w:type="dxa"/>
            <w:vAlign w:val="bottom"/>
          </w:tcPr>
          <w:p>
            <w:pPr>
              <w:spacing w:after="0"/>
              <w:rPr>
                <w:sz w:val="20"/>
                <w:szCs w:val="20"/>
                <w:color w:val="auto"/>
              </w:rPr>
            </w:pPr>
            <w:r>
              <w:rPr>
                <w:rFonts w:ascii="Arial" w:cs="Arial" w:eastAsia="Arial" w:hAnsi="Arial"/>
                <w:sz w:val="18"/>
                <w:szCs w:val="18"/>
                <w:color w:val="auto"/>
              </w:rPr>
              <w:t>Equity securities</w:t>
            </w:r>
          </w:p>
        </w:tc>
        <w:tc>
          <w:tcPr>
            <w:tcW w:w="30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1,689.8</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b w:val="1"/>
                <w:bCs w:val="1"/>
                <w:color w:val="auto"/>
              </w:rPr>
              <w:t>10.0</w:t>
            </w: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b w:val="1"/>
                <w:bCs w:val="1"/>
                <w:color w:val="auto"/>
              </w:rPr>
              <w:t>1,699.8</w:t>
            </w:r>
          </w:p>
        </w:tc>
        <w:tc>
          <w:tcPr>
            <w:tcW w:w="0" w:type="dxa"/>
            <w:vAlign w:val="bottom"/>
          </w:tcPr>
          <w:p>
            <w:pPr>
              <w:spacing w:after="0"/>
              <w:rPr>
                <w:sz w:val="1"/>
                <w:szCs w:val="1"/>
                <w:color w:val="auto"/>
              </w:rPr>
            </w:pPr>
          </w:p>
        </w:tc>
      </w:tr>
      <w:tr>
        <w:trPr>
          <w:trHeight w:val="216"/>
        </w:trPr>
        <w:tc>
          <w:tcPr>
            <w:tcW w:w="3540" w:type="dxa"/>
            <w:vAlign w:val="bottom"/>
            <w:shd w:val="clear" w:color="auto" w:fill="CCEEFF"/>
          </w:tcPr>
          <w:p>
            <w:pPr>
              <w:spacing w:after="0"/>
              <w:rPr>
                <w:sz w:val="20"/>
                <w:szCs w:val="20"/>
                <w:color w:val="auto"/>
              </w:rPr>
            </w:pPr>
            <w:r>
              <w:rPr>
                <w:rFonts w:ascii="Arial" w:cs="Arial" w:eastAsia="Arial" w:hAnsi="Arial"/>
                <w:sz w:val="18"/>
                <w:szCs w:val="18"/>
                <w:color w:val="auto"/>
              </w:rPr>
              <w:t>Mortgage loans</w:t>
            </w:r>
          </w:p>
        </w:tc>
        <w:tc>
          <w:tcPr>
            <w:tcW w:w="30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17,487.3</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2,789.9</w:t>
            </w:r>
          </w:p>
        </w:tc>
        <w:tc>
          <w:tcPr>
            <w:tcW w:w="1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20,277.2</w:t>
            </w:r>
          </w:p>
        </w:tc>
        <w:tc>
          <w:tcPr>
            <w:tcW w:w="0" w:type="dxa"/>
            <w:vAlign w:val="bottom"/>
          </w:tcPr>
          <w:p>
            <w:pPr>
              <w:spacing w:after="0"/>
              <w:rPr>
                <w:sz w:val="1"/>
                <w:szCs w:val="1"/>
                <w:color w:val="auto"/>
              </w:rPr>
            </w:pPr>
          </w:p>
        </w:tc>
      </w:tr>
      <w:tr>
        <w:trPr>
          <w:trHeight w:val="216"/>
        </w:trPr>
        <w:tc>
          <w:tcPr>
            <w:tcW w:w="3540" w:type="dxa"/>
            <w:vAlign w:val="bottom"/>
          </w:tcPr>
          <w:p>
            <w:pPr>
              <w:spacing w:after="0"/>
              <w:rPr>
                <w:sz w:val="20"/>
                <w:szCs w:val="20"/>
                <w:color w:val="auto"/>
              </w:rPr>
            </w:pPr>
            <w:r>
              <w:rPr>
                <w:rFonts w:ascii="Arial" w:cs="Arial" w:eastAsia="Arial" w:hAnsi="Arial"/>
                <w:sz w:val="18"/>
                <w:szCs w:val="18"/>
                <w:color w:val="auto"/>
              </w:rPr>
              <w:t>Real estate</w:t>
            </w:r>
          </w:p>
        </w:tc>
        <w:tc>
          <w:tcPr>
            <w:tcW w:w="30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2,073.6</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w:t>
            </w: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b w:val="1"/>
                <w:bCs w:val="1"/>
                <w:color w:val="auto"/>
              </w:rPr>
              <w:t>2,073.6</w:t>
            </w:r>
          </w:p>
        </w:tc>
        <w:tc>
          <w:tcPr>
            <w:tcW w:w="0" w:type="dxa"/>
            <w:vAlign w:val="bottom"/>
          </w:tcPr>
          <w:p>
            <w:pPr>
              <w:spacing w:after="0"/>
              <w:rPr>
                <w:sz w:val="1"/>
                <w:szCs w:val="1"/>
                <w:color w:val="auto"/>
              </w:rPr>
            </w:pPr>
          </w:p>
        </w:tc>
      </w:tr>
      <w:tr>
        <w:trPr>
          <w:trHeight w:val="216"/>
        </w:trPr>
        <w:tc>
          <w:tcPr>
            <w:tcW w:w="3540" w:type="dxa"/>
            <w:vAlign w:val="bottom"/>
            <w:shd w:val="clear" w:color="auto" w:fill="CCEEFF"/>
          </w:tcPr>
          <w:p>
            <w:pPr>
              <w:spacing w:after="0"/>
              <w:rPr>
                <w:sz w:val="20"/>
                <w:szCs w:val="20"/>
                <w:color w:val="auto"/>
              </w:rPr>
            </w:pPr>
            <w:r>
              <w:rPr>
                <w:rFonts w:ascii="Arial" w:cs="Arial" w:eastAsia="Arial" w:hAnsi="Arial"/>
                <w:sz w:val="18"/>
                <w:szCs w:val="18"/>
                <w:color w:val="auto"/>
              </w:rPr>
              <w:t>Policy loans</w:t>
            </w:r>
          </w:p>
        </w:tc>
        <w:tc>
          <w:tcPr>
            <w:tcW w:w="30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766.6</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w:t>
            </w: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766.6</w:t>
            </w:r>
          </w:p>
        </w:tc>
        <w:tc>
          <w:tcPr>
            <w:tcW w:w="0" w:type="dxa"/>
            <w:vAlign w:val="bottom"/>
          </w:tcPr>
          <w:p>
            <w:pPr>
              <w:spacing w:after="0"/>
              <w:rPr>
                <w:sz w:val="1"/>
                <w:szCs w:val="1"/>
                <w:color w:val="auto"/>
              </w:rPr>
            </w:pPr>
          </w:p>
        </w:tc>
      </w:tr>
      <w:tr>
        <w:trPr>
          <w:trHeight w:val="216"/>
        </w:trPr>
        <w:tc>
          <w:tcPr>
            <w:tcW w:w="354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Other investments</w:t>
            </w:r>
          </w:p>
        </w:tc>
        <w:tc>
          <w:tcPr>
            <w:tcW w:w="300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5,425.8</w:t>
            </w:r>
          </w:p>
        </w:tc>
        <w:tc>
          <w:tcPr>
            <w:tcW w:w="22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1.8</w:t>
            </w:r>
          </w:p>
        </w:tc>
        <w:tc>
          <w:tcPr>
            <w:tcW w:w="140" w:type="dxa"/>
            <w:vAlign w:val="bottom"/>
            <w:tcBorders>
              <w:bottom w:val="single" w:sz="8" w:color="CCEEFF"/>
            </w:tcBorders>
          </w:tcPr>
          <w:p>
            <w:pPr>
              <w:spacing w:after="0"/>
              <w:rPr>
                <w:sz w:val="18"/>
                <w:szCs w:val="18"/>
                <w:color w:val="auto"/>
              </w:rPr>
            </w:pPr>
          </w:p>
        </w:tc>
        <w:tc>
          <w:tcPr>
            <w:tcW w:w="6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5,427.6</w:t>
            </w:r>
          </w:p>
        </w:tc>
        <w:tc>
          <w:tcPr>
            <w:tcW w:w="0" w:type="dxa"/>
            <w:vAlign w:val="bottom"/>
          </w:tcPr>
          <w:p>
            <w:pPr>
              <w:spacing w:after="0"/>
              <w:rPr>
                <w:sz w:val="1"/>
                <w:szCs w:val="1"/>
                <w:color w:val="auto"/>
              </w:rPr>
            </w:pPr>
          </w:p>
        </w:tc>
      </w:tr>
      <w:tr>
        <w:trPr>
          <w:trHeight w:val="210"/>
        </w:trPr>
        <w:tc>
          <w:tcPr>
            <w:tcW w:w="3540" w:type="dxa"/>
            <w:vAlign w:val="bottom"/>
            <w:shd w:val="clear" w:color="auto" w:fill="CCEEFF"/>
          </w:tcPr>
          <w:p>
            <w:pPr>
              <w:ind w:left="120"/>
              <w:spacing w:after="0"/>
              <w:rPr>
                <w:sz w:val="20"/>
                <w:szCs w:val="20"/>
                <w:color w:val="auto"/>
              </w:rPr>
            </w:pPr>
            <w:r>
              <w:rPr>
                <w:rFonts w:ascii="Arial" w:cs="Arial" w:eastAsia="Arial" w:hAnsi="Arial"/>
                <w:sz w:val="18"/>
                <w:szCs w:val="18"/>
                <w:color w:val="auto"/>
              </w:rPr>
              <w:t>Total invested assets</w:t>
            </w:r>
          </w:p>
        </w:tc>
        <w:tc>
          <w:tcPr>
            <w:tcW w:w="30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75,661.1</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22,180.6</w:t>
            </w:r>
          </w:p>
        </w:tc>
        <w:tc>
          <w:tcPr>
            <w:tcW w:w="1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97,841.7</w:t>
            </w:r>
          </w:p>
        </w:tc>
        <w:tc>
          <w:tcPr>
            <w:tcW w:w="0" w:type="dxa"/>
            <w:vAlign w:val="bottom"/>
          </w:tcPr>
          <w:p>
            <w:pPr>
              <w:spacing w:after="0"/>
              <w:rPr>
                <w:sz w:val="1"/>
                <w:szCs w:val="1"/>
                <w:color w:val="auto"/>
              </w:rPr>
            </w:pPr>
          </w:p>
        </w:tc>
      </w:tr>
      <w:tr>
        <w:trPr>
          <w:trHeight w:val="216"/>
        </w:trPr>
        <w:tc>
          <w:tcPr>
            <w:tcW w:w="354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Cash and cash equivalents</w:t>
            </w:r>
          </w:p>
        </w:tc>
        <w:tc>
          <w:tcPr>
            <w:tcW w:w="300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2,772.8</w:t>
            </w:r>
          </w:p>
        </w:tc>
        <w:tc>
          <w:tcPr>
            <w:tcW w:w="22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400.3</w:t>
            </w:r>
          </w:p>
        </w:tc>
        <w:tc>
          <w:tcPr>
            <w:tcW w:w="140" w:type="dxa"/>
            <w:vAlign w:val="bottom"/>
            <w:tcBorders>
              <w:bottom w:val="single" w:sz="8" w:color="CCEEFF"/>
            </w:tcBorders>
          </w:tcPr>
          <w:p>
            <w:pPr>
              <w:spacing w:after="0"/>
              <w:rPr>
                <w:sz w:val="18"/>
                <w:szCs w:val="18"/>
                <w:color w:val="auto"/>
              </w:rPr>
            </w:pPr>
          </w:p>
        </w:tc>
        <w:tc>
          <w:tcPr>
            <w:tcW w:w="6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3,173.1</w:t>
            </w:r>
          </w:p>
        </w:tc>
        <w:tc>
          <w:tcPr>
            <w:tcW w:w="0" w:type="dxa"/>
            <w:vAlign w:val="bottom"/>
          </w:tcPr>
          <w:p>
            <w:pPr>
              <w:spacing w:after="0"/>
              <w:rPr>
                <w:sz w:val="1"/>
                <w:szCs w:val="1"/>
                <w:color w:val="auto"/>
              </w:rPr>
            </w:pPr>
          </w:p>
        </w:tc>
      </w:tr>
      <w:tr>
        <w:trPr>
          <w:trHeight w:val="210"/>
        </w:trPr>
        <w:tc>
          <w:tcPr>
            <w:tcW w:w="354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Total invested assets and cash</w:t>
            </w:r>
          </w:p>
        </w:tc>
        <w:tc>
          <w:tcPr>
            <w:tcW w:w="300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78,433.9</w:t>
            </w:r>
          </w:p>
        </w:tc>
        <w:tc>
          <w:tcPr>
            <w:tcW w:w="22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22,580.9</w:t>
            </w:r>
          </w:p>
        </w:tc>
        <w:tc>
          <w:tcPr>
            <w:tcW w:w="140" w:type="dxa"/>
            <w:vAlign w:val="bottom"/>
            <w:tcBorders>
              <w:bottom w:val="single" w:sz="8" w:color="CCEEFF"/>
            </w:tcBorders>
            <w:shd w:val="clear" w:color="auto" w:fill="CCEEFF"/>
          </w:tcPr>
          <w:p>
            <w:pPr>
              <w:spacing w:after="0"/>
              <w:rPr>
                <w:sz w:val="18"/>
                <w:szCs w:val="18"/>
                <w:color w:val="auto"/>
              </w:rPr>
            </w:pPr>
          </w:p>
        </w:tc>
        <w:tc>
          <w:tcPr>
            <w:tcW w:w="6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jc w:val="right"/>
              <w:ind w:right="7"/>
              <w:spacing w:after="0"/>
              <w:rPr>
                <w:sz w:val="20"/>
                <w:szCs w:val="20"/>
                <w:color w:val="auto"/>
              </w:rPr>
            </w:pPr>
            <w:r>
              <w:rPr>
                <w:rFonts w:ascii="Arial" w:cs="Arial" w:eastAsia="Arial" w:hAnsi="Arial"/>
                <w:sz w:val="15"/>
                <w:szCs w:val="15"/>
                <w:b w:val="1"/>
                <w:bCs w:val="1"/>
                <w:color w:val="auto"/>
                <w:w w:val="71"/>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4"/>
              </w:rPr>
              <w:t>101,014.8</w:t>
            </w:r>
          </w:p>
        </w:tc>
        <w:tc>
          <w:tcPr>
            <w:tcW w:w="0" w:type="dxa"/>
            <w:vAlign w:val="bottom"/>
          </w:tcPr>
          <w:p>
            <w:pPr>
              <w:spacing w:after="0"/>
              <w:rPr>
                <w:sz w:val="1"/>
                <w:szCs w:val="1"/>
                <w:color w:val="auto"/>
              </w:rPr>
            </w:pPr>
          </w:p>
        </w:tc>
      </w:tr>
      <w:tr>
        <w:trPr>
          <w:trHeight w:val="20"/>
        </w:trPr>
        <w:tc>
          <w:tcPr>
            <w:tcW w:w="3540" w:type="dxa"/>
            <w:vAlign w:val="bottom"/>
          </w:tcPr>
          <w:p>
            <w:pPr>
              <w:spacing w:after="0" w:line="20" w:lineRule="exact"/>
              <w:rPr>
                <w:sz w:val="1"/>
                <w:szCs w:val="1"/>
                <w:color w:val="auto"/>
              </w:rPr>
            </w:pPr>
          </w:p>
        </w:tc>
        <w:tc>
          <w:tcPr>
            <w:tcW w:w="30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00" w:type="dxa"/>
            <w:vAlign w:val="bottom"/>
            <w:tcBorders>
              <w:bottom w:val="single" w:sz="8" w:color="auto"/>
            </w:tcBorders>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3540" w:type="dxa"/>
            <w:vAlign w:val="bottom"/>
          </w:tcPr>
          <w:p>
            <w:pPr>
              <w:spacing w:after="0"/>
              <w:rPr>
                <w:sz w:val="24"/>
                <w:szCs w:val="24"/>
                <w:color w:val="auto"/>
              </w:rPr>
            </w:pPr>
          </w:p>
        </w:tc>
        <w:tc>
          <w:tcPr>
            <w:tcW w:w="300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3"/>
              </w:rPr>
              <w:t>December 31, 2021</w:t>
            </w:r>
          </w:p>
        </w:tc>
        <w:tc>
          <w:tcPr>
            <w:tcW w:w="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3540" w:type="dxa"/>
            <w:vAlign w:val="bottom"/>
          </w:tcPr>
          <w:p>
            <w:pPr>
              <w:spacing w:after="0"/>
              <w:rPr>
                <w:sz w:val="10"/>
                <w:szCs w:val="10"/>
                <w:color w:val="auto"/>
              </w:rPr>
            </w:pPr>
          </w:p>
        </w:tc>
        <w:tc>
          <w:tcPr>
            <w:tcW w:w="30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40" w:type="dxa"/>
            <w:vAlign w:val="bottom"/>
          </w:tcPr>
          <w:p>
            <w:pPr>
              <w:jc w:val="center"/>
              <w:ind w:right="34"/>
              <w:spacing w:after="0" w:line="119" w:lineRule="exact"/>
              <w:rPr>
                <w:sz w:val="20"/>
                <w:szCs w:val="20"/>
                <w:color w:val="auto"/>
              </w:rPr>
            </w:pPr>
            <w:r>
              <w:rPr>
                <w:rFonts w:ascii="Arial" w:cs="Arial" w:eastAsia="Arial" w:hAnsi="Arial"/>
                <w:sz w:val="13"/>
                <w:szCs w:val="13"/>
                <w:b w:val="1"/>
                <w:bCs w:val="1"/>
                <w:color w:val="auto"/>
                <w:w w:val="97"/>
              </w:rPr>
              <w:t>Investments</w:t>
            </w:r>
          </w:p>
        </w:tc>
        <w:tc>
          <w:tcPr>
            <w:tcW w:w="2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2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0"/>
              </w:rPr>
              <w:t>Funds</w:t>
            </w:r>
          </w:p>
        </w:tc>
        <w:tc>
          <w:tcPr>
            <w:tcW w:w="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8"/>
        </w:trPr>
        <w:tc>
          <w:tcPr>
            <w:tcW w:w="3540" w:type="dxa"/>
            <w:vAlign w:val="bottom"/>
          </w:tcPr>
          <w:p>
            <w:pPr>
              <w:spacing w:after="0"/>
              <w:rPr>
                <w:sz w:val="12"/>
                <w:szCs w:val="12"/>
                <w:color w:val="auto"/>
              </w:rPr>
            </w:pPr>
          </w:p>
        </w:tc>
        <w:tc>
          <w:tcPr>
            <w:tcW w:w="30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jc w:val="center"/>
              <w:ind w:right="14"/>
              <w:spacing w:after="0" w:line="149" w:lineRule="exact"/>
              <w:rPr>
                <w:sz w:val="20"/>
                <w:szCs w:val="20"/>
                <w:color w:val="auto"/>
              </w:rPr>
            </w:pPr>
            <w:r>
              <w:rPr>
                <w:rFonts w:ascii="Arial" w:cs="Arial" w:eastAsia="Arial" w:hAnsi="Arial"/>
                <w:sz w:val="14"/>
                <w:szCs w:val="14"/>
                <w:b w:val="1"/>
                <w:bCs w:val="1"/>
                <w:color w:val="auto"/>
                <w:w w:val="91"/>
              </w:rPr>
              <w:t>excluding</w:t>
            </w: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40" w:type="dxa"/>
            <w:vAlign w:val="bottom"/>
            <w:vMerge w:val="restart"/>
          </w:tcPr>
          <w:p>
            <w:pPr>
              <w:jc w:val="right"/>
              <w:ind w:right="252"/>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71"/>
        </w:trPr>
        <w:tc>
          <w:tcPr>
            <w:tcW w:w="3540" w:type="dxa"/>
            <w:vAlign w:val="bottom"/>
          </w:tcPr>
          <w:p>
            <w:pPr>
              <w:spacing w:after="0"/>
              <w:rPr>
                <w:sz w:val="14"/>
                <w:szCs w:val="14"/>
                <w:color w:val="auto"/>
              </w:rPr>
            </w:pPr>
          </w:p>
        </w:tc>
        <w:tc>
          <w:tcPr>
            <w:tcW w:w="3000" w:type="dxa"/>
            <w:vAlign w:val="bottom"/>
          </w:tcPr>
          <w:p>
            <w:pPr>
              <w:spacing w:after="0"/>
              <w:rPr>
                <w:sz w:val="14"/>
                <w:szCs w:val="14"/>
                <w:color w:val="auto"/>
              </w:rPr>
            </w:pPr>
          </w:p>
        </w:tc>
        <w:tc>
          <w:tcPr>
            <w:tcW w:w="1060" w:type="dxa"/>
            <w:vAlign w:val="bottom"/>
            <w:gridSpan w:val="2"/>
          </w:tcPr>
          <w:p>
            <w:pPr>
              <w:jc w:val="center"/>
              <w:spacing w:after="0"/>
              <w:rPr>
                <w:sz w:val="20"/>
                <w:szCs w:val="20"/>
                <w:color w:val="auto"/>
              </w:rPr>
            </w:pPr>
            <w:r>
              <w:rPr>
                <w:rFonts w:ascii="Arial" w:cs="Arial" w:eastAsia="Arial" w:hAnsi="Arial"/>
                <w:sz w:val="14"/>
                <w:szCs w:val="14"/>
                <w:b w:val="1"/>
                <w:bCs w:val="1"/>
                <w:color w:val="auto"/>
                <w:w w:val="93"/>
              </w:rPr>
              <w:t>funds withheld</w:t>
            </w: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5"/>
              </w:rPr>
              <w:t>withheld</w:t>
            </w: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4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28"/>
        </w:trPr>
        <w:tc>
          <w:tcPr>
            <w:tcW w:w="3540" w:type="dxa"/>
            <w:vAlign w:val="bottom"/>
          </w:tcPr>
          <w:p>
            <w:pPr>
              <w:spacing w:after="0"/>
              <w:rPr>
                <w:sz w:val="11"/>
                <w:szCs w:val="11"/>
                <w:color w:val="auto"/>
              </w:rPr>
            </w:pPr>
          </w:p>
        </w:tc>
        <w:tc>
          <w:tcPr>
            <w:tcW w:w="300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940" w:type="dxa"/>
            <w:vAlign w:val="bottom"/>
            <w:tcBorders>
              <w:top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Borders>
              <w:top w:val="single" w:sz="8" w:color="auto"/>
            </w:tcBorders>
            <w:gridSpan w:val="2"/>
          </w:tcPr>
          <w:p>
            <w:pPr>
              <w:jc w:val="center"/>
              <w:spacing w:after="0" w:line="129" w:lineRule="exact"/>
              <w:rPr>
                <w:sz w:val="20"/>
                <w:szCs w:val="20"/>
                <w:color w:val="auto"/>
              </w:rPr>
            </w:pPr>
            <w:r>
              <w:rPr>
                <w:rFonts w:ascii="Arial" w:cs="Arial" w:eastAsia="Arial" w:hAnsi="Arial"/>
                <w:sz w:val="14"/>
                <w:szCs w:val="14"/>
                <w:i w:val="1"/>
                <w:iCs w:val="1"/>
                <w:color w:val="auto"/>
                <w:w w:val="98"/>
              </w:rPr>
              <w:t>(in millions)</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840" w:type="dxa"/>
            <w:vAlign w:val="bottom"/>
            <w:tcBorders>
              <w:top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3540" w:type="dxa"/>
            <w:vAlign w:val="bottom"/>
            <w:shd w:val="clear" w:color="auto" w:fill="CCEEFF"/>
          </w:tcPr>
          <w:p>
            <w:pPr>
              <w:spacing w:after="0"/>
              <w:rPr>
                <w:sz w:val="20"/>
                <w:szCs w:val="20"/>
                <w:color w:val="auto"/>
              </w:rPr>
            </w:pPr>
            <w:r>
              <w:rPr>
                <w:rFonts w:ascii="Arial" w:cs="Arial" w:eastAsia="Arial" w:hAnsi="Arial"/>
                <w:sz w:val="18"/>
                <w:szCs w:val="18"/>
                <w:color w:val="auto"/>
              </w:rPr>
              <w:t>Fixed maturities</w:t>
            </w:r>
          </w:p>
        </w:tc>
        <w:tc>
          <w:tcPr>
            <w:tcW w:w="3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78,576.7</w:t>
            </w:r>
          </w:p>
        </w:tc>
        <w:tc>
          <w:tcPr>
            <w:tcW w:w="3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gridSpan w:val="2"/>
            <w:shd w:val="clear" w:color="auto" w:fill="CCEEFF"/>
          </w:tcPr>
          <w:p>
            <w:pPr>
              <w:jc w:val="right"/>
              <w:ind w:right="7"/>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78,576.7</w:t>
            </w:r>
          </w:p>
        </w:tc>
        <w:tc>
          <w:tcPr>
            <w:tcW w:w="0" w:type="dxa"/>
            <w:vAlign w:val="bottom"/>
          </w:tcPr>
          <w:p>
            <w:pPr>
              <w:spacing w:after="0"/>
              <w:rPr>
                <w:sz w:val="1"/>
                <w:szCs w:val="1"/>
                <w:color w:val="auto"/>
              </w:rPr>
            </w:pPr>
          </w:p>
        </w:tc>
      </w:tr>
      <w:tr>
        <w:trPr>
          <w:trHeight w:val="216"/>
        </w:trPr>
        <w:tc>
          <w:tcPr>
            <w:tcW w:w="3540" w:type="dxa"/>
            <w:vAlign w:val="bottom"/>
          </w:tcPr>
          <w:p>
            <w:pPr>
              <w:spacing w:after="0"/>
              <w:rPr>
                <w:sz w:val="20"/>
                <w:szCs w:val="20"/>
                <w:color w:val="auto"/>
              </w:rPr>
            </w:pPr>
            <w:r>
              <w:rPr>
                <w:rFonts w:ascii="Arial" w:cs="Arial" w:eastAsia="Arial" w:hAnsi="Arial"/>
                <w:sz w:val="18"/>
                <w:szCs w:val="18"/>
                <w:color w:val="auto"/>
              </w:rPr>
              <w:t>Equity securities</w:t>
            </w:r>
          </w:p>
        </w:tc>
        <w:tc>
          <w:tcPr>
            <w:tcW w:w="30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2,347.2</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2,347.2</w:t>
            </w:r>
          </w:p>
        </w:tc>
        <w:tc>
          <w:tcPr>
            <w:tcW w:w="0" w:type="dxa"/>
            <w:vAlign w:val="bottom"/>
          </w:tcPr>
          <w:p>
            <w:pPr>
              <w:spacing w:after="0"/>
              <w:rPr>
                <w:sz w:val="1"/>
                <w:szCs w:val="1"/>
                <w:color w:val="auto"/>
              </w:rPr>
            </w:pPr>
          </w:p>
        </w:tc>
      </w:tr>
      <w:tr>
        <w:trPr>
          <w:trHeight w:val="216"/>
        </w:trPr>
        <w:tc>
          <w:tcPr>
            <w:tcW w:w="3540" w:type="dxa"/>
            <w:vAlign w:val="bottom"/>
            <w:shd w:val="clear" w:color="auto" w:fill="CCEEFF"/>
          </w:tcPr>
          <w:p>
            <w:pPr>
              <w:spacing w:after="0"/>
              <w:rPr>
                <w:sz w:val="20"/>
                <w:szCs w:val="20"/>
                <w:color w:val="auto"/>
              </w:rPr>
            </w:pPr>
            <w:r>
              <w:rPr>
                <w:rFonts w:ascii="Arial" w:cs="Arial" w:eastAsia="Arial" w:hAnsi="Arial"/>
                <w:sz w:val="18"/>
                <w:szCs w:val="18"/>
                <w:color w:val="auto"/>
              </w:rPr>
              <w:t>Mortgage loans</w:t>
            </w:r>
          </w:p>
        </w:tc>
        <w:tc>
          <w:tcPr>
            <w:tcW w:w="30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19,668.7</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19,668.7</w:t>
            </w:r>
          </w:p>
        </w:tc>
        <w:tc>
          <w:tcPr>
            <w:tcW w:w="0" w:type="dxa"/>
            <w:vAlign w:val="bottom"/>
          </w:tcPr>
          <w:p>
            <w:pPr>
              <w:spacing w:after="0"/>
              <w:rPr>
                <w:sz w:val="1"/>
                <w:szCs w:val="1"/>
                <w:color w:val="auto"/>
              </w:rPr>
            </w:pPr>
          </w:p>
        </w:tc>
      </w:tr>
      <w:tr>
        <w:trPr>
          <w:trHeight w:val="216"/>
        </w:trPr>
        <w:tc>
          <w:tcPr>
            <w:tcW w:w="3540" w:type="dxa"/>
            <w:vAlign w:val="bottom"/>
          </w:tcPr>
          <w:p>
            <w:pPr>
              <w:spacing w:after="0"/>
              <w:rPr>
                <w:sz w:val="20"/>
                <w:szCs w:val="20"/>
                <w:color w:val="auto"/>
              </w:rPr>
            </w:pPr>
            <w:r>
              <w:rPr>
                <w:rFonts w:ascii="Arial" w:cs="Arial" w:eastAsia="Arial" w:hAnsi="Arial"/>
                <w:sz w:val="18"/>
                <w:szCs w:val="18"/>
                <w:color w:val="auto"/>
              </w:rPr>
              <w:t>Real estate</w:t>
            </w:r>
          </w:p>
        </w:tc>
        <w:tc>
          <w:tcPr>
            <w:tcW w:w="30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2,075.4</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2,075.4</w:t>
            </w:r>
          </w:p>
        </w:tc>
        <w:tc>
          <w:tcPr>
            <w:tcW w:w="0" w:type="dxa"/>
            <w:vAlign w:val="bottom"/>
          </w:tcPr>
          <w:p>
            <w:pPr>
              <w:spacing w:after="0"/>
              <w:rPr>
                <w:sz w:val="1"/>
                <w:szCs w:val="1"/>
                <w:color w:val="auto"/>
              </w:rPr>
            </w:pPr>
          </w:p>
        </w:tc>
      </w:tr>
      <w:tr>
        <w:trPr>
          <w:trHeight w:val="216"/>
        </w:trPr>
        <w:tc>
          <w:tcPr>
            <w:tcW w:w="3540" w:type="dxa"/>
            <w:vAlign w:val="bottom"/>
            <w:shd w:val="clear" w:color="auto" w:fill="CCEEFF"/>
          </w:tcPr>
          <w:p>
            <w:pPr>
              <w:spacing w:after="0"/>
              <w:rPr>
                <w:sz w:val="20"/>
                <w:szCs w:val="20"/>
                <w:color w:val="auto"/>
              </w:rPr>
            </w:pPr>
            <w:r>
              <w:rPr>
                <w:rFonts w:ascii="Arial" w:cs="Arial" w:eastAsia="Arial" w:hAnsi="Arial"/>
                <w:sz w:val="18"/>
                <w:szCs w:val="18"/>
                <w:color w:val="auto"/>
              </w:rPr>
              <w:t>Policy loans</w:t>
            </w:r>
          </w:p>
        </w:tc>
        <w:tc>
          <w:tcPr>
            <w:tcW w:w="30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759.6</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759.6</w:t>
            </w:r>
          </w:p>
        </w:tc>
        <w:tc>
          <w:tcPr>
            <w:tcW w:w="0" w:type="dxa"/>
            <w:vAlign w:val="bottom"/>
          </w:tcPr>
          <w:p>
            <w:pPr>
              <w:spacing w:after="0"/>
              <w:rPr>
                <w:sz w:val="1"/>
                <w:szCs w:val="1"/>
                <w:color w:val="auto"/>
              </w:rPr>
            </w:pPr>
          </w:p>
        </w:tc>
      </w:tr>
      <w:tr>
        <w:trPr>
          <w:trHeight w:val="216"/>
        </w:trPr>
        <w:tc>
          <w:tcPr>
            <w:tcW w:w="3540" w:type="dxa"/>
            <w:vAlign w:val="bottom"/>
          </w:tcPr>
          <w:p>
            <w:pPr>
              <w:spacing w:after="0"/>
              <w:rPr>
                <w:sz w:val="20"/>
                <w:szCs w:val="20"/>
                <w:color w:val="auto"/>
              </w:rPr>
            </w:pPr>
            <w:r>
              <w:rPr>
                <w:rFonts w:ascii="Arial" w:cs="Arial" w:eastAsia="Arial" w:hAnsi="Arial"/>
                <w:sz w:val="18"/>
                <w:szCs w:val="18"/>
                <w:color w:val="auto"/>
              </w:rPr>
              <w:t>Other investments</w:t>
            </w:r>
          </w:p>
        </w:tc>
        <w:tc>
          <w:tcPr>
            <w:tcW w:w="30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5,478.3</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5,478.3</w:t>
            </w:r>
          </w:p>
        </w:tc>
        <w:tc>
          <w:tcPr>
            <w:tcW w:w="0" w:type="dxa"/>
            <w:vAlign w:val="bottom"/>
          </w:tcPr>
          <w:p>
            <w:pPr>
              <w:spacing w:after="0"/>
              <w:rPr>
                <w:sz w:val="1"/>
                <w:szCs w:val="1"/>
                <w:color w:val="auto"/>
              </w:rPr>
            </w:pPr>
          </w:p>
        </w:tc>
      </w:tr>
      <w:tr>
        <w:trPr>
          <w:trHeight w:val="209"/>
        </w:trPr>
        <w:tc>
          <w:tcPr>
            <w:tcW w:w="3540" w:type="dxa"/>
            <w:vAlign w:val="bottom"/>
            <w:tcBorders>
              <w:top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Total invested assets</w:t>
            </w:r>
          </w:p>
        </w:tc>
        <w:tc>
          <w:tcPr>
            <w:tcW w:w="30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108,905.9</w:t>
            </w:r>
          </w:p>
        </w:tc>
        <w:tc>
          <w:tcPr>
            <w:tcW w:w="2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tcBorders>
              <w:top w:val="single" w:sz="8" w:color="CCEEFF"/>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4"/>
              </w:rPr>
              <w:t>108,905.9</w:t>
            </w:r>
          </w:p>
        </w:tc>
        <w:tc>
          <w:tcPr>
            <w:tcW w:w="0" w:type="dxa"/>
            <w:vAlign w:val="bottom"/>
          </w:tcPr>
          <w:p>
            <w:pPr>
              <w:spacing w:after="0"/>
              <w:rPr>
                <w:sz w:val="1"/>
                <w:szCs w:val="1"/>
                <w:color w:val="auto"/>
              </w:rPr>
            </w:pPr>
          </w:p>
        </w:tc>
      </w:tr>
      <w:tr>
        <w:trPr>
          <w:trHeight w:val="216"/>
        </w:trPr>
        <w:tc>
          <w:tcPr>
            <w:tcW w:w="3540" w:type="dxa"/>
            <w:vAlign w:val="bottom"/>
          </w:tcPr>
          <w:p>
            <w:pPr>
              <w:spacing w:after="0"/>
              <w:rPr>
                <w:sz w:val="20"/>
                <w:szCs w:val="20"/>
                <w:color w:val="auto"/>
              </w:rPr>
            </w:pPr>
            <w:r>
              <w:rPr>
                <w:rFonts w:ascii="Arial" w:cs="Arial" w:eastAsia="Arial" w:hAnsi="Arial"/>
                <w:sz w:val="18"/>
                <w:szCs w:val="18"/>
                <w:color w:val="auto"/>
              </w:rPr>
              <w:t>Cash and cash equivalents</w:t>
            </w:r>
          </w:p>
        </w:tc>
        <w:tc>
          <w:tcPr>
            <w:tcW w:w="30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2,332.0</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2,332.0</w:t>
            </w:r>
          </w:p>
        </w:tc>
        <w:tc>
          <w:tcPr>
            <w:tcW w:w="0" w:type="dxa"/>
            <w:vAlign w:val="bottom"/>
          </w:tcPr>
          <w:p>
            <w:pPr>
              <w:spacing w:after="0"/>
              <w:rPr>
                <w:sz w:val="1"/>
                <w:szCs w:val="1"/>
                <w:color w:val="auto"/>
              </w:rPr>
            </w:pPr>
          </w:p>
        </w:tc>
      </w:tr>
      <w:tr>
        <w:trPr>
          <w:trHeight w:val="210"/>
        </w:trPr>
        <w:tc>
          <w:tcPr>
            <w:tcW w:w="3540" w:type="dxa"/>
            <w:vAlign w:val="bottom"/>
            <w:tcBorders>
              <w:top w:val="single" w:sz="8" w:color="CCEEFF"/>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Total invested assets and cash</w:t>
            </w:r>
          </w:p>
        </w:tc>
        <w:tc>
          <w:tcPr>
            <w:tcW w:w="300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111,237.9</w:t>
            </w:r>
          </w:p>
        </w:tc>
        <w:tc>
          <w:tcPr>
            <w:tcW w:w="22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60" w:type="dxa"/>
            <w:vAlign w:val="bottom"/>
            <w:tcBorders>
              <w:top w:val="single" w:sz="8" w:color="CCEEFF"/>
              <w:bottom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jc w:val="right"/>
              <w:ind w:right="7"/>
              <w:spacing w:after="0"/>
              <w:rPr>
                <w:sz w:val="20"/>
                <w:szCs w:val="20"/>
                <w:color w:val="auto"/>
              </w:rPr>
            </w:pPr>
            <w:r>
              <w:rPr>
                <w:rFonts w:ascii="Arial" w:cs="Arial" w:eastAsia="Arial" w:hAnsi="Arial"/>
                <w:sz w:val="15"/>
                <w:szCs w:val="15"/>
                <w:color w:val="auto"/>
                <w:w w:val="71"/>
              </w:rPr>
              <w:t>$</w:t>
            </w:r>
          </w:p>
        </w:tc>
        <w:tc>
          <w:tcPr>
            <w:tcW w:w="8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4"/>
              </w:rPr>
              <w:t>111,237.9</w:t>
            </w:r>
          </w:p>
        </w:tc>
        <w:tc>
          <w:tcPr>
            <w:tcW w:w="0" w:type="dxa"/>
            <w:vAlign w:val="bottom"/>
          </w:tcPr>
          <w:p>
            <w:pPr>
              <w:spacing w:after="0"/>
              <w:rPr>
                <w:sz w:val="1"/>
                <w:szCs w:val="1"/>
                <w:color w:val="auto"/>
              </w:rPr>
            </w:pPr>
          </w:p>
        </w:tc>
      </w:tr>
      <w:tr>
        <w:trPr>
          <w:trHeight w:val="20"/>
        </w:trPr>
        <w:tc>
          <w:tcPr>
            <w:tcW w:w="3540" w:type="dxa"/>
            <w:vAlign w:val="bottom"/>
          </w:tcPr>
          <w:p>
            <w:pPr>
              <w:spacing w:after="0" w:line="20" w:lineRule="exact"/>
              <w:rPr>
                <w:sz w:val="1"/>
                <w:szCs w:val="1"/>
                <w:color w:val="auto"/>
              </w:rPr>
            </w:pPr>
          </w:p>
        </w:tc>
        <w:tc>
          <w:tcPr>
            <w:tcW w:w="3000" w:type="dxa"/>
            <w:vAlign w:val="bottom"/>
            <w:vMerge w:val="restart"/>
          </w:tcPr>
          <w:p>
            <w:pPr>
              <w:jc w:val="right"/>
              <w:ind w:right="1350"/>
              <w:spacing w:after="0"/>
              <w:rPr>
                <w:sz w:val="20"/>
                <w:szCs w:val="20"/>
                <w:color w:val="auto"/>
              </w:rPr>
            </w:pPr>
            <w:r>
              <w:rPr>
                <w:rFonts w:ascii="Arial" w:cs="Arial" w:eastAsia="Arial" w:hAnsi="Arial"/>
                <w:sz w:val="18"/>
                <w:szCs w:val="18"/>
                <w:color w:val="auto"/>
              </w:rPr>
              <w:t>110</w:t>
            </w: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4"/>
        </w:trPr>
        <w:tc>
          <w:tcPr>
            <w:tcW w:w="3540" w:type="dxa"/>
            <w:vAlign w:val="bottom"/>
          </w:tcPr>
          <w:p>
            <w:pPr>
              <w:spacing w:after="0"/>
              <w:rPr>
                <w:sz w:val="24"/>
                <w:szCs w:val="24"/>
                <w:color w:val="auto"/>
              </w:rPr>
            </w:pPr>
          </w:p>
        </w:tc>
        <w:tc>
          <w:tcPr>
            <w:tcW w:w="3000" w:type="dxa"/>
            <w:vAlign w:val="bottom"/>
            <w:vMerge w:val="continue"/>
          </w:tcPr>
          <w:p>
            <w:pPr>
              <w:spacing w:after="0"/>
              <w:rPr>
                <w:sz w:val="24"/>
                <w:szCs w:val="24"/>
                <w:color w:val="auto"/>
              </w:rPr>
            </w:pPr>
          </w:p>
        </w:tc>
        <w:tc>
          <w:tcPr>
            <w:tcW w:w="1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60"/>
        </w:trPr>
        <w:tc>
          <w:tcPr>
            <w:tcW w:w="3540" w:type="dxa"/>
            <w:vAlign w:val="bottom"/>
            <w:tcBorders>
              <w:bottom w:val="single" w:sz="8" w:color="auto"/>
            </w:tcBorders>
          </w:tcPr>
          <w:p>
            <w:pPr>
              <w:spacing w:after="0"/>
              <w:rPr>
                <w:sz w:val="24"/>
                <w:szCs w:val="24"/>
                <w:color w:val="auto"/>
              </w:rPr>
            </w:pPr>
          </w:p>
        </w:tc>
        <w:tc>
          <w:tcPr>
            <w:tcW w:w="30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920"/>
          </w:cols>
          <w:pgMar w:left="980" w:top="665" w:right="999" w:bottom="1440" w:gutter="0" w:footer="0" w:header="0"/>
        </w:sectPr>
      </w:pPr>
    </w:p>
    <w:bookmarkStart w:id="110" w:name="page111"/>
    <w:bookmarkEnd w:id="110"/>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Investment Results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Investment Income</w:t>
      </w:r>
    </w:p>
    <w:p>
      <w:pPr>
        <w:spacing w:after="0" w:line="225" w:lineRule="exact"/>
        <w:rPr>
          <w:sz w:val="20"/>
          <w:szCs w:val="20"/>
          <w:color w:val="auto"/>
        </w:rPr>
      </w:pPr>
    </w:p>
    <w:p>
      <w:pPr>
        <w:ind w:right="180" w:firstLine="648"/>
        <w:spacing w:after="0" w:line="259" w:lineRule="auto"/>
        <w:rPr>
          <w:sz w:val="20"/>
          <w:szCs w:val="20"/>
          <w:color w:val="auto"/>
        </w:rPr>
      </w:pPr>
      <w:r>
        <w:rPr>
          <w:rFonts w:ascii="Arial" w:cs="Arial" w:eastAsia="Arial" w:hAnsi="Arial"/>
          <w:sz w:val="18"/>
          <w:szCs w:val="18"/>
          <w:color w:val="auto"/>
        </w:rPr>
        <w:t>The following table presents the yield and investment income, excluding net realized capital gains and losses, for our invested assets for the periods indicated. We calculate annualized yields using a simple average of asset classes at the beginning and end of the reporting period. The yields for available-for-sale fixed maturities are calculated using amortized cost. All other yields are calculated using carrying amounts.</w:t>
      </w:r>
    </w:p>
    <w:p>
      <w:pPr>
        <w:spacing w:after="0" w:line="192"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160" w:type="dxa"/>
            <w:vAlign w:val="bottom"/>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2440" w:type="dxa"/>
            <w:vAlign w:val="bottom"/>
            <w:tcBorders>
              <w:bottom w:val="single" w:sz="8" w:color="auto"/>
            </w:tcBorders>
            <w:gridSpan w:val="8"/>
          </w:tcPr>
          <w:p>
            <w:pPr>
              <w:jc w:val="right"/>
              <w:spacing w:after="0"/>
              <w:rPr>
                <w:sz w:val="20"/>
                <w:szCs w:val="20"/>
                <w:color w:val="auto"/>
              </w:rPr>
            </w:pPr>
            <w:r>
              <w:rPr>
                <w:rFonts w:ascii="Arial" w:cs="Arial" w:eastAsia="Arial" w:hAnsi="Arial"/>
                <w:sz w:val="14"/>
                <w:szCs w:val="14"/>
                <w:b w:val="1"/>
                <w:bCs w:val="1"/>
                <w:color w:val="auto"/>
                <w:w w:val="98"/>
              </w:rPr>
              <w:t>For the three months ended June 30,</w:t>
            </w:r>
          </w:p>
        </w:tc>
        <w:tc>
          <w:tcPr>
            <w:tcW w:w="20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2700" w:type="dxa"/>
            <w:vAlign w:val="bottom"/>
            <w:tcBorders>
              <w:bottom w:val="single" w:sz="8" w:color="auto"/>
            </w:tcBorders>
            <w:gridSpan w:val="9"/>
          </w:tcPr>
          <w:p>
            <w:pPr>
              <w:jc w:val="right"/>
              <w:ind w:right="228"/>
              <w:spacing w:after="0"/>
              <w:rPr>
                <w:sz w:val="20"/>
                <w:szCs w:val="20"/>
                <w:color w:val="auto"/>
              </w:rPr>
            </w:pPr>
            <w:r>
              <w:rPr>
                <w:rFonts w:ascii="Arial" w:cs="Arial" w:eastAsia="Arial" w:hAnsi="Arial"/>
                <w:sz w:val="14"/>
                <w:szCs w:val="14"/>
                <w:b w:val="1"/>
                <w:bCs w:val="1"/>
                <w:color w:val="auto"/>
              </w:rPr>
              <w:t>For the six months ended June 30,</w:t>
            </w:r>
          </w:p>
        </w:tc>
        <w:tc>
          <w:tcPr>
            <w:tcW w:w="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r>
      <w:tr>
        <w:trPr>
          <w:trHeight w:val="142"/>
        </w:trPr>
        <w:tc>
          <w:tcPr>
            <w:tcW w:w="2160" w:type="dxa"/>
            <w:vAlign w:val="bottom"/>
          </w:tcPr>
          <w:p>
            <w:pPr>
              <w:spacing w:after="0"/>
              <w:rPr>
                <w:sz w:val="12"/>
                <w:szCs w:val="12"/>
                <w:color w:val="auto"/>
              </w:rPr>
            </w:pPr>
          </w:p>
        </w:tc>
        <w:tc>
          <w:tcPr>
            <w:tcW w:w="320" w:type="dxa"/>
            <w:vAlign w:val="bottom"/>
            <w:tcBorders>
              <w:bottom w:val="single" w:sz="8" w:color="auto"/>
            </w:tcBorders>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gridSpan w:val="2"/>
          </w:tcPr>
          <w:p>
            <w:pPr>
              <w:jc w:val="right"/>
              <w:ind w:right="308"/>
              <w:spacing w:after="0" w:line="142" w:lineRule="exact"/>
              <w:rPr>
                <w:sz w:val="20"/>
                <w:szCs w:val="20"/>
                <w:color w:val="auto"/>
              </w:rPr>
            </w:pPr>
            <w:r>
              <w:rPr>
                <w:rFonts w:ascii="Arial" w:cs="Arial" w:eastAsia="Arial" w:hAnsi="Arial"/>
                <w:sz w:val="14"/>
                <w:szCs w:val="14"/>
                <w:b w:val="1"/>
                <w:bCs w:val="1"/>
                <w:color w:val="auto"/>
              </w:rPr>
              <w:t>2022</w:t>
            </w:r>
          </w:p>
        </w:tc>
        <w:tc>
          <w:tcPr>
            <w:tcW w:w="160" w:type="dxa"/>
            <w:vAlign w:val="bottom"/>
          </w:tcPr>
          <w:p>
            <w:pPr>
              <w:spacing w:after="0"/>
              <w:rPr>
                <w:sz w:val="12"/>
                <w:szCs w:val="12"/>
                <w:color w:val="auto"/>
              </w:rPr>
            </w:pPr>
          </w:p>
        </w:tc>
        <w:tc>
          <w:tcPr>
            <w:tcW w:w="32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gridSpan w:val="3"/>
          </w:tcPr>
          <w:p>
            <w:pPr>
              <w:jc w:val="center"/>
              <w:ind w:right="268"/>
              <w:spacing w:after="0" w:line="142" w:lineRule="exact"/>
              <w:rPr>
                <w:sz w:val="20"/>
                <w:szCs w:val="20"/>
                <w:color w:val="auto"/>
              </w:rPr>
            </w:pPr>
            <w:r>
              <w:rPr>
                <w:rFonts w:ascii="Arial" w:cs="Arial" w:eastAsia="Arial" w:hAnsi="Arial"/>
                <w:sz w:val="14"/>
                <w:szCs w:val="14"/>
                <w:b w:val="1"/>
                <w:bCs w:val="1"/>
                <w:color w:val="auto"/>
                <w:w w:val="89"/>
              </w:rPr>
              <w:t>2021</w:t>
            </w:r>
          </w:p>
        </w:tc>
        <w:tc>
          <w:tcPr>
            <w:tcW w:w="140" w:type="dxa"/>
            <w:vAlign w:val="bottom"/>
          </w:tcPr>
          <w:p>
            <w:pPr>
              <w:spacing w:after="0"/>
              <w:rPr>
                <w:sz w:val="12"/>
                <w:szCs w:val="12"/>
                <w:color w:val="auto"/>
              </w:rPr>
            </w:pPr>
          </w:p>
        </w:tc>
        <w:tc>
          <w:tcPr>
            <w:tcW w:w="1240" w:type="dxa"/>
            <w:vAlign w:val="bottom"/>
            <w:tcBorders>
              <w:bottom w:val="single" w:sz="8" w:color="auto"/>
            </w:tcBorders>
            <w:gridSpan w:val="4"/>
          </w:tcPr>
          <w:p>
            <w:pPr>
              <w:jc w:val="right"/>
              <w:spacing w:after="0" w:line="142" w:lineRule="exact"/>
              <w:rPr>
                <w:sz w:val="20"/>
                <w:szCs w:val="20"/>
                <w:color w:val="auto"/>
              </w:rPr>
            </w:pPr>
            <w:r>
              <w:rPr>
                <w:rFonts w:ascii="Arial" w:cs="Arial" w:eastAsia="Arial" w:hAnsi="Arial"/>
                <w:sz w:val="14"/>
                <w:szCs w:val="14"/>
                <w:b w:val="1"/>
                <w:bCs w:val="1"/>
                <w:color w:val="auto"/>
                <w:w w:val="91"/>
              </w:rPr>
              <w:t>Increase (decrease)</w:t>
            </w:r>
          </w:p>
        </w:tc>
        <w:tc>
          <w:tcPr>
            <w:tcW w:w="160" w:type="dxa"/>
            <w:vAlign w:val="bottom"/>
          </w:tcPr>
          <w:p>
            <w:pPr>
              <w:spacing w:after="0"/>
              <w:rPr>
                <w:sz w:val="12"/>
                <w:szCs w:val="12"/>
                <w:color w:val="auto"/>
              </w:rPr>
            </w:pPr>
          </w:p>
        </w:tc>
        <w:tc>
          <w:tcPr>
            <w:tcW w:w="34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gridSpan w:val="2"/>
          </w:tcPr>
          <w:p>
            <w:pPr>
              <w:jc w:val="right"/>
              <w:ind w:right="368"/>
              <w:spacing w:after="0" w:line="142" w:lineRule="exact"/>
              <w:rPr>
                <w:sz w:val="20"/>
                <w:szCs w:val="20"/>
                <w:color w:val="auto"/>
              </w:rPr>
            </w:pPr>
            <w:r>
              <w:rPr>
                <w:rFonts w:ascii="Arial" w:cs="Arial" w:eastAsia="Arial" w:hAnsi="Arial"/>
                <w:sz w:val="14"/>
                <w:szCs w:val="14"/>
                <w:b w:val="1"/>
                <w:bCs w:val="1"/>
                <w:color w:val="auto"/>
              </w:rPr>
              <w:t>2022</w:t>
            </w:r>
          </w:p>
        </w:tc>
        <w:tc>
          <w:tcPr>
            <w:tcW w:w="140" w:type="dxa"/>
            <w:vAlign w:val="bottom"/>
          </w:tcPr>
          <w:p>
            <w:pPr>
              <w:spacing w:after="0"/>
              <w:rPr>
                <w:sz w:val="12"/>
                <w:szCs w:val="12"/>
                <w:color w:val="auto"/>
              </w:rPr>
            </w:pPr>
          </w:p>
        </w:tc>
        <w:tc>
          <w:tcPr>
            <w:tcW w:w="34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gridSpan w:val="3"/>
          </w:tcPr>
          <w:p>
            <w:pPr>
              <w:jc w:val="center"/>
              <w:ind w:right="248"/>
              <w:spacing w:after="0" w:line="142" w:lineRule="exact"/>
              <w:rPr>
                <w:sz w:val="20"/>
                <w:szCs w:val="20"/>
                <w:color w:val="auto"/>
              </w:rPr>
            </w:pPr>
            <w:r>
              <w:rPr>
                <w:rFonts w:ascii="Arial" w:cs="Arial" w:eastAsia="Arial" w:hAnsi="Arial"/>
                <w:sz w:val="14"/>
                <w:szCs w:val="14"/>
                <w:b w:val="1"/>
                <w:bCs w:val="1"/>
                <w:color w:val="auto"/>
                <w:w w:val="96"/>
              </w:rPr>
              <w:t>2021</w:t>
            </w:r>
          </w:p>
        </w:tc>
        <w:tc>
          <w:tcPr>
            <w:tcW w:w="160" w:type="dxa"/>
            <w:vAlign w:val="bottom"/>
          </w:tcPr>
          <w:p>
            <w:pPr>
              <w:spacing w:after="0"/>
              <w:rPr>
                <w:sz w:val="12"/>
                <w:szCs w:val="12"/>
                <w:color w:val="auto"/>
              </w:rPr>
            </w:pPr>
          </w:p>
        </w:tc>
        <w:tc>
          <w:tcPr>
            <w:tcW w:w="1240" w:type="dxa"/>
            <w:vAlign w:val="bottom"/>
            <w:tcBorders>
              <w:bottom w:val="single" w:sz="8" w:color="auto"/>
            </w:tcBorders>
            <w:gridSpan w:val="5"/>
          </w:tcPr>
          <w:p>
            <w:pPr>
              <w:jc w:val="right"/>
              <w:spacing w:after="0" w:line="142" w:lineRule="exact"/>
              <w:rPr>
                <w:sz w:val="20"/>
                <w:szCs w:val="20"/>
                <w:color w:val="auto"/>
              </w:rPr>
            </w:pPr>
            <w:r>
              <w:rPr>
                <w:rFonts w:ascii="Arial" w:cs="Arial" w:eastAsia="Arial" w:hAnsi="Arial"/>
                <w:sz w:val="14"/>
                <w:szCs w:val="14"/>
                <w:b w:val="1"/>
                <w:bCs w:val="1"/>
                <w:color w:val="auto"/>
                <w:w w:val="90"/>
              </w:rPr>
              <w:t>Increase (decrease)</w:t>
            </w:r>
          </w:p>
        </w:tc>
        <w:tc>
          <w:tcPr>
            <w:tcW w:w="20" w:type="dxa"/>
            <w:vAlign w:val="bottom"/>
          </w:tcPr>
          <w:p>
            <w:pPr>
              <w:spacing w:after="0"/>
              <w:rPr>
                <w:sz w:val="12"/>
                <w:szCs w:val="12"/>
                <w:color w:val="auto"/>
              </w:rPr>
            </w:pPr>
          </w:p>
        </w:tc>
      </w:tr>
      <w:tr>
        <w:trPr>
          <w:trHeight w:val="142"/>
        </w:trPr>
        <w:tc>
          <w:tcPr>
            <w:tcW w:w="2160" w:type="dxa"/>
            <w:vAlign w:val="bottom"/>
          </w:tcPr>
          <w:p>
            <w:pPr>
              <w:spacing w:after="0"/>
              <w:rPr>
                <w:sz w:val="12"/>
                <w:szCs w:val="12"/>
                <w:color w:val="auto"/>
              </w:rPr>
            </w:pPr>
          </w:p>
        </w:tc>
        <w:tc>
          <w:tcPr>
            <w:tcW w:w="340" w:type="dxa"/>
            <w:vAlign w:val="bottom"/>
            <w:tcBorders>
              <w:bottom w:val="single" w:sz="8" w:color="auto"/>
            </w:tcBorders>
            <w:gridSpan w:val="2"/>
          </w:tcPr>
          <w:p>
            <w:pPr>
              <w:jc w:val="right"/>
              <w:ind w:right="20"/>
              <w:spacing w:after="0" w:line="142" w:lineRule="exact"/>
              <w:rPr>
                <w:sz w:val="20"/>
                <w:szCs w:val="20"/>
                <w:color w:val="auto"/>
              </w:rPr>
            </w:pPr>
            <w:r>
              <w:rPr>
                <w:rFonts w:ascii="Arial" w:cs="Arial" w:eastAsia="Arial" w:hAnsi="Arial"/>
                <w:sz w:val="14"/>
                <w:szCs w:val="14"/>
                <w:b w:val="1"/>
                <w:bCs w:val="1"/>
                <w:color w:val="auto"/>
                <w:w w:val="89"/>
              </w:rPr>
              <w:t>Yield</w:t>
            </w:r>
          </w:p>
        </w:tc>
        <w:tc>
          <w:tcPr>
            <w:tcW w:w="200" w:type="dxa"/>
            <w:vAlign w:val="bottom"/>
          </w:tcPr>
          <w:p>
            <w:pPr>
              <w:spacing w:after="0"/>
              <w:rPr>
                <w:sz w:val="12"/>
                <w:szCs w:val="12"/>
                <w:color w:val="auto"/>
              </w:rPr>
            </w:pPr>
          </w:p>
        </w:tc>
        <w:tc>
          <w:tcPr>
            <w:tcW w:w="5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94"/>
              </w:rPr>
              <w:t>Amount</w:t>
            </w:r>
          </w:p>
        </w:tc>
        <w:tc>
          <w:tcPr>
            <w:tcW w:w="160" w:type="dxa"/>
            <w:vAlign w:val="bottom"/>
          </w:tcPr>
          <w:p>
            <w:pPr>
              <w:spacing w:after="0"/>
              <w:rPr>
                <w:sz w:val="12"/>
                <w:szCs w:val="12"/>
                <w:color w:val="auto"/>
              </w:rPr>
            </w:pPr>
          </w:p>
        </w:tc>
        <w:tc>
          <w:tcPr>
            <w:tcW w:w="3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9"/>
              </w:rPr>
              <w:t>Yield</w:t>
            </w:r>
          </w:p>
        </w:tc>
        <w:tc>
          <w:tcPr>
            <w:tcW w:w="220" w:type="dxa"/>
            <w:vAlign w:val="bottom"/>
          </w:tcPr>
          <w:p>
            <w:pPr>
              <w:spacing w:after="0"/>
              <w:rPr>
                <w:sz w:val="12"/>
                <w:szCs w:val="12"/>
                <w:color w:val="auto"/>
              </w:rPr>
            </w:pPr>
          </w:p>
        </w:tc>
        <w:tc>
          <w:tcPr>
            <w:tcW w:w="600" w:type="dxa"/>
            <w:vAlign w:val="bottom"/>
            <w:tcBorders>
              <w:bottom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w w:val="98"/>
              </w:rPr>
              <w:t>Amount</w:t>
            </w:r>
          </w:p>
        </w:tc>
        <w:tc>
          <w:tcPr>
            <w:tcW w:w="140" w:type="dxa"/>
            <w:vAlign w:val="bottom"/>
          </w:tcPr>
          <w:p>
            <w:pPr>
              <w:spacing w:after="0"/>
              <w:rPr>
                <w:sz w:val="12"/>
                <w:szCs w:val="12"/>
                <w:color w:val="auto"/>
              </w:rPr>
            </w:pPr>
          </w:p>
        </w:tc>
        <w:tc>
          <w:tcPr>
            <w:tcW w:w="480" w:type="dxa"/>
            <w:vAlign w:val="bottom"/>
            <w:tcBorders>
              <w:bottom w:val="single" w:sz="8" w:color="auto"/>
            </w:tcBorders>
          </w:tcPr>
          <w:p>
            <w:pPr>
              <w:jc w:val="right"/>
              <w:ind w:right="8"/>
              <w:spacing w:after="0" w:line="142" w:lineRule="exact"/>
              <w:rPr>
                <w:sz w:val="20"/>
                <w:szCs w:val="20"/>
                <w:color w:val="auto"/>
              </w:rPr>
            </w:pPr>
            <w:r>
              <w:rPr>
                <w:rFonts w:ascii="Arial" w:cs="Arial" w:eastAsia="Arial" w:hAnsi="Arial"/>
                <w:sz w:val="14"/>
                <w:szCs w:val="14"/>
                <w:b w:val="1"/>
                <w:bCs w:val="1"/>
                <w:color w:val="auto"/>
              </w:rPr>
              <w:t>Yield</w:t>
            </w:r>
          </w:p>
        </w:tc>
        <w:tc>
          <w:tcPr>
            <w:tcW w:w="200" w:type="dxa"/>
            <w:vAlign w:val="bottom"/>
          </w:tcPr>
          <w:p>
            <w:pPr>
              <w:spacing w:after="0"/>
              <w:rPr>
                <w:sz w:val="12"/>
                <w:szCs w:val="12"/>
                <w:color w:val="auto"/>
              </w:rPr>
            </w:pPr>
          </w:p>
        </w:tc>
        <w:tc>
          <w:tcPr>
            <w:tcW w:w="560" w:type="dxa"/>
            <w:vAlign w:val="bottom"/>
            <w:tcBorders>
              <w:bottom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w w:val="98"/>
              </w:rPr>
              <w:t>Amount</w:t>
            </w:r>
          </w:p>
        </w:tc>
        <w:tc>
          <w:tcPr>
            <w:tcW w:w="160" w:type="dxa"/>
            <w:vAlign w:val="bottom"/>
          </w:tcPr>
          <w:p>
            <w:pPr>
              <w:spacing w:after="0"/>
              <w:rPr>
                <w:sz w:val="12"/>
                <w:szCs w:val="12"/>
                <w:color w:val="auto"/>
              </w:rPr>
            </w:pPr>
          </w:p>
        </w:tc>
        <w:tc>
          <w:tcPr>
            <w:tcW w:w="34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9"/>
              </w:rPr>
              <w:t>Yield</w:t>
            </w:r>
          </w:p>
        </w:tc>
        <w:tc>
          <w:tcPr>
            <w:tcW w:w="220" w:type="dxa"/>
            <w:vAlign w:val="bottom"/>
          </w:tcPr>
          <w:p>
            <w:pPr>
              <w:spacing w:after="0"/>
              <w:rPr>
                <w:sz w:val="12"/>
                <w:szCs w:val="12"/>
                <w:color w:val="auto"/>
              </w:rPr>
            </w:pPr>
          </w:p>
        </w:tc>
        <w:tc>
          <w:tcPr>
            <w:tcW w:w="6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98"/>
              </w:rPr>
              <w:t>Amount</w:t>
            </w:r>
          </w:p>
        </w:tc>
        <w:tc>
          <w:tcPr>
            <w:tcW w:w="140" w:type="dxa"/>
            <w:vAlign w:val="bottom"/>
          </w:tcPr>
          <w:p>
            <w:pPr>
              <w:spacing w:after="0"/>
              <w:rPr>
                <w:sz w:val="12"/>
                <w:szCs w:val="12"/>
                <w:color w:val="auto"/>
              </w:rPr>
            </w:pPr>
          </w:p>
        </w:tc>
        <w:tc>
          <w:tcPr>
            <w:tcW w:w="34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95"/>
              </w:rPr>
              <w:t>Yield</w:t>
            </w:r>
          </w:p>
        </w:tc>
        <w:tc>
          <w:tcPr>
            <w:tcW w:w="200" w:type="dxa"/>
            <w:vAlign w:val="bottom"/>
          </w:tcPr>
          <w:p>
            <w:pPr>
              <w:spacing w:after="0"/>
              <w:rPr>
                <w:sz w:val="12"/>
                <w:szCs w:val="12"/>
                <w:color w:val="auto"/>
              </w:rPr>
            </w:pPr>
          </w:p>
        </w:tc>
        <w:tc>
          <w:tcPr>
            <w:tcW w:w="620" w:type="dxa"/>
            <w:vAlign w:val="bottom"/>
            <w:tcBorders>
              <w:bottom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rPr>
              <w:t>Amount</w:t>
            </w:r>
          </w:p>
        </w:tc>
        <w:tc>
          <w:tcPr>
            <w:tcW w:w="160" w:type="dxa"/>
            <w:vAlign w:val="bottom"/>
          </w:tcPr>
          <w:p>
            <w:pPr>
              <w:spacing w:after="0"/>
              <w:rPr>
                <w:sz w:val="12"/>
                <w:szCs w:val="12"/>
                <w:color w:val="auto"/>
              </w:rPr>
            </w:pPr>
          </w:p>
        </w:tc>
        <w:tc>
          <w:tcPr>
            <w:tcW w:w="4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Yield</w:t>
            </w:r>
          </w:p>
        </w:tc>
        <w:tc>
          <w:tcPr>
            <w:tcW w:w="1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560" w:type="dxa"/>
            <w:vAlign w:val="bottom"/>
            <w:tcBorders>
              <w:bottom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w w:val="94"/>
              </w:rPr>
              <w:t>Amount</w:t>
            </w:r>
          </w:p>
        </w:tc>
        <w:tc>
          <w:tcPr>
            <w:tcW w:w="20" w:type="dxa"/>
            <w:vAlign w:val="bottom"/>
          </w:tcPr>
          <w:p>
            <w:pPr>
              <w:spacing w:after="0"/>
              <w:rPr>
                <w:sz w:val="12"/>
                <w:szCs w:val="12"/>
                <w:color w:val="auto"/>
              </w:rPr>
            </w:pPr>
          </w:p>
        </w:tc>
      </w:tr>
      <w:tr>
        <w:trPr>
          <w:trHeight w:val="129"/>
        </w:trPr>
        <w:tc>
          <w:tcPr>
            <w:tcW w:w="21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40" w:type="dxa"/>
            <w:vAlign w:val="bottom"/>
            <w:gridSpan w:val="3"/>
          </w:tcPr>
          <w:p>
            <w:pPr>
              <w:jc w:val="right"/>
              <w:spacing w:after="0" w:line="129" w:lineRule="exact"/>
              <w:rPr>
                <w:sz w:val="20"/>
                <w:szCs w:val="20"/>
                <w:color w:val="auto"/>
              </w:rPr>
            </w:pPr>
            <w:r>
              <w:rPr>
                <w:rFonts w:ascii="Arial" w:cs="Arial" w:eastAsia="Arial" w:hAnsi="Arial"/>
                <w:sz w:val="14"/>
                <w:szCs w:val="14"/>
                <w:i w:val="1"/>
                <w:iCs w:val="1"/>
                <w:color w:val="auto"/>
              </w:rPr>
              <w:t>(in millions)</w:t>
            </w:r>
          </w:p>
        </w:tc>
        <w:tc>
          <w:tcPr>
            <w:tcW w:w="2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0" w:type="dxa"/>
            <w:vAlign w:val="bottom"/>
          </w:tcPr>
          <w:p>
            <w:pPr>
              <w:spacing w:after="0"/>
              <w:rPr>
                <w:sz w:val="11"/>
                <w:szCs w:val="11"/>
                <w:color w:val="auto"/>
              </w:rPr>
            </w:pPr>
          </w:p>
        </w:tc>
      </w:tr>
      <w:tr>
        <w:trPr>
          <w:trHeight w:val="148"/>
        </w:trPr>
        <w:tc>
          <w:tcPr>
            <w:tcW w:w="21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Fixed maturities</w:t>
            </w:r>
          </w:p>
        </w:tc>
        <w:tc>
          <w:tcPr>
            <w:tcW w:w="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4.2</w:t>
            </w:r>
          </w:p>
        </w:tc>
        <w:tc>
          <w:tcPr>
            <w:tcW w:w="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 $ 354.5</w:t>
            </w:r>
          </w:p>
        </w:tc>
        <w:tc>
          <w:tcPr>
            <w:tcW w:w="160" w:type="dxa"/>
            <w:vAlign w:val="bottom"/>
            <w:shd w:val="clear" w:color="auto" w:fill="CCEEFF"/>
          </w:tcPr>
          <w:p>
            <w:pPr>
              <w:spacing w:after="0"/>
              <w:rPr>
                <w:sz w:val="12"/>
                <w:szCs w:val="12"/>
                <w:color w:val="auto"/>
              </w:rPr>
            </w:pPr>
          </w:p>
        </w:tc>
        <w:tc>
          <w:tcPr>
            <w:tcW w:w="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3.9</w:t>
            </w:r>
          </w:p>
        </w:tc>
        <w:tc>
          <w:tcPr>
            <w:tcW w:w="220" w:type="dxa"/>
            <w:vAlign w:val="bottom"/>
            <w:shd w:val="clear" w:color="auto" w:fill="CCEEFF"/>
          </w:tcPr>
          <w:p>
            <w:pPr>
              <w:jc w:val="right"/>
              <w:ind w:right="28"/>
              <w:spacing w:after="0" w:line="149" w:lineRule="exact"/>
              <w:rPr>
                <w:sz w:val="20"/>
                <w:szCs w:val="20"/>
                <w:color w:val="auto"/>
              </w:rPr>
            </w:pPr>
            <w:r>
              <w:rPr>
                <w:rFonts w:ascii="Arial" w:cs="Arial" w:eastAsia="Arial" w:hAnsi="Arial"/>
                <w:sz w:val="14"/>
                <w:szCs w:val="14"/>
                <w:color w:val="auto"/>
                <w:w w:val="79"/>
              </w:rPr>
              <w:t>%</w:t>
            </w:r>
          </w:p>
        </w:tc>
        <w:tc>
          <w:tcPr>
            <w:tcW w:w="80" w:type="dxa"/>
            <w:vAlign w:val="bottom"/>
            <w:shd w:val="clear" w:color="auto" w:fill="CCEEFF"/>
          </w:tcPr>
          <w:p>
            <w:pPr>
              <w:jc w:val="center"/>
              <w:spacing w:after="0" w:line="149" w:lineRule="exact"/>
              <w:rPr>
                <w:sz w:val="20"/>
                <w:szCs w:val="20"/>
                <w:color w:val="auto"/>
              </w:rPr>
            </w:pPr>
            <w:r>
              <w:rPr>
                <w:rFonts w:ascii="Arial" w:cs="Arial" w:eastAsia="Arial" w:hAnsi="Arial"/>
                <w:sz w:val="14"/>
                <w:szCs w:val="14"/>
                <w:color w:val="auto"/>
                <w:w w:val="76"/>
              </w:rPr>
              <w:t>$</w:t>
            </w: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692.7</w:t>
            </w:r>
          </w:p>
        </w:tc>
        <w:tc>
          <w:tcPr>
            <w:tcW w:w="140" w:type="dxa"/>
            <w:vAlign w:val="bottom"/>
            <w:shd w:val="clear" w:color="auto" w:fill="CCEEFF"/>
          </w:tcPr>
          <w:p>
            <w:pPr>
              <w:spacing w:after="0"/>
              <w:rPr>
                <w:sz w:val="12"/>
                <w:szCs w:val="12"/>
                <w:color w:val="auto"/>
              </w:rPr>
            </w:pPr>
          </w:p>
        </w:tc>
        <w:tc>
          <w:tcPr>
            <w:tcW w:w="4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0.3</w:t>
            </w:r>
          </w:p>
        </w:tc>
        <w:tc>
          <w:tcPr>
            <w:tcW w:w="200" w:type="dxa"/>
            <w:vAlign w:val="bottom"/>
            <w:shd w:val="clear" w:color="auto" w:fill="CCEEFF"/>
          </w:tcPr>
          <w:p>
            <w:pPr>
              <w:jc w:val="right"/>
              <w:ind w:right="8"/>
              <w:spacing w:after="0" w:line="149" w:lineRule="exact"/>
              <w:rPr>
                <w:sz w:val="20"/>
                <w:szCs w:val="20"/>
                <w:color w:val="auto"/>
              </w:rPr>
            </w:pPr>
            <w:r>
              <w:rPr>
                <w:rFonts w:ascii="Arial" w:cs="Arial" w:eastAsia="Arial" w:hAnsi="Arial"/>
                <w:sz w:val="14"/>
                <w:szCs w:val="14"/>
                <w:color w:val="auto"/>
                <w:w w:val="79"/>
              </w:rPr>
              <w:t>%</w:t>
            </w:r>
          </w:p>
        </w:tc>
        <w:tc>
          <w:tcPr>
            <w:tcW w:w="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6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w w:val="94"/>
              </w:rPr>
              <w:t>(338.2)</w:t>
            </w:r>
          </w:p>
        </w:tc>
        <w:tc>
          <w:tcPr>
            <w:tcW w:w="3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3.9</w:t>
            </w:r>
          </w:p>
        </w:tc>
        <w:tc>
          <w:tcPr>
            <w:tcW w:w="8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w w:val="98"/>
              </w:rPr>
              <w:t>% $ 1,009.6</w:t>
            </w:r>
          </w:p>
        </w:tc>
        <w:tc>
          <w:tcPr>
            <w:tcW w:w="140" w:type="dxa"/>
            <w:vAlign w:val="bottom"/>
            <w:shd w:val="clear" w:color="auto" w:fill="CCEEFF"/>
          </w:tcPr>
          <w:p>
            <w:pPr>
              <w:spacing w:after="0"/>
              <w:rPr>
                <w:sz w:val="12"/>
                <w:szCs w:val="12"/>
                <w:color w:val="auto"/>
              </w:rPr>
            </w:pPr>
          </w:p>
        </w:tc>
        <w:tc>
          <w:tcPr>
            <w:tcW w:w="3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3.9</w:t>
            </w:r>
          </w:p>
        </w:tc>
        <w:tc>
          <w:tcPr>
            <w:tcW w:w="200" w:type="dxa"/>
            <w:vAlign w:val="bottom"/>
            <w:shd w:val="clear" w:color="auto" w:fill="CCEEFF"/>
          </w:tcPr>
          <w:p>
            <w:pPr>
              <w:jc w:val="right"/>
              <w:ind w:right="8"/>
              <w:spacing w:after="0" w:line="149" w:lineRule="exact"/>
              <w:rPr>
                <w:sz w:val="20"/>
                <w:szCs w:val="20"/>
                <w:color w:val="auto"/>
              </w:rPr>
            </w:pPr>
            <w:r>
              <w:rPr>
                <w:rFonts w:ascii="Arial" w:cs="Arial" w:eastAsia="Arial" w:hAnsi="Arial"/>
                <w:sz w:val="14"/>
                <w:szCs w:val="14"/>
                <w:color w:val="auto"/>
                <w:w w:val="79"/>
              </w:rPr>
              <w:t>%</w:t>
            </w:r>
          </w:p>
        </w:tc>
        <w:tc>
          <w:tcPr>
            <w:tcW w:w="120" w:type="dxa"/>
            <w:vAlign w:val="bottom"/>
            <w:shd w:val="clear" w:color="auto" w:fill="CCEEFF"/>
          </w:tcPr>
          <w:p>
            <w:pPr>
              <w:jc w:val="center"/>
              <w:spacing w:after="0" w:line="149" w:lineRule="exact"/>
              <w:rPr>
                <w:sz w:val="20"/>
                <w:szCs w:val="20"/>
                <w:color w:val="auto"/>
              </w:rPr>
            </w:pPr>
            <w:r>
              <w:rPr>
                <w:rFonts w:ascii="Arial" w:cs="Arial" w:eastAsia="Arial" w:hAnsi="Arial"/>
                <w:sz w:val="14"/>
                <w:szCs w:val="14"/>
                <w:color w:val="auto"/>
              </w:rPr>
              <w:t>$</w:t>
            </w: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4"/>
              </w:rPr>
              <w:t>1,365.1</w:t>
            </w:r>
          </w:p>
        </w:tc>
        <w:tc>
          <w:tcPr>
            <w:tcW w:w="16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 %</w:t>
            </w:r>
          </w:p>
        </w:tc>
        <w:tc>
          <w:tcPr>
            <w:tcW w:w="1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4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9"/>
              </w:rPr>
              <w:t>(355.5)</w:t>
            </w:r>
          </w:p>
        </w:tc>
        <w:tc>
          <w:tcPr>
            <w:tcW w:w="20" w:type="dxa"/>
            <w:vAlign w:val="bottom"/>
          </w:tcPr>
          <w:p>
            <w:pPr>
              <w:spacing w:after="0"/>
              <w:rPr>
                <w:sz w:val="12"/>
                <w:szCs w:val="12"/>
                <w:color w:val="auto"/>
              </w:rPr>
            </w:pPr>
          </w:p>
        </w:tc>
      </w:tr>
      <w:tr>
        <w:trPr>
          <w:trHeight w:val="148"/>
        </w:trPr>
        <w:tc>
          <w:tcPr>
            <w:tcW w:w="2160" w:type="dxa"/>
            <w:vAlign w:val="bottom"/>
          </w:tcPr>
          <w:p>
            <w:pPr>
              <w:spacing w:after="0" w:line="149" w:lineRule="exact"/>
              <w:rPr>
                <w:sz w:val="20"/>
                <w:szCs w:val="20"/>
                <w:color w:val="auto"/>
              </w:rPr>
            </w:pPr>
            <w:r>
              <w:rPr>
                <w:rFonts w:ascii="Arial" w:cs="Arial" w:eastAsia="Arial" w:hAnsi="Arial"/>
                <w:sz w:val="14"/>
                <w:szCs w:val="14"/>
                <w:color w:val="auto"/>
              </w:rPr>
              <w:t>Equity securities (1)</w:t>
            </w:r>
          </w:p>
        </w:tc>
        <w:tc>
          <w:tcPr>
            <w:tcW w:w="3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(1.2)</w:t>
            </w:r>
          </w:p>
        </w:tc>
        <w:tc>
          <w:tcPr>
            <w:tcW w:w="880" w:type="dxa"/>
            <w:vAlign w:val="bottom"/>
            <w:gridSpan w:val="3"/>
          </w:tcPr>
          <w:p>
            <w:pPr>
              <w:jc w:val="right"/>
              <w:ind w:right="160"/>
              <w:spacing w:after="0" w:line="149" w:lineRule="exact"/>
              <w:rPr>
                <w:sz w:val="20"/>
                <w:szCs w:val="20"/>
                <w:color w:val="auto"/>
              </w:rPr>
            </w:pPr>
            <w:r>
              <w:rPr>
                <w:rFonts w:ascii="Arial" w:cs="Arial" w:eastAsia="Arial" w:hAnsi="Arial"/>
                <w:sz w:val="14"/>
                <w:szCs w:val="14"/>
                <w:b w:val="1"/>
                <w:bCs w:val="1"/>
                <w:color w:val="auto"/>
              </w:rPr>
              <w:t>(5.9)</w:t>
            </w:r>
          </w:p>
        </w:tc>
        <w:tc>
          <w:tcPr>
            <w:tcW w:w="320" w:type="dxa"/>
            <w:vAlign w:val="bottom"/>
          </w:tcPr>
          <w:p>
            <w:pPr>
              <w:jc w:val="right"/>
              <w:spacing w:after="0" w:line="149" w:lineRule="exact"/>
              <w:rPr>
                <w:sz w:val="20"/>
                <w:szCs w:val="20"/>
                <w:color w:val="auto"/>
              </w:rPr>
            </w:pPr>
            <w:r>
              <w:rPr>
                <w:rFonts w:ascii="Arial" w:cs="Arial" w:eastAsia="Arial" w:hAnsi="Arial"/>
                <w:sz w:val="14"/>
                <w:szCs w:val="14"/>
                <w:color w:val="auto"/>
              </w:rPr>
              <w:t>2.1</w:t>
            </w: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color w:val="auto"/>
              </w:rPr>
              <w:t>13.0</w:t>
            </w:r>
          </w:p>
        </w:tc>
        <w:tc>
          <w:tcPr>
            <w:tcW w:w="140" w:type="dxa"/>
            <w:vAlign w:val="bottom"/>
          </w:tcPr>
          <w:p>
            <w:pPr>
              <w:spacing w:after="0"/>
              <w:rPr>
                <w:sz w:val="12"/>
                <w:szCs w:val="12"/>
                <w:color w:val="auto"/>
              </w:rPr>
            </w:pPr>
          </w:p>
        </w:tc>
        <w:tc>
          <w:tcPr>
            <w:tcW w:w="480" w:type="dxa"/>
            <w:vAlign w:val="bottom"/>
          </w:tcPr>
          <w:p>
            <w:pPr>
              <w:jc w:val="right"/>
              <w:spacing w:after="0" w:line="149" w:lineRule="exact"/>
              <w:rPr>
                <w:sz w:val="20"/>
                <w:szCs w:val="20"/>
                <w:color w:val="auto"/>
              </w:rPr>
            </w:pPr>
            <w:r>
              <w:rPr>
                <w:rFonts w:ascii="Arial" w:cs="Arial" w:eastAsia="Arial" w:hAnsi="Arial"/>
                <w:sz w:val="14"/>
                <w:szCs w:val="14"/>
                <w:color w:val="auto"/>
              </w:rPr>
              <w:t>(3.3)</w:t>
            </w:r>
          </w:p>
        </w:tc>
        <w:tc>
          <w:tcPr>
            <w:tcW w:w="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(18.9)</w:t>
            </w:r>
          </w:p>
        </w:tc>
        <w:tc>
          <w:tcPr>
            <w:tcW w:w="3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w:t>
            </w:r>
          </w:p>
        </w:tc>
        <w:tc>
          <w:tcPr>
            <w:tcW w:w="960" w:type="dxa"/>
            <w:vAlign w:val="bottom"/>
            <w:gridSpan w:val="3"/>
          </w:tcPr>
          <w:p>
            <w:pPr>
              <w:jc w:val="right"/>
              <w:ind w:right="140"/>
              <w:spacing w:after="0" w:line="149" w:lineRule="exact"/>
              <w:rPr>
                <w:sz w:val="20"/>
                <w:szCs w:val="20"/>
                <w:color w:val="auto"/>
              </w:rPr>
            </w:pPr>
            <w:r>
              <w:rPr>
                <w:rFonts w:ascii="Arial" w:cs="Arial" w:eastAsia="Arial" w:hAnsi="Arial"/>
                <w:sz w:val="14"/>
                <w:szCs w:val="14"/>
                <w:b w:val="1"/>
                <w:bCs w:val="1"/>
                <w:color w:val="auto"/>
              </w:rPr>
              <w:t>(9.7)</w:t>
            </w:r>
          </w:p>
        </w:tc>
        <w:tc>
          <w:tcPr>
            <w:tcW w:w="340" w:type="dxa"/>
            <w:vAlign w:val="bottom"/>
          </w:tcPr>
          <w:p>
            <w:pPr>
              <w:jc w:val="right"/>
              <w:spacing w:after="0" w:line="149" w:lineRule="exact"/>
              <w:rPr>
                <w:sz w:val="20"/>
                <w:szCs w:val="20"/>
                <w:color w:val="auto"/>
              </w:rPr>
            </w:pPr>
            <w:r>
              <w:rPr>
                <w:rFonts w:ascii="Arial" w:cs="Arial" w:eastAsia="Arial" w:hAnsi="Arial"/>
                <w:sz w:val="14"/>
                <w:szCs w:val="14"/>
                <w:color w:val="auto"/>
              </w:rPr>
              <w:t>2.2</w:t>
            </w:r>
          </w:p>
        </w:tc>
        <w:tc>
          <w:tcPr>
            <w:tcW w:w="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24.9</w:t>
            </w:r>
          </w:p>
        </w:tc>
        <w:tc>
          <w:tcPr>
            <w:tcW w:w="160" w:type="dxa"/>
            <w:vAlign w:val="bottom"/>
          </w:tcPr>
          <w:p>
            <w:pPr>
              <w:spacing w:after="0"/>
              <w:rPr>
                <w:sz w:val="12"/>
                <w:szCs w:val="12"/>
                <w:color w:val="auto"/>
              </w:rPr>
            </w:pPr>
          </w:p>
        </w:tc>
        <w:tc>
          <w:tcPr>
            <w:tcW w:w="640" w:type="dxa"/>
            <w:vAlign w:val="bottom"/>
            <w:gridSpan w:val="2"/>
          </w:tcPr>
          <w:p>
            <w:pPr>
              <w:jc w:val="right"/>
              <w:ind w:right="108"/>
              <w:spacing w:after="0" w:line="149" w:lineRule="exact"/>
              <w:rPr>
                <w:sz w:val="20"/>
                <w:szCs w:val="20"/>
                <w:color w:val="auto"/>
              </w:rPr>
            </w:pPr>
            <w:r>
              <w:rPr>
                <w:rFonts w:ascii="Arial" w:cs="Arial" w:eastAsia="Arial" w:hAnsi="Arial"/>
                <w:sz w:val="14"/>
                <w:szCs w:val="14"/>
                <w:color w:val="auto"/>
              </w:rPr>
              <w:t>(3.2)</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jc w:val="right"/>
              <w:spacing w:after="0" w:line="149" w:lineRule="exact"/>
              <w:rPr>
                <w:sz w:val="20"/>
                <w:szCs w:val="20"/>
                <w:color w:val="auto"/>
              </w:rPr>
            </w:pPr>
            <w:r>
              <w:rPr>
                <w:rFonts w:ascii="Arial" w:cs="Arial" w:eastAsia="Arial" w:hAnsi="Arial"/>
                <w:sz w:val="14"/>
                <w:szCs w:val="14"/>
                <w:color w:val="auto"/>
              </w:rPr>
              <w:t>(34.6)</w:t>
            </w:r>
          </w:p>
        </w:tc>
        <w:tc>
          <w:tcPr>
            <w:tcW w:w="20" w:type="dxa"/>
            <w:vAlign w:val="bottom"/>
          </w:tcPr>
          <w:p>
            <w:pPr>
              <w:spacing w:after="0"/>
              <w:rPr>
                <w:sz w:val="12"/>
                <w:szCs w:val="12"/>
                <w:color w:val="auto"/>
              </w:rPr>
            </w:pPr>
          </w:p>
        </w:tc>
      </w:tr>
      <w:tr>
        <w:trPr>
          <w:trHeight w:val="148"/>
        </w:trPr>
        <w:tc>
          <w:tcPr>
            <w:tcW w:w="21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Mortgage loans — commercial</w:t>
            </w:r>
          </w:p>
        </w:tc>
        <w:tc>
          <w:tcPr>
            <w:tcW w:w="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4.2</w:t>
            </w:r>
          </w:p>
        </w:tc>
        <w:tc>
          <w:tcPr>
            <w:tcW w:w="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123.3</w:t>
            </w:r>
          </w:p>
        </w:tc>
        <w:tc>
          <w:tcPr>
            <w:tcW w:w="160" w:type="dxa"/>
            <w:vAlign w:val="bottom"/>
            <w:shd w:val="clear" w:color="auto" w:fill="CCEEFF"/>
          </w:tcPr>
          <w:p>
            <w:pPr>
              <w:spacing w:after="0"/>
              <w:rPr>
                <w:sz w:val="12"/>
                <w:szCs w:val="12"/>
                <w:color w:val="auto"/>
              </w:rPr>
            </w:pPr>
          </w:p>
        </w:tc>
        <w:tc>
          <w:tcPr>
            <w:tcW w:w="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4.1</w:t>
            </w:r>
          </w:p>
        </w:tc>
        <w:tc>
          <w:tcPr>
            <w:tcW w:w="2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162.1</w:t>
            </w:r>
          </w:p>
        </w:tc>
        <w:tc>
          <w:tcPr>
            <w:tcW w:w="140" w:type="dxa"/>
            <w:vAlign w:val="bottom"/>
            <w:shd w:val="clear" w:color="auto" w:fill="CCEEFF"/>
          </w:tcPr>
          <w:p>
            <w:pPr>
              <w:spacing w:after="0"/>
              <w:rPr>
                <w:sz w:val="12"/>
                <w:szCs w:val="12"/>
                <w:color w:val="auto"/>
              </w:rPr>
            </w:pPr>
          </w:p>
        </w:tc>
        <w:tc>
          <w:tcPr>
            <w:tcW w:w="4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0.1</w:t>
            </w:r>
          </w:p>
        </w:tc>
        <w:tc>
          <w:tcPr>
            <w:tcW w:w="2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(38.8)</w:t>
            </w:r>
          </w:p>
        </w:tc>
        <w:tc>
          <w:tcPr>
            <w:tcW w:w="3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4.1</w:t>
            </w:r>
          </w:p>
        </w:tc>
        <w:tc>
          <w:tcPr>
            <w:tcW w:w="8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276.6</w:t>
            </w:r>
          </w:p>
        </w:tc>
        <w:tc>
          <w:tcPr>
            <w:tcW w:w="140" w:type="dxa"/>
            <w:vAlign w:val="bottom"/>
            <w:shd w:val="clear" w:color="auto" w:fill="CCEEFF"/>
          </w:tcPr>
          <w:p>
            <w:pPr>
              <w:spacing w:after="0"/>
              <w:rPr>
                <w:sz w:val="12"/>
                <w:szCs w:val="12"/>
                <w:color w:val="auto"/>
              </w:rPr>
            </w:pPr>
          </w:p>
        </w:tc>
        <w:tc>
          <w:tcPr>
            <w:tcW w:w="3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4.0</w:t>
            </w:r>
          </w:p>
        </w:tc>
        <w:tc>
          <w:tcPr>
            <w:tcW w:w="2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315.4</w:t>
            </w:r>
          </w:p>
        </w:tc>
        <w:tc>
          <w:tcPr>
            <w:tcW w:w="16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0.1</w:t>
            </w:r>
          </w:p>
        </w:tc>
        <w:tc>
          <w:tcPr>
            <w:tcW w:w="1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(38.8)</w:t>
            </w:r>
          </w:p>
        </w:tc>
        <w:tc>
          <w:tcPr>
            <w:tcW w:w="20" w:type="dxa"/>
            <w:vAlign w:val="bottom"/>
          </w:tcPr>
          <w:p>
            <w:pPr>
              <w:spacing w:after="0"/>
              <w:rPr>
                <w:sz w:val="12"/>
                <w:szCs w:val="12"/>
                <w:color w:val="auto"/>
              </w:rPr>
            </w:pPr>
          </w:p>
        </w:tc>
      </w:tr>
      <w:tr>
        <w:trPr>
          <w:trHeight w:val="148"/>
        </w:trPr>
        <w:tc>
          <w:tcPr>
            <w:tcW w:w="2160" w:type="dxa"/>
            <w:vAlign w:val="bottom"/>
          </w:tcPr>
          <w:p>
            <w:pPr>
              <w:spacing w:after="0" w:line="149" w:lineRule="exact"/>
              <w:rPr>
                <w:sz w:val="20"/>
                <w:szCs w:val="20"/>
                <w:color w:val="auto"/>
              </w:rPr>
            </w:pPr>
            <w:r>
              <w:rPr>
                <w:rFonts w:ascii="Arial" w:cs="Arial" w:eastAsia="Arial" w:hAnsi="Arial"/>
                <w:sz w:val="14"/>
                <w:szCs w:val="14"/>
                <w:color w:val="auto"/>
              </w:rPr>
              <w:t>Mortgage loans — residential</w:t>
            </w:r>
          </w:p>
        </w:tc>
        <w:tc>
          <w:tcPr>
            <w:tcW w:w="3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7.7</w:t>
            </w:r>
          </w:p>
        </w:tc>
        <w:tc>
          <w:tcPr>
            <w:tcW w:w="20" w:type="dxa"/>
            <w:vAlign w:val="bottom"/>
          </w:tcPr>
          <w:p>
            <w:pPr>
              <w:spacing w:after="0"/>
              <w:rPr>
                <w:sz w:val="12"/>
                <w:szCs w:val="12"/>
                <w:color w:val="auto"/>
              </w:rPr>
            </w:pPr>
          </w:p>
        </w:tc>
        <w:tc>
          <w:tcPr>
            <w:tcW w:w="7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64.6</w:t>
            </w:r>
          </w:p>
        </w:tc>
        <w:tc>
          <w:tcPr>
            <w:tcW w:w="160" w:type="dxa"/>
            <w:vAlign w:val="bottom"/>
          </w:tcPr>
          <w:p>
            <w:pPr>
              <w:spacing w:after="0"/>
              <w:rPr>
                <w:sz w:val="12"/>
                <w:szCs w:val="12"/>
                <w:color w:val="auto"/>
              </w:rPr>
            </w:pPr>
          </w:p>
        </w:tc>
        <w:tc>
          <w:tcPr>
            <w:tcW w:w="320" w:type="dxa"/>
            <w:vAlign w:val="bottom"/>
          </w:tcPr>
          <w:p>
            <w:pPr>
              <w:jc w:val="right"/>
              <w:spacing w:after="0" w:line="149" w:lineRule="exact"/>
              <w:rPr>
                <w:sz w:val="20"/>
                <w:szCs w:val="20"/>
                <w:color w:val="auto"/>
              </w:rPr>
            </w:pPr>
            <w:r>
              <w:rPr>
                <w:rFonts w:ascii="Arial" w:cs="Arial" w:eastAsia="Arial" w:hAnsi="Arial"/>
                <w:sz w:val="14"/>
                <w:szCs w:val="14"/>
                <w:color w:val="auto"/>
              </w:rPr>
              <w:t>4.9</w:t>
            </w: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color w:val="auto"/>
              </w:rPr>
              <w:t>28.4</w:t>
            </w:r>
          </w:p>
        </w:tc>
        <w:tc>
          <w:tcPr>
            <w:tcW w:w="140" w:type="dxa"/>
            <w:vAlign w:val="bottom"/>
          </w:tcPr>
          <w:p>
            <w:pPr>
              <w:spacing w:after="0"/>
              <w:rPr>
                <w:sz w:val="12"/>
                <w:szCs w:val="12"/>
                <w:color w:val="auto"/>
              </w:rPr>
            </w:pPr>
          </w:p>
        </w:tc>
        <w:tc>
          <w:tcPr>
            <w:tcW w:w="480" w:type="dxa"/>
            <w:vAlign w:val="bottom"/>
          </w:tcPr>
          <w:p>
            <w:pPr>
              <w:jc w:val="right"/>
              <w:spacing w:after="0" w:line="149" w:lineRule="exact"/>
              <w:rPr>
                <w:sz w:val="20"/>
                <w:szCs w:val="20"/>
                <w:color w:val="auto"/>
              </w:rPr>
            </w:pPr>
            <w:r>
              <w:rPr>
                <w:rFonts w:ascii="Arial" w:cs="Arial" w:eastAsia="Arial" w:hAnsi="Arial"/>
                <w:sz w:val="14"/>
                <w:szCs w:val="14"/>
                <w:color w:val="auto"/>
              </w:rPr>
              <w:t>2.8</w:t>
            </w:r>
          </w:p>
        </w:tc>
        <w:tc>
          <w:tcPr>
            <w:tcW w:w="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40" w:type="dxa"/>
            <w:vAlign w:val="bottom"/>
          </w:tcPr>
          <w:p>
            <w:pPr>
              <w:jc w:val="right"/>
              <w:spacing w:after="0" w:line="149" w:lineRule="exact"/>
              <w:rPr>
                <w:sz w:val="20"/>
                <w:szCs w:val="20"/>
                <w:color w:val="auto"/>
              </w:rPr>
            </w:pPr>
            <w:r>
              <w:rPr>
                <w:rFonts w:ascii="Arial" w:cs="Arial" w:eastAsia="Arial" w:hAnsi="Arial"/>
                <w:sz w:val="14"/>
                <w:szCs w:val="14"/>
                <w:color w:val="auto"/>
              </w:rPr>
              <w:t>36.2</w:t>
            </w:r>
          </w:p>
        </w:tc>
        <w:tc>
          <w:tcPr>
            <w:tcW w:w="160" w:type="dxa"/>
            <w:vAlign w:val="bottom"/>
          </w:tcPr>
          <w:p>
            <w:pPr>
              <w:spacing w:after="0"/>
              <w:rPr>
                <w:sz w:val="12"/>
                <w:szCs w:val="12"/>
                <w:color w:val="auto"/>
              </w:rPr>
            </w:pPr>
          </w:p>
        </w:tc>
        <w:tc>
          <w:tcPr>
            <w:tcW w:w="3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6.7</w:t>
            </w:r>
          </w:p>
        </w:tc>
        <w:tc>
          <w:tcPr>
            <w:tcW w:w="8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110.8</w:t>
            </w:r>
          </w:p>
        </w:tc>
        <w:tc>
          <w:tcPr>
            <w:tcW w:w="140" w:type="dxa"/>
            <w:vAlign w:val="bottom"/>
          </w:tcPr>
          <w:p>
            <w:pPr>
              <w:spacing w:after="0"/>
              <w:rPr>
                <w:sz w:val="12"/>
                <w:szCs w:val="12"/>
                <w:color w:val="auto"/>
              </w:rPr>
            </w:pPr>
          </w:p>
        </w:tc>
        <w:tc>
          <w:tcPr>
            <w:tcW w:w="340" w:type="dxa"/>
            <w:vAlign w:val="bottom"/>
          </w:tcPr>
          <w:p>
            <w:pPr>
              <w:jc w:val="right"/>
              <w:spacing w:after="0" w:line="149" w:lineRule="exact"/>
              <w:rPr>
                <w:sz w:val="20"/>
                <w:szCs w:val="20"/>
                <w:color w:val="auto"/>
              </w:rPr>
            </w:pPr>
            <w:r>
              <w:rPr>
                <w:rFonts w:ascii="Arial" w:cs="Arial" w:eastAsia="Arial" w:hAnsi="Arial"/>
                <w:sz w:val="14"/>
                <w:szCs w:val="14"/>
                <w:color w:val="auto"/>
              </w:rPr>
              <w:t>5.3</w:t>
            </w:r>
          </w:p>
        </w:tc>
        <w:tc>
          <w:tcPr>
            <w:tcW w:w="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56.6</w:t>
            </w:r>
          </w:p>
        </w:tc>
        <w:tc>
          <w:tcPr>
            <w:tcW w:w="160" w:type="dxa"/>
            <w:vAlign w:val="bottom"/>
          </w:tcPr>
          <w:p>
            <w:pPr>
              <w:spacing w:after="0"/>
              <w:rPr>
                <w:sz w:val="12"/>
                <w:szCs w:val="12"/>
                <w:color w:val="auto"/>
              </w:rPr>
            </w:pPr>
          </w:p>
        </w:tc>
        <w:tc>
          <w:tcPr>
            <w:tcW w:w="460" w:type="dxa"/>
            <w:vAlign w:val="bottom"/>
          </w:tcPr>
          <w:p>
            <w:pPr>
              <w:jc w:val="right"/>
              <w:spacing w:after="0" w:line="149" w:lineRule="exact"/>
              <w:rPr>
                <w:sz w:val="20"/>
                <w:szCs w:val="20"/>
                <w:color w:val="auto"/>
              </w:rPr>
            </w:pPr>
            <w:r>
              <w:rPr>
                <w:rFonts w:ascii="Arial" w:cs="Arial" w:eastAsia="Arial" w:hAnsi="Arial"/>
                <w:sz w:val="14"/>
                <w:szCs w:val="14"/>
                <w:color w:val="auto"/>
              </w:rPr>
              <w:t>1.4</w:t>
            </w:r>
          </w:p>
        </w:tc>
        <w:tc>
          <w:tcPr>
            <w:tcW w:w="1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jc w:val="right"/>
              <w:spacing w:after="0" w:line="149" w:lineRule="exact"/>
              <w:rPr>
                <w:sz w:val="20"/>
                <w:szCs w:val="20"/>
                <w:color w:val="auto"/>
              </w:rPr>
            </w:pPr>
            <w:r>
              <w:rPr>
                <w:rFonts w:ascii="Arial" w:cs="Arial" w:eastAsia="Arial" w:hAnsi="Arial"/>
                <w:sz w:val="14"/>
                <w:szCs w:val="14"/>
                <w:color w:val="auto"/>
              </w:rPr>
              <w:t>54.2</w:t>
            </w:r>
          </w:p>
        </w:tc>
        <w:tc>
          <w:tcPr>
            <w:tcW w:w="20" w:type="dxa"/>
            <w:vAlign w:val="bottom"/>
          </w:tcPr>
          <w:p>
            <w:pPr>
              <w:spacing w:after="0"/>
              <w:rPr>
                <w:sz w:val="12"/>
                <w:szCs w:val="12"/>
                <w:color w:val="auto"/>
              </w:rPr>
            </w:pPr>
          </w:p>
        </w:tc>
      </w:tr>
      <w:tr>
        <w:trPr>
          <w:trHeight w:val="297"/>
        </w:trPr>
        <w:tc>
          <w:tcPr>
            <w:tcW w:w="2160" w:type="dxa"/>
            <w:vAlign w:val="bottom"/>
            <w:shd w:val="clear" w:color="auto" w:fill="CCEEFF"/>
          </w:tcPr>
          <w:p>
            <w:pPr>
              <w:spacing w:after="0"/>
              <w:rPr>
                <w:sz w:val="20"/>
                <w:szCs w:val="20"/>
                <w:color w:val="auto"/>
              </w:rPr>
            </w:pPr>
            <w:r>
              <w:rPr>
                <w:rFonts w:ascii="Arial" w:cs="Arial" w:eastAsia="Arial" w:hAnsi="Arial"/>
                <w:sz w:val="14"/>
                <w:szCs w:val="14"/>
                <w:color w:val="auto"/>
              </w:rPr>
              <w:t>Real estate</w:t>
            </w:r>
          </w:p>
        </w:tc>
        <w:tc>
          <w:tcPr>
            <w:tcW w:w="32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w w:val="95"/>
              </w:rPr>
              <w:t>23.9</w:t>
            </w:r>
          </w:p>
        </w:tc>
        <w:tc>
          <w:tcPr>
            <w:tcW w:w="20" w:type="dxa"/>
            <w:vAlign w:val="bottom"/>
            <w:shd w:val="clear" w:color="auto" w:fill="CCEEFF"/>
          </w:tcPr>
          <w:p>
            <w:pPr>
              <w:spacing w:after="0"/>
              <w:rPr>
                <w:sz w:val="24"/>
                <w:szCs w:val="24"/>
                <w:color w:val="auto"/>
              </w:rPr>
            </w:pP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4"/>
                <w:szCs w:val="14"/>
                <w:b w:val="1"/>
                <w:bCs w:val="1"/>
                <w:color w:val="auto"/>
              </w:rPr>
              <w:t>125.7</w:t>
            </w:r>
          </w:p>
        </w:tc>
        <w:tc>
          <w:tcPr>
            <w:tcW w:w="160" w:type="dxa"/>
            <w:vAlign w:val="bottom"/>
            <w:shd w:val="clear" w:color="auto" w:fill="CCEEFF"/>
          </w:tcPr>
          <w:p>
            <w:pPr>
              <w:spacing w:after="0"/>
              <w:rPr>
                <w:sz w:val="24"/>
                <w:szCs w:val="24"/>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6.3</w:t>
            </w:r>
          </w:p>
        </w:tc>
        <w:tc>
          <w:tcPr>
            <w:tcW w:w="22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29.6</w:t>
            </w:r>
          </w:p>
        </w:tc>
        <w:tc>
          <w:tcPr>
            <w:tcW w:w="140" w:type="dxa"/>
            <w:vAlign w:val="bottom"/>
            <w:shd w:val="clear" w:color="auto" w:fill="CCEEFF"/>
          </w:tcPr>
          <w:p>
            <w:pPr>
              <w:spacing w:after="0"/>
              <w:rPr>
                <w:sz w:val="24"/>
                <w:szCs w:val="24"/>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17.6</w:t>
            </w:r>
          </w:p>
        </w:tc>
        <w:tc>
          <w:tcPr>
            <w:tcW w:w="2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96.1</w:t>
            </w:r>
          </w:p>
        </w:tc>
        <w:tc>
          <w:tcPr>
            <w:tcW w:w="160" w:type="dxa"/>
            <w:vAlign w:val="bottom"/>
            <w:shd w:val="clear" w:color="auto" w:fill="CCEEFF"/>
          </w:tcPr>
          <w:p>
            <w:pPr>
              <w:spacing w:after="0"/>
              <w:rPr>
                <w:sz w:val="24"/>
                <w:szCs w:val="24"/>
                <w:color w:val="auto"/>
              </w:rPr>
            </w:pPr>
          </w:p>
        </w:tc>
        <w:tc>
          <w:tcPr>
            <w:tcW w:w="34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w w:val="95"/>
              </w:rPr>
              <w:t>18.3</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4"/>
                <w:szCs w:val="14"/>
                <w:b w:val="1"/>
                <w:bCs w:val="1"/>
                <w:color w:val="auto"/>
              </w:rPr>
              <w:t>190.2</w:t>
            </w:r>
          </w:p>
        </w:tc>
        <w:tc>
          <w:tcPr>
            <w:tcW w:w="140" w:type="dxa"/>
            <w:vAlign w:val="bottom"/>
            <w:shd w:val="clear" w:color="auto" w:fill="CCEEFF"/>
          </w:tcPr>
          <w:p>
            <w:pPr>
              <w:spacing w:after="0"/>
              <w:rPr>
                <w:sz w:val="24"/>
                <w:szCs w:val="24"/>
                <w:color w:val="auto"/>
              </w:rPr>
            </w:pPr>
          </w:p>
        </w:tc>
        <w:tc>
          <w:tcPr>
            <w:tcW w:w="3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6.5</w:t>
            </w:r>
          </w:p>
        </w:tc>
        <w:tc>
          <w:tcPr>
            <w:tcW w:w="2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60.6</w:t>
            </w:r>
          </w:p>
        </w:tc>
        <w:tc>
          <w:tcPr>
            <w:tcW w:w="160" w:type="dxa"/>
            <w:vAlign w:val="bottom"/>
            <w:shd w:val="clear" w:color="auto" w:fill="CCEEFF"/>
          </w:tcPr>
          <w:p>
            <w:pPr>
              <w:spacing w:after="0"/>
              <w:rPr>
                <w:sz w:val="24"/>
                <w:szCs w:val="24"/>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11.8</w:t>
            </w:r>
          </w:p>
        </w:tc>
        <w:tc>
          <w:tcPr>
            <w:tcW w:w="18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129.6</w:t>
            </w:r>
          </w:p>
        </w:tc>
        <w:tc>
          <w:tcPr>
            <w:tcW w:w="20" w:type="dxa"/>
            <w:vAlign w:val="bottom"/>
          </w:tcPr>
          <w:p>
            <w:pPr>
              <w:spacing w:after="0"/>
              <w:rPr>
                <w:sz w:val="24"/>
                <w:szCs w:val="24"/>
                <w:color w:val="auto"/>
              </w:rPr>
            </w:pPr>
          </w:p>
        </w:tc>
      </w:tr>
      <w:tr>
        <w:trPr>
          <w:trHeight w:val="148"/>
        </w:trPr>
        <w:tc>
          <w:tcPr>
            <w:tcW w:w="2160" w:type="dxa"/>
            <w:vAlign w:val="bottom"/>
          </w:tcPr>
          <w:p>
            <w:pPr>
              <w:spacing w:after="0" w:line="149" w:lineRule="exact"/>
              <w:rPr>
                <w:sz w:val="20"/>
                <w:szCs w:val="20"/>
                <w:color w:val="auto"/>
              </w:rPr>
            </w:pPr>
            <w:r>
              <w:rPr>
                <w:rFonts w:ascii="Arial" w:cs="Arial" w:eastAsia="Arial" w:hAnsi="Arial"/>
                <w:sz w:val="14"/>
                <w:szCs w:val="14"/>
                <w:color w:val="auto"/>
              </w:rPr>
              <w:t>Policy loans</w:t>
            </w:r>
          </w:p>
        </w:tc>
        <w:tc>
          <w:tcPr>
            <w:tcW w:w="3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4.6</w:t>
            </w:r>
          </w:p>
        </w:tc>
        <w:tc>
          <w:tcPr>
            <w:tcW w:w="20" w:type="dxa"/>
            <w:vAlign w:val="bottom"/>
          </w:tcPr>
          <w:p>
            <w:pPr>
              <w:spacing w:after="0"/>
              <w:rPr>
                <w:sz w:val="12"/>
                <w:szCs w:val="12"/>
                <w:color w:val="auto"/>
              </w:rPr>
            </w:pPr>
          </w:p>
        </w:tc>
        <w:tc>
          <w:tcPr>
            <w:tcW w:w="7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8.7</w:t>
            </w:r>
          </w:p>
        </w:tc>
        <w:tc>
          <w:tcPr>
            <w:tcW w:w="160" w:type="dxa"/>
            <w:vAlign w:val="bottom"/>
          </w:tcPr>
          <w:p>
            <w:pPr>
              <w:spacing w:after="0"/>
              <w:rPr>
                <w:sz w:val="12"/>
                <w:szCs w:val="12"/>
                <w:color w:val="auto"/>
              </w:rPr>
            </w:pPr>
          </w:p>
        </w:tc>
        <w:tc>
          <w:tcPr>
            <w:tcW w:w="320" w:type="dxa"/>
            <w:vAlign w:val="bottom"/>
          </w:tcPr>
          <w:p>
            <w:pPr>
              <w:jc w:val="right"/>
              <w:spacing w:after="0" w:line="149" w:lineRule="exact"/>
              <w:rPr>
                <w:sz w:val="20"/>
                <w:szCs w:val="20"/>
                <w:color w:val="auto"/>
              </w:rPr>
            </w:pPr>
            <w:r>
              <w:rPr>
                <w:rFonts w:ascii="Arial" w:cs="Arial" w:eastAsia="Arial" w:hAnsi="Arial"/>
                <w:sz w:val="14"/>
                <w:szCs w:val="14"/>
                <w:color w:val="auto"/>
              </w:rPr>
              <w:t>5.1</w:t>
            </w: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color w:val="auto"/>
              </w:rPr>
              <w:t>9.8</w:t>
            </w:r>
          </w:p>
        </w:tc>
        <w:tc>
          <w:tcPr>
            <w:tcW w:w="140" w:type="dxa"/>
            <w:vAlign w:val="bottom"/>
          </w:tcPr>
          <w:p>
            <w:pPr>
              <w:spacing w:after="0"/>
              <w:rPr>
                <w:sz w:val="12"/>
                <w:szCs w:val="12"/>
                <w:color w:val="auto"/>
              </w:rPr>
            </w:pPr>
          </w:p>
        </w:tc>
        <w:tc>
          <w:tcPr>
            <w:tcW w:w="480" w:type="dxa"/>
            <w:vAlign w:val="bottom"/>
          </w:tcPr>
          <w:p>
            <w:pPr>
              <w:jc w:val="right"/>
              <w:spacing w:after="0" w:line="149" w:lineRule="exact"/>
              <w:rPr>
                <w:sz w:val="20"/>
                <w:szCs w:val="20"/>
                <w:color w:val="auto"/>
              </w:rPr>
            </w:pPr>
            <w:r>
              <w:rPr>
                <w:rFonts w:ascii="Arial" w:cs="Arial" w:eastAsia="Arial" w:hAnsi="Arial"/>
                <w:sz w:val="14"/>
                <w:szCs w:val="14"/>
                <w:color w:val="auto"/>
              </w:rPr>
              <w:t>(0.5)</w:t>
            </w:r>
          </w:p>
        </w:tc>
        <w:tc>
          <w:tcPr>
            <w:tcW w:w="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(1.1)</w:t>
            </w:r>
          </w:p>
        </w:tc>
        <w:tc>
          <w:tcPr>
            <w:tcW w:w="3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4.8</w:t>
            </w:r>
          </w:p>
        </w:tc>
        <w:tc>
          <w:tcPr>
            <w:tcW w:w="8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18.2</w:t>
            </w:r>
          </w:p>
        </w:tc>
        <w:tc>
          <w:tcPr>
            <w:tcW w:w="140" w:type="dxa"/>
            <w:vAlign w:val="bottom"/>
          </w:tcPr>
          <w:p>
            <w:pPr>
              <w:spacing w:after="0"/>
              <w:rPr>
                <w:sz w:val="12"/>
                <w:szCs w:val="12"/>
                <w:color w:val="auto"/>
              </w:rPr>
            </w:pPr>
          </w:p>
        </w:tc>
        <w:tc>
          <w:tcPr>
            <w:tcW w:w="340" w:type="dxa"/>
            <w:vAlign w:val="bottom"/>
          </w:tcPr>
          <w:p>
            <w:pPr>
              <w:jc w:val="right"/>
              <w:spacing w:after="0" w:line="149" w:lineRule="exact"/>
              <w:rPr>
                <w:sz w:val="20"/>
                <w:szCs w:val="20"/>
                <w:color w:val="auto"/>
              </w:rPr>
            </w:pPr>
            <w:r>
              <w:rPr>
                <w:rFonts w:ascii="Arial" w:cs="Arial" w:eastAsia="Arial" w:hAnsi="Arial"/>
                <w:sz w:val="14"/>
                <w:szCs w:val="14"/>
                <w:color w:val="auto"/>
              </w:rPr>
              <w:t>5.1</w:t>
            </w:r>
          </w:p>
        </w:tc>
        <w:tc>
          <w:tcPr>
            <w:tcW w:w="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19.8</w:t>
            </w:r>
          </w:p>
        </w:tc>
        <w:tc>
          <w:tcPr>
            <w:tcW w:w="160" w:type="dxa"/>
            <w:vAlign w:val="bottom"/>
          </w:tcPr>
          <w:p>
            <w:pPr>
              <w:spacing w:after="0"/>
              <w:rPr>
                <w:sz w:val="12"/>
                <w:szCs w:val="12"/>
                <w:color w:val="auto"/>
              </w:rPr>
            </w:pPr>
          </w:p>
        </w:tc>
        <w:tc>
          <w:tcPr>
            <w:tcW w:w="640" w:type="dxa"/>
            <w:vAlign w:val="bottom"/>
            <w:gridSpan w:val="2"/>
          </w:tcPr>
          <w:p>
            <w:pPr>
              <w:jc w:val="right"/>
              <w:ind w:right="108"/>
              <w:spacing w:after="0" w:line="149" w:lineRule="exact"/>
              <w:rPr>
                <w:sz w:val="20"/>
                <w:szCs w:val="20"/>
                <w:color w:val="auto"/>
              </w:rPr>
            </w:pPr>
            <w:r>
              <w:rPr>
                <w:rFonts w:ascii="Arial" w:cs="Arial" w:eastAsia="Arial" w:hAnsi="Arial"/>
                <w:sz w:val="14"/>
                <w:szCs w:val="14"/>
                <w:color w:val="auto"/>
              </w:rPr>
              <w:t>(0.3)</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jc w:val="right"/>
              <w:spacing w:after="0" w:line="149" w:lineRule="exact"/>
              <w:rPr>
                <w:sz w:val="20"/>
                <w:szCs w:val="20"/>
                <w:color w:val="auto"/>
              </w:rPr>
            </w:pPr>
            <w:r>
              <w:rPr>
                <w:rFonts w:ascii="Arial" w:cs="Arial" w:eastAsia="Arial" w:hAnsi="Arial"/>
                <w:sz w:val="14"/>
                <w:szCs w:val="14"/>
                <w:color w:val="auto"/>
              </w:rPr>
              <w:t>(1.6)</w:t>
            </w:r>
          </w:p>
        </w:tc>
        <w:tc>
          <w:tcPr>
            <w:tcW w:w="20" w:type="dxa"/>
            <w:vAlign w:val="bottom"/>
          </w:tcPr>
          <w:p>
            <w:pPr>
              <w:spacing w:after="0"/>
              <w:rPr>
                <w:sz w:val="12"/>
                <w:szCs w:val="12"/>
                <w:color w:val="auto"/>
              </w:rPr>
            </w:pPr>
          </w:p>
        </w:tc>
      </w:tr>
      <w:tr>
        <w:trPr>
          <w:trHeight w:val="148"/>
        </w:trPr>
        <w:tc>
          <w:tcPr>
            <w:tcW w:w="21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Cash and cash equivalents</w:t>
            </w:r>
          </w:p>
        </w:tc>
        <w:tc>
          <w:tcPr>
            <w:tcW w:w="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0.9</w:t>
            </w:r>
          </w:p>
        </w:tc>
        <w:tc>
          <w:tcPr>
            <w:tcW w:w="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5.9</w:t>
            </w:r>
          </w:p>
        </w:tc>
        <w:tc>
          <w:tcPr>
            <w:tcW w:w="160" w:type="dxa"/>
            <w:vAlign w:val="bottom"/>
            <w:shd w:val="clear" w:color="auto" w:fill="CCEEFF"/>
          </w:tcPr>
          <w:p>
            <w:pPr>
              <w:spacing w:after="0"/>
              <w:rPr>
                <w:sz w:val="12"/>
                <w:szCs w:val="12"/>
                <w:color w:val="auto"/>
              </w:rPr>
            </w:pPr>
          </w:p>
        </w:tc>
        <w:tc>
          <w:tcPr>
            <w:tcW w:w="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0.2</w:t>
            </w:r>
          </w:p>
        </w:tc>
        <w:tc>
          <w:tcPr>
            <w:tcW w:w="2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0.8</w:t>
            </w:r>
          </w:p>
        </w:tc>
        <w:tc>
          <w:tcPr>
            <w:tcW w:w="140" w:type="dxa"/>
            <w:vAlign w:val="bottom"/>
            <w:shd w:val="clear" w:color="auto" w:fill="CCEEFF"/>
          </w:tcPr>
          <w:p>
            <w:pPr>
              <w:spacing w:after="0"/>
              <w:rPr>
                <w:sz w:val="12"/>
                <w:szCs w:val="12"/>
                <w:color w:val="auto"/>
              </w:rPr>
            </w:pPr>
          </w:p>
        </w:tc>
        <w:tc>
          <w:tcPr>
            <w:tcW w:w="4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0.7</w:t>
            </w:r>
          </w:p>
        </w:tc>
        <w:tc>
          <w:tcPr>
            <w:tcW w:w="2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5.1</w:t>
            </w:r>
          </w:p>
        </w:tc>
        <w:tc>
          <w:tcPr>
            <w:tcW w:w="160" w:type="dxa"/>
            <w:vAlign w:val="bottom"/>
            <w:shd w:val="clear" w:color="auto" w:fill="CCEEFF"/>
          </w:tcPr>
          <w:p>
            <w:pPr>
              <w:spacing w:after="0"/>
              <w:rPr>
                <w:sz w:val="12"/>
                <w:szCs w:val="12"/>
                <w:color w:val="auto"/>
              </w:rPr>
            </w:pPr>
          </w:p>
        </w:tc>
        <w:tc>
          <w:tcPr>
            <w:tcW w:w="3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0.6</w:t>
            </w:r>
          </w:p>
        </w:tc>
        <w:tc>
          <w:tcPr>
            <w:tcW w:w="8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7.6</w:t>
            </w:r>
          </w:p>
        </w:tc>
        <w:tc>
          <w:tcPr>
            <w:tcW w:w="140" w:type="dxa"/>
            <w:vAlign w:val="bottom"/>
            <w:shd w:val="clear" w:color="auto" w:fill="CCEEFF"/>
          </w:tcPr>
          <w:p>
            <w:pPr>
              <w:spacing w:after="0"/>
              <w:rPr>
                <w:sz w:val="12"/>
                <w:szCs w:val="12"/>
                <w:color w:val="auto"/>
              </w:rPr>
            </w:pPr>
          </w:p>
        </w:tc>
        <w:tc>
          <w:tcPr>
            <w:tcW w:w="3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0.1</w:t>
            </w:r>
          </w:p>
        </w:tc>
        <w:tc>
          <w:tcPr>
            <w:tcW w:w="2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w:t>
            </w:r>
          </w:p>
        </w:tc>
        <w:tc>
          <w:tcPr>
            <w:tcW w:w="16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0.5</w:t>
            </w:r>
          </w:p>
        </w:tc>
        <w:tc>
          <w:tcPr>
            <w:tcW w:w="1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5.7</w:t>
            </w:r>
          </w:p>
        </w:tc>
        <w:tc>
          <w:tcPr>
            <w:tcW w:w="20" w:type="dxa"/>
            <w:vAlign w:val="bottom"/>
          </w:tcPr>
          <w:p>
            <w:pPr>
              <w:spacing w:after="0"/>
              <w:rPr>
                <w:sz w:val="12"/>
                <w:szCs w:val="12"/>
                <w:color w:val="auto"/>
              </w:rPr>
            </w:pPr>
          </w:p>
        </w:tc>
      </w:tr>
      <w:tr>
        <w:trPr>
          <w:trHeight w:val="297"/>
        </w:trPr>
        <w:tc>
          <w:tcPr>
            <w:tcW w:w="2160" w:type="dxa"/>
            <w:vAlign w:val="bottom"/>
          </w:tcPr>
          <w:p>
            <w:pPr>
              <w:spacing w:after="0"/>
              <w:rPr>
                <w:sz w:val="20"/>
                <w:szCs w:val="20"/>
                <w:color w:val="auto"/>
              </w:rPr>
            </w:pPr>
            <w:r>
              <w:rPr>
                <w:rFonts w:ascii="Arial" w:cs="Arial" w:eastAsia="Arial" w:hAnsi="Arial"/>
                <w:sz w:val="14"/>
                <w:szCs w:val="14"/>
                <w:color w:val="auto"/>
              </w:rPr>
              <w:t>Other investments</w:t>
            </w:r>
          </w:p>
        </w:tc>
        <w:tc>
          <w:tcPr>
            <w:tcW w:w="320" w:type="dxa"/>
            <w:vAlign w:val="bottom"/>
          </w:tcPr>
          <w:p>
            <w:pPr>
              <w:jc w:val="right"/>
              <w:spacing w:after="0"/>
              <w:rPr>
                <w:sz w:val="20"/>
                <w:szCs w:val="20"/>
                <w:color w:val="auto"/>
              </w:rPr>
            </w:pPr>
            <w:r>
              <w:rPr>
                <w:rFonts w:ascii="Arial" w:cs="Arial" w:eastAsia="Arial" w:hAnsi="Arial"/>
                <w:sz w:val="14"/>
                <w:szCs w:val="14"/>
                <w:b w:val="1"/>
                <w:bCs w:val="1"/>
                <w:color w:val="auto"/>
                <w:w w:val="95"/>
              </w:rPr>
              <w:t>11.9</w:t>
            </w:r>
          </w:p>
        </w:tc>
        <w:tc>
          <w:tcPr>
            <w:tcW w:w="20" w:type="dxa"/>
            <w:vAlign w:val="bottom"/>
          </w:tcPr>
          <w:p>
            <w:pPr>
              <w:spacing w:after="0"/>
              <w:rPr>
                <w:sz w:val="24"/>
                <w:szCs w:val="24"/>
                <w:color w:val="auto"/>
              </w:rPr>
            </w:pPr>
          </w:p>
        </w:tc>
        <w:tc>
          <w:tcPr>
            <w:tcW w:w="720" w:type="dxa"/>
            <w:vAlign w:val="bottom"/>
            <w:gridSpan w:val="2"/>
          </w:tcPr>
          <w:p>
            <w:pPr>
              <w:jc w:val="right"/>
              <w:spacing w:after="0"/>
              <w:rPr>
                <w:sz w:val="20"/>
                <w:szCs w:val="20"/>
                <w:color w:val="auto"/>
              </w:rPr>
            </w:pPr>
            <w:r>
              <w:rPr>
                <w:rFonts w:ascii="Arial" w:cs="Arial" w:eastAsia="Arial" w:hAnsi="Arial"/>
                <w:sz w:val="14"/>
                <w:szCs w:val="14"/>
                <w:b w:val="1"/>
                <w:bCs w:val="1"/>
                <w:color w:val="auto"/>
              </w:rPr>
              <w:t>158.9</w:t>
            </w:r>
          </w:p>
        </w:tc>
        <w:tc>
          <w:tcPr>
            <w:tcW w:w="160" w:type="dxa"/>
            <w:vAlign w:val="bottom"/>
          </w:tcPr>
          <w:p>
            <w:pPr>
              <w:spacing w:after="0"/>
              <w:rPr>
                <w:sz w:val="24"/>
                <w:szCs w:val="24"/>
                <w:color w:val="auto"/>
              </w:rPr>
            </w:pPr>
          </w:p>
        </w:tc>
        <w:tc>
          <w:tcPr>
            <w:tcW w:w="320" w:type="dxa"/>
            <w:vAlign w:val="bottom"/>
          </w:tcPr>
          <w:p>
            <w:pPr>
              <w:jc w:val="right"/>
              <w:spacing w:after="0"/>
              <w:rPr>
                <w:sz w:val="20"/>
                <w:szCs w:val="20"/>
                <w:color w:val="auto"/>
              </w:rPr>
            </w:pPr>
            <w:r>
              <w:rPr>
                <w:rFonts w:ascii="Arial" w:cs="Arial" w:eastAsia="Arial" w:hAnsi="Arial"/>
                <w:sz w:val="14"/>
                <w:szCs w:val="14"/>
                <w:color w:val="auto"/>
                <w:w w:val="95"/>
              </w:rPr>
              <w:t>10.3</w:t>
            </w: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20" w:type="dxa"/>
            <w:vAlign w:val="bottom"/>
          </w:tcPr>
          <w:p>
            <w:pPr>
              <w:jc w:val="right"/>
              <w:spacing w:after="0"/>
              <w:rPr>
                <w:sz w:val="20"/>
                <w:szCs w:val="20"/>
                <w:color w:val="auto"/>
              </w:rPr>
            </w:pPr>
            <w:r>
              <w:rPr>
                <w:rFonts w:ascii="Arial" w:cs="Arial" w:eastAsia="Arial" w:hAnsi="Arial"/>
                <w:sz w:val="14"/>
                <w:szCs w:val="14"/>
                <w:color w:val="auto"/>
              </w:rPr>
              <w:t>137.3</w:t>
            </w:r>
          </w:p>
        </w:tc>
        <w:tc>
          <w:tcPr>
            <w:tcW w:w="140" w:type="dxa"/>
            <w:vAlign w:val="bottom"/>
          </w:tcPr>
          <w:p>
            <w:pPr>
              <w:spacing w:after="0"/>
              <w:rPr>
                <w:sz w:val="24"/>
                <w:szCs w:val="24"/>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1.6</w:t>
            </w: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40" w:type="dxa"/>
            <w:vAlign w:val="bottom"/>
          </w:tcPr>
          <w:p>
            <w:pPr>
              <w:jc w:val="right"/>
              <w:spacing w:after="0"/>
              <w:rPr>
                <w:sz w:val="20"/>
                <w:szCs w:val="20"/>
                <w:color w:val="auto"/>
              </w:rPr>
            </w:pPr>
            <w:r>
              <w:rPr>
                <w:rFonts w:ascii="Arial" w:cs="Arial" w:eastAsia="Arial" w:hAnsi="Arial"/>
                <w:sz w:val="14"/>
                <w:szCs w:val="14"/>
                <w:color w:val="auto"/>
              </w:rPr>
              <w:t>21.6</w:t>
            </w:r>
          </w:p>
        </w:tc>
        <w:tc>
          <w:tcPr>
            <w:tcW w:w="160" w:type="dxa"/>
            <w:vAlign w:val="bottom"/>
          </w:tcPr>
          <w:p>
            <w:pPr>
              <w:spacing w:after="0"/>
              <w:rPr>
                <w:sz w:val="24"/>
                <w:szCs w:val="24"/>
                <w:color w:val="auto"/>
              </w:rPr>
            </w:pPr>
          </w:p>
        </w:tc>
        <w:tc>
          <w:tcPr>
            <w:tcW w:w="340" w:type="dxa"/>
            <w:vAlign w:val="bottom"/>
          </w:tcPr>
          <w:p>
            <w:pPr>
              <w:jc w:val="right"/>
              <w:spacing w:after="0"/>
              <w:rPr>
                <w:sz w:val="20"/>
                <w:szCs w:val="20"/>
                <w:color w:val="auto"/>
              </w:rPr>
            </w:pPr>
            <w:r>
              <w:rPr>
                <w:rFonts w:ascii="Arial" w:cs="Arial" w:eastAsia="Arial" w:hAnsi="Arial"/>
                <w:sz w:val="14"/>
                <w:szCs w:val="14"/>
                <w:b w:val="1"/>
                <w:bCs w:val="1"/>
                <w:color w:val="auto"/>
                <w:w w:val="95"/>
              </w:rPr>
              <w:t>15.2</w:t>
            </w:r>
          </w:p>
        </w:tc>
        <w:tc>
          <w:tcPr>
            <w:tcW w:w="820" w:type="dxa"/>
            <w:vAlign w:val="bottom"/>
            <w:gridSpan w:val="2"/>
          </w:tcPr>
          <w:p>
            <w:pPr>
              <w:jc w:val="right"/>
              <w:spacing w:after="0"/>
              <w:rPr>
                <w:sz w:val="20"/>
                <w:szCs w:val="20"/>
                <w:color w:val="auto"/>
              </w:rPr>
            </w:pPr>
            <w:r>
              <w:rPr>
                <w:rFonts w:ascii="Arial" w:cs="Arial" w:eastAsia="Arial" w:hAnsi="Arial"/>
                <w:sz w:val="14"/>
                <w:szCs w:val="14"/>
                <w:b w:val="1"/>
                <w:bCs w:val="1"/>
                <w:color w:val="auto"/>
              </w:rPr>
              <w:t>382.7</w:t>
            </w:r>
          </w:p>
        </w:tc>
        <w:tc>
          <w:tcPr>
            <w:tcW w:w="140" w:type="dxa"/>
            <w:vAlign w:val="bottom"/>
          </w:tcPr>
          <w:p>
            <w:pPr>
              <w:spacing w:after="0"/>
              <w:rPr>
                <w:sz w:val="24"/>
                <w:szCs w:val="24"/>
                <w:color w:val="auto"/>
              </w:rPr>
            </w:pPr>
          </w:p>
        </w:tc>
        <w:tc>
          <w:tcPr>
            <w:tcW w:w="340" w:type="dxa"/>
            <w:vAlign w:val="bottom"/>
          </w:tcPr>
          <w:p>
            <w:pPr>
              <w:jc w:val="right"/>
              <w:spacing w:after="0"/>
              <w:rPr>
                <w:sz w:val="20"/>
                <w:szCs w:val="20"/>
                <w:color w:val="auto"/>
              </w:rPr>
            </w:pPr>
            <w:r>
              <w:rPr>
                <w:rFonts w:ascii="Arial" w:cs="Arial" w:eastAsia="Arial" w:hAnsi="Arial"/>
                <w:sz w:val="14"/>
                <w:szCs w:val="14"/>
                <w:color w:val="auto"/>
              </w:rPr>
              <w:t>10.8</w:t>
            </w: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285.2</w:t>
            </w:r>
          </w:p>
        </w:tc>
        <w:tc>
          <w:tcPr>
            <w:tcW w:w="160" w:type="dxa"/>
            <w:vAlign w:val="bottom"/>
          </w:tcPr>
          <w:p>
            <w:pPr>
              <w:spacing w:after="0"/>
              <w:rPr>
                <w:sz w:val="24"/>
                <w:szCs w:val="24"/>
                <w:color w:val="auto"/>
              </w:rPr>
            </w:pPr>
          </w:p>
        </w:tc>
        <w:tc>
          <w:tcPr>
            <w:tcW w:w="460" w:type="dxa"/>
            <w:vAlign w:val="bottom"/>
          </w:tcPr>
          <w:p>
            <w:pPr>
              <w:jc w:val="right"/>
              <w:spacing w:after="0"/>
              <w:rPr>
                <w:sz w:val="20"/>
                <w:szCs w:val="20"/>
                <w:color w:val="auto"/>
              </w:rPr>
            </w:pPr>
            <w:r>
              <w:rPr>
                <w:rFonts w:ascii="Arial" w:cs="Arial" w:eastAsia="Arial" w:hAnsi="Arial"/>
                <w:sz w:val="14"/>
                <w:szCs w:val="14"/>
                <w:color w:val="auto"/>
              </w:rPr>
              <w:t>4.4</w:t>
            </w: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jc w:val="right"/>
              <w:spacing w:after="0"/>
              <w:rPr>
                <w:sz w:val="20"/>
                <w:szCs w:val="20"/>
                <w:color w:val="auto"/>
              </w:rPr>
            </w:pPr>
            <w:r>
              <w:rPr>
                <w:rFonts w:ascii="Arial" w:cs="Arial" w:eastAsia="Arial" w:hAnsi="Arial"/>
                <w:sz w:val="14"/>
                <w:szCs w:val="14"/>
                <w:color w:val="auto"/>
              </w:rPr>
              <w:t>97.5</w:t>
            </w:r>
          </w:p>
        </w:tc>
        <w:tc>
          <w:tcPr>
            <w:tcW w:w="20" w:type="dxa"/>
            <w:vAlign w:val="bottom"/>
          </w:tcPr>
          <w:p>
            <w:pPr>
              <w:spacing w:after="0"/>
              <w:rPr>
                <w:sz w:val="24"/>
                <w:szCs w:val="24"/>
                <w:color w:val="auto"/>
              </w:rPr>
            </w:pPr>
          </w:p>
        </w:tc>
      </w:tr>
      <w:tr>
        <w:trPr>
          <w:trHeight w:val="142"/>
        </w:trPr>
        <w:tc>
          <w:tcPr>
            <w:tcW w:w="2160" w:type="dxa"/>
            <w:vAlign w:val="bottom"/>
            <w:tcBorders>
              <w:top w:val="single" w:sz="8" w:color="CCEEFF"/>
            </w:tcBorders>
            <w:shd w:val="clear" w:color="auto" w:fill="CCEEFF"/>
          </w:tcPr>
          <w:p>
            <w:pPr>
              <w:ind w:left="120"/>
              <w:spacing w:after="0" w:line="142" w:lineRule="exact"/>
              <w:rPr>
                <w:sz w:val="20"/>
                <w:szCs w:val="20"/>
                <w:color w:val="auto"/>
              </w:rPr>
            </w:pPr>
            <w:r>
              <w:rPr>
                <w:rFonts w:ascii="Arial" w:cs="Arial" w:eastAsia="Arial" w:hAnsi="Arial"/>
                <w:sz w:val="14"/>
                <w:szCs w:val="14"/>
                <w:color w:val="auto"/>
              </w:rPr>
              <w:t>Total</w:t>
            </w:r>
          </w:p>
        </w:tc>
        <w:tc>
          <w:tcPr>
            <w:tcW w:w="32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5.1</w:t>
            </w:r>
          </w:p>
        </w:tc>
        <w:tc>
          <w:tcPr>
            <w:tcW w:w="20" w:type="dxa"/>
            <w:vAlign w:val="bottom"/>
            <w:tcBorders>
              <w:top w:val="single" w:sz="8" w:color="auto"/>
            </w:tcBorders>
            <w:shd w:val="clear" w:color="auto" w:fill="CCEEFF"/>
          </w:tcPr>
          <w:p>
            <w:pPr>
              <w:spacing w:after="0"/>
              <w:rPr>
                <w:sz w:val="12"/>
                <w:szCs w:val="12"/>
                <w:color w:val="auto"/>
              </w:rPr>
            </w:pPr>
          </w:p>
        </w:tc>
        <w:tc>
          <w:tcPr>
            <w:tcW w:w="200" w:type="dxa"/>
            <w:vAlign w:val="bottom"/>
            <w:tcBorders>
              <w:top w:val="single" w:sz="8" w:color="CCEEFF"/>
            </w:tcBorders>
            <w:shd w:val="clear" w:color="auto" w:fill="CCEEFF"/>
          </w:tcPr>
          <w:p>
            <w:pPr>
              <w:spacing w:after="0"/>
              <w:rPr>
                <w:sz w:val="12"/>
                <w:szCs w:val="12"/>
                <w:color w:val="auto"/>
              </w:rPr>
            </w:pPr>
          </w:p>
        </w:tc>
        <w:tc>
          <w:tcPr>
            <w:tcW w:w="52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835.7</w:t>
            </w:r>
          </w:p>
        </w:tc>
        <w:tc>
          <w:tcPr>
            <w:tcW w:w="160" w:type="dxa"/>
            <w:vAlign w:val="bottom"/>
            <w:tcBorders>
              <w:top w:val="single" w:sz="8" w:color="CCEEFF"/>
            </w:tcBorders>
            <w:shd w:val="clear" w:color="auto" w:fill="CCEEFF"/>
          </w:tcPr>
          <w:p>
            <w:pPr>
              <w:spacing w:after="0"/>
              <w:rPr>
                <w:sz w:val="12"/>
                <w:szCs w:val="12"/>
                <w:color w:val="auto"/>
              </w:rPr>
            </w:pPr>
          </w:p>
        </w:tc>
        <w:tc>
          <w:tcPr>
            <w:tcW w:w="32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4.2</w:t>
            </w:r>
          </w:p>
        </w:tc>
        <w:tc>
          <w:tcPr>
            <w:tcW w:w="22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52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w w:val="94"/>
              </w:rPr>
              <w:t>1,073.7</w:t>
            </w:r>
          </w:p>
        </w:tc>
        <w:tc>
          <w:tcPr>
            <w:tcW w:w="140" w:type="dxa"/>
            <w:vAlign w:val="bottom"/>
            <w:tcBorders>
              <w:top w:val="single" w:sz="8" w:color="CCEEFF"/>
            </w:tcBorders>
            <w:shd w:val="clear" w:color="auto" w:fill="CCEEFF"/>
          </w:tcPr>
          <w:p>
            <w:pPr>
              <w:spacing w:after="0"/>
              <w:rPr>
                <w:sz w:val="12"/>
                <w:szCs w:val="12"/>
                <w:color w:val="auto"/>
              </w:rPr>
            </w:pPr>
          </w:p>
        </w:tc>
        <w:tc>
          <w:tcPr>
            <w:tcW w:w="480" w:type="dxa"/>
            <w:vAlign w:val="bottom"/>
            <w:tcBorders>
              <w:top w:val="single" w:sz="8" w:color="auto"/>
            </w:tcBorders>
            <w:shd w:val="clear" w:color="auto" w:fill="CCEEFF"/>
          </w:tcPr>
          <w:p>
            <w:pPr>
              <w:jc w:val="right"/>
              <w:ind w:right="28"/>
              <w:spacing w:after="0" w:line="142" w:lineRule="exact"/>
              <w:rPr>
                <w:sz w:val="20"/>
                <w:szCs w:val="20"/>
                <w:color w:val="auto"/>
              </w:rPr>
            </w:pPr>
            <w:r>
              <w:rPr>
                <w:rFonts w:ascii="Arial" w:cs="Arial" w:eastAsia="Arial" w:hAnsi="Arial"/>
                <w:sz w:val="14"/>
                <w:szCs w:val="14"/>
                <w:color w:val="auto"/>
              </w:rPr>
              <w:t>0.9</w:t>
            </w:r>
          </w:p>
        </w:tc>
        <w:tc>
          <w:tcPr>
            <w:tcW w:w="200" w:type="dxa"/>
            <w:vAlign w:val="bottom"/>
            <w:tcBorders>
              <w:top w:val="single" w:sz="8" w:color="CCEEFF"/>
            </w:tcBorders>
            <w:shd w:val="clear" w:color="auto" w:fill="CCEEFF"/>
          </w:tcPr>
          <w:p>
            <w:pPr>
              <w:spacing w:after="0"/>
              <w:rPr>
                <w:sz w:val="12"/>
                <w:szCs w:val="12"/>
                <w:color w:val="auto"/>
              </w:rPr>
            </w:pPr>
          </w:p>
        </w:tc>
        <w:tc>
          <w:tcPr>
            <w:tcW w:w="120" w:type="dxa"/>
            <w:vAlign w:val="bottom"/>
            <w:tcBorders>
              <w:top w:val="single" w:sz="8" w:color="auto"/>
            </w:tcBorders>
            <w:shd w:val="clear" w:color="auto" w:fill="CCEEFF"/>
          </w:tcPr>
          <w:p>
            <w:pPr>
              <w:spacing w:after="0"/>
              <w:rPr>
                <w:sz w:val="12"/>
                <w:szCs w:val="12"/>
                <w:color w:val="auto"/>
              </w:rPr>
            </w:pPr>
          </w:p>
        </w:tc>
        <w:tc>
          <w:tcPr>
            <w:tcW w:w="44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w w:val="94"/>
              </w:rPr>
              <w:t>(238.0)</w:t>
            </w:r>
          </w:p>
        </w:tc>
        <w:tc>
          <w:tcPr>
            <w:tcW w:w="160" w:type="dxa"/>
            <w:vAlign w:val="bottom"/>
            <w:tcBorders>
              <w:top w:val="single" w:sz="8" w:color="CCEEFF"/>
            </w:tcBorders>
            <w:shd w:val="clear" w:color="auto" w:fill="CCEEFF"/>
          </w:tcPr>
          <w:p>
            <w:pPr>
              <w:spacing w:after="0"/>
              <w:rPr>
                <w:sz w:val="12"/>
                <w:szCs w:val="12"/>
                <w:color w:val="auto"/>
              </w:rPr>
            </w:pPr>
          </w:p>
        </w:tc>
        <w:tc>
          <w:tcPr>
            <w:tcW w:w="34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4.9</w:t>
            </w:r>
          </w:p>
        </w:tc>
        <w:tc>
          <w:tcPr>
            <w:tcW w:w="220" w:type="dxa"/>
            <w:vAlign w:val="bottom"/>
            <w:tcBorders>
              <w:top w:val="single" w:sz="8" w:color="CCEEFF"/>
            </w:tcBorders>
            <w:shd w:val="clear" w:color="auto" w:fill="CCEEFF"/>
          </w:tcPr>
          <w:p>
            <w:pPr>
              <w:spacing w:after="0"/>
              <w:rPr>
                <w:sz w:val="12"/>
                <w:szCs w:val="12"/>
                <w:color w:val="auto"/>
              </w:rPr>
            </w:pPr>
          </w:p>
        </w:tc>
        <w:tc>
          <w:tcPr>
            <w:tcW w:w="60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1,986.0</w:t>
            </w:r>
          </w:p>
        </w:tc>
        <w:tc>
          <w:tcPr>
            <w:tcW w:w="140" w:type="dxa"/>
            <w:vAlign w:val="bottom"/>
            <w:tcBorders>
              <w:top w:val="single" w:sz="8" w:color="CCEEFF"/>
            </w:tcBorders>
            <w:shd w:val="clear" w:color="auto" w:fill="CCEEFF"/>
          </w:tcPr>
          <w:p>
            <w:pPr>
              <w:spacing w:after="0"/>
              <w:rPr>
                <w:sz w:val="12"/>
                <w:szCs w:val="12"/>
                <w:color w:val="auto"/>
              </w:rPr>
            </w:pPr>
          </w:p>
        </w:tc>
        <w:tc>
          <w:tcPr>
            <w:tcW w:w="34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4.2</w:t>
            </w:r>
          </w:p>
        </w:tc>
        <w:tc>
          <w:tcPr>
            <w:tcW w:w="200" w:type="dxa"/>
            <w:vAlign w:val="bottom"/>
            <w:tcBorders>
              <w:top w:val="single" w:sz="8" w:color="CCEEFF"/>
            </w:tcBorders>
            <w:shd w:val="clear" w:color="auto" w:fill="CCEEFF"/>
          </w:tcPr>
          <w:p>
            <w:pPr>
              <w:spacing w:after="0"/>
              <w:rPr>
                <w:sz w:val="12"/>
                <w:szCs w:val="12"/>
                <w:color w:val="auto"/>
              </w:rPr>
            </w:pPr>
          </w:p>
        </w:tc>
        <w:tc>
          <w:tcPr>
            <w:tcW w:w="120" w:type="dxa"/>
            <w:vAlign w:val="bottom"/>
            <w:tcBorders>
              <w:top w:val="single" w:sz="8" w:color="auto"/>
            </w:tcBorders>
            <w:shd w:val="clear" w:color="auto" w:fill="CCEEFF"/>
          </w:tcPr>
          <w:p>
            <w:pPr>
              <w:spacing w:after="0"/>
              <w:rPr>
                <w:sz w:val="12"/>
                <w:szCs w:val="12"/>
                <w:color w:val="auto"/>
              </w:rPr>
            </w:pPr>
          </w:p>
        </w:tc>
        <w:tc>
          <w:tcPr>
            <w:tcW w:w="50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w w:val="94"/>
              </w:rPr>
              <w:t>2,129.5</w:t>
            </w:r>
          </w:p>
        </w:tc>
        <w:tc>
          <w:tcPr>
            <w:tcW w:w="160" w:type="dxa"/>
            <w:vAlign w:val="bottom"/>
            <w:tcBorders>
              <w:top w:val="single" w:sz="8" w:color="CCEEFF"/>
            </w:tcBorders>
            <w:shd w:val="clear" w:color="auto" w:fill="CCEEFF"/>
          </w:tcPr>
          <w:p>
            <w:pPr>
              <w:spacing w:after="0"/>
              <w:rPr>
                <w:sz w:val="12"/>
                <w:szCs w:val="12"/>
                <w:color w:val="auto"/>
              </w:rPr>
            </w:pPr>
          </w:p>
        </w:tc>
        <w:tc>
          <w:tcPr>
            <w:tcW w:w="460" w:type="dxa"/>
            <w:vAlign w:val="bottom"/>
            <w:tcBorders>
              <w:top w:val="single" w:sz="8" w:color="auto"/>
            </w:tcBorders>
            <w:shd w:val="clear" w:color="auto" w:fill="CCEEFF"/>
          </w:tcPr>
          <w:p>
            <w:pPr>
              <w:jc w:val="right"/>
              <w:ind w:right="8"/>
              <w:spacing w:after="0" w:line="142" w:lineRule="exact"/>
              <w:rPr>
                <w:sz w:val="20"/>
                <w:szCs w:val="20"/>
                <w:color w:val="auto"/>
              </w:rPr>
            </w:pPr>
            <w:r>
              <w:rPr>
                <w:rFonts w:ascii="Arial" w:cs="Arial" w:eastAsia="Arial" w:hAnsi="Arial"/>
                <w:sz w:val="14"/>
                <w:szCs w:val="14"/>
                <w:color w:val="auto"/>
              </w:rPr>
              <w:t>0.7</w:t>
            </w:r>
          </w:p>
        </w:tc>
        <w:tc>
          <w:tcPr>
            <w:tcW w:w="180" w:type="dxa"/>
            <w:vAlign w:val="bottom"/>
            <w:tcBorders>
              <w:top w:val="single" w:sz="8" w:color="CCEEFF"/>
            </w:tcBorders>
            <w:shd w:val="clear" w:color="auto" w:fill="CCEEFF"/>
          </w:tcPr>
          <w:p>
            <w:pPr>
              <w:spacing w:after="0"/>
              <w:rPr>
                <w:sz w:val="12"/>
                <w:szCs w:val="12"/>
                <w:color w:val="auto"/>
              </w:rPr>
            </w:pPr>
          </w:p>
        </w:tc>
        <w:tc>
          <w:tcPr>
            <w:tcW w:w="4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auto"/>
            </w:tcBorders>
            <w:shd w:val="clear" w:color="auto" w:fill="CCEEFF"/>
          </w:tcPr>
          <w:p>
            <w:pPr>
              <w:spacing w:after="0"/>
              <w:rPr>
                <w:sz w:val="12"/>
                <w:szCs w:val="12"/>
                <w:color w:val="auto"/>
              </w:rPr>
            </w:pPr>
          </w:p>
        </w:tc>
        <w:tc>
          <w:tcPr>
            <w:tcW w:w="46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w w:val="99"/>
              </w:rPr>
              <w:t>(143.5)</w:t>
            </w:r>
          </w:p>
        </w:tc>
        <w:tc>
          <w:tcPr>
            <w:tcW w:w="20" w:type="dxa"/>
            <w:vAlign w:val="bottom"/>
          </w:tcPr>
          <w:p>
            <w:pPr>
              <w:spacing w:after="0"/>
              <w:rPr>
                <w:sz w:val="12"/>
                <w:szCs w:val="12"/>
                <w:color w:val="auto"/>
              </w:rPr>
            </w:pPr>
          </w:p>
        </w:tc>
      </w:tr>
      <w:tr>
        <w:trPr>
          <w:trHeight w:val="148"/>
        </w:trPr>
        <w:tc>
          <w:tcPr>
            <w:tcW w:w="2160" w:type="dxa"/>
            <w:vAlign w:val="bottom"/>
          </w:tcPr>
          <w:p>
            <w:pPr>
              <w:spacing w:after="0" w:line="149" w:lineRule="exact"/>
              <w:rPr>
                <w:sz w:val="20"/>
                <w:szCs w:val="20"/>
                <w:color w:val="auto"/>
              </w:rPr>
            </w:pPr>
            <w:r>
              <w:rPr>
                <w:rFonts w:ascii="Arial" w:cs="Arial" w:eastAsia="Arial" w:hAnsi="Arial"/>
                <w:sz w:val="14"/>
                <w:szCs w:val="14"/>
                <w:color w:val="auto"/>
              </w:rPr>
              <w:t>Investment expenses</w:t>
            </w:r>
          </w:p>
        </w:tc>
        <w:tc>
          <w:tcPr>
            <w:tcW w:w="3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(0.1)</w:t>
            </w:r>
          </w:p>
        </w:tc>
        <w:tc>
          <w:tcPr>
            <w:tcW w:w="880" w:type="dxa"/>
            <w:vAlign w:val="bottom"/>
            <w:gridSpan w:val="3"/>
          </w:tcPr>
          <w:p>
            <w:pPr>
              <w:jc w:val="right"/>
              <w:ind w:right="160"/>
              <w:spacing w:after="0" w:line="149" w:lineRule="exact"/>
              <w:rPr>
                <w:sz w:val="20"/>
                <w:szCs w:val="20"/>
                <w:color w:val="auto"/>
              </w:rPr>
            </w:pPr>
            <w:r>
              <w:rPr>
                <w:rFonts w:ascii="Arial" w:cs="Arial" w:eastAsia="Arial" w:hAnsi="Arial"/>
                <w:sz w:val="14"/>
                <w:szCs w:val="14"/>
                <w:b w:val="1"/>
                <w:bCs w:val="1"/>
                <w:color w:val="auto"/>
              </w:rPr>
              <w:t>(19.2)</w:t>
            </w:r>
          </w:p>
        </w:tc>
        <w:tc>
          <w:tcPr>
            <w:tcW w:w="320" w:type="dxa"/>
            <w:vAlign w:val="bottom"/>
          </w:tcPr>
          <w:p>
            <w:pPr>
              <w:jc w:val="right"/>
              <w:spacing w:after="0" w:line="149" w:lineRule="exact"/>
              <w:rPr>
                <w:sz w:val="20"/>
                <w:szCs w:val="20"/>
                <w:color w:val="auto"/>
              </w:rPr>
            </w:pPr>
            <w:r>
              <w:rPr>
                <w:rFonts w:ascii="Arial" w:cs="Arial" w:eastAsia="Arial" w:hAnsi="Arial"/>
                <w:sz w:val="14"/>
                <w:szCs w:val="14"/>
                <w:color w:val="auto"/>
              </w:rPr>
              <w:t>(0.1)</w:t>
            </w: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(28.2)</w:t>
            </w:r>
          </w:p>
        </w:tc>
        <w:tc>
          <w:tcPr>
            <w:tcW w:w="48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40" w:type="dxa"/>
            <w:vAlign w:val="bottom"/>
          </w:tcPr>
          <w:p>
            <w:pPr>
              <w:jc w:val="right"/>
              <w:spacing w:after="0" w:line="149" w:lineRule="exact"/>
              <w:rPr>
                <w:sz w:val="20"/>
                <w:szCs w:val="20"/>
                <w:color w:val="auto"/>
              </w:rPr>
            </w:pPr>
            <w:r>
              <w:rPr>
                <w:rFonts w:ascii="Arial" w:cs="Arial" w:eastAsia="Arial" w:hAnsi="Arial"/>
                <w:sz w:val="14"/>
                <w:szCs w:val="14"/>
                <w:color w:val="auto"/>
              </w:rPr>
              <w:t>9.0</w:t>
            </w:r>
          </w:p>
        </w:tc>
        <w:tc>
          <w:tcPr>
            <w:tcW w:w="160" w:type="dxa"/>
            <w:vAlign w:val="bottom"/>
          </w:tcPr>
          <w:p>
            <w:pPr>
              <w:spacing w:after="0"/>
              <w:rPr>
                <w:sz w:val="12"/>
                <w:szCs w:val="12"/>
                <w:color w:val="auto"/>
              </w:rPr>
            </w:pPr>
          </w:p>
        </w:tc>
        <w:tc>
          <w:tcPr>
            <w:tcW w:w="3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(0.1)</w:t>
            </w:r>
          </w:p>
        </w:tc>
        <w:tc>
          <w:tcPr>
            <w:tcW w:w="960" w:type="dxa"/>
            <w:vAlign w:val="bottom"/>
            <w:gridSpan w:val="3"/>
          </w:tcPr>
          <w:p>
            <w:pPr>
              <w:jc w:val="right"/>
              <w:ind w:right="140"/>
              <w:spacing w:after="0" w:line="149" w:lineRule="exact"/>
              <w:rPr>
                <w:sz w:val="20"/>
                <w:szCs w:val="20"/>
                <w:color w:val="auto"/>
              </w:rPr>
            </w:pPr>
            <w:r>
              <w:rPr>
                <w:rFonts w:ascii="Arial" w:cs="Arial" w:eastAsia="Arial" w:hAnsi="Arial"/>
                <w:sz w:val="14"/>
                <w:szCs w:val="14"/>
                <w:b w:val="1"/>
                <w:bCs w:val="1"/>
                <w:color w:val="auto"/>
              </w:rPr>
              <w:t>(51.4)</w:t>
            </w:r>
          </w:p>
        </w:tc>
        <w:tc>
          <w:tcPr>
            <w:tcW w:w="340" w:type="dxa"/>
            <w:vAlign w:val="bottom"/>
          </w:tcPr>
          <w:p>
            <w:pPr>
              <w:jc w:val="right"/>
              <w:spacing w:after="0" w:line="149" w:lineRule="exact"/>
              <w:rPr>
                <w:sz w:val="20"/>
                <w:szCs w:val="20"/>
                <w:color w:val="auto"/>
              </w:rPr>
            </w:pPr>
            <w:r>
              <w:rPr>
                <w:rFonts w:ascii="Arial" w:cs="Arial" w:eastAsia="Arial" w:hAnsi="Arial"/>
                <w:sz w:val="14"/>
                <w:szCs w:val="14"/>
                <w:color w:val="auto"/>
              </w:rPr>
              <w:t>(0.1)</w:t>
            </w:r>
          </w:p>
        </w:tc>
        <w:tc>
          <w:tcPr>
            <w:tcW w:w="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(55.9)</w:t>
            </w:r>
          </w:p>
        </w:tc>
        <w:tc>
          <w:tcPr>
            <w:tcW w:w="640" w:type="dxa"/>
            <w:vAlign w:val="bottom"/>
            <w:gridSpan w:val="2"/>
          </w:tcPr>
          <w:p>
            <w:pPr>
              <w:jc w:val="right"/>
              <w:ind w:right="148"/>
              <w:spacing w:after="0" w:line="149" w:lineRule="exact"/>
              <w:rPr>
                <w:sz w:val="20"/>
                <w:szCs w:val="20"/>
                <w:color w:val="auto"/>
              </w:rPr>
            </w:pPr>
            <w:r>
              <w:rPr>
                <w:rFonts w:ascii="Arial" w:cs="Arial" w:eastAsia="Arial" w:hAnsi="Arial"/>
                <w:sz w:val="14"/>
                <w:szCs w:val="14"/>
                <w:color w:val="auto"/>
              </w:rPr>
              <w:t>—</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jc w:val="right"/>
              <w:spacing w:after="0" w:line="149" w:lineRule="exact"/>
              <w:rPr>
                <w:sz w:val="20"/>
                <w:szCs w:val="20"/>
                <w:color w:val="auto"/>
              </w:rPr>
            </w:pPr>
            <w:r>
              <w:rPr>
                <w:rFonts w:ascii="Arial" w:cs="Arial" w:eastAsia="Arial" w:hAnsi="Arial"/>
                <w:sz w:val="14"/>
                <w:szCs w:val="14"/>
                <w:color w:val="auto"/>
              </w:rPr>
              <w:t>4.5</w:t>
            </w:r>
          </w:p>
        </w:tc>
        <w:tc>
          <w:tcPr>
            <w:tcW w:w="20" w:type="dxa"/>
            <w:vAlign w:val="bottom"/>
          </w:tcPr>
          <w:p>
            <w:pPr>
              <w:spacing w:after="0"/>
              <w:rPr>
                <w:sz w:val="12"/>
                <w:szCs w:val="12"/>
                <w:color w:val="auto"/>
              </w:rPr>
            </w:pPr>
          </w:p>
        </w:tc>
      </w:tr>
      <w:tr>
        <w:trPr>
          <w:trHeight w:val="142"/>
        </w:trPr>
        <w:tc>
          <w:tcPr>
            <w:tcW w:w="2160" w:type="dxa"/>
            <w:vAlign w:val="bottom"/>
            <w:tcBorders>
              <w:top w:val="single" w:sz="8" w:color="CCEEFF"/>
              <w:bottom w:val="single" w:sz="8" w:color="CCEEFF"/>
            </w:tcBorders>
            <w:shd w:val="clear" w:color="auto" w:fill="CCEEFF"/>
          </w:tcPr>
          <w:p>
            <w:pPr>
              <w:ind w:left="120"/>
              <w:spacing w:after="0" w:line="142" w:lineRule="exact"/>
              <w:rPr>
                <w:sz w:val="20"/>
                <w:szCs w:val="20"/>
                <w:color w:val="auto"/>
              </w:rPr>
            </w:pPr>
            <w:r>
              <w:rPr>
                <w:rFonts w:ascii="Arial" w:cs="Arial" w:eastAsia="Arial" w:hAnsi="Arial"/>
                <w:sz w:val="14"/>
                <w:szCs w:val="14"/>
                <w:color w:val="auto"/>
              </w:rPr>
              <w:t>Net investment income</w:t>
            </w:r>
          </w:p>
        </w:tc>
        <w:tc>
          <w:tcPr>
            <w:tcW w:w="32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5.0</w:t>
            </w:r>
          </w:p>
        </w:tc>
        <w:tc>
          <w:tcPr>
            <w:tcW w:w="20" w:type="dxa"/>
            <w:vAlign w:val="bottom"/>
            <w:tcBorders>
              <w:top w:val="single" w:sz="8" w:color="auto"/>
              <w:bottom w:val="single" w:sz="8" w:color="auto"/>
            </w:tcBorders>
            <w:shd w:val="clear" w:color="auto" w:fill="CCEEFF"/>
          </w:tcPr>
          <w:p>
            <w:pPr>
              <w:spacing w:after="0"/>
              <w:rPr>
                <w:sz w:val="12"/>
                <w:szCs w:val="12"/>
                <w:color w:val="auto"/>
              </w:rPr>
            </w:pPr>
          </w:p>
        </w:tc>
        <w:tc>
          <w:tcPr>
            <w:tcW w:w="200" w:type="dxa"/>
            <w:vAlign w:val="bottom"/>
            <w:tcBorders>
              <w:top w:val="single" w:sz="8" w:color="CCEEFF"/>
              <w:bottom w:val="single" w:sz="8" w:color="CCEEFF"/>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w w:val="96"/>
              </w:rPr>
              <w:t>%</w:t>
            </w:r>
          </w:p>
        </w:tc>
        <w:tc>
          <w:tcPr>
            <w:tcW w:w="52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w w:val="94"/>
              </w:rPr>
              <w:t>$ 816.5</w:t>
            </w:r>
          </w:p>
        </w:tc>
        <w:tc>
          <w:tcPr>
            <w:tcW w:w="160" w:type="dxa"/>
            <w:vAlign w:val="bottom"/>
            <w:tcBorders>
              <w:top w:val="single" w:sz="8" w:color="CCEEFF"/>
              <w:bottom w:val="single" w:sz="8" w:color="CCEEFF"/>
            </w:tcBorders>
            <w:shd w:val="clear" w:color="auto" w:fill="CCEEFF"/>
          </w:tcPr>
          <w:p>
            <w:pPr>
              <w:spacing w:after="0"/>
              <w:rPr>
                <w:sz w:val="12"/>
                <w:szCs w:val="12"/>
                <w:color w:val="auto"/>
              </w:rPr>
            </w:pPr>
          </w:p>
        </w:tc>
        <w:tc>
          <w:tcPr>
            <w:tcW w:w="32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4.1</w:t>
            </w:r>
          </w:p>
        </w:tc>
        <w:tc>
          <w:tcPr>
            <w:tcW w:w="220" w:type="dxa"/>
            <w:vAlign w:val="bottom"/>
            <w:tcBorders>
              <w:top w:val="single" w:sz="8" w:color="CCEEFF"/>
              <w:bottom w:val="single" w:sz="8" w:color="CCEEFF"/>
            </w:tcBorders>
            <w:shd w:val="clear" w:color="auto" w:fill="CCEEFF"/>
          </w:tcPr>
          <w:p>
            <w:pPr>
              <w:jc w:val="right"/>
              <w:ind w:right="28"/>
              <w:spacing w:after="0" w:line="142" w:lineRule="exact"/>
              <w:rPr>
                <w:sz w:val="20"/>
                <w:szCs w:val="20"/>
                <w:color w:val="auto"/>
              </w:rPr>
            </w:pPr>
            <w:r>
              <w:rPr>
                <w:rFonts w:ascii="Arial" w:cs="Arial" w:eastAsia="Arial" w:hAnsi="Arial"/>
                <w:sz w:val="14"/>
                <w:szCs w:val="14"/>
                <w:color w:val="auto"/>
                <w:w w:val="79"/>
              </w:rPr>
              <w:t>%</w:t>
            </w:r>
          </w:p>
        </w:tc>
        <w:tc>
          <w:tcPr>
            <w:tcW w:w="80" w:type="dxa"/>
            <w:vAlign w:val="bottom"/>
            <w:tcBorders>
              <w:top w:val="single" w:sz="8" w:color="auto"/>
              <w:bottom w:val="single" w:sz="8" w:color="auto"/>
            </w:tcBorders>
            <w:shd w:val="clear" w:color="auto" w:fill="CCEEFF"/>
          </w:tcPr>
          <w:p>
            <w:pPr>
              <w:jc w:val="center"/>
              <w:spacing w:after="0" w:line="142" w:lineRule="exact"/>
              <w:rPr>
                <w:sz w:val="20"/>
                <w:szCs w:val="20"/>
                <w:color w:val="auto"/>
              </w:rPr>
            </w:pPr>
            <w:r>
              <w:rPr>
                <w:rFonts w:ascii="Arial" w:cs="Arial" w:eastAsia="Arial" w:hAnsi="Arial"/>
                <w:sz w:val="14"/>
                <w:szCs w:val="14"/>
                <w:color w:val="auto"/>
                <w:w w:val="76"/>
              </w:rPr>
              <w:t>$</w:t>
            </w:r>
          </w:p>
        </w:tc>
        <w:tc>
          <w:tcPr>
            <w:tcW w:w="52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w w:val="94"/>
              </w:rPr>
              <w:t>1,045.5</w:t>
            </w:r>
          </w:p>
        </w:tc>
        <w:tc>
          <w:tcPr>
            <w:tcW w:w="140" w:type="dxa"/>
            <w:vAlign w:val="bottom"/>
            <w:tcBorders>
              <w:top w:val="single" w:sz="8" w:color="CCEEFF"/>
              <w:bottom w:val="single" w:sz="8" w:color="CCEEFF"/>
            </w:tcBorders>
            <w:shd w:val="clear" w:color="auto" w:fill="CCEEFF"/>
          </w:tcPr>
          <w:p>
            <w:pPr>
              <w:spacing w:after="0"/>
              <w:rPr>
                <w:sz w:val="12"/>
                <w:szCs w:val="12"/>
                <w:color w:val="auto"/>
              </w:rPr>
            </w:pPr>
          </w:p>
        </w:tc>
        <w:tc>
          <w:tcPr>
            <w:tcW w:w="480" w:type="dxa"/>
            <w:vAlign w:val="bottom"/>
            <w:tcBorders>
              <w:top w:val="single" w:sz="8" w:color="auto"/>
              <w:bottom w:val="single" w:sz="8" w:color="auto"/>
            </w:tcBorders>
            <w:shd w:val="clear" w:color="auto" w:fill="CCEEFF"/>
          </w:tcPr>
          <w:p>
            <w:pPr>
              <w:jc w:val="right"/>
              <w:ind w:right="28"/>
              <w:spacing w:after="0" w:line="142" w:lineRule="exact"/>
              <w:rPr>
                <w:sz w:val="20"/>
                <w:szCs w:val="20"/>
                <w:color w:val="auto"/>
              </w:rPr>
            </w:pPr>
            <w:r>
              <w:rPr>
                <w:rFonts w:ascii="Arial" w:cs="Arial" w:eastAsia="Arial" w:hAnsi="Arial"/>
                <w:sz w:val="14"/>
                <w:szCs w:val="14"/>
                <w:color w:val="auto"/>
              </w:rPr>
              <w:t>0.9</w:t>
            </w:r>
          </w:p>
        </w:tc>
        <w:tc>
          <w:tcPr>
            <w:tcW w:w="200" w:type="dxa"/>
            <w:vAlign w:val="bottom"/>
            <w:tcBorders>
              <w:top w:val="single" w:sz="8" w:color="CCEEFF"/>
              <w:bottom w:val="single" w:sz="8" w:color="CCEEFF"/>
            </w:tcBorders>
            <w:shd w:val="clear" w:color="auto" w:fill="CCEEFF"/>
          </w:tcPr>
          <w:p>
            <w:pPr>
              <w:jc w:val="right"/>
              <w:ind w:right="8"/>
              <w:spacing w:after="0" w:line="142" w:lineRule="exact"/>
              <w:rPr>
                <w:sz w:val="20"/>
                <w:szCs w:val="20"/>
                <w:color w:val="auto"/>
              </w:rPr>
            </w:pPr>
            <w:r>
              <w:rPr>
                <w:rFonts w:ascii="Arial" w:cs="Arial" w:eastAsia="Arial" w:hAnsi="Arial"/>
                <w:sz w:val="14"/>
                <w:szCs w:val="14"/>
                <w:color w:val="auto"/>
                <w:w w:val="79"/>
              </w:rPr>
              <w:t>%</w:t>
            </w:r>
          </w:p>
        </w:tc>
        <w:tc>
          <w:tcPr>
            <w:tcW w:w="12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w w:val="76"/>
              </w:rPr>
              <w:t>$</w:t>
            </w:r>
          </w:p>
        </w:tc>
        <w:tc>
          <w:tcPr>
            <w:tcW w:w="44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w w:val="94"/>
              </w:rPr>
              <w:t>(229.0)</w:t>
            </w:r>
          </w:p>
        </w:tc>
        <w:tc>
          <w:tcPr>
            <w:tcW w:w="160" w:type="dxa"/>
            <w:vAlign w:val="bottom"/>
            <w:tcBorders>
              <w:top w:val="single" w:sz="8" w:color="CCEEFF"/>
              <w:bottom w:val="single" w:sz="8" w:color="CCEEFF"/>
            </w:tcBorders>
            <w:shd w:val="clear" w:color="auto" w:fill="CCEEFF"/>
          </w:tcPr>
          <w:p>
            <w:pPr>
              <w:spacing w:after="0"/>
              <w:rPr>
                <w:sz w:val="12"/>
                <w:szCs w:val="12"/>
                <w:color w:val="auto"/>
              </w:rPr>
            </w:pPr>
          </w:p>
        </w:tc>
        <w:tc>
          <w:tcPr>
            <w:tcW w:w="34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4.8</w:t>
            </w:r>
          </w:p>
        </w:tc>
        <w:tc>
          <w:tcPr>
            <w:tcW w:w="220" w:type="dxa"/>
            <w:vAlign w:val="bottom"/>
            <w:tcBorders>
              <w:top w:val="single" w:sz="8" w:color="CCEEFF"/>
              <w:bottom w:val="single" w:sz="8" w:color="CCEEFF"/>
            </w:tcBorders>
            <w:shd w:val="clear" w:color="auto" w:fill="CCEEFF"/>
          </w:tcPr>
          <w:p>
            <w:pPr>
              <w:jc w:val="right"/>
              <w:ind w:right="8"/>
              <w:spacing w:after="0" w:line="142" w:lineRule="exact"/>
              <w:rPr>
                <w:sz w:val="20"/>
                <w:szCs w:val="20"/>
                <w:color w:val="auto"/>
              </w:rPr>
            </w:pPr>
            <w:r>
              <w:rPr>
                <w:rFonts w:ascii="Arial" w:cs="Arial" w:eastAsia="Arial" w:hAnsi="Arial"/>
                <w:sz w:val="14"/>
                <w:szCs w:val="14"/>
                <w:b w:val="1"/>
                <w:bCs w:val="1"/>
                <w:color w:val="auto"/>
                <w:w w:val="96"/>
              </w:rPr>
              <w:t>%</w:t>
            </w:r>
          </w:p>
        </w:tc>
        <w:tc>
          <w:tcPr>
            <w:tcW w:w="60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w w:val="88"/>
              </w:rPr>
              <w:t>$ 1,934.6</w:t>
            </w:r>
          </w:p>
        </w:tc>
        <w:tc>
          <w:tcPr>
            <w:tcW w:w="140" w:type="dxa"/>
            <w:vAlign w:val="bottom"/>
            <w:tcBorders>
              <w:top w:val="single" w:sz="8" w:color="CCEEFF"/>
              <w:bottom w:val="single" w:sz="8" w:color="CCEEFF"/>
            </w:tcBorders>
            <w:shd w:val="clear" w:color="auto" w:fill="CCEEFF"/>
          </w:tcPr>
          <w:p>
            <w:pPr>
              <w:spacing w:after="0"/>
              <w:rPr>
                <w:sz w:val="12"/>
                <w:szCs w:val="12"/>
                <w:color w:val="auto"/>
              </w:rPr>
            </w:pPr>
          </w:p>
        </w:tc>
        <w:tc>
          <w:tcPr>
            <w:tcW w:w="34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4.1</w:t>
            </w:r>
          </w:p>
        </w:tc>
        <w:tc>
          <w:tcPr>
            <w:tcW w:w="200" w:type="dxa"/>
            <w:vAlign w:val="bottom"/>
            <w:tcBorders>
              <w:top w:val="single" w:sz="8" w:color="CCEEFF"/>
              <w:bottom w:val="single" w:sz="8" w:color="CCEEFF"/>
            </w:tcBorders>
            <w:shd w:val="clear" w:color="auto" w:fill="CCEEFF"/>
          </w:tcPr>
          <w:p>
            <w:pPr>
              <w:jc w:val="right"/>
              <w:ind w:right="8"/>
              <w:spacing w:after="0" w:line="142" w:lineRule="exact"/>
              <w:rPr>
                <w:sz w:val="20"/>
                <w:szCs w:val="20"/>
                <w:color w:val="auto"/>
              </w:rPr>
            </w:pPr>
            <w:r>
              <w:rPr>
                <w:rFonts w:ascii="Arial" w:cs="Arial" w:eastAsia="Arial" w:hAnsi="Arial"/>
                <w:sz w:val="14"/>
                <w:szCs w:val="14"/>
                <w:color w:val="auto"/>
                <w:w w:val="79"/>
              </w:rPr>
              <w:t>%</w:t>
            </w:r>
          </w:p>
        </w:tc>
        <w:tc>
          <w:tcPr>
            <w:tcW w:w="120" w:type="dxa"/>
            <w:vAlign w:val="bottom"/>
            <w:tcBorders>
              <w:top w:val="single" w:sz="8" w:color="auto"/>
              <w:bottom w:val="single" w:sz="8" w:color="auto"/>
            </w:tcBorders>
            <w:shd w:val="clear" w:color="auto" w:fill="CCEEFF"/>
          </w:tcPr>
          <w:p>
            <w:pPr>
              <w:jc w:val="center"/>
              <w:spacing w:after="0" w:line="142" w:lineRule="exact"/>
              <w:rPr>
                <w:sz w:val="20"/>
                <w:szCs w:val="20"/>
                <w:color w:val="auto"/>
              </w:rPr>
            </w:pPr>
            <w:r>
              <w:rPr>
                <w:rFonts w:ascii="Arial" w:cs="Arial" w:eastAsia="Arial" w:hAnsi="Arial"/>
                <w:sz w:val="14"/>
                <w:szCs w:val="14"/>
                <w:color w:val="auto"/>
              </w:rPr>
              <w:t>$</w:t>
            </w:r>
          </w:p>
        </w:tc>
        <w:tc>
          <w:tcPr>
            <w:tcW w:w="50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w w:val="94"/>
              </w:rPr>
              <w:t>2,073.6</w:t>
            </w:r>
          </w:p>
        </w:tc>
        <w:tc>
          <w:tcPr>
            <w:tcW w:w="160" w:type="dxa"/>
            <w:vAlign w:val="bottom"/>
            <w:tcBorders>
              <w:top w:val="single" w:sz="8" w:color="CCEEFF"/>
              <w:bottom w:val="single" w:sz="8" w:color="CCEEFF"/>
            </w:tcBorders>
            <w:shd w:val="clear" w:color="auto" w:fill="CCEEFF"/>
          </w:tcPr>
          <w:p>
            <w:pPr>
              <w:spacing w:after="0"/>
              <w:rPr>
                <w:sz w:val="12"/>
                <w:szCs w:val="12"/>
                <w:color w:val="auto"/>
              </w:rPr>
            </w:pPr>
          </w:p>
        </w:tc>
        <w:tc>
          <w:tcPr>
            <w:tcW w:w="460" w:type="dxa"/>
            <w:vAlign w:val="bottom"/>
            <w:tcBorders>
              <w:top w:val="single" w:sz="8" w:color="auto"/>
              <w:bottom w:val="single" w:sz="8" w:color="auto"/>
            </w:tcBorders>
            <w:shd w:val="clear" w:color="auto" w:fill="CCEEFF"/>
          </w:tcPr>
          <w:p>
            <w:pPr>
              <w:jc w:val="right"/>
              <w:ind w:right="8"/>
              <w:spacing w:after="0" w:line="142" w:lineRule="exact"/>
              <w:rPr>
                <w:sz w:val="20"/>
                <w:szCs w:val="20"/>
                <w:color w:val="auto"/>
              </w:rPr>
            </w:pPr>
            <w:r>
              <w:rPr>
                <w:rFonts w:ascii="Arial" w:cs="Arial" w:eastAsia="Arial" w:hAnsi="Arial"/>
                <w:sz w:val="14"/>
                <w:szCs w:val="14"/>
                <w:color w:val="auto"/>
              </w:rPr>
              <w:t>0.7</w:t>
            </w:r>
          </w:p>
        </w:tc>
        <w:tc>
          <w:tcPr>
            <w:tcW w:w="180" w:type="dxa"/>
            <w:vAlign w:val="bottom"/>
            <w:tcBorders>
              <w:top w:val="single" w:sz="8" w:color="CCEEFF"/>
              <w:bottom w:val="single" w:sz="8" w:color="CCEEFF"/>
            </w:tcBorders>
            <w:shd w:val="clear" w:color="auto" w:fill="CCEEFF"/>
          </w:tcPr>
          <w:p>
            <w:pPr>
              <w:jc w:val="right"/>
              <w:spacing w:after="0" w:line="142" w:lineRule="exact"/>
              <w:rPr>
                <w:sz w:val="20"/>
                <w:szCs w:val="20"/>
                <w:color w:val="auto"/>
              </w:rPr>
            </w:pPr>
            <w:r>
              <w:rPr>
                <w:rFonts w:ascii="Arial" w:cs="Arial" w:eastAsia="Arial" w:hAnsi="Arial"/>
                <w:sz w:val="14"/>
                <w:szCs w:val="14"/>
                <w:color w:val="auto"/>
                <w:w w:val="79"/>
              </w:rPr>
              <w:t>%</w:t>
            </w:r>
          </w:p>
        </w:tc>
        <w:tc>
          <w:tcPr>
            <w:tcW w:w="40" w:type="dxa"/>
            <w:vAlign w:val="bottom"/>
            <w:tcBorders>
              <w:top w:val="single" w:sz="8" w:color="CCEEFF"/>
              <w:bottom w:val="single" w:sz="8" w:color="CCEEFF"/>
            </w:tcBorders>
            <w:shd w:val="clear" w:color="auto" w:fill="CCEEFF"/>
          </w:tcPr>
          <w:p>
            <w:pPr>
              <w:spacing w:after="0"/>
              <w:rPr>
                <w:sz w:val="12"/>
                <w:szCs w:val="12"/>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46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w w:val="99"/>
              </w:rPr>
              <w:t>(139.0)</w:t>
            </w:r>
          </w:p>
        </w:tc>
        <w:tc>
          <w:tcPr>
            <w:tcW w:w="20" w:type="dxa"/>
            <w:vAlign w:val="bottom"/>
          </w:tcPr>
          <w:p>
            <w:pPr>
              <w:spacing w:after="0"/>
              <w:rPr>
                <w:sz w:val="12"/>
                <w:szCs w:val="12"/>
                <w:color w:val="auto"/>
              </w:rPr>
            </w:pPr>
          </w:p>
        </w:tc>
      </w:tr>
      <w:tr>
        <w:trPr>
          <w:trHeight w:val="20"/>
        </w:trPr>
        <w:tc>
          <w:tcPr>
            <w:tcW w:w="216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89"/>
        </w:trPr>
        <w:tc>
          <w:tcPr>
            <w:tcW w:w="2160" w:type="dxa"/>
            <w:vAlign w:val="bottom"/>
            <w:tcBorders>
              <w:bottom w:val="single" w:sz="8" w:color="auto"/>
            </w:tcBorders>
          </w:tcPr>
          <w:p>
            <w:pPr>
              <w:spacing w:after="0"/>
              <w:rPr>
                <w:sz w:val="7"/>
                <w:szCs w:val="7"/>
                <w:color w:val="auto"/>
              </w:rPr>
            </w:pPr>
          </w:p>
        </w:tc>
        <w:tc>
          <w:tcPr>
            <w:tcW w:w="320" w:type="dxa"/>
            <w:vAlign w:val="bottom"/>
            <w:tcBorders>
              <w:bottom w:val="single" w:sz="8" w:color="auto"/>
            </w:tcBorders>
          </w:tcPr>
          <w:p>
            <w:pPr>
              <w:spacing w:after="0"/>
              <w:rPr>
                <w:sz w:val="7"/>
                <w:szCs w:val="7"/>
                <w:color w:val="auto"/>
              </w:rPr>
            </w:pPr>
          </w:p>
        </w:tc>
        <w:tc>
          <w:tcPr>
            <w:tcW w:w="20" w:type="dxa"/>
            <w:vAlign w:val="bottom"/>
          </w:tcPr>
          <w:p>
            <w:pPr>
              <w:spacing w:after="0"/>
              <w:rPr>
                <w:sz w:val="7"/>
                <w:szCs w:val="7"/>
                <w:color w:val="auto"/>
              </w:rPr>
            </w:pPr>
          </w:p>
        </w:tc>
        <w:tc>
          <w:tcPr>
            <w:tcW w:w="200" w:type="dxa"/>
            <w:vAlign w:val="bottom"/>
          </w:tcPr>
          <w:p>
            <w:pPr>
              <w:spacing w:after="0"/>
              <w:rPr>
                <w:sz w:val="7"/>
                <w:szCs w:val="7"/>
                <w:color w:val="auto"/>
              </w:rPr>
            </w:pPr>
          </w:p>
        </w:tc>
        <w:tc>
          <w:tcPr>
            <w:tcW w:w="520" w:type="dxa"/>
            <w:vAlign w:val="bottom"/>
          </w:tcPr>
          <w:p>
            <w:pPr>
              <w:spacing w:after="0"/>
              <w:rPr>
                <w:sz w:val="7"/>
                <w:szCs w:val="7"/>
                <w:color w:val="auto"/>
              </w:rPr>
            </w:pPr>
          </w:p>
        </w:tc>
        <w:tc>
          <w:tcPr>
            <w:tcW w:w="160" w:type="dxa"/>
            <w:vAlign w:val="bottom"/>
          </w:tcPr>
          <w:p>
            <w:pPr>
              <w:spacing w:after="0"/>
              <w:rPr>
                <w:sz w:val="7"/>
                <w:szCs w:val="7"/>
                <w:color w:val="auto"/>
              </w:rPr>
            </w:pPr>
          </w:p>
        </w:tc>
        <w:tc>
          <w:tcPr>
            <w:tcW w:w="320" w:type="dxa"/>
            <w:vAlign w:val="bottom"/>
          </w:tcPr>
          <w:p>
            <w:pPr>
              <w:spacing w:after="0"/>
              <w:rPr>
                <w:sz w:val="7"/>
                <w:szCs w:val="7"/>
                <w:color w:val="auto"/>
              </w:rPr>
            </w:pPr>
          </w:p>
        </w:tc>
        <w:tc>
          <w:tcPr>
            <w:tcW w:w="220" w:type="dxa"/>
            <w:vAlign w:val="bottom"/>
          </w:tcPr>
          <w:p>
            <w:pPr>
              <w:spacing w:after="0"/>
              <w:rPr>
                <w:sz w:val="7"/>
                <w:szCs w:val="7"/>
                <w:color w:val="auto"/>
              </w:rPr>
            </w:pPr>
          </w:p>
        </w:tc>
        <w:tc>
          <w:tcPr>
            <w:tcW w:w="80" w:type="dxa"/>
            <w:vAlign w:val="bottom"/>
          </w:tcPr>
          <w:p>
            <w:pPr>
              <w:spacing w:after="0"/>
              <w:rPr>
                <w:sz w:val="7"/>
                <w:szCs w:val="7"/>
                <w:color w:val="auto"/>
              </w:rPr>
            </w:pPr>
          </w:p>
        </w:tc>
        <w:tc>
          <w:tcPr>
            <w:tcW w:w="520" w:type="dxa"/>
            <w:vAlign w:val="bottom"/>
          </w:tcPr>
          <w:p>
            <w:pPr>
              <w:spacing w:after="0"/>
              <w:rPr>
                <w:sz w:val="7"/>
                <w:szCs w:val="7"/>
                <w:color w:val="auto"/>
              </w:rPr>
            </w:pPr>
          </w:p>
        </w:tc>
        <w:tc>
          <w:tcPr>
            <w:tcW w:w="140" w:type="dxa"/>
            <w:vAlign w:val="bottom"/>
          </w:tcPr>
          <w:p>
            <w:pPr>
              <w:spacing w:after="0"/>
              <w:rPr>
                <w:sz w:val="7"/>
                <w:szCs w:val="7"/>
                <w:color w:val="auto"/>
              </w:rPr>
            </w:pPr>
          </w:p>
        </w:tc>
        <w:tc>
          <w:tcPr>
            <w:tcW w:w="480" w:type="dxa"/>
            <w:vAlign w:val="bottom"/>
          </w:tcPr>
          <w:p>
            <w:pPr>
              <w:spacing w:after="0"/>
              <w:rPr>
                <w:sz w:val="7"/>
                <w:szCs w:val="7"/>
                <w:color w:val="auto"/>
              </w:rPr>
            </w:pPr>
          </w:p>
        </w:tc>
        <w:tc>
          <w:tcPr>
            <w:tcW w:w="200" w:type="dxa"/>
            <w:vAlign w:val="bottom"/>
          </w:tcPr>
          <w:p>
            <w:pPr>
              <w:spacing w:after="0"/>
              <w:rPr>
                <w:sz w:val="7"/>
                <w:szCs w:val="7"/>
                <w:color w:val="auto"/>
              </w:rPr>
            </w:pPr>
          </w:p>
        </w:tc>
        <w:tc>
          <w:tcPr>
            <w:tcW w:w="120" w:type="dxa"/>
            <w:vAlign w:val="bottom"/>
          </w:tcPr>
          <w:p>
            <w:pPr>
              <w:spacing w:after="0"/>
              <w:rPr>
                <w:sz w:val="7"/>
                <w:szCs w:val="7"/>
                <w:color w:val="auto"/>
              </w:rPr>
            </w:pPr>
          </w:p>
        </w:tc>
        <w:tc>
          <w:tcPr>
            <w:tcW w:w="440" w:type="dxa"/>
            <w:vAlign w:val="bottom"/>
          </w:tcPr>
          <w:p>
            <w:pPr>
              <w:spacing w:after="0"/>
              <w:rPr>
                <w:sz w:val="7"/>
                <w:szCs w:val="7"/>
                <w:color w:val="auto"/>
              </w:rPr>
            </w:pPr>
          </w:p>
        </w:tc>
        <w:tc>
          <w:tcPr>
            <w:tcW w:w="160" w:type="dxa"/>
            <w:vAlign w:val="bottom"/>
          </w:tcPr>
          <w:p>
            <w:pPr>
              <w:spacing w:after="0"/>
              <w:rPr>
                <w:sz w:val="7"/>
                <w:szCs w:val="7"/>
                <w:color w:val="auto"/>
              </w:rPr>
            </w:pPr>
          </w:p>
        </w:tc>
        <w:tc>
          <w:tcPr>
            <w:tcW w:w="340" w:type="dxa"/>
            <w:vAlign w:val="bottom"/>
          </w:tcPr>
          <w:p>
            <w:pPr>
              <w:spacing w:after="0"/>
              <w:rPr>
                <w:sz w:val="7"/>
                <w:szCs w:val="7"/>
                <w:color w:val="auto"/>
              </w:rPr>
            </w:pPr>
          </w:p>
        </w:tc>
        <w:tc>
          <w:tcPr>
            <w:tcW w:w="220" w:type="dxa"/>
            <w:vAlign w:val="bottom"/>
          </w:tcPr>
          <w:p>
            <w:pPr>
              <w:spacing w:after="0"/>
              <w:rPr>
                <w:sz w:val="7"/>
                <w:szCs w:val="7"/>
                <w:color w:val="auto"/>
              </w:rPr>
            </w:pPr>
          </w:p>
        </w:tc>
        <w:tc>
          <w:tcPr>
            <w:tcW w:w="600" w:type="dxa"/>
            <w:vAlign w:val="bottom"/>
          </w:tcPr>
          <w:p>
            <w:pPr>
              <w:spacing w:after="0"/>
              <w:rPr>
                <w:sz w:val="7"/>
                <w:szCs w:val="7"/>
                <w:color w:val="auto"/>
              </w:rPr>
            </w:pPr>
          </w:p>
        </w:tc>
        <w:tc>
          <w:tcPr>
            <w:tcW w:w="140" w:type="dxa"/>
            <w:vAlign w:val="bottom"/>
          </w:tcPr>
          <w:p>
            <w:pPr>
              <w:spacing w:after="0"/>
              <w:rPr>
                <w:sz w:val="7"/>
                <w:szCs w:val="7"/>
                <w:color w:val="auto"/>
              </w:rPr>
            </w:pPr>
          </w:p>
        </w:tc>
        <w:tc>
          <w:tcPr>
            <w:tcW w:w="340" w:type="dxa"/>
            <w:vAlign w:val="bottom"/>
          </w:tcPr>
          <w:p>
            <w:pPr>
              <w:spacing w:after="0"/>
              <w:rPr>
                <w:sz w:val="7"/>
                <w:szCs w:val="7"/>
                <w:color w:val="auto"/>
              </w:rPr>
            </w:pPr>
          </w:p>
        </w:tc>
        <w:tc>
          <w:tcPr>
            <w:tcW w:w="200" w:type="dxa"/>
            <w:vAlign w:val="bottom"/>
          </w:tcPr>
          <w:p>
            <w:pPr>
              <w:spacing w:after="0"/>
              <w:rPr>
                <w:sz w:val="7"/>
                <w:szCs w:val="7"/>
                <w:color w:val="auto"/>
              </w:rPr>
            </w:pPr>
          </w:p>
        </w:tc>
        <w:tc>
          <w:tcPr>
            <w:tcW w:w="120" w:type="dxa"/>
            <w:vAlign w:val="bottom"/>
          </w:tcPr>
          <w:p>
            <w:pPr>
              <w:spacing w:after="0"/>
              <w:rPr>
                <w:sz w:val="7"/>
                <w:szCs w:val="7"/>
                <w:color w:val="auto"/>
              </w:rPr>
            </w:pPr>
          </w:p>
        </w:tc>
        <w:tc>
          <w:tcPr>
            <w:tcW w:w="500" w:type="dxa"/>
            <w:vAlign w:val="bottom"/>
          </w:tcPr>
          <w:p>
            <w:pPr>
              <w:spacing w:after="0"/>
              <w:rPr>
                <w:sz w:val="7"/>
                <w:szCs w:val="7"/>
                <w:color w:val="auto"/>
              </w:rPr>
            </w:pPr>
          </w:p>
        </w:tc>
        <w:tc>
          <w:tcPr>
            <w:tcW w:w="160" w:type="dxa"/>
            <w:vAlign w:val="bottom"/>
          </w:tcPr>
          <w:p>
            <w:pPr>
              <w:spacing w:after="0"/>
              <w:rPr>
                <w:sz w:val="7"/>
                <w:szCs w:val="7"/>
                <w:color w:val="auto"/>
              </w:rPr>
            </w:pPr>
          </w:p>
        </w:tc>
        <w:tc>
          <w:tcPr>
            <w:tcW w:w="460" w:type="dxa"/>
            <w:vAlign w:val="bottom"/>
          </w:tcPr>
          <w:p>
            <w:pPr>
              <w:spacing w:after="0"/>
              <w:rPr>
                <w:sz w:val="7"/>
                <w:szCs w:val="7"/>
                <w:color w:val="auto"/>
              </w:rPr>
            </w:pPr>
          </w:p>
        </w:tc>
        <w:tc>
          <w:tcPr>
            <w:tcW w:w="180" w:type="dxa"/>
            <w:vAlign w:val="bottom"/>
          </w:tcPr>
          <w:p>
            <w:pPr>
              <w:spacing w:after="0"/>
              <w:rPr>
                <w:sz w:val="7"/>
                <w:szCs w:val="7"/>
                <w:color w:val="auto"/>
              </w:rPr>
            </w:pPr>
          </w:p>
        </w:tc>
        <w:tc>
          <w:tcPr>
            <w:tcW w:w="40" w:type="dxa"/>
            <w:vAlign w:val="bottom"/>
          </w:tcPr>
          <w:p>
            <w:pPr>
              <w:spacing w:after="0"/>
              <w:rPr>
                <w:sz w:val="7"/>
                <w:szCs w:val="7"/>
                <w:color w:val="auto"/>
              </w:rPr>
            </w:pPr>
          </w:p>
        </w:tc>
        <w:tc>
          <w:tcPr>
            <w:tcW w:w="100" w:type="dxa"/>
            <w:vAlign w:val="bottom"/>
          </w:tcPr>
          <w:p>
            <w:pPr>
              <w:spacing w:after="0"/>
              <w:rPr>
                <w:sz w:val="7"/>
                <w:szCs w:val="7"/>
                <w:color w:val="auto"/>
              </w:rPr>
            </w:pPr>
          </w:p>
        </w:tc>
        <w:tc>
          <w:tcPr>
            <w:tcW w:w="460" w:type="dxa"/>
            <w:vAlign w:val="bottom"/>
          </w:tcPr>
          <w:p>
            <w:pPr>
              <w:spacing w:after="0"/>
              <w:rPr>
                <w:sz w:val="7"/>
                <w:szCs w:val="7"/>
                <w:color w:val="auto"/>
              </w:rPr>
            </w:pPr>
          </w:p>
        </w:tc>
        <w:tc>
          <w:tcPr>
            <w:tcW w:w="20" w:type="dxa"/>
            <w:vAlign w:val="bottom"/>
          </w:tcPr>
          <w:p>
            <w:pPr>
              <w:spacing w:after="0"/>
              <w:rPr>
                <w:sz w:val="7"/>
                <w:szCs w:val="7"/>
                <w:color w:val="auto"/>
              </w:rPr>
            </w:pPr>
          </w:p>
        </w:tc>
      </w:tr>
    </w:tbl>
    <w:p>
      <w:pPr>
        <w:spacing w:after="0" w:line="80" w:lineRule="exact"/>
        <w:rPr>
          <w:sz w:val="20"/>
          <w:szCs w:val="20"/>
          <w:color w:val="auto"/>
        </w:rPr>
      </w:pPr>
    </w:p>
    <w:p>
      <w:pPr>
        <w:spacing w:after="0"/>
        <w:rPr>
          <w:sz w:val="20"/>
          <w:szCs w:val="20"/>
          <w:color w:val="auto"/>
        </w:rPr>
      </w:pPr>
      <w:r>
        <w:rPr>
          <w:rFonts w:ascii="Arial" w:cs="Arial" w:eastAsia="Arial" w:hAnsi="Arial"/>
          <w:sz w:val="18"/>
          <w:szCs w:val="18"/>
          <w:color w:val="auto"/>
        </w:rPr>
        <w:t>(1) Negative due to negative market performance on non-OPEB mutual funds and required regulatory investments.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Three and Six Months Ended June 30, 2022 Compared to Three and Six Months Ended June 30, 2021</w:t>
      </w:r>
    </w:p>
    <w:p>
      <w:pPr>
        <w:spacing w:after="0" w:line="225" w:lineRule="exact"/>
        <w:rPr>
          <w:sz w:val="20"/>
          <w:szCs w:val="20"/>
          <w:color w:val="auto"/>
        </w:rPr>
      </w:pPr>
    </w:p>
    <w:p>
      <w:pPr>
        <w:jc w:val="both"/>
        <w:ind w:right="280" w:firstLine="648"/>
        <w:spacing w:after="0" w:line="263" w:lineRule="auto"/>
        <w:rPr>
          <w:sz w:val="20"/>
          <w:szCs w:val="20"/>
          <w:color w:val="auto"/>
        </w:rPr>
      </w:pPr>
      <w:r>
        <w:rPr>
          <w:rFonts w:ascii="Arial" w:cs="Arial" w:eastAsia="Arial" w:hAnsi="Arial"/>
          <w:sz w:val="18"/>
          <w:szCs w:val="18"/>
          <w:color w:val="auto"/>
        </w:rPr>
        <w:t>Excluding impacts of the Reinsurance Transaction described above, net investment income increased primarily due to higher inflation-based investment returns on our Latin America average invested assets and cash as well as the sale of certain value-add real estate.</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Realized Capital Gains (Losses)</w:t>
      </w:r>
    </w:p>
    <w:p>
      <w:pPr>
        <w:spacing w:after="0" w:line="225" w:lineRule="exact"/>
        <w:rPr>
          <w:sz w:val="20"/>
          <w:szCs w:val="20"/>
          <w:color w:val="auto"/>
        </w:rPr>
      </w:pPr>
    </w:p>
    <w:p>
      <w:pPr>
        <w:ind w:right="100" w:firstLine="648"/>
        <w:spacing w:after="0" w:line="263" w:lineRule="auto"/>
        <w:rPr>
          <w:sz w:val="20"/>
          <w:szCs w:val="20"/>
          <w:color w:val="auto"/>
        </w:rPr>
      </w:pPr>
      <w:r>
        <w:rPr>
          <w:rFonts w:ascii="Arial" w:cs="Arial" w:eastAsia="Arial" w:hAnsi="Arial"/>
          <w:sz w:val="18"/>
          <w:szCs w:val="18"/>
          <w:color w:val="auto"/>
        </w:rPr>
        <w:t>The following table presents the contributors to net realized capital gains and losses for the periods indicated. The amounts below do not include net realized capital gains (losses) on funds withheld assets that are not passed to the reinsurer, which are separately reported on the consolidated statements of operations.</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48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660" w:type="dxa"/>
            <w:vAlign w:val="bottom"/>
            <w:gridSpan w:val="8"/>
          </w:tcPr>
          <w:p>
            <w:pPr>
              <w:jc w:val="right"/>
              <w:ind w:right="380"/>
              <w:spacing w:after="0"/>
              <w:rPr>
                <w:sz w:val="20"/>
                <w:szCs w:val="20"/>
                <w:color w:val="auto"/>
              </w:rPr>
            </w:pPr>
            <w:r>
              <w:rPr>
                <w:rFonts w:ascii="Arial" w:cs="Arial" w:eastAsia="Arial" w:hAnsi="Arial"/>
                <w:sz w:val="14"/>
                <w:szCs w:val="14"/>
                <w:b w:val="1"/>
                <w:bCs w:val="1"/>
                <w:color w:val="auto"/>
                <w:w w:val="92"/>
              </w:rPr>
              <w:t>For the three months ended June 30,</w:t>
            </w:r>
          </w:p>
        </w:tc>
        <w:tc>
          <w:tcPr>
            <w:tcW w:w="180" w:type="dxa"/>
            <w:vAlign w:val="bottom"/>
          </w:tcPr>
          <w:p>
            <w:pPr>
              <w:spacing w:after="0"/>
              <w:rPr>
                <w:sz w:val="14"/>
                <w:szCs w:val="14"/>
                <w:color w:val="auto"/>
              </w:rPr>
            </w:pPr>
          </w:p>
        </w:tc>
        <w:tc>
          <w:tcPr>
            <w:tcW w:w="2820" w:type="dxa"/>
            <w:vAlign w:val="bottom"/>
            <w:gridSpan w:val="8"/>
          </w:tcPr>
          <w:p>
            <w:pPr>
              <w:ind w:left="240"/>
              <w:spacing w:after="0"/>
              <w:rPr>
                <w:sz w:val="20"/>
                <w:szCs w:val="20"/>
                <w:color w:val="auto"/>
              </w:rPr>
            </w:pPr>
            <w:r>
              <w:rPr>
                <w:rFonts w:ascii="Arial" w:cs="Arial" w:eastAsia="Arial" w:hAnsi="Arial"/>
                <w:sz w:val="14"/>
                <w:szCs w:val="14"/>
                <w:b w:val="1"/>
                <w:bCs w:val="1"/>
                <w:color w:val="auto"/>
              </w:rPr>
              <w:t>For the six months ended June 30,</w:t>
            </w:r>
          </w:p>
        </w:tc>
        <w:tc>
          <w:tcPr>
            <w:tcW w:w="0" w:type="dxa"/>
            <w:vAlign w:val="bottom"/>
          </w:tcPr>
          <w:p>
            <w:pPr>
              <w:spacing w:after="0"/>
              <w:rPr>
                <w:sz w:val="1"/>
                <w:szCs w:val="1"/>
                <w:color w:val="auto"/>
              </w:rPr>
            </w:pPr>
          </w:p>
        </w:tc>
      </w:tr>
      <w:tr>
        <w:trPr>
          <w:trHeight w:val="119"/>
        </w:trPr>
        <w:tc>
          <w:tcPr>
            <w:tcW w:w="2480" w:type="dxa"/>
            <w:vAlign w:val="bottom"/>
          </w:tcPr>
          <w:p>
            <w:pPr>
              <w:spacing w:after="0"/>
              <w:rPr>
                <w:sz w:val="10"/>
                <w:szCs w:val="10"/>
                <w:color w:val="auto"/>
              </w:rPr>
            </w:pPr>
          </w:p>
        </w:tc>
        <w:tc>
          <w:tcPr>
            <w:tcW w:w="1680" w:type="dxa"/>
            <w:vAlign w:val="bottom"/>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620" w:type="dxa"/>
            <w:vAlign w:val="bottom"/>
            <w:tcBorders>
              <w:top w:val="single" w:sz="8" w:color="auto"/>
            </w:tcBorders>
            <w:vMerge w:val="restart"/>
          </w:tcPr>
          <w:p>
            <w:pPr>
              <w:jc w:val="right"/>
              <w:ind w:right="134"/>
              <w:spacing w:after="0"/>
              <w:rPr>
                <w:sz w:val="20"/>
                <w:szCs w:val="20"/>
                <w:color w:val="auto"/>
              </w:rPr>
            </w:pPr>
            <w:r>
              <w:rPr>
                <w:rFonts w:ascii="Arial" w:cs="Arial" w:eastAsia="Arial" w:hAnsi="Arial"/>
                <w:sz w:val="14"/>
                <w:szCs w:val="14"/>
                <w:b w:val="1"/>
                <w:bCs w:val="1"/>
                <w:color w:val="auto"/>
              </w:rPr>
              <w:t>2022</w:t>
            </w:r>
          </w:p>
        </w:tc>
        <w:tc>
          <w:tcPr>
            <w:tcW w:w="180" w:type="dxa"/>
            <w:vAlign w:val="bottom"/>
            <w:tcBorders>
              <w:top w:val="single" w:sz="8" w:color="auto"/>
            </w:tcBorders>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580" w:type="dxa"/>
            <w:vAlign w:val="bottom"/>
            <w:tcBorders>
              <w:top w:val="single" w:sz="8" w:color="auto"/>
            </w:tcBorders>
            <w:vMerge w:val="restart"/>
          </w:tcPr>
          <w:p>
            <w:pPr>
              <w:jc w:val="right"/>
              <w:ind w:right="132"/>
              <w:spacing w:after="0"/>
              <w:rPr>
                <w:sz w:val="20"/>
                <w:szCs w:val="20"/>
                <w:color w:val="auto"/>
              </w:rPr>
            </w:pPr>
            <w:r>
              <w:rPr>
                <w:rFonts w:ascii="Arial" w:cs="Arial" w:eastAsia="Arial" w:hAnsi="Arial"/>
                <w:sz w:val="14"/>
                <w:szCs w:val="14"/>
                <w:b w:val="1"/>
                <w:bCs w:val="1"/>
                <w:color w:val="auto"/>
              </w:rPr>
              <w:t>2021</w:t>
            </w:r>
          </w:p>
        </w:tc>
        <w:tc>
          <w:tcPr>
            <w:tcW w:w="160" w:type="dxa"/>
            <w:vAlign w:val="bottom"/>
            <w:tcBorders>
              <w:top w:val="single" w:sz="8" w:color="auto"/>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640" w:type="dxa"/>
            <w:vAlign w:val="bottom"/>
            <w:tcBorders>
              <w:top w:val="single" w:sz="8" w:color="auto"/>
            </w:tcBorders>
          </w:tcPr>
          <w:p>
            <w:pPr>
              <w:jc w:val="right"/>
              <w:ind w:right="35"/>
              <w:spacing w:after="0" w:line="119" w:lineRule="exact"/>
              <w:rPr>
                <w:sz w:val="20"/>
                <w:szCs w:val="20"/>
                <w:color w:val="auto"/>
              </w:rPr>
            </w:pPr>
            <w:r>
              <w:rPr>
                <w:rFonts w:ascii="Arial" w:cs="Arial" w:eastAsia="Arial" w:hAnsi="Arial"/>
                <w:sz w:val="13"/>
                <w:szCs w:val="13"/>
                <w:b w:val="1"/>
                <w:bCs w:val="1"/>
                <w:color w:val="auto"/>
                <w:w w:val="94"/>
              </w:rPr>
              <w:t>Increase</w:t>
            </w:r>
          </w:p>
        </w:tc>
        <w:tc>
          <w:tcPr>
            <w:tcW w:w="200" w:type="dxa"/>
            <w:vAlign w:val="bottom"/>
          </w:tcPr>
          <w:p>
            <w:pPr>
              <w:spacing w:after="0"/>
              <w:rPr>
                <w:sz w:val="10"/>
                <w:szCs w:val="10"/>
                <w:color w:val="auto"/>
              </w:rPr>
            </w:pPr>
          </w:p>
        </w:tc>
        <w:tc>
          <w:tcPr>
            <w:tcW w:w="180" w:type="dxa"/>
            <w:vAlign w:val="bottom"/>
            <w:tcBorders>
              <w:top w:val="single" w:sz="8" w:color="auto"/>
            </w:tcBorders>
          </w:tcPr>
          <w:p>
            <w:pPr>
              <w:spacing w:after="0"/>
              <w:rPr>
                <w:sz w:val="10"/>
                <w:szCs w:val="10"/>
                <w:color w:val="auto"/>
              </w:rPr>
            </w:pPr>
          </w:p>
        </w:tc>
        <w:tc>
          <w:tcPr>
            <w:tcW w:w="680" w:type="dxa"/>
            <w:vAlign w:val="bottom"/>
            <w:tcBorders>
              <w:top w:val="single" w:sz="8" w:color="auto"/>
            </w:tcBorders>
            <w:vMerge w:val="restart"/>
          </w:tcPr>
          <w:p>
            <w:pPr>
              <w:jc w:val="right"/>
              <w:ind w:right="194"/>
              <w:spacing w:after="0"/>
              <w:rPr>
                <w:sz w:val="20"/>
                <w:szCs w:val="20"/>
                <w:color w:val="auto"/>
              </w:rPr>
            </w:pPr>
            <w:r>
              <w:rPr>
                <w:rFonts w:ascii="Arial" w:cs="Arial" w:eastAsia="Arial" w:hAnsi="Arial"/>
                <w:sz w:val="14"/>
                <w:szCs w:val="14"/>
                <w:b w:val="1"/>
                <w:bCs w:val="1"/>
                <w:color w:val="auto"/>
              </w:rPr>
              <w:t>2022</w:t>
            </w:r>
          </w:p>
        </w:tc>
        <w:tc>
          <w:tcPr>
            <w:tcW w:w="180" w:type="dxa"/>
            <w:vAlign w:val="bottom"/>
            <w:tcBorders>
              <w:top w:val="single" w:sz="8" w:color="auto"/>
            </w:tcBorders>
          </w:tcPr>
          <w:p>
            <w:pPr>
              <w:spacing w:after="0"/>
              <w:rPr>
                <w:sz w:val="10"/>
                <w:szCs w:val="10"/>
                <w:color w:val="auto"/>
              </w:rPr>
            </w:pPr>
          </w:p>
        </w:tc>
        <w:tc>
          <w:tcPr>
            <w:tcW w:w="200" w:type="dxa"/>
            <w:vAlign w:val="bottom"/>
            <w:tcBorders>
              <w:top w:val="single" w:sz="8" w:color="auto"/>
            </w:tcBorders>
          </w:tcPr>
          <w:p>
            <w:pPr>
              <w:spacing w:after="0"/>
              <w:rPr>
                <w:sz w:val="10"/>
                <w:szCs w:val="10"/>
                <w:color w:val="auto"/>
              </w:rPr>
            </w:pPr>
          </w:p>
        </w:tc>
        <w:tc>
          <w:tcPr>
            <w:tcW w:w="680" w:type="dxa"/>
            <w:vAlign w:val="bottom"/>
            <w:tcBorders>
              <w:top w:val="single" w:sz="8" w:color="auto"/>
            </w:tcBorders>
            <w:vMerge w:val="restart"/>
          </w:tcPr>
          <w:p>
            <w:pPr>
              <w:jc w:val="right"/>
              <w:ind w:right="212"/>
              <w:spacing w:after="0"/>
              <w:rPr>
                <w:sz w:val="20"/>
                <w:szCs w:val="20"/>
                <w:color w:val="auto"/>
              </w:rPr>
            </w:pPr>
            <w:r>
              <w:rPr>
                <w:rFonts w:ascii="Arial" w:cs="Arial" w:eastAsia="Arial" w:hAnsi="Arial"/>
                <w:sz w:val="14"/>
                <w:szCs w:val="14"/>
                <w:b w:val="1"/>
                <w:bCs w:val="1"/>
                <w:color w:val="auto"/>
              </w:rPr>
              <w:t>2021</w:t>
            </w:r>
          </w:p>
        </w:tc>
        <w:tc>
          <w:tcPr>
            <w:tcW w:w="180" w:type="dxa"/>
            <w:vAlign w:val="bottom"/>
            <w:tcBorders>
              <w:top w:val="single" w:sz="8" w:color="auto"/>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760" w:type="dxa"/>
            <w:vAlign w:val="bottom"/>
            <w:tcBorders>
              <w:top w:val="single" w:sz="8" w:color="auto"/>
            </w:tcBorders>
          </w:tcPr>
          <w:p>
            <w:pPr>
              <w:jc w:val="right"/>
              <w:ind w:right="95"/>
              <w:spacing w:after="0" w:line="119" w:lineRule="exact"/>
              <w:rPr>
                <w:sz w:val="20"/>
                <w:szCs w:val="20"/>
                <w:color w:val="auto"/>
              </w:rPr>
            </w:pPr>
            <w:r>
              <w:rPr>
                <w:rFonts w:ascii="Arial" w:cs="Arial" w:eastAsia="Arial" w:hAnsi="Arial"/>
                <w:sz w:val="13"/>
                <w:szCs w:val="13"/>
                <w:b w:val="1"/>
                <w:bCs w:val="1"/>
                <w:color w:val="auto"/>
              </w:rPr>
              <w:t>Increase</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248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vMerge w:val="continue"/>
          </w:tcPr>
          <w:p>
            <w:pPr>
              <w:spacing w:after="0"/>
              <w:rPr>
                <w:sz w:val="14"/>
                <w:szCs w:val="14"/>
                <w:color w:val="auto"/>
              </w:rPr>
            </w:pPr>
          </w:p>
        </w:tc>
        <w:tc>
          <w:tcPr>
            <w:tcW w:w="18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vMerge w:val="continue"/>
          </w:tcPr>
          <w:p>
            <w:pPr>
              <w:spacing w:after="0"/>
              <w:rPr>
                <w:sz w:val="14"/>
                <w:szCs w:val="14"/>
                <w:color w:val="auto"/>
              </w:rPr>
            </w:pPr>
          </w:p>
        </w:tc>
        <w:tc>
          <w:tcPr>
            <w:tcW w:w="160" w:type="dxa"/>
            <w:vAlign w:val="bottom"/>
          </w:tcPr>
          <w:p>
            <w:pPr>
              <w:spacing w:after="0"/>
              <w:rPr>
                <w:sz w:val="14"/>
                <w:szCs w:val="14"/>
                <w:color w:val="auto"/>
              </w:rPr>
            </w:pPr>
          </w:p>
        </w:tc>
        <w:tc>
          <w:tcPr>
            <w:tcW w:w="76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7"/>
              </w:rPr>
              <w:t>(decrease)</w:t>
            </w:r>
          </w:p>
        </w:tc>
        <w:tc>
          <w:tcPr>
            <w:tcW w:w="20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vMerge w:val="continue"/>
          </w:tcPr>
          <w:p>
            <w:pPr>
              <w:spacing w:after="0"/>
              <w:rPr>
                <w:sz w:val="14"/>
                <w:szCs w:val="14"/>
                <w:color w:val="auto"/>
              </w:rPr>
            </w:pPr>
          </w:p>
        </w:tc>
        <w:tc>
          <w:tcPr>
            <w:tcW w:w="18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vMerge w:val="continue"/>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55"/>
              <w:spacing w:after="0"/>
              <w:rPr>
                <w:sz w:val="20"/>
                <w:szCs w:val="20"/>
                <w:color w:val="auto"/>
              </w:rPr>
            </w:pPr>
            <w:r>
              <w:rPr>
                <w:rFonts w:ascii="Arial" w:cs="Arial" w:eastAsia="Arial" w:hAnsi="Arial"/>
                <w:sz w:val="14"/>
                <w:szCs w:val="14"/>
                <w:b w:val="1"/>
                <w:bCs w:val="1"/>
                <w:color w:val="auto"/>
                <w:w w:val="85"/>
              </w:rPr>
              <w:t>(decrease)</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480" w:type="dxa"/>
            <w:vAlign w:val="bottom"/>
          </w:tcPr>
          <w:p>
            <w:pPr>
              <w:spacing w:after="0"/>
              <w:rPr>
                <w:sz w:val="11"/>
                <w:szCs w:val="11"/>
                <w:color w:val="auto"/>
              </w:rPr>
            </w:pPr>
          </w:p>
        </w:tc>
        <w:tc>
          <w:tcPr>
            <w:tcW w:w="16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40" w:type="dxa"/>
            <w:vAlign w:val="bottom"/>
            <w:gridSpan w:val="2"/>
          </w:tcPr>
          <w:p>
            <w:pPr>
              <w:jc w:val="right"/>
              <w:ind w:right="100"/>
              <w:spacing w:after="0" w:line="129" w:lineRule="exact"/>
              <w:rPr>
                <w:sz w:val="20"/>
                <w:szCs w:val="20"/>
                <w:color w:val="auto"/>
              </w:rPr>
            </w:pPr>
            <w:r>
              <w:rPr>
                <w:rFonts w:ascii="Arial" w:cs="Arial" w:eastAsia="Arial" w:hAnsi="Arial"/>
                <w:sz w:val="14"/>
                <w:szCs w:val="14"/>
                <w:i w:val="1"/>
                <w:iCs w:val="1"/>
                <w:color w:val="auto"/>
              </w:rPr>
              <w:t>(in</w:t>
            </w:r>
          </w:p>
        </w:tc>
        <w:tc>
          <w:tcPr>
            <w:tcW w:w="860" w:type="dxa"/>
            <w:vAlign w:val="bottom"/>
            <w:gridSpan w:val="2"/>
          </w:tcPr>
          <w:p>
            <w:pPr>
              <w:spacing w:after="0" w:line="129" w:lineRule="exact"/>
              <w:rPr>
                <w:sz w:val="20"/>
                <w:szCs w:val="20"/>
                <w:color w:val="auto"/>
              </w:rPr>
            </w:pPr>
            <w:r>
              <w:rPr>
                <w:rFonts w:ascii="Arial" w:cs="Arial" w:eastAsia="Arial" w:hAnsi="Arial"/>
                <w:sz w:val="14"/>
                <w:szCs w:val="14"/>
                <w:i w:val="1"/>
                <w:iCs w:val="1"/>
                <w:color w:val="auto"/>
              </w:rPr>
              <w:t>millions)</w:t>
            </w:r>
          </w:p>
        </w:tc>
        <w:tc>
          <w:tcPr>
            <w:tcW w:w="1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02"/>
        </w:trPr>
        <w:tc>
          <w:tcPr>
            <w:tcW w:w="416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rPr>
              <w:t>Fixed maturities, available-for-sale – credit losses,</w:t>
            </w: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80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(16.7)</w:t>
            </w:r>
          </w:p>
        </w:tc>
        <w:tc>
          <w:tcPr>
            <w:tcW w:w="16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80" w:type="dxa"/>
            <w:vAlign w:val="bottom"/>
            <w:vMerge w:val="restart"/>
            <w:shd w:val="clear" w:color="auto" w:fill="CCEEFF"/>
          </w:tcPr>
          <w:p>
            <w:pPr>
              <w:spacing w:after="0"/>
              <w:rPr>
                <w:sz w:val="20"/>
                <w:szCs w:val="20"/>
                <w:color w:val="auto"/>
              </w:rPr>
            </w:pPr>
            <w:r>
              <w:rPr>
                <w:rFonts w:ascii="Arial" w:cs="Arial" w:eastAsia="Arial" w:hAnsi="Arial"/>
                <w:sz w:val="18"/>
                <w:szCs w:val="18"/>
                <w:b w:val="1"/>
                <w:bCs w:val="1"/>
                <w:color w:val="auto"/>
              </w:rPr>
              <w:t>$</w:t>
            </w:r>
          </w:p>
        </w:tc>
        <w:tc>
          <w:tcPr>
            <w:tcW w:w="860" w:type="dxa"/>
            <w:vAlign w:val="bottom"/>
            <w:gridSpan w:val="2"/>
            <w:vMerge w:val="restart"/>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(22.8)</w:t>
            </w:r>
          </w:p>
        </w:tc>
        <w:tc>
          <w:tcPr>
            <w:tcW w:w="2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416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including credit sales (1)</w:t>
            </w:r>
          </w:p>
        </w:tc>
        <w:tc>
          <w:tcPr>
            <w:tcW w:w="120" w:type="dxa"/>
            <w:vAlign w:val="bottom"/>
            <w:vMerge w:val="continue"/>
            <w:shd w:val="clear" w:color="auto" w:fill="CCEEFF"/>
          </w:tcPr>
          <w:p>
            <w:pPr>
              <w:spacing w:after="0"/>
              <w:rPr>
                <w:sz w:val="20"/>
                <w:szCs w:val="20"/>
                <w:color w:val="auto"/>
              </w:rPr>
            </w:pPr>
          </w:p>
        </w:tc>
        <w:tc>
          <w:tcPr>
            <w:tcW w:w="800" w:type="dxa"/>
            <w:vAlign w:val="bottom"/>
            <w:gridSpan w:val="2"/>
            <w:vMerge w:val="continue"/>
            <w:shd w:val="clear" w:color="auto" w:fill="CCEEFF"/>
          </w:tcPr>
          <w:p>
            <w:pPr>
              <w:spacing w:after="0"/>
              <w:rPr>
                <w:sz w:val="20"/>
                <w:szCs w:val="20"/>
                <w:color w:val="auto"/>
              </w:rPr>
            </w:pPr>
          </w:p>
        </w:tc>
        <w:tc>
          <w:tcPr>
            <w:tcW w:w="16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w w:val="71"/>
              </w:rPr>
              <w:t>$</w:t>
            </w: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(13.4)</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(3.3)</w:t>
            </w:r>
          </w:p>
        </w:tc>
        <w:tc>
          <w:tcPr>
            <w:tcW w:w="180" w:type="dxa"/>
            <w:vAlign w:val="bottom"/>
            <w:vMerge w:val="continue"/>
            <w:shd w:val="clear" w:color="auto" w:fill="CCEEFF"/>
          </w:tcPr>
          <w:p>
            <w:pPr>
              <w:spacing w:after="0"/>
              <w:rPr>
                <w:sz w:val="20"/>
                <w:szCs w:val="20"/>
                <w:color w:val="auto"/>
              </w:rPr>
            </w:pPr>
          </w:p>
        </w:tc>
        <w:tc>
          <w:tcPr>
            <w:tcW w:w="860" w:type="dxa"/>
            <w:vAlign w:val="bottom"/>
            <w:gridSpan w:val="2"/>
            <w:vMerge w:val="continue"/>
            <w:shd w:val="clear" w:color="auto" w:fill="CCEEFF"/>
          </w:tcPr>
          <w:p>
            <w:pPr>
              <w:spacing w:after="0"/>
              <w:rPr>
                <w:sz w:val="20"/>
                <w:szCs w:val="20"/>
                <w:color w:val="auto"/>
              </w:rPr>
            </w:pP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8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(18.0)</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4160" w:type="dxa"/>
            <w:vAlign w:val="bottom"/>
            <w:gridSpan w:val="2"/>
          </w:tcPr>
          <w:p>
            <w:pPr>
              <w:spacing w:after="0"/>
              <w:rPr>
                <w:sz w:val="20"/>
                <w:szCs w:val="20"/>
                <w:color w:val="auto"/>
              </w:rPr>
            </w:pPr>
            <w:r>
              <w:rPr>
                <w:rFonts w:ascii="Arial" w:cs="Arial" w:eastAsia="Arial" w:hAnsi="Arial"/>
                <w:sz w:val="18"/>
                <w:szCs w:val="18"/>
                <w:color w:val="auto"/>
              </w:rPr>
              <w:t>Commercial mortgage loans – credit gains (losses)</w:t>
            </w: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(1.5)</w:t>
            </w:r>
          </w:p>
        </w:tc>
        <w:tc>
          <w:tcPr>
            <w:tcW w:w="16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5.6</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gridSpan w:val="2"/>
          </w:tcPr>
          <w:p>
            <w:pPr>
              <w:jc w:val="right"/>
              <w:ind w:right="200"/>
              <w:spacing w:after="0"/>
              <w:rPr>
                <w:sz w:val="20"/>
                <w:szCs w:val="20"/>
                <w:color w:val="auto"/>
              </w:rPr>
            </w:pPr>
            <w:r>
              <w:rPr>
                <w:rFonts w:ascii="Arial" w:cs="Arial" w:eastAsia="Arial" w:hAnsi="Arial"/>
                <w:sz w:val="18"/>
                <w:szCs w:val="18"/>
                <w:color w:val="auto"/>
              </w:rPr>
              <w:t>(7.1)</w:t>
            </w:r>
          </w:p>
        </w:tc>
        <w:tc>
          <w:tcPr>
            <w:tcW w:w="180" w:type="dxa"/>
            <w:vAlign w:val="bottom"/>
          </w:tcPr>
          <w:p>
            <w:pPr>
              <w:spacing w:after="0"/>
              <w:rPr>
                <w:sz w:val="18"/>
                <w:szCs w:val="18"/>
                <w:color w:val="auto"/>
              </w:rPr>
            </w:pPr>
          </w:p>
        </w:tc>
        <w:tc>
          <w:tcPr>
            <w:tcW w:w="86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(21.7)</w:t>
            </w:r>
          </w:p>
        </w:tc>
        <w:tc>
          <w:tcPr>
            <w:tcW w:w="2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6.5</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(28.2)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 – credit gains (losses)</w:t>
            </w:r>
          </w:p>
        </w:tc>
        <w:tc>
          <w:tcPr>
            <w:tcW w:w="12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1.2</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(0.1)</w:t>
            </w: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1.8</w:t>
            </w: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4160" w:type="dxa"/>
            <w:vAlign w:val="bottom"/>
            <w:gridSpan w:val="2"/>
          </w:tcPr>
          <w:p>
            <w:pPr>
              <w:spacing w:after="0" w:line="201" w:lineRule="exact"/>
              <w:rPr>
                <w:sz w:val="20"/>
                <w:szCs w:val="20"/>
                <w:color w:val="auto"/>
              </w:rPr>
            </w:pPr>
            <w:r>
              <w:rPr>
                <w:rFonts w:ascii="Arial" w:cs="Arial" w:eastAsia="Arial" w:hAnsi="Arial"/>
                <w:sz w:val="18"/>
                <w:szCs w:val="18"/>
                <w:color w:val="auto"/>
              </w:rPr>
              <w:t>Fixed maturities, available-for-sale and trading –</w:t>
            </w:r>
          </w:p>
        </w:tc>
        <w:tc>
          <w:tcPr>
            <w:tcW w:w="120" w:type="dxa"/>
            <w:vAlign w:val="bottom"/>
          </w:tcPr>
          <w:p>
            <w:pPr>
              <w:spacing w:after="0"/>
              <w:rPr>
                <w:sz w:val="17"/>
                <w:szCs w:val="17"/>
                <w:color w:val="auto"/>
              </w:rPr>
            </w:pPr>
          </w:p>
        </w:tc>
        <w:tc>
          <w:tcPr>
            <w:tcW w:w="800" w:type="dxa"/>
            <w:vAlign w:val="bottom"/>
            <w:gridSpan w:val="2"/>
            <w:vMerge w:val="restart"/>
          </w:tcPr>
          <w:p>
            <w:pPr>
              <w:jc w:val="right"/>
              <w:ind w:right="160"/>
              <w:spacing w:after="0"/>
              <w:rPr>
                <w:sz w:val="20"/>
                <w:szCs w:val="20"/>
                <w:color w:val="auto"/>
              </w:rPr>
            </w:pPr>
            <w:r>
              <w:rPr>
                <w:rFonts w:ascii="Arial" w:cs="Arial" w:eastAsia="Arial" w:hAnsi="Arial"/>
                <w:sz w:val="18"/>
                <w:szCs w:val="18"/>
                <w:b w:val="1"/>
                <w:bCs w:val="1"/>
                <w:color w:val="auto"/>
              </w:rPr>
              <w:t>(142.2)</w:t>
            </w:r>
          </w:p>
        </w:tc>
        <w:tc>
          <w:tcPr>
            <w:tcW w:w="1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60" w:type="dxa"/>
            <w:vAlign w:val="bottom"/>
            <w:gridSpan w:val="2"/>
            <w:vMerge w:val="restart"/>
          </w:tcPr>
          <w:p>
            <w:pPr>
              <w:jc w:val="right"/>
              <w:ind w:right="180"/>
              <w:spacing w:after="0"/>
              <w:rPr>
                <w:sz w:val="20"/>
                <w:szCs w:val="20"/>
                <w:color w:val="auto"/>
              </w:rPr>
            </w:pPr>
            <w:r>
              <w:rPr>
                <w:rFonts w:ascii="Arial" w:cs="Arial" w:eastAsia="Arial" w:hAnsi="Arial"/>
                <w:sz w:val="18"/>
                <w:szCs w:val="18"/>
                <w:b w:val="1"/>
                <w:bCs w:val="1"/>
                <w:color w:val="auto"/>
              </w:rPr>
              <w:t>(103.4)</w:t>
            </w:r>
          </w:p>
        </w:tc>
        <w:tc>
          <w:tcPr>
            <w:tcW w:w="2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4160" w:type="dxa"/>
            <w:vAlign w:val="bottom"/>
            <w:gridSpan w:val="2"/>
          </w:tcPr>
          <w:p>
            <w:pPr>
              <w:ind w:left="140"/>
              <w:spacing w:after="0"/>
              <w:rPr>
                <w:sz w:val="20"/>
                <w:szCs w:val="20"/>
                <w:color w:val="auto"/>
              </w:rPr>
            </w:pPr>
            <w:r>
              <w:rPr>
                <w:rFonts w:ascii="Arial" w:cs="Arial" w:eastAsia="Arial" w:hAnsi="Arial"/>
                <w:sz w:val="18"/>
                <w:szCs w:val="18"/>
                <w:color w:val="auto"/>
              </w:rPr>
              <w:t>noncredit</w:t>
            </w:r>
          </w:p>
        </w:tc>
        <w:tc>
          <w:tcPr>
            <w:tcW w:w="120" w:type="dxa"/>
            <w:vAlign w:val="bottom"/>
          </w:tcPr>
          <w:p>
            <w:pPr>
              <w:spacing w:after="0"/>
              <w:rPr>
                <w:sz w:val="20"/>
                <w:szCs w:val="20"/>
                <w:color w:val="auto"/>
              </w:rPr>
            </w:pPr>
          </w:p>
        </w:tc>
        <w:tc>
          <w:tcPr>
            <w:tcW w:w="800" w:type="dxa"/>
            <w:vAlign w:val="bottom"/>
            <w:gridSpan w:val="2"/>
            <w:vMerge w:val="continue"/>
          </w:tcPr>
          <w:p>
            <w:pPr>
              <w:spacing w:after="0"/>
              <w:rPr>
                <w:sz w:val="20"/>
                <w:szCs w:val="20"/>
                <w:color w:val="auto"/>
              </w:rPr>
            </w:pPr>
          </w:p>
        </w:tc>
        <w:tc>
          <w:tcPr>
            <w:tcW w:w="160" w:type="dxa"/>
            <w:vAlign w:val="bottom"/>
          </w:tcPr>
          <w:p>
            <w:pPr>
              <w:spacing w:after="0"/>
              <w:rPr>
                <w:sz w:val="20"/>
                <w:szCs w:val="20"/>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8"/>
                <w:szCs w:val="18"/>
                <w:color w:val="auto"/>
              </w:rPr>
              <w:t>(23.5)</w:t>
            </w:r>
          </w:p>
        </w:tc>
        <w:tc>
          <w:tcPr>
            <w:tcW w:w="120" w:type="dxa"/>
            <w:vAlign w:val="bottom"/>
          </w:tcPr>
          <w:p>
            <w:pPr>
              <w:spacing w:after="0"/>
              <w:rPr>
                <w:sz w:val="20"/>
                <w:szCs w:val="20"/>
                <w:color w:val="auto"/>
              </w:rPr>
            </w:pPr>
          </w:p>
        </w:tc>
        <w:tc>
          <w:tcPr>
            <w:tcW w:w="840" w:type="dxa"/>
            <w:vAlign w:val="bottom"/>
            <w:gridSpan w:val="2"/>
          </w:tcPr>
          <w:p>
            <w:pPr>
              <w:jc w:val="right"/>
              <w:ind w:right="200"/>
              <w:spacing w:after="0"/>
              <w:rPr>
                <w:sz w:val="20"/>
                <w:szCs w:val="20"/>
                <w:color w:val="auto"/>
              </w:rPr>
            </w:pPr>
            <w:r>
              <w:rPr>
                <w:rFonts w:ascii="Arial" w:cs="Arial" w:eastAsia="Arial" w:hAnsi="Arial"/>
                <w:sz w:val="18"/>
                <w:szCs w:val="18"/>
                <w:color w:val="auto"/>
              </w:rPr>
              <w:t>(118.7)</w:t>
            </w:r>
          </w:p>
        </w:tc>
        <w:tc>
          <w:tcPr>
            <w:tcW w:w="180" w:type="dxa"/>
            <w:vAlign w:val="bottom"/>
          </w:tcPr>
          <w:p>
            <w:pPr>
              <w:spacing w:after="0"/>
              <w:rPr>
                <w:sz w:val="20"/>
                <w:szCs w:val="20"/>
                <w:color w:val="auto"/>
              </w:rPr>
            </w:pPr>
          </w:p>
        </w:tc>
        <w:tc>
          <w:tcPr>
            <w:tcW w:w="860" w:type="dxa"/>
            <w:vAlign w:val="bottom"/>
            <w:gridSpan w:val="2"/>
            <w:vMerge w:val="continue"/>
          </w:tcPr>
          <w:p>
            <w:pPr>
              <w:spacing w:after="0"/>
              <w:rPr>
                <w:sz w:val="20"/>
                <w:szCs w:val="20"/>
                <w:color w:val="auto"/>
              </w:rPr>
            </w:pPr>
          </w:p>
        </w:tc>
        <w:tc>
          <w:tcPr>
            <w:tcW w:w="200" w:type="dxa"/>
            <w:vAlign w:val="bottom"/>
          </w:tcPr>
          <w:p>
            <w:pPr>
              <w:spacing w:after="0"/>
              <w:rPr>
                <w:sz w:val="20"/>
                <w:szCs w:val="20"/>
                <w:color w:val="auto"/>
              </w:rPr>
            </w:pPr>
          </w:p>
        </w:tc>
        <w:tc>
          <w:tcPr>
            <w:tcW w:w="860" w:type="dxa"/>
            <w:vAlign w:val="bottom"/>
            <w:gridSpan w:val="2"/>
          </w:tcPr>
          <w:p>
            <w:pPr>
              <w:jc w:val="right"/>
              <w:ind w:right="180"/>
              <w:spacing w:after="0"/>
              <w:rPr>
                <w:sz w:val="20"/>
                <w:szCs w:val="20"/>
                <w:color w:val="auto"/>
              </w:rPr>
            </w:pPr>
            <w:r>
              <w:rPr>
                <w:rFonts w:ascii="Arial" w:cs="Arial" w:eastAsia="Arial" w:hAnsi="Arial"/>
                <w:sz w:val="18"/>
                <w:szCs w:val="18"/>
                <w:color w:val="auto"/>
              </w:rPr>
              <w:t>(1.9)</w:t>
            </w:r>
          </w:p>
        </w:tc>
        <w:tc>
          <w:tcPr>
            <w:tcW w:w="120" w:type="dxa"/>
            <w:vAlign w:val="bottom"/>
          </w:tcPr>
          <w:p>
            <w:pPr>
              <w:spacing w:after="0"/>
              <w:rPr>
                <w:sz w:val="20"/>
                <w:szCs w:val="20"/>
                <w:color w:val="auto"/>
              </w:rPr>
            </w:pPr>
          </w:p>
        </w:tc>
        <w:tc>
          <w:tcPr>
            <w:tcW w:w="780" w:type="dxa"/>
            <w:vAlign w:val="bottom"/>
            <w:gridSpan w:val="2"/>
          </w:tcPr>
          <w:p>
            <w:pPr>
              <w:jc w:val="right"/>
              <w:ind w:right="20"/>
              <w:spacing w:after="0"/>
              <w:rPr>
                <w:sz w:val="20"/>
                <w:szCs w:val="20"/>
                <w:color w:val="auto"/>
              </w:rPr>
            </w:pPr>
            <w:r>
              <w:rPr>
                <w:rFonts w:ascii="Arial" w:cs="Arial" w:eastAsia="Arial" w:hAnsi="Arial"/>
                <w:sz w:val="18"/>
                <w:szCs w:val="18"/>
                <w:color w:val="auto"/>
              </w:rPr>
              <w:t>(101.5)</w:t>
            </w:r>
          </w:p>
        </w:tc>
        <w:tc>
          <w:tcPr>
            <w:tcW w:w="0" w:type="dxa"/>
            <w:vAlign w:val="bottom"/>
          </w:tcPr>
          <w:p>
            <w:pPr>
              <w:spacing w:after="0"/>
              <w:rPr>
                <w:sz w:val="1"/>
                <w:szCs w:val="1"/>
                <w:color w:val="auto"/>
              </w:rPr>
            </w:pPr>
          </w:p>
        </w:tc>
      </w:tr>
      <w:tr>
        <w:trPr>
          <w:trHeight w:val="216"/>
        </w:trPr>
        <w:tc>
          <w:tcPr>
            <w:tcW w:w="41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Derivatives and related hedge activities (2)</w:t>
            </w:r>
          </w:p>
        </w:tc>
        <w:tc>
          <w:tcPr>
            <w:tcW w:w="12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58.7</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(83.5)</w:t>
            </w: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142.2</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100.5</w:t>
            </w: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30.8</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69.7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60" w:type="dxa"/>
            <w:vAlign w:val="bottom"/>
            <w:gridSpan w:val="2"/>
          </w:tcPr>
          <w:p>
            <w:pPr>
              <w:spacing w:after="0"/>
              <w:rPr>
                <w:sz w:val="20"/>
                <w:szCs w:val="20"/>
                <w:color w:val="auto"/>
              </w:rPr>
            </w:pPr>
            <w:r>
              <w:rPr>
                <w:rFonts w:ascii="Arial" w:cs="Arial" w:eastAsia="Arial" w:hAnsi="Arial"/>
                <w:sz w:val="18"/>
                <w:szCs w:val="18"/>
                <w:color w:val="auto"/>
              </w:rPr>
              <w:t>Other gains (losses)</w:t>
            </w: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(127.4)</w:t>
            </w:r>
          </w:p>
        </w:tc>
        <w:tc>
          <w:tcPr>
            <w:tcW w:w="16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72.4</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gridSpan w:val="2"/>
          </w:tcPr>
          <w:p>
            <w:pPr>
              <w:jc w:val="right"/>
              <w:ind w:right="200"/>
              <w:spacing w:after="0"/>
              <w:rPr>
                <w:sz w:val="20"/>
                <w:szCs w:val="20"/>
                <w:color w:val="auto"/>
              </w:rPr>
            </w:pPr>
            <w:r>
              <w:rPr>
                <w:rFonts w:ascii="Arial" w:cs="Arial" w:eastAsia="Arial" w:hAnsi="Arial"/>
                <w:sz w:val="18"/>
                <w:szCs w:val="18"/>
                <w:color w:val="auto"/>
              </w:rPr>
              <w:t>(199.8)</w:t>
            </w:r>
          </w:p>
        </w:tc>
        <w:tc>
          <w:tcPr>
            <w:tcW w:w="180" w:type="dxa"/>
            <w:vAlign w:val="bottom"/>
          </w:tcPr>
          <w:p>
            <w:pPr>
              <w:spacing w:after="0"/>
              <w:rPr>
                <w:sz w:val="18"/>
                <w:szCs w:val="18"/>
                <w:color w:val="auto"/>
              </w:rPr>
            </w:pPr>
          </w:p>
        </w:tc>
        <w:tc>
          <w:tcPr>
            <w:tcW w:w="86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(292.8)</w:t>
            </w:r>
          </w:p>
        </w:tc>
        <w:tc>
          <w:tcPr>
            <w:tcW w:w="2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87.8</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(380.6)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4160" w:type="dxa"/>
            <w:vAlign w:val="bottom"/>
            <w:tcBorders>
              <w:top w:val="single" w:sz="8" w:color="CCEEFF"/>
              <w:bottom w:val="single" w:sz="8" w:color="CCEEFF"/>
            </w:tcBorders>
            <w:gridSpan w:val="2"/>
            <w:shd w:val="clear" w:color="auto" w:fill="CCEEFF"/>
          </w:tcPr>
          <w:p>
            <w:pPr>
              <w:ind w:left="120"/>
              <w:spacing w:after="0"/>
              <w:rPr>
                <w:sz w:val="20"/>
                <w:szCs w:val="20"/>
                <w:color w:val="auto"/>
              </w:rPr>
            </w:pPr>
            <w:r>
              <w:rPr>
                <w:rFonts w:ascii="Arial" w:cs="Arial" w:eastAsia="Arial" w:hAnsi="Arial"/>
                <w:sz w:val="18"/>
                <w:szCs w:val="18"/>
                <w:color w:val="auto"/>
              </w:rPr>
              <w:t>Net realized capital gains (losses) (3)</w:t>
            </w: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(227.9)</w:t>
            </w:r>
          </w:p>
        </w:tc>
        <w:tc>
          <w:tcPr>
            <w:tcW w:w="180" w:type="dxa"/>
            <w:vAlign w:val="bottom"/>
            <w:tcBorders>
              <w:top w:val="single" w:sz="8" w:color="CCEEFF"/>
              <w:bottom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jc w:val="right"/>
              <w:ind w:right="7"/>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(41.</w:t>
            </w:r>
            <w:r>
              <w:rPr>
                <w:rFonts w:ascii="Arial" w:cs="Arial" w:eastAsia="Arial" w:hAnsi="Arial"/>
                <w:sz w:val="18"/>
                <w:szCs w:val="18"/>
                <w:u w:val="single" w:color="auto"/>
                <w:color w:val="auto"/>
              </w:rPr>
              <w:t>1)</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(186.8)</w:t>
            </w:r>
          </w:p>
        </w:tc>
        <w:tc>
          <w:tcPr>
            <w:tcW w:w="20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rPr>
              <w:t>$</w:t>
            </w: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(338.4)</w:t>
            </w:r>
          </w:p>
        </w:tc>
        <w:tc>
          <w:tcPr>
            <w:tcW w:w="180" w:type="dxa"/>
            <w:vAlign w:val="bottom"/>
            <w:tcBorders>
              <w:top w:val="single" w:sz="8" w:color="CCEEFF"/>
              <w:bottom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110.</w:t>
            </w:r>
            <w:r>
              <w:rPr>
                <w:rFonts w:ascii="Arial" w:cs="Arial" w:eastAsia="Arial" w:hAnsi="Arial"/>
                <w:sz w:val="18"/>
                <w:szCs w:val="18"/>
                <w:u w:val="single" w:color="auto"/>
                <w:color w:val="auto"/>
              </w:rPr>
              <w:t>3</w:t>
            </w:r>
          </w:p>
        </w:tc>
        <w:tc>
          <w:tcPr>
            <w:tcW w:w="18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(448.</w:t>
            </w:r>
            <w:r>
              <w:rPr>
                <w:rFonts w:ascii="Arial" w:cs="Arial" w:eastAsia="Arial" w:hAnsi="Arial"/>
                <w:sz w:val="18"/>
                <w:szCs w:val="18"/>
                <w:u w:val="single" w:color="auto"/>
                <w:color w:val="auto"/>
              </w:rPr>
              <w:t>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480" w:type="dxa"/>
            <w:vAlign w:val="bottom"/>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8"/>
        </w:trPr>
        <w:tc>
          <w:tcPr>
            <w:tcW w:w="2480" w:type="dxa"/>
            <w:vAlign w:val="bottom"/>
            <w:tcBorders>
              <w:bottom w:val="single" w:sz="8" w:color="auto"/>
            </w:tcBorders>
          </w:tcPr>
          <w:p>
            <w:pPr>
              <w:spacing w:after="0"/>
              <w:rPr>
                <w:sz w:val="7"/>
                <w:szCs w:val="7"/>
                <w:color w:val="auto"/>
              </w:rPr>
            </w:pPr>
          </w:p>
        </w:tc>
        <w:tc>
          <w:tcPr>
            <w:tcW w:w="1680" w:type="dxa"/>
            <w:vAlign w:val="bottom"/>
          </w:tcPr>
          <w:p>
            <w:pPr>
              <w:spacing w:after="0"/>
              <w:rPr>
                <w:sz w:val="7"/>
                <w:szCs w:val="7"/>
                <w:color w:val="auto"/>
              </w:rPr>
            </w:pPr>
          </w:p>
        </w:tc>
        <w:tc>
          <w:tcPr>
            <w:tcW w:w="120" w:type="dxa"/>
            <w:vAlign w:val="bottom"/>
          </w:tcPr>
          <w:p>
            <w:pPr>
              <w:spacing w:after="0"/>
              <w:rPr>
                <w:sz w:val="7"/>
                <w:szCs w:val="7"/>
                <w:color w:val="auto"/>
              </w:rPr>
            </w:pPr>
          </w:p>
        </w:tc>
        <w:tc>
          <w:tcPr>
            <w:tcW w:w="620" w:type="dxa"/>
            <w:vAlign w:val="bottom"/>
          </w:tcPr>
          <w:p>
            <w:pPr>
              <w:spacing w:after="0"/>
              <w:rPr>
                <w:sz w:val="7"/>
                <w:szCs w:val="7"/>
                <w:color w:val="auto"/>
              </w:rPr>
            </w:pPr>
          </w:p>
        </w:tc>
        <w:tc>
          <w:tcPr>
            <w:tcW w:w="180" w:type="dxa"/>
            <w:vAlign w:val="bottom"/>
          </w:tcPr>
          <w:p>
            <w:pPr>
              <w:spacing w:after="0"/>
              <w:rPr>
                <w:sz w:val="7"/>
                <w:szCs w:val="7"/>
                <w:color w:val="auto"/>
              </w:rPr>
            </w:pPr>
          </w:p>
        </w:tc>
        <w:tc>
          <w:tcPr>
            <w:tcW w:w="160" w:type="dxa"/>
            <w:vAlign w:val="bottom"/>
          </w:tcPr>
          <w:p>
            <w:pPr>
              <w:spacing w:after="0"/>
              <w:rPr>
                <w:sz w:val="7"/>
                <w:szCs w:val="7"/>
                <w:color w:val="auto"/>
              </w:rPr>
            </w:pPr>
          </w:p>
        </w:tc>
        <w:tc>
          <w:tcPr>
            <w:tcW w:w="580" w:type="dxa"/>
            <w:vAlign w:val="bottom"/>
          </w:tcPr>
          <w:p>
            <w:pPr>
              <w:spacing w:after="0"/>
              <w:rPr>
                <w:sz w:val="7"/>
                <w:szCs w:val="7"/>
                <w:color w:val="auto"/>
              </w:rPr>
            </w:pPr>
          </w:p>
        </w:tc>
        <w:tc>
          <w:tcPr>
            <w:tcW w:w="16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tcPr>
          <w:p>
            <w:pPr>
              <w:spacing w:after="0"/>
              <w:rPr>
                <w:sz w:val="7"/>
                <w:szCs w:val="7"/>
                <w:color w:val="auto"/>
              </w:rPr>
            </w:pPr>
          </w:p>
        </w:tc>
        <w:tc>
          <w:tcPr>
            <w:tcW w:w="200" w:type="dxa"/>
            <w:vAlign w:val="bottom"/>
          </w:tcPr>
          <w:p>
            <w:pPr>
              <w:spacing w:after="0"/>
              <w:rPr>
                <w:sz w:val="7"/>
                <w:szCs w:val="7"/>
                <w:color w:val="auto"/>
              </w:rPr>
            </w:pPr>
          </w:p>
        </w:tc>
        <w:tc>
          <w:tcPr>
            <w:tcW w:w="180" w:type="dxa"/>
            <w:vAlign w:val="bottom"/>
          </w:tcPr>
          <w:p>
            <w:pPr>
              <w:spacing w:after="0"/>
              <w:rPr>
                <w:sz w:val="7"/>
                <w:szCs w:val="7"/>
                <w:color w:val="auto"/>
              </w:rPr>
            </w:pPr>
          </w:p>
        </w:tc>
        <w:tc>
          <w:tcPr>
            <w:tcW w:w="680" w:type="dxa"/>
            <w:vAlign w:val="bottom"/>
          </w:tcPr>
          <w:p>
            <w:pPr>
              <w:spacing w:after="0"/>
              <w:rPr>
                <w:sz w:val="7"/>
                <w:szCs w:val="7"/>
                <w:color w:val="auto"/>
              </w:rPr>
            </w:pPr>
          </w:p>
        </w:tc>
        <w:tc>
          <w:tcPr>
            <w:tcW w:w="180" w:type="dxa"/>
            <w:vAlign w:val="bottom"/>
          </w:tcPr>
          <w:p>
            <w:pPr>
              <w:spacing w:after="0"/>
              <w:rPr>
                <w:sz w:val="7"/>
                <w:szCs w:val="7"/>
                <w:color w:val="auto"/>
              </w:rPr>
            </w:pPr>
          </w:p>
        </w:tc>
        <w:tc>
          <w:tcPr>
            <w:tcW w:w="200" w:type="dxa"/>
            <w:vAlign w:val="bottom"/>
          </w:tcPr>
          <w:p>
            <w:pPr>
              <w:spacing w:after="0"/>
              <w:rPr>
                <w:sz w:val="7"/>
                <w:szCs w:val="7"/>
                <w:color w:val="auto"/>
              </w:rPr>
            </w:pPr>
          </w:p>
        </w:tc>
        <w:tc>
          <w:tcPr>
            <w:tcW w:w="680" w:type="dxa"/>
            <w:vAlign w:val="bottom"/>
          </w:tcPr>
          <w:p>
            <w:pPr>
              <w:spacing w:after="0"/>
              <w:rPr>
                <w:sz w:val="7"/>
                <w:szCs w:val="7"/>
                <w:color w:val="auto"/>
              </w:rPr>
            </w:pPr>
          </w:p>
        </w:tc>
        <w:tc>
          <w:tcPr>
            <w:tcW w:w="180" w:type="dxa"/>
            <w:vAlign w:val="bottom"/>
          </w:tcPr>
          <w:p>
            <w:pPr>
              <w:spacing w:after="0"/>
              <w:rPr>
                <w:sz w:val="7"/>
                <w:szCs w:val="7"/>
                <w:color w:val="auto"/>
              </w:rPr>
            </w:pPr>
          </w:p>
        </w:tc>
        <w:tc>
          <w:tcPr>
            <w:tcW w:w="120" w:type="dxa"/>
            <w:vAlign w:val="bottom"/>
          </w:tcPr>
          <w:p>
            <w:pPr>
              <w:spacing w:after="0"/>
              <w:rPr>
                <w:sz w:val="7"/>
                <w:szCs w:val="7"/>
                <w:color w:val="auto"/>
              </w:rPr>
            </w:pPr>
          </w:p>
        </w:tc>
        <w:tc>
          <w:tcPr>
            <w:tcW w:w="7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80" w:lineRule="exact"/>
        <w:rPr>
          <w:sz w:val="20"/>
          <w:szCs w:val="20"/>
          <w:color w:val="auto"/>
        </w:rPr>
      </w:pPr>
    </w:p>
    <w:p>
      <w:pPr>
        <w:ind w:left="340" w:hanging="332"/>
        <w:spacing w:after="0"/>
        <w:tabs>
          <w:tab w:leader="none" w:pos="340" w:val="left"/>
        </w:tabs>
        <w:numPr>
          <w:ilvl w:val="0"/>
          <w:numId w:val="48"/>
        </w:numPr>
        <w:rPr>
          <w:rFonts w:ascii="Arial" w:cs="Arial" w:eastAsia="Arial" w:hAnsi="Arial"/>
          <w:sz w:val="16"/>
          <w:szCs w:val="16"/>
          <w:color w:val="auto"/>
        </w:rPr>
      </w:pPr>
      <w:r>
        <w:rPr>
          <w:rFonts w:ascii="Arial" w:cs="Arial" w:eastAsia="Arial" w:hAnsi="Arial"/>
          <w:sz w:val="16"/>
          <w:szCs w:val="16"/>
          <w:color w:val="auto"/>
        </w:rPr>
        <w:t>Includes credit sales, adjustments to the credit loss valuation allowance, write-offs and recoveries on available-for-sale securities.</w:t>
      </w:r>
    </w:p>
    <w:p>
      <w:pPr>
        <w:spacing w:after="0" w:line="46" w:lineRule="exact"/>
        <w:rPr>
          <w:rFonts w:ascii="Arial" w:cs="Arial" w:eastAsia="Arial" w:hAnsi="Arial"/>
          <w:sz w:val="16"/>
          <w:szCs w:val="16"/>
          <w:color w:val="auto"/>
        </w:rPr>
      </w:pPr>
    </w:p>
    <w:p>
      <w:pPr>
        <w:jc w:val="both"/>
        <w:ind w:left="340" w:right="100" w:hanging="332"/>
        <w:spacing w:after="0" w:line="277" w:lineRule="auto"/>
        <w:tabs>
          <w:tab w:leader="none" w:pos="340" w:val="left"/>
        </w:tabs>
        <w:numPr>
          <w:ilvl w:val="0"/>
          <w:numId w:val="48"/>
        </w:numPr>
        <w:rPr>
          <w:rFonts w:ascii="Arial" w:cs="Arial" w:eastAsia="Arial" w:hAnsi="Arial"/>
          <w:sz w:val="17"/>
          <w:szCs w:val="17"/>
          <w:color w:val="auto"/>
        </w:rPr>
      </w:pPr>
      <w:r>
        <w:rPr>
          <w:rFonts w:ascii="Arial" w:cs="Arial" w:eastAsia="Arial" w:hAnsi="Arial"/>
          <w:sz w:val="17"/>
          <w:szCs w:val="17"/>
          <w:color w:val="auto"/>
        </w:rPr>
        <w:t>Includes fixed maturities, trading net gains (losses) of $(5.1) million and $1.1 million for the three months ended June 30, 2022 and 2021, and $(13.0) million and $(2.5) million for the six months ended June 30, 2022 and 2021, respectively, which are a component of the GMWB embedded derivative hedging program net realized capital gains (losses) reflected in this line.</w:t>
      </w:r>
    </w:p>
    <w:p>
      <w:pPr>
        <w:sectPr>
          <w:pgSz w:w="11900" w:h="16838" w:orient="portrait"/>
          <w:cols w:equalWidth="0" w:num="1">
            <w:col w:w="9920"/>
          </w:cols>
          <w:pgMar w:left="980" w:top="665" w:right="999" w:bottom="1440" w:gutter="0" w:footer="0" w:header="0"/>
        </w:sectPr>
      </w:pPr>
    </w:p>
    <w:p>
      <w:pPr>
        <w:spacing w:after="0" w:line="389" w:lineRule="exact"/>
        <w:rPr>
          <w:sz w:val="20"/>
          <w:szCs w:val="20"/>
          <w:color w:val="auto"/>
        </w:rPr>
      </w:pPr>
    </w:p>
    <w:p>
      <w:pPr>
        <w:jc w:val="center"/>
        <w:ind w:right="-19"/>
        <w:spacing w:after="0"/>
        <w:rPr>
          <w:sz w:val="20"/>
          <w:szCs w:val="20"/>
          <w:color w:val="auto"/>
        </w:rPr>
      </w:pPr>
      <w:r>
        <w:rPr>
          <w:rFonts w:ascii="Arial" w:cs="Arial" w:eastAsia="Arial" w:hAnsi="Arial"/>
          <w:sz w:val="15"/>
          <w:szCs w:val="15"/>
          <w:color w:val="auto"/>
        </w:rPr>
        <w:t>111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379730</wp:posOffset>
            </wp:positionV>
            <wp:extent cx="6292215" cy="1714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6292215" cy="17145"/>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type w:val="continuous"/>
        </w:sectPr>
      </w:pPr>
    </w:p>
    <w:bookmarkStart w:id="111" w:name="page112"/>
    <w:bookmarkEnd w:id="111"/>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9" w:lineRule="exact"/>
        <w:rPr>
          <w:sz w:val="20"/>
          <w:szCs w:val="20"/>
          <w:color w:val="auto"/>
        </w:rPr>
      </w:pPr>
    </w:p>
    <w:p>
      <w:pPr>
        <w:ind w:left="340" w:right="280" w:hanging="332"/>
        <w:spacing w:after="0" w:line="277" w:lineRule="auto"/>
        <w:tabs>
          <w:tab w:leader="none" w:pos="340" w:val="left"/>
        </w:tabs>
        <w:numPr>
          <w:ilvl w:val="0"/>
          <w:numId w:val="49"/>
        </w:numPr>
        <w:rPr>
          <w:rFonts w:ascii="Arial" w:cs="Arial" w:eastAsia="Arial" w:hAnsi="Arial"/>
          <w:sz w:val="18"/>
          <w:szCs w:val="18"/>
          <w:color w:val="auto"/>
        </w:rPr>
      </w:pPr>
      <w:r>
        <w:rPr>
          <w:rFonts w:ascii="Arial" w:cs="Arial" w:eastAsia="Arial" w:hAnsi="Arial"/>
          <w:sz w:val="18"/>
          <w:szCs w:val="18"/>
          <w:color w:val="auto"/>
        </w:rPr>
        <w:t>Net realized capital gains (losses) can be volatile due to credit losses from invested assets, mark-to-market adjustments of certain invested assets and our decision to sell invested assets.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Three Months Ended June 30, 2022 Compared to Three Months Ended June 30, 2021</w:t>
      </w:r>
    </w:p>
    <w:p>
      <w:pPr>
        <w:spacing w:after="0" w:line="225" w:lineRule="exact"/>
        <w:rPr>
          <w:sz w:val="20"/>
          <w:szCs w:val="20"/>
          <w:color w:val="auto"/>
        </w:rPr>
      </w:pPr>
    </w:p>
    <w:p>
      <w:pPr>
        <w:ind w:right="20" w:firstLine="648"/>
        <w:spacing w:after="0" w:line="257" w:lineRule="auto"/>
        <w:rPr>
          <w:sz w:val="20"/>
          <w:szCs w:val="20"/>
          <w:color w:val="auto"/>
        </w:rPr>
      </w:pPr>
      <w:r>
        <w:rPr>
          <w:rFonts w:ascii="Arial" w:cs="Arial" w:eastAsia="Arial" w:hAnsi="Arial"/>
          <w:sz w:val="18"/>
          <w:szCs w:val="18"/>
          <w:color w:val="auto"/>
        </w:rPr>
        <w:t>Net realized capital gains decreased primarily due to losses on equity securities and sponsored investment funds due to equity market declines, non-credit losses on available-for-sale fixed maturities, losses from GMWB embedded derivatives, including changes in the spread reflecting our own creditworthiness, and related hedging instruments, and losses on currency derivatives due to changes in rates. These decreases were partially offset by an increase in interest rate swaps not designated as hedging instruments due to changes in interest rates.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Six Months Ended June 30, 2022 Compared to Six Months Ended June 30, 2021</w:t>
      </w:r>
    </w:p>
    <w:p>
      <w:pPr>
        <w:spacing w:after="0" w:line="225" w:lineRule="exact"/>
        <w:rPr>
          <w:sz w:val="20"/>
          <w:szCs w:val="20"/>
          <w:color w:val="auto"/>
        </w:rPr>
      </w:pPr>
    </w:p>
    <w:p>
      <w:pPr>
        <w:ind w:right="40" w:firstLine="648"/>
        <w:spacing w:after="0" w:line="257" w:lineRule="auto"/>
        <w:rPr>
          <w:sz w:val="20"/>
          <w:szCs w:val="20"/>
          <w:color w:val="auto"/>
        </w:rPr>
      </w:pPr>
      <w:r>
        <w:rPr>
          <w:rFonts w:ascii="Arial" w:cs="Arial" w:eastAsia="Arial" w:hAnsi="Arial"/>
          <w:sz w:val="18"/>
          <w:szCs w:val="18"/>
          <w:color w:val="auto"/>
        </w:rPr>
        <w:t>Net realized capital gains decreased primarily due to losses on equity securities and sponsored investment funds due to equity market declines, non-credit losses on available-for-sale fixed maturities, and a current year increase in our commercial mortgage valuation allowance. These decreases were partially offset by gains versus losses from GMWB embedded derivatives, including changes in the spread reflecting our own creditworthiness, and related hedging instruments, and an increase in interest rate swaps not designated as hedging instruments due to changes in interest rates.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 Investment Operations</w:t>
      </w:r>
    </w:p>
    <w:p>
      <w:pPr>
        <w:spacing w:after="0" w:line="229" w:lineRule="exact"/>
        <w:rPr>
          <w:sz w:val="20"/>
          <w:szCs w:val="20"/>
          <w:color w:val="auto"/>
        </w:rPr>
      </w:pPr>
    </w:p>
    <w:p>
      <w:pPr>
        <w:ind w:right="80" w:firstLine="648"/>
        <w:spacing w:after="0" w:line="296" w:lineRule="auto"/>
        <w:rPr>
          <w:sz w:val="20"/>
          <w:szCs w:val="20"/>
          <w:color w:val="auto"/>
        </w:rPr>
      </w:pPr>
      <w:r>
        <w:rPr>
          <w:rFonts w:ascii="Arial" w:cs="Arial" w:eastAsia="Arial" w:hAnsi="Arial"/>
          <w:sz w:val="16"/>
          <w:szCs w:val="16"/>
          <w:color w:val="auto"/>
        </w:rPr>
        <w:t>In the following sections, we provide details about U.S. Investment Operations, excluding investments held as part of the funds withheld reinsurance agreement. We believe the details of the composition of our investment portfolio excluding the funds withheld are most relevant to an understanding of our operations that are pertinent to investors because all funds withheld assets support obligations and liabilities relating to the Reinsurance Transaction. Guidelines are in place to ensure the investment risk associated with these fund withheld assets are appropriately managed. See Footnote 7, Reinsurance, for further information on the funds withheld assets.</w:t>
      </w:r>
    </w:p>
    <w:p>
      <w:pPr>
        <w:spacing w:after="0" w:line="161" w:lineRule="exact"/>
        <w:rPr>
          <w:sz w:val="20"/>
          <w:szCs w:val="20"/>
          <w:color w:val="auto"/>
        </w:rPr>
      </w:pPr>
    </w:p>
    <w:p>
      <w:pPr>
        <w:ind w:firstLine="648"/>
        <w:spacing w:after="0" w:line="254" w:lineRule="auto"/>
        <w:rPr>
          <w:sz w:val="20"/>
          <w:szCs w:val="20"/>
          <w:color w:val="auto"/>
        </w:rPr>
      </w:pPr>
      <w:r>
        <w:rPr>
          <w:rFonts w:ascii="Arial" w:cs="Arial" w:eastAsia="Arial" w:hAnsi="Arial"/>
          <w:sz w:val="18"/>
          <w:szCs w:val="18"/>
          <w:color w:val="auto"/>
        </w:rPr>
        <w:t>Of our invested assets, $69,031.8 million were held by our U.S. operations as of June 30, 2022. Our U.S. invested assets are managed primarily by our Principal Global Investors segment. Our Investment Committee, appointed by our Board, is responsible for establishing investment policies and monitoring risk limits and tolerances. Our primary investment objective is to maximize after-tax returns consistent with acceptable risk parameters. We seek to protect customers’ benefits by optimizing the risk/return relationship on an ongoing basis, through asset/liability matching, reducing credit risk, avoiding high levels of investments that may be redeemed by the issuer, maintaining sufficiently liquid investments and avoiding undue asset concentrations through diversification. We are exposed to two primary sources of investment risk:</w:t>
      </w:r>
    </w:p>
    <w:p>
      <w:pPr>
        <w:spacing w:after="0" w:line="195" w:lineRule="exact"/>
        <w:rPr>
          <w:sz w:val="20"/>
          <w:szCs w:val="20"/>
          <w:color w:val="auto"/>
        </w:rPr>
      </w:pPr>
    </w:p>
    <w:p>
      <w:pPr>
        <w:ind w:left="1000" w:right="520" w:hanging="317"/>
        <w:spacing w:after="0" w:line="258" w:lineRule="auto"/>
        <w:tabs>
          <w:tab w:leader="none" w:pos="1000" w:val="left"/>
        </w:tabs>
        <w:numPr>
          <w:ilvl w:val="0"/>
          <w:numId w:val="50"/>
        </w:numPr>
        <w:rPr>
          <w:rFonts w:ascii="Arial" w:cs="Arial" w:eastAsia="Arial" w:hAnsi="Arial"/>
          <w:sz w:val="18"/>
          <w:szCs w:val="18"/>
          <w:color w:val="auto"/>
        </w:rPr>
      </w:pPr>
      <w:r>
        <w:rPr>
          <w:rFonts w:ascii="Arial" w:cs="Arial" w:eastAsia="Arial" w:hAnsi="Arial"/>
          <w:sz w:val="18"/>
          <w:szCs w:val="18"/>
          <w:color w:val="auto"/>
        </w:rPr>
        <w:t>credit risk, relating to the uncertainty associated with the continued ability of an obligor to make timely payments of principal and interest and</w:t>
      </w:r>
    </w:p>
    <w:p>
      <w:pPr>
        <w:spacing w:after="0" w:line="1" w:lineRule="exact"/>
        <w:rPr>
          <w:rFonts w:ascii="Arial" w:cs="Arial" w:eastAsia="Arial" w:hAnsi="Arial"/>
          <w:sz w:val="18"/>
          <w:szCs w:val="18"/>
          <w:color w:val="auto"/>
        </w:rPr>
      </w:pPr>
    </w:p>
    <w:p>
      <w:pPr>
        <w:ind w:left="1000" w:hanging="317"/>
        <w:spacing w:after="0"/>
        <w:tabs>
          <w:tab w:leader="none" w:pos="1000" w:val="left"/>
        </w:tabs>
        <w:numPr>
          <w:ilvl w:val="0"/>
          <w:numId w:val="50"/>
        </w:numPr>
        <w:rPr>
          <w:rFonts w:ascii="Arial" w:cs="Arial" w:eastAsia="Arial" w:hAnsi="Arial"/>
          <w:sz w:val="16"/>
          <w:szCs w:val="16"/>
          <w:color w:val="auto"/>
        </w:rPr>
      </w:pPr>
      <w:r>
        <w:rPr>
          <w:rFonts w:ascii="Arial" w:cs="Arial" w:eastAsia="Arial" w:hAnsi="Arial"/>
          <w:sz w:val="16"/>
          <w:szCs w:val="16"/>
          <w:color w:val="auto"/>
        </w:rPr>
        <w:t>interest rate risk, relating to the market price and/or cash flow variability associated with changes in market yield curves.</w:t>
      </w:r>
    </w:p>
    <w:p>
      <w:pPr>
        <w:spacing w:after="0" w:line="234" w:lineRule="exact"/>
        <w:rPr>
          <w:sz w:val="20"/>
          <w:szCs w:val="20"/>
          <w:color w:val="auto"/>
        </w:rPr>
      </w:pPr>
    </w:p>
    <w:p>
      <w:pPr>
        <w:ind w:right="40" w:firstLine="648"/>
        <w:spacing w:after="0" w:line="308" w:lineRule="auto"/>
        <w:rPr>
          <w:sz w:val="20"/>
          <w:szCs w:val="20"/>
          <w:color w:val="auto"/>
        </w:rPr>
      </w:pPr>
      <w:r>
        <w:rPr>
          <w:rFonts w:ascii="Arial" w:cs="Arial" w:eastAsia="Arial" w:hAnsi="Arial"/>
          <w:sz w:val="17"/>
          <w:szCs w:val="17"/>
          <w:color w:val="auto"/>
        </w:rPr>
        <w:t>Our ability to manage credit risk is essential to our business and our profitability. We devote considerable resources to the credit analysis of each new investment. We manage credit risk through industry, issuer and asset class diversification.</w:t>
      </w:r>
    </w:p>
    <w:p>
      <w:pPr>
        <w:spacing w:after="0" w:line="146" w:lineRule="exact"/>
        <w:rPr>
          <w:sz w:val="20"/>
          <w:szCs w:val="20"/>
          <w:color w:val="auto"/>
        </w:rPr>
      </w:pPr>
    </w:p>
    <w:p>
      <w:pPr>
        <w:ind w:right="40" w:firstLine="648"/>
        <w:spacing w:after="0" w:line="291" w:lineRule="auto"/>
        <w:rPr>
          <w:sz w:val="20"/>
          <w:szCs w:val="20"/>
          <w:color w:val="auto"/>
        </w:rPr>
      </w:pPr>
      <w:r>
        <w:rPr>
          <w:rFonts w:ascii="Arial" w:cs="Arial" w:eastAsia="Arial" w:hAnsi="Arial"/>
          <w:sz w:val="16"/>
          <w:szCs w:val="16"/>
          <w:color w:val="auto"/>
        </w:rPr>
        <w:t>A dedicated committee, comprised of senior investment professional staff members, approves the credit rating for the fixed maturities we purchase. We have teams of security analysts, organized by industry and asset class, that analyze and monitor these investments. Investments held in the portfolio are monitored on a continuous basis with a formal review annually or more frequently if material events affect the issuer. The analysis includes both fundamental and technical factors. The fundamental analysis encompasses both quantitative and qualitative analysis of the issuer. The qualitative analysis includes an assessment of both accounting and management aggressiveness of the issuer. In addition, technical indicators such as stock price volatility and credit default swap levels are monitored. We regularly review our investments to determine whether we should re-rate them, employing the following criteria:</w:t>
      </w:r>
    </w:p>
    <w:p>
      <w:pPr>
        <w:spacing w:after="0" w:line="166" w:lineRule="exact"/>
        <w:rPr>
          <w:sz w:val="20"/>
          <w:szCs w:val="20"/>
          <w:color w:val="auto"/>
        </w:rPr>
      </w:pPr>
    </w:p>
    <w:p>
      <w:pPr>
        <w:ind w:left="1000" w:hanging="317"/>
        <w:spacing w:after="0"/>
        <w:tabs>
          <w:tab w:leader="none" w:pos="1000" w:val="left"/>
        </w:tabs>
        <w:numPr>
          <w:ilvl w:val="0"/>
          <w:numId w:val="51"/>
        </w:numPr>
        <w:rPr>
          <w:rFonts w:ascii="Arial" w:cs="Arial" w:eastAsia="Arial" w:hAnsi="Arial"/>
          <w:sz w:val="18"/>
          <w:szCs w:val="18"/>
          <w:color w:val="auto"/>
        </w:rPr>
      </w:pPr>
      <w:r>
        <w:rPr>
          <w:rFonts w:ascii="Arial" w:cs="Arial" w:eastAsia="Arial" w:hAnsi="Arial"/>
          <w:sz w:val="18"/>
          <w:szCs w:val="18"/>
          <w:color w:val="auto"/>
        </w:rPr>
        <w:t>material changes in the issuer’s revenues, margins, capital structure or collateral values;</w:t>
      </w:r>
    </w:p>
    <w:p>
      <w:pPr>
        <w:spacing w:after="0" w:line="23" w:lineRule="exact"/>
        <w:rPr>
          <w:rFonts w:ascii="Arial" w:cs="Arial" w:eastAsia="Arial" w:hAnsi="Arial"/>
          <w:sz w:val="18"/>
          <w:szCs w:val="18"/>
          <w:color w:val="auto"/>
        </w:rPr>
      </w:pPr>
    </w:p>
    <w:p>
      <w:pPr>
        <w:ind w:left="1000" w:hanging="317"/>
        <w:spacing w:after="0"/>
        <w:tabs>
          <w:tab w:leader="none" w:pos="1000" w:val="left"/>
        </w:tabs>
        <w:numPr>
          <w:ilvl w:val="0"/>
          <w:numId w:val="51"/>
        </w:numPr>
        <w:rPr>
          <w:rFonts w:ascii="Arial" w:cs="Arial" w:eastAsia="Arial" w:hAnsi="Arial"/>
          <w:sz w:val="18"/>
          <w:szCs w:val="18"/>
          <w:color w:val="auto"/>
        </w:rPr>
      </w:pPr>
      <w:r>
        <w:rPr>
          <w:rFonts w:ascii="Arial" w:cs="Arial" w:eastAsia="Arial" w:hAnsi="Arial"/>
          <w:sz w:val="18"/>
          <w:szCs w:val="18"/>
          <w:color w:val="auto"/>
        </w:rPr>
        <w:t>significant management or organizational changes;</w:t>
      </w:r>
    </w:p>
    <w:p>
      <w:pPr>
        <w:spacing w:after="0" w:line="9" w:lineRule="exact"/>
        <w:rPr>
          <w:rFonts w:ascii="Arial" w:cs="Arial" w:eastAsia="Arial" w:hAnsi="Arial"/>
          <w:sz w:val="18"/>
          <w:szCs w:val="18"/>
          <w:color w:val="auto"/>
        </w:rPr>
      </w:pPr>
    </w:p>
    <w:p>
      <w:pPr>
        <w:ind w:left="1000" w:hanging="317"/>
        <w:spacing w:after="0"/>
        <w:tabs>
          <w:tab w:leader="none" w:pos="1000" w:val="left"/>
        </w:tabs>
        <w:numPr>
          <w:ilvl w:val="0"/>
          <w:numId w:val="51"/>
        </w:numPr>
        <w:rPr>
          <w:rFonts w:ascii="Arial" w:cs="Arial" w:eastAsia="Arial" w:hAnsi="Arial"/>
          <w:sz w:val="18"/>
          <w:szCs w:val="18"/>
          <w:color w:val="auto"/>
        </w:rPr>
      </w:pPr>
      <w:r>
        <w:rPr>
          <w:rFonts w:ascii="Arial" w:cs="Arial" w:eastAsia="Arial" w:hAnsi="Arial"/>
          <w:sz w:val="18"/>
          <w:szCs w:val="18"/>
          <w:color w:val="auto"/>
        </w:rPr>
        <w:t>significant changes regarding the issuer’s industry;</w:t>
      </w:r>
    </w:p>
    <w:p>
      <w:pPr>
        <w:spacing w:after="0" w:line="9" w:lineRule="exact"/>
        <w:rPr>
          <w:rFonts w:ascii="Arial" w:cs="Arial" w:eastAsia="Arial" w:hAnsi="Arial"/>
          <w:sz w:val="18"/>
          <w:szCs w:val="18"/>
          <w:color w:val="auto"/>
        </w:rPr>
      </w:pPr>
    </w:p>
    <w:p>
      <w:pPr>
        <w:ind w:left="1000" w:hanging="317"/>
        <w:spacing w:after="0"/>
        <w:tabs>
          <w:tab w:leader="none" w:pos="1000" w:val="left"/>
        </w:tabs>
        <w:numPr>
          <w:ilvl w:val="0"/>
          <w:numId w:val="51"/>
        </w:numPr>
        <w:rPr>
          <w:rFonts w:ascii="Arial" w:cs="Arial" w:eastAsia="Arial" w:hAnsi="Arial"/>
          <w:sz w:val="18"/>
          <w:szCs w:val="18"/>
          <w:color w:val="auto"/>
        </w:rPr>
      </w:pPr>
      <w:r>
        <w:rPr>
          <w:rFonts w:ascii="Arial" w:cs="Arial" w:eastAsia="Arial" w:hAnsi="Arial"/>
          <w:sz w:val="18"/>
          <w:szCs w:val="18"/>
          <w:color w:val="auto"/>
        </w:rPr>
        <w:t>debt service coverage or cash flow ratios that fall below industry-specific thresholds;</w:t>
      </w:r>
    </w:p>
    <w:p>
      <w:pPr>
        <w:sectPr>
          <w:pgSz w:w="11900" w:h="16838" w:orient="portrait"/>
          <w:cols w:equalWidth="0" w:num="1">
            <w:col w:w="9900"/>
          </w:cols>
          <w:pgMar w:left="980" w:top="665" w:right="1019" w:bottom="1440" w:gutter="0" w:footer="0" w:header="0"/>
        </w:sectPr>
      </w:pPr>
    </w:p>
    <w:p>
      <w:pPr>
        <w:spacing w:after="0" w:line="200" w:lineRule="exact"/>
        <w:rPr>
          <w:sz w:val="20"/>
          <w:szCs w:val="20"/>
          <w:color w:val="auto"/>
        </w:rPr>
      </w:pPr>
    </w:p>
    <w:p>
      <w:pPr>
        <w:spacing w:after="0" w:line="227" w:lineRule="exact"/>
        <w:rPr>
          <w:sz w:val="20"/>
          <w:szCs w:val="20"/>
          <w:color w:val="auto"/>
        </w:rPr>
      </w:pPr>
    </w:p>
    <w:p>
      <w:pPr>
        <w:jc w:val="center"/>
        <w:ind w:right="-39"/>
        <w:spacing w:after="0"/>
        <w:rPr>
          <w:sz w:val="20"/>
          <w:szCs w:val="20"/>
          <w:color w:val="auto"/>
        </w:rPr>
      </w:pPr>
      <w:r>
        <w:rPr>
          <w:rFonts w:ascii="Arial" w:cs="Arial" w:eastAsia="Arial" w:hAnsi="Arial"/>
          <w:sz w:val="15"/>
          <w:szCs w:val="15"/>
          <w:color w:val="auto"/>
        </w:rPr>
        <w:t>112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379730</wp:posOffset>
            </wp:positionV>
            <wp:extent cx="6292215" cy="2603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900"/>
          </w:cols>
          <w:pgMar w:left="980" w:top="665" w:right="1019" w:bottom="1440" w:gutter="0" w:footer="0" w:header="0"/>
          <w:type w:val="continuous"/>
        </w:sectPr>
      </w:pPr>
    </w:p>
    <w:bookmarkStart w:id="112" w:name="page113"/>
    <w:bookmarkEnd w:id="112"/>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9" w:lineRule="exact"/>
        <w:rPr>
          <w:sz w:val="20"/>
          <w:szCs w:val="20"/>
          <w:color w:val="auto"/>
        </w:rPr>
      </w:pPr>
    </w:p>
    <w:p>
      <w:pPr>
        <w:ind w:left="1000" w:hanging="317"/>
        <w:spacing w:after="0"/>
        <w:tabs>
          <w:tab w:leader="none" w:pos="1000" w:val="left"/>
        </w:tabs>
        <w:numPr>
          <w:ilvl w:val="0"/>
          <w:numId w:val="52"/>
        </w:numPr>
        <w:rPr>
          <w:rFonts w:ascii="Arial" w:cs="Arial" w:eastAsia="Arial" w:hAnsi="Arial"/>
          <w:sz w:val="18"/>
          <w:szCs w:val="18"/>
          <w:color w:val="auto"/>
        </w:rPr>
      </w:pPr>
      <w:r>
        <w:rPr>
          <w:rFonts w:ascii="Arial" w:cs="Arial" w:eastAsia="Arial" w:hAnsi="Arial"/>
          <w:sz w:val="18"/>
          <w:szCs w:val="18"/>
          <w:color w:val="auto"/>
        </w:rPr>
        <w:t>violation of financial covenants and</w:t>
      </w:r>
    </w:p>
    <w:p>
      <w:pPr>
        <w:spacing w:after="0" w:line="23" w:lineRule="exact"/>
        <w:rPr>
          <w:rFonts w:ascii="Arial" w:cs="Arial" w:eastAsia="Arial" w:hAnsi="Arial"/>
          <w:sz w:val="18"/>
          <w:szCs w:val="18"/>
          <w:color w:val="auto"/>
        </w:rPr>
      </w:pPr>
    </w:p>
    <w:p>
      <w:pPr>
        <w:ind w:left="1000" w:hanging="317"/>
        <w:spacing w:after="0"/>
        <w:tabs>
          <w:tab w:leader="none" w:pos="1000" w:val="left"/>
        </w:tabs>
        <w:numPr>
          <w:ilvl w:val="0"/>
          <w:numId w:val="52"/>
        </w:numPr>
        <w:rPr>
          <w:rFonts w:ascii="Arial" w:cs="Arial" w:eastAsia="Arial" w:hAnsi="Arial"/>
          <w:sz w:val="18"/>
          <w:szCs w:val="18"/>
          <w:color w:val="auto"/>
        </w:rPr>
      </w:pPr>
      <w:r>
        <w:rPr>
          <w:rFonts w:ascii="Arial" w:cs="Arial" w:eastAsia="Arial" w:hAnsi="Arial"/>
          <w:sz w:val="18"/>
          <w:szCs w:val="18"/>
          <w:color w:val="auto"/>
        </w:rPr>
        <w:t>other business factors that relate to the issuer.</w:t>
      </w:r>
    </w:p>
    <w:p>
      <w:pPr>
        <w:spacing w:after="0" w:line="211" w:lineRule="exact"/>
        <w:rPr>
          <w:sz w:val="20"/>
          <w:szCs w:val="20"/>
          <w:color w:val="auto"/>
        </w:rPr>
      </w:pPr>
    </w:p>
    <w:p>
      <w:pPr>
        <w:ind w:right="100" w:firstLine="648"/>
        <w:spacing w:after="0" w:line="272" w:lineRule="auto"/>
        <w:rPr>
          <w:sz w:val="20"/>
          <w:szCs w:val="20"/>
          <w:color w:val="auto"/>
        </w:rPr>
      </w:pPr>
      <w:r>
        <w:rPr>
          <w:rFonts w:ascii="Arial" w:cs="Arial" w:eastAsia="Arial" w:hAnsi="Arial"/>
          <w:sz w:val="17"/>
          <w:szCs w:val="17"/>
          <w:color w:val="auto"/>
        </w:rPr>
        <w:t>We purchase credit default swaps to hedge certain credit exposures in our investment portfolio. We economically hedged credit exposure in our portfolio by purchasing credit default swaps with a notional amount of $130.0 million and $145.0 million as of June 30, 2022 and December 31, 2021, respectively. We sell credit default swaps to offer credit protection to investors when entering into synthetic replicating transactions. When selling credit protection, if there is an event of default by the referenced name, we are obligated to pay the counterparty the referenced amount of the contract and receive in return the referenced security. For further information on credit derivatives sold, see Item 1. “Financial Statements, Notes to Unaudited Condensed Consolidated Financial Statements, Note 4, Derivative Financial Instruments” under the caption, “Credit Derivatives Sold.”</w:t>
      </w:r>
    </w:p>
    <w:p>
      <w:pPr>
        <w:spacing w:after="0" w:line="177" w:lineRule="exact"/>
        <w:rPr>
          <w:sz w:val="20"/>
          <w:szCs w:val="20"/>
          <w:color w:val="auto"/>
        </w:rPr>
      </w:pPr>
    </w:p>
    <w:p>
      <w:pPr>
        <w:ind w:right="700" w:firstLine="648"/>
        <w:spacing w:after="0" w:line="277" w:lineRule="auto"/>
        <w:rPr>
          <w:sz w:val="20"/>
          <w:szCs w:val="20"/>
          <w:color w:val="auto"/>
        </w:rPr>
      </w:pPr>
      <w:r>
        <w:rPr>
          <w:rFonts w:ascii="Arial" w:cs="Arial" w:eastAsia="Arial" w:hAnsi="Arial"/>
          <w:sz w:val="18"/>
          <w:szCs w:val="18"/>
          <w:color w:val="auto"/>
        </w:rPr>
        <w:t>Our use of derivatives exposes us to counterparty risk, or the risk that the counterparty fails to perform the terms of the derivative contract. We actively manage this risk by:</w:t>
      </w:r>
    </w:p>
    <w:p>
      <w:pPr>
        <w:spacing w:after="0" w:line="170" w:lineRule="exact"/>
        <w:rPr>
          <w:sz w:val="20"/>
          <w:szCs w:val="20"/>
          <w:color w:val="auto"/>
        </w:rPr>
      </w:pPr>
    </w:p>
    <w:p>
      <w:pPr>
        <w:ind w:left="1000" w:hanging="317"/>
        <w:spacing w:after="0"/>
        <w:tabs>
          <w:tab w:leader="none" w:pos="1000" w:val="left"/>
        </w:tabs>
        <w:numPr>
          <w:ilvl w:val="0"/>
          <w:numId w:val="53"/>
        </w:numPr>
        <w:rPr>
          <w:rFonts w:ascii="Arial" w:cs="Arial" w:eastAsia="Arial" w:hAnsi="Arial"/>
          <w:sz w:val="18"/>
          <w:szCs w:val="18"/>
          <w:color w:val="auto"/>
        </w:rPr>
      </w:pPr>
      <w:r>
        <w:rPr>
          <w:rFonts w:ascii="Arial" w:cs="Arial" w:eastAsia="Arial" w:hAnsi="Arial"/>
          <w:sz w:val="18"/>
          <w:szCs w:val="18"/>
          <w:color w:val="auto"/>
        </w:rPr>
        <w:t>obtaining approval of all new counterparties by the Investment Committee;</w:t>
      </w:r>
    </w:p>
    <w:p>
      <w:pPr>
        <w:spacing w:after="0" w:line="23" w:lineRule="exact"/>
        <w:rPr>
          <w:rFonts w:ascii="Arial" w:cs="Arial" w:eastAsia="Arial" w:hAnsi="Arial"/>
          <w:sz w:val="18"/>
          <w:szCs w:val="18"/>
          <w:color w:val="auto"/>
        </w:rPr>
      </w:pPr>
    </w:p>
    <w:p>
      <w:pPr>
        <w:ind w:left="1000" w:right="560" w:hanging="317"/>
        <w:spacing w:after="0" w:line="250" w:lineRule="auto"/>
        <w:tabs>
          <w:tab w:leader="none" w:pos="1000" w:val="left"/>
        </w:tabs>
        <w:numPr>
          <w:ilvl w:val="0"/>
          <w:numId w:val="53"/>
        </w:numPr>
        <w:rPr>
          <w:rFonts w:ascii="Arial" w:cs="Arial" w:eastAsia="Arial" w:hAnsi="Arial"/>
          <w:sz w:val="18"/>
          <w:szCs w:val="18"/>
          <w:color w:val="auto"/>
        </w:rPr>
      </w:pPr>
      <w:r>
        <w:rPr>
          <w:rFonts w:ascii="Arial" w:cs="Arial" w:eastAsia="Arial" w:hAnsi="Arial"/>
          <w:sz w:val="18"/>
          <w:szCs w:val="18"/>
          <w:color w:val="auto"/>
        </w:rPr>
        <w:t>establishing exposure limits that take into account non-derivative exposure we have with the counterparty as well as derivative exposure;</w:t>
      </w:r>
    </w:p>
    <w:p>
      <w:pPr>
        <w:ind w:left="1000" w:right="140" w:hanging="317"/>
        <w:spacing w:after="0" w:line="250" w:lineRule="auto"/>
        <w:tabs>
          <w:tab w:leader="none" w:pos="1000" w:val="left"/>
        </w:tabs>
        <w:numPr>
          <w:ilvl w:val="0"/>
          <w:numId w:val="53"/>
        </w:numPr>
        <w:rPr>
          <w:rFonts w:ascii="Arial" w:cs="Arial" w:eastAsia="Arial" w:hAnsi="Arial"/>
          <w:sz w:val="18"/>
          <w:szCs w:val="18"/>
          <w:color w:val="auto"/>
        </w:rPr>
      </w:pPr>
      <w:r>
        <w:rPr>
          <w:rFonts w:ascii="Arial" w:cs="Arial" w:eastAsia="Arial" w:hAnsi="Arial"/>
          <w:sz w:val="18"/>
          <w:szCs w:val="18"/>
          <w:color w:val="auto"/>
        </w:rPr>
        <w:t>performing similar credit analysis prior to approval on each derivatives counterparty that we do when lending money on a long-term basis;</w:t>
      </w:r>
    </w:p>
    <w:p>
      <w:pPr>
        <w:ind w:left="1000" w:hanging="317"/>
        <w:spacing w:after="0"/>
        <w:tabs>
          <w:tab w:leader="none" w:pos="1000" w:val="left"/>
        </w:tabs>
        <w:numPr>
          <w:ilvl w:val="0"/>
          <w:numId w:val="53"/>
        </w:numPr>
        <w:rPr>
          <w:rFonts w:ascii="Arial" w:cs="Arial" w:eastAsia="Arial" w:hAnsi="Arial"/>
          <w:sz w:val="18"/>
          <w:szCs w:val="18"/>
          <w:color w:val="auto"/>
        </w:rPr>
      </w:pPr>
      <w:r>
        <w:rPr>
          <w:rFonts w:ascii="Arial" w:cs="Arial" w:eastAsia="Arial" w:hAnsi="Arial"/>
          <w:sz w:val="18"/>
          <w:szCs w:val="18"/>
          <w:color w:val="auto"/>
        </w:rPr>
        <w:t>diversifying our risk across numerous approved counterparties;</w:t>
      </w:r>
    </w:p>
    <w:p>
      <w:pPr>
        <w:spacing w:after="0" w:line="9" w:lineRule="exact"/>
        <w:rPr>
          <w:rFonts w:ascii="Arial" w:cs="Arial" w:eastAsia="Arial" w:hAnsi="Arial"/>
          <w:sz w:val="18"/>
          <w:szCs w:val="18"/>
          <w:color w:val="auto"/>
        </w:rPr>
      </w:pPr>
    </w:p>
    <w:p>
      <w:pPr>
        <w:ind w:left="1000" w:right="60" w:hanging="317"/>
        <w:spacing w:after="0" w:line="250" w:lineRule="auto"/>
        <w:tabs>
          <w:tab w:leader="none" w:pos="1000" w:val="left"/>
        </w:tabs>
        <w:numPr>
          <w:ilvl w:val="0"/>
          <w:numId w:val="53"/>
        </w:numPr>
        <w:rPr>
          <w:rFonts w:ascii="Arial" w:cs="Arial" w:eastAsia="Arial" w:hAnsi="Arial"/>
          <w:sz w:val="18"/>
          <w:szCs w:val="18"/>
          <w:color w:val="auto"/>
        </w:rPr>
      </w:pPr>
      <w:r>
        <w:rPr>
          <w:rFonts w:ascii="Arial" w:cs="Arial" w:eastAsia="Arial" w:hAnsi="Arial"/>
          <w:sz w:val="18"/>
          <w:szCs w:val="18"/>
          <w:color w:val="auto"/>
        </w:rPr>
        <w:t>implementing credit support annex (collateral) agreements (“CSAs”) for over-the-counter derivative transactions or similar agreements with a majority of our counterparties to further limit counterparty exposures, which provide for netting of exposures;</w:t>
      </w:r>
    </w:p>
    <w:p>
      <w:pPr>
        <w:spacing w:after="0" w:line="1" w:lineRule="exact"/>
        <w:rPr>
          <w:rFonts w:ascii="Arial" w:cs="Arial" w:eastAsia="Arial" w:hAnsi="Arial"/>
          <w:sz w:val="18"/>
          <w:szCs w:val="18"/>
          <w:color w:val="auto"/>
        </w:rPr>
      </w:pPr>
    </w:p>
    <w:p>
      <w:pPr>
        <w:ind w:left="1000" w:hanging="317"/>
        <w:spacing w:after="0"/>
        <w:tabs>
          <w:tab w:leader="none" w:pos="1000" w:val="left"/>
        </w:tabs>
        <w:numPr>
          <w:ilvl w:val="0"/>
          <w:numId w:val="53"/>
        </w:numPr>
        <w:rPr>
          <w:rFonts w:ascii="Arial" w:cs="Arial" w:eastAsia="Arial" w:hAnsi="Arial"/>
          <w:sz w:val="18"/>
          <w:szCs w:val="18"/>
          <w:color w:val="auto"/>
        </w:rPr>
      </w:pPr>
      <w:r>
        <w:rPr>
          <w:rFonts w:ascii="Arial" w:cs="Arial" w:eastAsia="Arial" w:hAnsi="Arial"/>
          <w:sz w:val="18"/>
          <w:szCs w:val="18"/>
          <w:color w:val="auto"/>
        </w:rPr>
        <w:t>limiting exposure to A credit or better for over-the-counter derivative counterparties without CSAs;</w:t>
      </w:r>
    </w:p>
    <w:p>
      <w:pPr>
        <w:spacing w:after="0" w:line="9" w:lineRule="exact"/>
        <w:rPr>
          <w:rFonts w:ascii="Arial" w:cs="Arial" w:eastAsia="Arial" w:hAnsi="Arial"/>
          <w:sz w:val="18"/>
          <w:szCs w:val="18"/>
          <w:color w:val="auto"/>
        </w:rPr>
      </w:pPr>
    </w:p>
    <w:p>
      <w:pPr>
        <w:ind w:left="1000" w:hanging="317"/>
        <w:spacing w:after="0"/>
        <w:tabs>
          <w:tab w:leader="none" w:pos="1000" w:val="left"/>
        </w:tabs>
        <w:numPr>
          <w:ilvl w:val="0"/>
          <w:numId w:val="53"/>
        </w:numPr>
        <w:rPr>
          <w:rFonts w:ascii="Arial" w:cs="Arial" w:eastAsia="Arial" w:hAnsi="Arial"/>
          <w:sz w:val="16"/>
          <w:szCs w:val="16"/>
          <w:color w:val="auto"/>
        </w:rPr>
      </w:pPr>
      <w:r>
        <w:rPr>
          <w:rFonts w:ascii="Arial" w:cs="Arial" w:eastAsia="Arial" w:hAnsi="Arial"/>
          <w:sz w:val="16"/>
          <w:szCs w:val="16"/>
          <w:color w:val="auto"/>
        </w:rPr>
        <w:t>conducting stress-test analysis to determine the maximum exposure created during the life of a prospective transaction;</w:t>
      </w:r>
    </w:p>
    <w:p>
      <w:pPr>
        <w:spacing w:after="0" w:line="32" w:lineRule="exact"/>
        <w:rPr>
          <w:rFonts w:ascii="Arial" w:cs="Arial" w:eastAsia="Arial" w:hAnsi="Arial"/>
          <w:sz w:val="16"/>
          <w:szCs w:val="16"/>
          <w:color w:val="auto"/>
        </w:rPr>
      </w:pPr>
    </w:p>
    <w:p>
      <w:pPr>
        <w:ind w:left="1000" w:hanging="317"/>
        <w:spacing w:after="0"/>
        <w:tabs>
          <w:tab w:leader="none" w:pos="1000" w:val="left"/>
        </w:tabs>
        <w:numPr>
          <w:ilvl w:val="0"/>
          <w:numId w:val="53"/>
        </w:numPr>
        <w:rPr>
          <w:rFonts w:ascii="Arial" w:cs="Arial" w:eastAsia="Arial" w:hAnsi="Arial"/>
          <w:sz w:val="18"/>
          <w:szCs w:val="18"/>
          <w:color w:val="auto"/>
        </w:rPr>
      </w:pPr>
      <w:r>
        <w:rPr>
          <w:rFonts w:ascii="Arial" w:cs="Arial" w:eastAsia="Arial" w:hAnsi="Arial"/>
          <w:sz w:val="18"/>
          <w:szCs w:val="18"/>
          <w:color w:val="auto"/>
        </w:rPr>
        <w:t>daily monitoring of counterparty credit ratings, exposures and associated collateral levels and</w:t>
      </w:r>
    </w:p>
    <w:p>
      <w:pPr>
        <w:spacing w:after="0" w:line="9" w:lineRule="exact"/>
        <w:rPr>
          <w:rFonts w:ascii="Arial" w:cs="Arial" w:eastAsia="Arial" w:hAnsi="Arial"/>
          <w:sz w:val="18"/>
          <w:szCs w:val="18"/>
          <w:color w:val="auto"/>
        </w:rPr>
      </w:pPr>
    </w:p>
    <w:p>
      <w:pPr>
        <w:ind w:left="1000" w:hanging="317"/>
        <w:spacing w:after="0"/>
        <w:tabs>
          <w:tab w:leader="none" w:pos="1000" w:val="left"/>
        </w:tabs>
        <w:numPr>
          <w:ilvl w:val="0"/>
          <w:numId w:val="53"/>
        </w:numPr>
        <w:rPr>
          <w:rFonts w:ascii="Arial" w:cs="Arial" w:eastAsia="Arial" w:hAnsi="Arial"/>
          <w:sz w:val="18"/>
          <w:szCs w:val="18"/>
          <w:color w:val="auto"/>
        </w:rPr>
      </w:pPr>
      <w:r>
        <w:rPr>
          <w:rFonts w:ascii="Arial" w:cs="Arial" w:eastAsia="Arial" w:hAnsi="Arial"/>
          <w:sz w:val="18"/>
          <w:szCs w:val="18"/>
          <w:color w:val="auto"/>
        </w:rPr>
        <w:t>trading mandatorily cleared contracts through centralized clearinghouses.</w:t>
      </w:r>
    </w:p>
    <w:p>
      <w:pPr>
        <w:spacing w:after="0" w:line="211" w:lineRule="exact"/>
        <w:rPr>
          <w:sz w:val="20"/>
          <w:szCs w:val="20"/>
          <w:color w:val="auto"/>
        </w:rPr>
      </w:pPr>
    </w:p>
    <w:p>
      <w:pPr>
        <w:jc w:val="both"/>
        <w:ind w:right="40" w:firstLine="648"/>
        <w:spacing w:after="0" w:line="286" w:lineRule="auto"/>
        <w:rPr>
          <w:sz w:val="20"/>
          <w:szCs w:val="20"/>
          <w:color w:val="auto"/>
        </w:rPr>
      </w:pPr>
      <w:r>
        <w:rPr>
          <w:rFonts w:ascii="Arial" w:cs="Arial" w:eastAsia="Arial" w:hAnsi="Arial"/>
          <w:sz w:val="17"/>
          <w:szCs w:val="17"/>
          <w:color w:val="auto"/>
        </w:rPr>
        <w:t>We manage our exposure on a net basis, whereby we net positive and negative exposures for each counterparty with agreements in place. For further information on derivative exposure, see Item 1. “Financial Statements, Notes to Unaudited Condensed Consolidated Financial Statements, Note 3, Investments” under the caption, “Balance Sheet Offsetting.”</w:t>
      </w:r>
    </w:p>
    <w:p>
      <w:pPr>
        <w:spacing w:after="0" w:line="165" w:lineRule="exact"/>
        <w:rPr>
          <w:sz w:val="20"/>
          <w:szCs w:val="20"/>
          <w:color w:val="auto"/>
        </w:rPr>
      </w:pPr>
    </w:p>
    <w:p>
      <w:pPr>
        <w:ind w:firstLine="648"/>
        <w:spacing w:after="0" w:line="270" w:lineRule="auto"/>
        <w:rPr>
          <w:sz w:val="20"/>
          <w:szCs w:val="20"/>
          <w:color w:val="auto"/>
        </w:rPr>
      </w:pPr>
      <w:r>
        <w:rPr>
          <w:rFonts w:ascii="Arial" w:cs="Arial" w:eastAsia="Arial" w:hAnsi="Arial"/>
          <w:sz w:val="17"/>
          <w:szCs w:val="17"/>
          <w:color w:val="auto"/>
        </w:rPr>
        <w:t>A dedicated risk management team is responsible for centralized monitoring of the commercial mortgage loan portfolio. We apply a variety of guidelines to minimize credit risk in our commercial mortgage loan portfolio. When considering new commercial mortgage loans, we review the cash flow fundamentals of the property, make a physical assessment of the underlying commercial real estate, conduct a comprehensive market analysis and compare against industry lending practices. We use a proprietary risk rating model to evaluate all new and substantially all existing loans within the portfolio. The proprietary risk model is designed to stress projected cash flows under simulated economic and market downturns. Our lending guidelines are typically 75% or less loan-to-value ratio and a debt service coverage ratio of at least 1.2 times. We analyze investments outside of these guidelines based on cash flow quality, tenancy and other factors. The following table presents loan-to-value and debt service coverage ratios for our brick and mortar commercial mortgage loans:</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880" w:type="dxa"/>
            <w:vAlign w:val="bottom"/>
          </w:tcPr>
          <w:p>
            <w:pPr>
              <w:spacing w:after="0"/>
              <w:rPr>
                <w:sz w:val="14"/>
                <w:szCs w:val="14"/>
                <w:color w:val="auto"/>
              </w:rPr>
            </w:pPr>
          </w:p>
        </w:tc>
        <w:tc>
          <w:tcPr>
            <w:tcW w:w="2740" w:type="dxa"/>
            <w:vAlign w:val="bottom"/>
            <w:gridSpan w:val="4"/>
          </w:tcPr>
          <w:p>
            <w:pPr>
              <w:ind w:left="120"/>
              <w:spacing w:after="0"/>
              <w:rPr>
                <w:sz w:val="20"/>
                <w:szCs w:val="20"/>
                <w:color w:val="auto"/>
              </w:rPr>
            </w:pPr>
            <w:r>
              <w:rPr>
                <w:rFonts w:ascii="Arial" w:cs="Arial" w:eastAsia="Arial" w:hAnsi="Arial"/>
                <w:sz w:val="14"/>
                <w:szCs w:val="14"/>
                <w:b w:val="1"/>
                <w:bCs w:val="1"/>
                <w:color w:val="auto"/>
              </w:rPr>
              <w:t>Weighted average loan-to-value ratio</w:t>
            </w:r>
          </w:p>
        </w:tc>
        <w:tc>
          <w:tcPr>
            <w:tcW w:w="1940" w:type="dxa"/>
            <w:vAlign w:val="bottom"/>
            <w:gridSpan w:val="3"/>
          </w:tcPr>
          <w:p>
            <w:pPr>
              <w:jc w:val="center"/>
              <w:ind w:left="159"/>
              <w:spacing w:after="0"/>
              <w:rPr>
                <w:sz w:val="20"/>
                <w:szCs w:val="20"/>
                <w:color w:val="auto"/>
              </w:rPr>
            </w:pPr>
            <w:r>
              <w:rPr>
                <w:rFonts w:ascii="Arial" w:cs="Arial" w:eastAsia="Arial" w:hAnsi="Arial"/>
                <w:sz w:val="14"/>
                <w:szCs w:val="14"/>
                <w:b w:val="1"/>
                <w:bCs w:val="1"/>
                <w:color w:val="auto"/>
                <w:w w:val="90"/>
              </w:rPr>
              <w:t>Debt service coverage ratio</w:t>
            </w: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4880" w:type="dxa"/>
            <w:vAlign w:val="bottom"/>
          </w:tcPr>
          <w:p>
            <w:pPr>
              <w:spacing w:after="0"/>
              <w:rPr>
                <w:sz w:val="12"/>
                <w:szCs w:val="12"/>
                <w:color w:val="auto"/>
              </w:rPr>
            </w:pPr>
          </w:p>
        </w:tc>
        <w:tc>
          <w:tcPr>
            <w:tcW w:w="1060" w:type="dxa"/>
            <w:vAlign w:val="bottom"/>
            <w:tcBorders>
              <w:top w:val="single" w:sz="8" w:color="auto"/>
            </w:tcBorders>
          </w:tcPr>
          <w:p>
            <w:pPr>
              <w:ind w:left="120"/>
              <w:spacing w:after="0" w:line="142" w:lineRule="exact"/>
              <w:rPr>
                <w:sz w:val="20"/>
                <w:szCs w:val="20"/>
                <w:color w:val="auto"/>
              </w:rPr>
            </w:pPr>
            <w:r>
              <w:rPr>
                <w:rFonts w:ascii="Arial" w:cs="Arial" w:eastAsia="Arial" w:hAnsi="Arial"/>
                <w:sz w:val="14"/>
                <w:szCs w:val="14"/>
                <w:b w:val="1"/>
                <w:bCs w:val="1"/>
                <w:color w:val="auto"/>
              </w:rPr>
              <w:t>June 30, 2022</w:t>
            </w:r>
          </w:p>
        </w:tc>
        <w:tc>
          <w:tcPr>
            <w:tcW w:w="260" w:type="dxa"/>
            <w:vAlign w:val="bottom"/>
            <w:tcBorders>
              <w:top w:val="single" w:sz="8" w:color="auto"/>
            </w:tcBorders>
          </w:tcPr>
          <w:p>
            <w:pPr>
              <w:spacing w:after="0"/>
              <w:rPr>
                <w:sz w:val="12"/>
                <w:szCs w:val="12"/>
                <w:color w:val="auto"/>
              </w:rPr>
            </w:pPr>
          </w:p>
        </w:tc>
        <w:tc>
          <w:tcPr>
            <w:tcW w:w="118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91"/>
              </w:rPr>
              <w:t>December 31, 2021</w:t>
            </w:r>
          </w:p>
        </w:tc>
        <w:tc>
          <w:tcPr>
            <w:tcW w:w="240" w:type="dxa"/>
            <w:vAlign w:val="bottom"/>
          </w:tcPr>
          <w:p>
            <w:pPr>
              <w:spacing w:after="0"/>
              <w:rPr>
                <w:sz w:val="12"/>
                <w:szCs w:val="12"/>
                <w:color w:val="auto"/>
              </w:rPr>
            </w:pPr>
          </w:p>
        </w:tc>
        <w:tc>
          <w:tcPr>
            <w:tcW w:w="2200" w:type="dxa"/>
            <w:vAlign w:val="bottom"/>
            <w:tcBorders>
              <w:top w:val="single" w:sz="8" w:color="auto"/>
            </w:tcBorders>
            <w:gridSpan w:val="4"/>
          </w:tcPr>
          <w:p>
            <w:pPr>
              <w:jc w:val="center"/>
              <w:spacing w:after="0" w:line="142" w:lineRule="exact"/>
              <w:rPr>
                <w:sz w:val="20"/>
                <w:szCs w:val="20"/>
                <w:color w:val="auto"/>
              </w:rPr>
            </w:pPr>
            <w:r>
              <w:rPr>
                <w:rFonts w:ascii="Arial" w:cs="Arial" w:eastAsia="Arial" w:hAnsi="Arial"/>
                <w:sz w:val="14"/>
                <w:szCs w:val="14"/>
                <w:b w:val="1"/>
                <w:bCs w:val="1"/>
                <w:color w:val="auto"/>
                <w:w w:val="96"/>
              </w:rPr>
              <w:t>June 30, 2022  December 31, 2021</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4880" w:type="dxa"/>
            <w:vAlign w:val="bottom"/>
            <w:vMerge w:val="restart"/>
            <w:shd w:val="clear" w:color="auto" w:fill="CCEEFF"/>
          </w:tcPr>
          <w:p>
            <w:pPr>
              <w:spacing w:after="0"/>
              <w:rPr>
                <w:sz w:val="20"/>
                <w:szCs w:val="20"/>
                <w:color w:val="auto"/>
              </w:rPr>
            </w:pPr>
            <w:r>
              <w:rPr>
                <w:rFonts w:ascii="Arial" w:cs="Arial" w:eastAsia="Arial" w:hAnsi="Arial"/>
                <w:sz w:val="18"/>
                <w:szCs w:val="18"/>
                <w:color w:val="auto"/>
              </w:rPr>
              <w:t>New mortgages</w:t>
            </w:r>
          </w:p>
        </w:tc>
        <w:tc>
          <w:tcPr>
            <w:tcW w:w="1060" w:type="dxa"/>
            <w:vAlign w:val="bottom"/>
            <w:shd w:val="clear" w:color="auto" w:fill="000000"/>
          </w:tcPr>
          <w:p>
            <w:pPr>
              <w:spacing w:after="0" w:line="20" w:lineRule="exact"/>
              <w:rPr>
                <w:sz w:val="1"/>
                <w:szCs w:val="1"/>
                <w:color w:val="auto"/>
              </w:rPr>
            </w:pPr>
          </w:p>
        </w:tc>
        <w:tc>
          <w:tcPr>
            <w:tcW w:w="26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w:t>
            </w:r>
          </w:p>
        </w:tc>
        <w:tc>
          <w:tcPr>
            <w:tcW w:w="1180" w:type="dxa"/>
            <w:vAlign w:val="bottom"/>
            <w:shd w:val="clear" w:color="auto" w:fill="000000"/>
          </w:tcPr>
          <w:p>
            <w:pPr>
              <w:spacing w:after="0" w:line="20" w:lineRule="exact"/>
              <w:rPr>
                <w:sz w:val="1"/>
                <w:szCs w:val="1"/>
                <w:color w:val="auto"/>
              </w:rPr>
            </w:pPr>
          </w:p>
        </w:tc>
        <w:tc>
          <w:tcPr>
            <w:tcW w:w="24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w w:val="87"/>
              </w:rPr>
              <w:t>%</w:t>
            </w:r>
          </w:p>
        </w:tc>
        <w:tc>
          <w:tcPr>
            <w:tcW w:w="86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880" w:type="dxa"/>
            <w:vAlign w:val="bottom"/>
            <w:vMerge w:val="continue"/>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49</w:t>
            </w:r>
          </w:p>
        </w:tc>
        <w:tc>
          <w:tcPr>
            <w:tcW w:w="260" w:type="dxa"/>
            <w:vAlign w:val="bottom"/>
            <w:vMerge w:val="continue"/>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w:t>
            </w:r>
          </w:p>
        </w:tc>
        <w:tc>
          <w:tcPr>
            <w:tcW w:w="240" w:type="dxa"/>
            <w:vAlign w:val="bottom"/>
            <w:vMerge w:val="continue"/>
            <w:shd w:val="clear" w:color="auto" w:fill="CCEEFF"/>
          </w:tcPr>
          <w:p>
            <w:pPr>
              <w:spacing w:after="0"/>
              <w:rPr>
                <w:sz w:val="18"/>
                <w:szCs w:val="18"/>
                <w:color w:val="auto"/>
              </w:rPr>
            </w:pPr>
          </w:p>
        </w:tc>
        <w:tc>
          <w:tcPr>
            <w:tcW w:w="1000" w:type="dxa"/>
            <w:vAlign w:val="bottom"/>
            <w:gridSpan w:val="2"/>
            <w:shd w:val="clear" w:color="auto" w:fill="CCEEFF"/>
          </w:tcPr>
          <w:p>
            <w:pPr>
              <w:ind w:left="620"/>
              <w:spacing w:after="0"/>
              <w:rPr>
                <w:sz w:val="20"/>
                <w:szCs w:val="20"/>
                <w:color w:val="auto"/>
              </w:rPr>
            </w:pPr>
            <w:r>
              <w:rPr>
                <w:rFonts w:ascii="Arial" w:cs="Arial" w:eastAsia="Arial" w:hAnsi="Arial"/>
                <w:sz w:val="18"/>
                <w:szCs w:val="18"/>
                <w:b w:val="1"/>
                <w:bCs w:val="1"/>
                <w:color w:val="auto"/>
              </w:rPr>
              <w:t>2.5x</w:t>
            </w:r>
          </w:p>
        </w:tc>
        <w:tc>
          <w:tcPr>
            <w:tcW w:w="940" w:type="dxa"/>
            <w:vAlign w:val="bottom"/>
            <w:shd w:val="clear" w:color="auto" w:fill="CCEEFF"/>
          </w:tcPr>
          <w:p>
            <w:pPr>
              <w:spacing w:after="0"/>
              <w:rPr>
                <w:sz w:val="18"/>
                <w:szCs w:val="18"/>
                <w:color w:val="auto"/>
              </w:rPr>
            </w:pPr>
          </w:p>
        </w:tc>
        <w:tc>
          <w:tcPr>
            <w:tcW w:w="3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w w:val="93"/>
              </w:rPr>
              <w:t>3.2x</w:t>
            </w:r>
          </w:p>
        </w:tc>
        <w:tc>
          <w:tcPr>
            <w:tcW w:w="0" w:type="dxa"/>
            <w:vAlign w:val="bottom"/>
          </w:tcPr>
          <w:p>
            <w:pPr>
              <w:spacing w:after="0"/>
              <w:rPr>
                <w:sz w:val="1"/>
                <w:szCs w:val="1"/>
                <w:color w:val="auto"/>
              </w:rPr>
            </w:pPr>
          </w:p>
        </w:tc>
      </w:tr>
      <w:tr>
        <w:trPr>
          <w:trHeight w:val="234"/>
        </w:trPr>
        <w:tc>
          <w:tcPr>
            <w:tcW w:w="4880" w:type="dxa"/>
            <w:vAlign w:val="bottom"/>
          </w:tcPr>
          <w:p>
            <w:pPr>
              <w:spacing w:after="0"/>
              <w:rPr>
                <w:sz w:val="20"/>
                <w:szCs w:val="20"/>
                <w:color w:val="auto"/>
              </w:rPr>
            </w:pPr>
            <w:r>
              <w:rPr>
                <w:rFonts w:ascii="Arial" w:cs="Arial" w:eastAsia="Arial" w:hAnsi="Arial"/>
                <w:sz w:val="18"/>
                <w:szCs w:val="18"/>
                <w:color w:val="auto"/>
              </w:rPr>
              <w:t>Entire mortgage portfolio</w:t>
            </w:r>
          </w:p>
        </w:tc>
        <w:tc>
          <w:tcPr>
            <w:tcW w:w="1320" w:type="dxa"/>
            <w:vAlign w:val="bottom"/>
            <w:gridSpan w:val="2"/>
          </w:tcPr>
          <w:p>
            <w:pPr>
              <w:jc w:val="right"/>
              <w:spacing w:after="0"/>
              <w:rPr>
                <w:sz w:val="20"/>
                <w:szCs w:val="20"/>
                <w:color w:val="auto"/>
              </w:rPr>
            </w:pPr>
            <w:r>
              <w:rPr>
                <w:rFonts w:ascii="Arial" w:cs="Arial" w:eastAsia="Arial" w:hAnsi="Arial"/>
                <w:sz w:val="18"/>
                <w:szCs w:val="18"/>
                <w:b w:val="1"/>
                <w:bCs w:val="1"/>
                <w:color w:val="auto"/>
              </w:rPr>
              <w:t>45 %</w:t>
            </w:r>
          </w:p>
        </w:tc>
        <w:tc>
          <w:tcPr>
            <w:tcW w:w="1420" w:type="dxa"/>
            <w:vAlign w:val="bottom"/>
            <w:gridSpan w:val="2"/>
          </w:tcPr>
          <w:p>
            <w:pPr>
              <w:jc w:val="right"/>
              <w:spacing w:after="0"/>
              <w:rPr>
                <w:sz w:val="20"/>
                <w:szCs w:val="20"/>
                <w:color w:val="auto"/>
              </w:rPr>
            </w:pPr>
            <w:r>
              <w:rPr>
                <w:rFonts w:ascii="Arial" w:cs="Arial" w:eastAsia="Arial" w:hAnsi="Arial"/>
                <w:sz w:val="18"/>
                <w:szCs w:val="18"/>
                <w:color w:val="auto"/>
              </w:rPr>
              <w:t>46 %</w:t>
            </w:r>
          </w:p>
        </w:tc>
        <w:tc>
          <w:tcPr>
            <w:tcW w:w="1940" w:type="dxa"/>
            <w:vAlign w:val="bottom"/>
            <w:gridSpan w:val="3"/>
          </w:tcPr>
          <w:p>
            <w:pPr>
              <w:ind w:left="620"/>
              <w:spacing w:after="0"/>
              <w:rPr>
                <w:sz w:val="20"/>
                <w:szCs w:val="20"/>
                <w:color w:val="auto"/>
              </w:rPr>
            </w:pPr>
            <w:r>
              <w:rPr>
                <w:rFonts w:ascii="Arial" w:cs="Arial" w:eastAsia="Arial" w:hAnsi="Arial"/>
                <w:sz w:val="18"/>
                <w:szCs w:val="18"/>
                <w:b w:val="1"/>
                <w:bCs w:val="1"/>
                <w:color w:val="auto"/>
              </w:rPr>
              <w:t>2.5x</w:t>
            </w:r>
          </w:p>
        </w:tc>
        <w:tc>
          <w:tcPr>
            <w:tcW w:w="360" w:type="dxa"/>
            <w:vAlign w:val="bottom"/>
            <w:gridSpan w:val="2"/>
          </w:tcPr>
          <w:p>
            <w:pPr>
              <w:ind w:left="20"/>
              <w:spacing w:after="0"/>
              <w:rPr>
                <w:sz w:val="20"/>
                <w:szCs w:val="20"/>
                <w:color w:val="auto"/>
              </w:rPr>
            </w:pPr>
            <w:r>
              <w:rPr>
                <w:rFonts w:ascii="Arial" w:cs="Arial" w:eastAsia="Arial" w:hAnsi="Arial"/>
                <w:sz w:val="18"/>
                <w:szCs w:val="18"/>
                <w:color w:val="auto"/>
                <w:w w:val="93"/>
              </w:rPr>
              <w:t>2.5x</w:t>
            </w:r>
          </w:p>
        </w:tc>
        <w:tc>
          <w:tcPr>
            <w:tcW w:w="0" w:type="dxa"/>
            <w:vAlign w:val="bottom"/>
          </w:tcPr>
          <w:p>
            <w:pPr>
              <w:spacing w:after="0"/>
              <w:rPr>
                <w:sz w:val="1"/>
                <w:szCs w:val="1"/>
                <w:color w:val="auto"/>
              </w:rPr>
            </w:pPr>
          </w:p>
        </w:tc>
      </w:tr>
    </w:tbl>
    <w:p>
      <w:pPr>
        <w:spacing w:after="0" w:line="183" w:lineRule="exact"/>
        <w:rPr>
          <w:sz w:val="20"/>
          <w:szCs w:val="20"/>
          <w:color w:val="auto"/>
        </w:rPr>
      </w:pPr>
    </w:p>
    <w:p>
      <w:pPr>
        <w:ind w:right="860" w:firstLine="648"/>
        <w:spacing w:after="0" w:line="342" w:lineRule="auto"/>
        <w:rPr>
          <w:sz w:val="20"/>
          <w:szCs w:val="20"/>
          <w:color w:val="auto"/>
        </w:rPr>
      </w:pPr>
      <w:r>
        <w:rPr>
          <w:rFonts w:ascii="Arial" w:cs="Arial" w:eastAsia="Arial" w:hAnsi="Arial"/>
          <w:sz w:val="16"/>
          <w:szCs w:val="16"/>
          <w:color w:val="auto"/>
        </w:rPr>
        <w:t>We also seek to manage call or prepayment risk arising from changes in interest rates. We assess and price for call or prepayment risks in all of our investments and monitor these risks in accordance with asset/liability management policies.</w:t>
      </w: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540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113" w:name="page114"/>
    <w:bookmarkEnd w:id="113"/>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9" w:lineRule="exact"/>
        <w:rPr>
          <w:sz w:val="20"/>
          <w:szCs w:val="20"/>
          <w:color w:val="auto"/>
        </w:rPr>
      </w:pPr>
    </w:p>
    <w:p>
      <w:pPr>
        <w:ind w:right="20" w:firstLine="648"/>
        <w:spacing w:after="0" w:line="255" w:lineRule="auto"/>
        <w:rPr>
          <w:sz w:val="20"/>
          <w:szCs w:val="20"/>
          <w:color w:val="auto"/>
        </w:rPr>
      </w:pPr>
      <w:r>
        <w:rPr>
          <w:rFonts w:ascii="Arial" w:cs="Arial" w:eastAsia="Arial" w:hAnsi="Arial"/>
          <w:sz w:val="18"/>
          <w:szCs w:val="18"/>
          <w:color w:val="auto"/>
        </w:rPr>
        <w:t>The amortized cost and weighted average yield, calculated using amortized cost, of non-structured fixed maturity securities that will be callable at the option of the issuer, excluding securities with a make-whole provision, were $2,404.8 million and 3.7%, respectively, as of June 30, 2022, and $3,560.6 million and 3.4%, respectively, as of December 31, 2021. In addition, the amortized cost and weighted average yield of RMBS, residential collateralized mortgage obligations, and asset-backed securities - home equity with material prepayment risk were $5,030.0 million and 2.5%, respectively, as of June 30, 2022, and $7,131.1 million and 2.2%, respectively, as of December 31, 2021.</w:t>
      </w:r>
    </w:p>
    <w:p>
      <w:pPr>
        <w:spacing w:after="0" w:line="192"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Our investment decisions and objectives are a function of the underlying risks and product profiles of each primary business operation. In addition, we diversify our product portfolio offerings to include products that contain features that will protect us against fluctuations in interest rates. Those features include adjustable crediting rates, policy surrender charges and market value adjustments on liquidations. For further information on our management of interest rate risk, see Item 3. “Quantitative and Qualitative Disclosures About Market Risk – Interest Rate Risk.”</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Overall Composition of U.S. Invested Assets</w:t>
      </w:r>
    </w:p>
    <w:p>
      <w:pPr>
        <w:spacing w:after="0" w:line="225" w:lineRule="exact"/>
        <w:rPr>
          <w:sz w:val="20"/>
          <w:szCs w:val="20"/>
          <w:color w:val="auto"/>
        </w:rPr>
      </w:pPr>
    </w:p>
    <w:p>
      <w:pPr>
        <w:ind w:right="180" w:firstLine="648"/>
        <w:spacing w:after="0" w:line="342" w:lineRule="auto"/>
        <w:rPr>
          <w:sz w:val="20"/>
          <w:szCs w:val="20"/>
          <w:color w:val="auto"/>
        </w:rPr>
      </w:pPr>
      <w:r>
        <w:rPr>
          <w:rFonts w:ascii="Arial" w:cs="Arial" w:eastAsia="Arial" w:hAnsi="Arial"/>
          <w:sz w:val="16"/>
          <w:szCs w:val="16"/>
          <w:color w:val="auto"/>
        </w:rPr>
        <w:t>As shown in the following table, the major categories of U.S. invested assets are fixed maturities and commercial mortgage loans. The following discussion analyzes the composition of U.S. invested assets, but excludes invested assets of the separate accounts.</w:t>
      </w:r>
    </w:p>
    <w:p>
      <w:pPr>
        <w:spacing w:after="0" w:line="12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1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440" w:type="dxa"/>
            <w:vAlign w:val="bottom"/>
            <w:gridSpan w:val="3"/>
          </w:tcPr>
          <w:p>
            <w:pPr>
              <w:ind w:left="440"/>
              <w:spacing w:after="0"/>
              <w:rPr>
                <w:sz w:val="20"/>
                <w:szCs w:val="20"/>
                <w:color w:val="auto"/>
              </w:rPr>
            </w:pPr>
            <w:r>
              <w:rPr>
                <w:rFonts w:ascii="Arial" w:cs="Arial" w:eastAsia="Arial" w:hAnsi="Arial"/>
                <w:sz w:val="14"/>
                <w:szCs w:val="14"/>
                <w:b w:val="1"/>
                <w:bCs w:val="1"/>
                <w:color w:val="auto"/>
              </w:rPr>
              <w:t>June 30, 2022</w:t>
            </w:r>
          </w:p>
        </w:tc>
        <w:tc>
          <w:tcPr>
            <w:tcW w:w="5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080" w:type="dxa"/>
            <w:vAlign w:val="bottom"/>
            <w:gridSpan w:val="4"/>
          </w:tcPr>
          <w:p>
            <w:pPr>
              <w:jc w:val="right"/>
              <w:ind w:right="590"/>
              <w:spacing w:after="0"/>
              <w:rPr>
                <w:sz w:val="20"/>
                <w:szCs w:val="20"/>
                <w:color w:val="auto"/>
              </w:rPr>
            </w:pPr>
            <w:r>
              <w:rPr>
                <w:rFonts w:ascii="Arial" w:cs="Arial" w:eastAsia="Arial" w:hAnsi="Arial"/>
                <w:sz w:val="14"/>
                <w:szCs w:val="14"/>
                <w:b w:val="1"/>
                <w:bCs w:val="1"/>
                <w:color w:val="auto"/>
              </w:rPr>
              <w:t>December 31, 2021</w:t>
            </w:r>
          </w:p>
        </w:tc>
        <w:tc>
          <w:tcPr>
            <w:tcW w:w="0" w:type="dxa"/>
            <w:vAlign w:val="bottom"/>
          </w:tcPr>
          <w:p>
            <w:pPr>
              <w:spacing w:after="0"/>
              <w:rPr>
                <w:sz w:val="1"/>
                <w:szCs w:val="1"/>
                <w:color w:val="auto"/>
              </w:rPr>
            </w:pPr>
          </w:p>
        </w:tc>
      </w:tr>
      <w:tr>
        <w:trPr>
          <w:trHeight w:val="142"/>
        </w:trPr>
        <w:tc>
          <w:tcPr>
            <w:tcW w:w="5120" w:type="dxa"/>
            <w:vAlign w:val="bottom"/>
          </w:tcPr>
          <w:p>
            <w:pPr>
              <w:spacing w:after="0"/>
              <w:rPr>
                <w:sz w:val="12"/>
                <w:szCs w:val="12"/>
                <w:color w:val="auto"/>
              </w:rPr>
            </w:pPr>
          </w:p>
        </w:tc>
        <w:tc>
          <w:tcPr>
            <w:tcW w:w="1080" w:type="dxa"/>
            <w:vAlign w:val="bottom"/>
            <w:tcBorders>
              <w:top w:val="single" w:sz="8" w:color="auto"/>
              <w:bottom w:val="single" w:sz="8" w:color="auto"/>
            </w:tcBorders>
            <w:gridSpan w:val="2"/>
          </w:tcPr>
          <w:p>
            <w:pPr>
              <w:spacing w:after="0" w:line="142" w:lineRule="exact"/>
              <w:rPr>
                <w:sz w:val="20"/>
                <w:szCs w:val="20"/>
                <w:color w:val="auto"/>
              </w:rPr>
            </w:pPr>
            <w:r>
              <w:rPr>
                <w:rFonts w:ascii="Arial" w:cs="Arial" w:eastAsia="Arial" w:hAnsi="Arial"/>
                <w:sz w:val="14"/>
                <w:szCs w:val="14"/>
                <w:b w:val="1"/>
                <w:bCs w:val="1"/>
                <w:color w:val="auto"/>
                <w:w w:val="94"/>
              </w:rPr>
              <w:t>Carrying amount</w:t>
            </w:r>
          </w:p>
        </w:tc>
        <w:tc>
          <w:tcPr>
            <w:tcW w:w="180" w:type="dxa"/>
            <w:vAlign w:val="bottom"/>
            <w:tcBorders>
              <w:top w:val="single" w:sz="8" w:color="auto"/>
            </w:tcBorders>
          </w:tcPr>
          <w:p>
            <w:pPr>
              <w:spacing w:after="0"/>
              <w:rPr>
                <w:sz w:val="12"/>
                <w:szCs w:val="12"/>
                <w:color w:val="auto"/>
              </w:rPr>
            </w:pPr>
          </w:p>
        </w:tc>
        <w:tc>
          <w:tcPr>
            <w:tcW w:w="920" w:type="dxa"/>
            <w:vAlign w:val="bottom"/>
            <w:tcBorders>
              <w:top w:val="single" w:sz="8" w:color="auto"/>
              <w:bottom w:val="single" w:sz="8" w:color="auto"/>
            </w:tcBorders>
            <w:gridSpan w:val="2"/>
          </w:tcPr>
          <w:p>
            <w:pPr>
              <w:jc w:val="right"/>
              <w:ind w:right="72"/>
              <w:spacing w:after="0" w:line="142" w:lineRule="exact"/>
              <w:rPr>
                <w:sz w:val="20"/>
                <w:szCs w:val="20"/>
                <w:color w:val="auto"/>
              </w:rPr>
            </w:pPr>
            <w:r>
              <w:rPr>
                <w:rFonts w:ascii="Arial" w:cs="Arial" w:eastAsia="Arial" w:hAnsi="Arial"/>
                <w:sz w:val="14"/>
                <w:szCs w:val="14"/>
                <w:b w:val="1"/>
                <w:bCs w:val="1"/>
                <w:color w:val="auto"/>
              </w:rPr>
              <w:t>% of total</w:t>
            </w:r>
          </w:p>
        </w:tc>
        <w:tc>
          <w:tcPr>
            <w:tcW w:w="2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100" w:type="dxa"/>
            <w:vAlign w:val="bottom"/>
            <w:tcBorders>
              <w:top w:val="single" w:sz="8" w:color="auto"/>
              <w:bottom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w w:val="96"/>
              </w:rPr>
              <w:t>Carrying amount</w:t>
            </w:r>
          </w:p>
        </w:tc>
        <w:tc>
          <w:tcPr>
            <w:tcW w:w="180" w:type="dxa"/>
            <w:vAlign w:val="bottom"/>
            <w:tcBorders>
              <w:top w:val="single" w:sz="8" w:color="auto"/>
            </w:tcBorders>
          </w:tcPr>
          <w:p>
            <w:pPr>
              <w:spacing w:after="0"/>
              <w:rPr>
                <w:sz w:val="12"/>
                <w:szCs w:val="12"/>
                <w:color w:val="auto"/>
              </w:rPr>
            </w:pPr>
          </w:p>
        </w:tc>
        <w:tc>
          <w:tcPr>
            <w:tcW w:w="920" w:type="dxa"/>
            <w:vAlign w:val="bottom"/>
            <w:tcBorders>
              <w:top w:val="single" w:sz="8" w:color="auto"/>
              <w:bottom w:val="single" w:sz="8" w:color="auto"/>
            </w:tcBorders>
          </w:tcPr>
          <w:p>
            <w:pPr>
              <w:jc w:val="right"/>
              <w:ind w:right="79"/>
              <w:spacing w:after="0" w:line="142" w:lineRule="exact"/>
              <w:rPr>
                <w:sz w:val="20"/>
                <w:szCs w:val="20"/>
                <w:color w:val="auto"/>
              </w:rPr>
            </w:pPr>
            <w:r>
              <w:rPr>
                <w:rFonts w:ascii="Arial" w:cs="Arial" w:eastAsia="Arial" w:hAnsi="Arial"/>
                <w:sz w:val="14"/>
                <w:szCs w:val="14"/>
                <w:b w:val="1"/>
                <w:bCs w:val="1"/>
                <w:color w:val="auto"/>
              </w:rPr>
              <w:t>% of total</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8"/>
        </w:trPr>
        <w:tc>
          <w:tcPr>
            <w:tcW w:w="5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40" w:type="dxa"/>
            <w:vAlign w:val="bottom"/>
            <w:gridSpan w:val="4"/>
          </w:tcPr>
          <w:p>
            <w:pPr>
              <w:jc w:val="right"/>
              <w:spacing w:after="0" w:line="129" w:lineRule="exact"/>
              <w:rPr>
                <w:sz w:val="20"/>
                <w:szCs w:val="20"/>
                <w:color w:val="auto"/>
              </w:rPr>
            </w:pPr>
            <w:r>
              <w:rPr>
                <w:rFonts w:ascii="Arial" w:cs="Arial" w:eastAsia="Arial" w:hAnsi="Arial"/>
                <w:sz w:val="14"/>
                <w:szCs w:val="14"/>
                <w:i w:val="1"/>
                <w:iCs w:val="1"/>
                <w:color w:val="auto"/>
              </w:rPr>
              <w:t>(in millions)</w:t>
            </w:r>
          </w:p>
        </w:tc>
        <w:tc>
          <w:tcPr>
            <w:tcW w:w="8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5120" w:type="dxa"/>
            <w:vAlign w:val="bottom"/>
            <w:shd w:val="clear" w:color="auto" w:fill="CCEEFF"/>
          </w:tcPr>
          <w:p>
            <w:pPr>
              <w:spacing w:after="0"/>
              <w:rPr>
                <w:sz w:val="20"/>
                <w:szCs w:val="20"/>
                <w:color w:val="auto"/>
              </w:rPr>
            </w:pPr>
            <w:r>
              <w:rPr>
                <w:rFonts w:ascii="Arial" w:cs="Arial" w:eastAsia="Arial" w:hAnsi="Arial"/>
                <w:sz w:val="18"/>
                <w:szCs w:val="18"/>
                <w:color w:val="auto"/>
              </w:rPr>
              <w:t>Fixed maturities</w:t>
            </w:r>
          </w:p>
        </w:tc>
        <w:tc>
          <w:tcPr>
            <w:tcW w:w="2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45,389.1</w:t>
            </w:r>
          </w:p>
        </w:tc>
        <w:tc>
          <w:tcPr>
            <w:tcW w:w="1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40" w:type="dxa"/>
            <w:vAlign w:val="bottom"/>
            <w:gridSpan w:val="4"/>
            <w:shd w:val="clear" w:color="auto" w:fill="CCEEFF"/>
          </w:tcPr>
          <w:p>
            <w:pPr>
              <w:jc w:val="right"/>
              <w:ind w:right="99"/>
              <w:spacing w:after="0"/>
              <w:rPr>
                <w:sz w:val="20"/>
                <w:szCs w:val="20"/>
                <w:color w:val="auto"/>
              </w:rPr>
            </w:pPr>
            <w:r>
              <w:rPr>
                <w:rFonts w:ascii="Arial" w:cs="Arial" w:eastAsia="Arial" w:hAnsi="Arial"/>
                <w:sz w:val="18"/>
                <w:szCs w:val="18"/>
                <w:b w:val="1"/>
                <w:bCs w:val="1"/>
                <w:color w:val="auto"/>
              </w:rPr>
              <w:t xml:space="preserve">66 % </w:t>
            </w: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75,553.4</w:t>
            </w:r>
          </w:p>
        </w:tc>
        <w:tc>
          <w:tcPr>
            <w:tcW w:w="12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74 %</w:t>
            </w:r>
          </w:p>
        </w:tc>
        <w:tc>
          <w:tcPr>
            <w:tcW w:w="0" w:type="dxa"/>
            <w:vAlign w:val="bottom"/>
          </w:tcPr>
          <w:p>
            <w:pPr>
              <w:spacing w:after="0"/>
              <w:rPr>
                <w:sz w:val="1"/>
                <w:szCs w:val="1"/>
                <w:color w:val="auto"/>
              </w:rPr>
            </w:pPr>
          </w:p>
        </w:tc>
      </w:tr>
      <w:tr>
        <w:trPr>
          <w:trHeight w:val="216"/>
        </w:trPr>
        <w:tc>
          <w:tcPr>
            <w:tcW w:w="5120" w:type="dxa"/>
            <w:vAlign w:val="bottom"/>
          </w:tcPr>
          <w:p>
            <w:pPr>
              <w:spacing w:after="0"/>
              <w:rPr>
                <w:sz w:val="20"/>
                <w:szCs w:val="20"/>
                <w:color w:val="auto"/>
              </w:rPr>
            </w:pPr>
            <w:r>
              <w:rPr>
                <w:rFonts w:ascii="Arial" w:cs="Arial" w:eastAsia="Arial" w:hAnsi="Arial"/>
                <w:sz w:val="18"/>
                <w:szCs w:val="18"/>
                <w:color w:val="auto"/>
              </w:rPr>
              <w:t>Equity securities</w:t>
            </w: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b w:val="1"/>
                <w:bCs w:val="1"/>
                <w:color w:val="auto"/>
              </w:rPr>
              <w:t>547.3</w:t>
            </w:r>
          </w:p>
        </w:tc>
        <w:tc>
          <w:tcPr>
            <w:tcW w:w="1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b w:val="1"/>
                <w:bCs w:val="1"/>
                <w:color w:val="auto"/>
              </w:rPr>
              <w:t>1</w:t>
            </w:r>
          </w:p>
        </w:tc>
        <w:tc>
          <w:tcPr>
            <w:tcW w:w="2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1,051.5</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1</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120" w:type="dxa"/>
            <w:vAlign w:val="bottom"/>
            <w:shd w:val="clear" w:color="auto" w:fill="CCEEFF"/>
          </w:tcPr>
          <w:p>
            <w:pPr>
              <w:spacing w:after="0"/>
              <w:rPr>
                <w:sz w:val="20"/>
                <w:szCs w:val="20"/>
                <w:color w:val="auto"/>
              </w:rPr>
            </w:pPr>
            <w:r>
              <w:rPr>
                <w:rFonts w:ascii="Arial" w:cs="Arial" w:eastAsia="Arial" w:hAnsi="Arial"/>
                <w:sz w:val="18"/>
                <w:szCs w:val="18"/>
                <w:color w:val="auto"/>
              </w:rPr>
              <w:t>Mortgage loans</w:t>
            </w: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16,662.0</w:t>
            </w:r>
          </w:p>
        </w:tc>
        <w:tc>
          <w:tcPr>
            <w:tcW w:w="1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24</w:t>
            </w:r>
          </w:p>
        </w:tc>
        <w:tc>
          <w:tcPr>
            <w:tcW w:w="2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18,862.7</w:t>
            </w:r>
          </w:p>
        </w:tc>
        <w:tc>
          <w:tcPr>
            <w:tcW w:w="1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19</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120" w:type="dxa"/>
            <w:vAlign w:val="bottom"/>
          </w:tcPr>
          <w:p>
            <w:pPr>
              <w:spacing w:after="0"/>
              <w:rPr>
                <w:sz w:val="20"/>
                <w:szCs w:val="20"/>
                <w:color w:val="auto"/>
              </w:rPr>
            </w:pPr>
            <w:r>
              <w:rPr>
                <w:rFonts w:ascii="Arial" w:cs="Arial" w:eastAsia="Arial" w:hAnsi="Arial"/>
                <w:sz w:val="18"/>
                <w:szCs w:val="18"/>
                <w:color w:val="auto"/>
              </w:rPr>
              <w:t>Real estate</w:t>
            </w: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b w:val="1"/>
                <w:bCs w:val="1"/>
                <w:color w:val="auto"/>
              </w:rPr>
              <w:t>2,059.3</w:t>
            </w:r>
          </w:p>
        </w:tc>
        <w:tc>
          <w:tcPr>
            <w:tcW w:w="1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b w:val="1"/>
                <w:bCs w:val="1"/>
                <w:color w:val="auto"/>
              </w:rPr>
              <w:t>3</w:t>
            </w:r>
          </w:p>
        </w:tc>
        <w:tc>
          <w:tcPr>
            <w:tcW w:w="2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2,060.6</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2</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120" w:type="dxa"/>
            <w:vAlign w:val="bottom"/>
            <w:shd w:val="clear" w:color="auto" w:fill="CCEEFF"/>
          </w:tcPr>
          <w:p>
            <w:pPr>
              <w:spacing w:after="0"/>
              <w:rPr>
                <w:sz w:val="20"/>
                <w:szCs w:val="20"/>
                <w:color w:val="auto"/>
              </w:rPr>
            </w:pPr>
            <w:r>
              <w:rPr>
                <w:rFonts w:ascii="Arial" w:cs="Arial" w:eastAsia="Arial" w:hAnsi="Arial"/>
                <w:sz w:val="18"/>
                <w:szCs w:val="18"/>
                <w:color w:val="auto"/>
              </w:rPr>
              <w:t>Policy loans</w:t>
            </w: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753.6</w:t>
            </w:r>
          </w:p>
        </w:tc>
        <w:tc>
          <w:tcPr>
            <w:tcW w:w="1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w:t>
            </w:r>
          </w:p>
        </w:tc>
        <w:tc>
          <w:tcPr>
            <w:tcW w:w="2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745.7</w:t>
            </w:r>
          </w:p>
        </w:tc>
        <w:tc>
          <w:tcPr>
            <w:tcW w:w="1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120" w:type="dxa"/>
            <w:vAlign w:val="bottom"/>
          </w:tcPr>
          <w:p>
            <w:pPr>
              <w:spacing w:after="0"/>
              <w:rPr>
                <w:sz w:val="20"/>
                <w:szCs w:val="20"/>
                <w:color w:val="auto"/>
              </w:rPr>
            </w:pPr>
            <w:r>
              <w:rPr>
                <w:rFonts w:ascii="Arial" w:cs="Arial" w:eastAsia="Arial" w:hAnsi="Arial"/>
                <w:sz w:val="18"/>
                <w:szCs w:val="18"/>
                <w:color w:val="auto"/>
              </w:rPr>
              <w:t>Other investments</w:t>
            </w: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b w:val="1"/>
                <w:bCs w:val="1"/>
                <w:color w:val="auto"/>
              </w:rPr>
              <w:t>3,620.5</w:t>
            </w:r>
          </w:p>
        </w:tc>
        <w:tc>
          <w:tcPr>
            <w:tcW w:w="1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b w:val="1"/>
                <w:bCs w:val="1"/>
                <w:color w:val="auto"/>
              </w:rPr>
              <w:t>5</w:t>
            </w:r>
          </w:p>
        </w:tc>
        <w:tc>
          <w:tcPr>
            <w:tcW w:w="2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3,671.7</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3</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120" w:type="dxa"/>
            <w:vAlign w:val="bottom"/>
            <w:tcBorders>
              <w:top w:val="single" w:sz="8" w:color="CCEEFF"/>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Total invested assets</w:t>
            </w:r>
          </w:p>
        </w:tc>
        <w:tc>
          <w:tcPr>
            <w:tcW w:w="240" w:type="dxa"/>
            <w:vAlign w:val="bottom"/>
            <w:tcBorders>
              <w:top w:val="single" w:sz="8" w:color="auto"/>
              <w:bottom w:val="single" w:sz="8" w:color="CCEEFF"/>
            </w:tcBorders>
            <w:shd w:val="clear" w:color="auto" w:fill="CCEEFF"/>
          </w:tcPr>
          <w:p>
            <w:pPr>
              <w:spacing w:after="0"/>
              <w:rPr>
                <w:sz w:val="18"/>
                <w:szCs w:val="18"/>
                <w:color w:val="auto"/>
              </w:rPr>
            </w:pPr>
          </w:p>
        </w:tc>
        <w:tc>
          <w:tcPr>
            <w:tcW w:w="8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69,031.8</w:t>
            </w:r>
          </w:p>
        </w:tc>
        <w:tc>
          <w:tcPr>
            <w:tcW w:w="180" w:type="dxa"/>
            <w:vAlign w:val="bottom"/>
            <w:tcBorders>
              <w:top w:val="single" w:sz="8" w:color="CCEEFF"/>
              <w:bottom w:val="single" w:sz="8" w:color="CCEEFF"/>
            </w:tcBorders>
            <w:shd w:val="clear" w:color="auto" w:fill="CCEEFF"/>
          </w:tcPr>
          <w:p>
            <w:pPr>
              <w:spacing w:after="0"/>
              <w:rPr>
                <w:sz w:val="18"/>
                <w:szCs w:val="18"/>
                <w:color w:val="auto"/>
              </w:rPr>
            </w:pPr>
          </w:p>
        </w:tc>
        <w:tc>
          <w:tcPr>
            <w:tcW w:w="420" w:type="dxa"/>
            <w:vAlign w:val="bottom"/>
            <w:tcBorders>
              <w:top w:val="single" w:sz="8" w:color="auto"/>
              <w:bottom w:val="single" w:sz="8" w:color="auto"/>
            </w:tcBorders>
            <w:shd w:val="clear" w:color="auto" w:fill="CCEEFF"/>
          </w:tcPr>
          <w:p>
            <w:pPr>
              <w:spacing w:after="0"/>
              <w:rPr>
                <w:sz w:val="18"/>
                <w:szCs w:val="18"/>
                <w:color w:val="auto"/>
              </w:rPr>
            </w:pPr>
          </w:p>
        </w:tc>
        <w:tc>
          <w:tcPr>
            <w:tcW w:w="5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100</w:t>
            </w:r>
          </w:p>
        </w:tc>
        <w:tc>
          <w:tcPr>
            <w:tcW w:w="220" w:type="dxa"/>
            <w:vAlign w:val="bottom"/>
            <w:tcBorders>
              <w:top w:val="single" w:sz="8" w:color="CCEEFF"/>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w:t>
            </w:r>
          </w:p>
        </w:tc>
        <w:tc>
          <w:tcPr>
            <w:tcW w:w="40" w:type="dxa"/>
            <w:vAlign w:val="bottom"/>
            <w:tcBorders>
              <w:top w:val="single" w:sz="8" w:color="CCEEFF"/>
              <w:bottom w:val="single" w:sz="8" w:color="CCEEFF"/>
            </w:tcBorders>
            <w:shd w:val="clear" w:color="auto" w:fill="CCEEFF"/>
          </w:tcPr>
          <w:p>
            <w:pPr>
              <w:spacing w:after="0"/>
              <w:rPr>
                <w:sz w:val="18"/>
                <w:szCs w:val="18"/>
                <w:color w:val="auto"/>
              </w:rPr>
            </w:pPr>
          </w:p>
        </w:tc>
        <w:tc>
          <w:tcPr>
            <w:tcW w:w="280" w:type="dxa"/>
            <w:vAlign w:val="bottom"/>
            <w:tcBorders>
              <w:top w:val="single" w:sz="8" w:color="auto"/>
              <w:bottom w:val="single" w:sz="8" w:color="CCEEFF"/>
            </w:tcBorders>
            <w:shd w:val="clear" w:color="auto" w:fill="CCEEFF"/>
          </w:tcPr>
          <w:p>
            <w:pPr>
              <w:spacing w:after="0"/>
              <w:rPr>
                <w:sz w:val="18"/>
                <w:szCs w:val="18"/>
                <w:color w:val="auto"/>
              </w:rPr>
            </w:pPr>
          </w:p>
        </w:tc>
        <w:tc>
          <w:tcPr>
            <w:tcW w:w="8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2"/>
              </w:rPr>
              <w:t>101,945.6</w:t>
            </w:r>
          </w:p>
        </w:tc>
        <w:tc>
          <w:tcPr>
            <w:tcW w:w="180" w:type="dxa"/>
            <w:vAlign w:val="bottom"/>
            <w:tcBorders>
              <w:top w:val="single" w:sz="8" w:color="CCEEFF"/>
              <w:bottom w:val="single" w:sz="8" w:color="CCEEFF"/>
            </w:tcBorders>
            <w:shd w:val="clear" w:color="auto" w:fill="CCEEFF"/>
          </w:tcPr>
          <w:p>
            <w:pPr>
              <w:spacing w:after="0"/>
              <w:rPr>
                <w:sz w:val="18"/>
                <w:szCs w:val="18"/>
                <w:color w:val="auto"/>
              </w:rPr>
            </w:pP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w:t>
            </w:r>
          </w:p>
        </w:tc>
        <w:tc>
          <w:tcPr>
            <w:tcW w:w="160" w:type="dxa"/>
            <w:vAlign w:val="bottom"/>
            <w:tcBorders>
              <w:top w:val="single" w:sz="8" w:color="CCEEFF"/>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4"/>
              </w:rPr>
              <w:t>%</w:t>
            </w:r>
          </w:p>
        </w:tc>
        <w:tc>
          <w:tcPr>
            <w:tcW w:w="0" w:type="dxa"/>
            <w:vAlign w:val="bottom"/>
          </w:tcPr>
          <w:p>
            <w:pPr>
              <w:spacing w:after="0"/>
              <w:rPr>
                <w:sz w:val="1"/>
                <w:szCs w:val="1"/>
                <w:color w:val="auto"/>
              </w:rPr>
            </w:pPr>
          </w:p>
        </w:tc>
      </w:tr>
      <w:tr>
        <w:trPr>
          <w:trHeight w:val="20"/>
        </w:trPr>
        <w:tc>
          <w:tcPr>
            <w:tcW w:w="5120" w:type="dxa"/>
            <w:vAlign w:val="bottom"/>
            <w:vMerge w:val="restart"/>
          </w:tcPr>
          <w:p>
            <w:pPr>
              <w:spacing w:after="0"/>
              <w:rPr>
                <w:sz w:val="20"/>
                <w:szCs w:val="20"/>
                <w:color w:val="auto"/>
              </w:rPr>
            </w:pPr>
            <w:r>
              <w:rPr>
                <w:rFonts w:ascii="Arial" w:cs="Arial" w:eastAsia="Arial" w:hAnsi="Arial"/>
                <w:sz w:val="18"/>
                <w:szCs w:val="18"/>
                <w:color w:val="auto"/>
              </w:rPr>
              <w:t>Cash and cash equivalents</w:t>
            </w:r>
          </w:p>
        </w:tc>
        <w:tc>
          <w:tcPr>
            <w:tcW w:w="240" w:type="dxa"/>
            <w:vAlign w:val="bottom"/>
          </w:tcPr>
          <w:p>
            <w:pPr>
              <w:spacing w:after="0" w:line="20" w:lineRule="exact"/>
              <w:rPr>
                <w:sz w:val="1"/>
                <w:szCs w:val="1"/>
                <w:color w:val="auto"/>
              </w:rPr>
            </w:pPr>
          </w:p>
        </w:tc>
        <w:tc>
          <w:tcPr>
            <w:tcW w:w="84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2,579.9</w:t>
            </w:r>
          </w:p>
        </w:tc>
        <w:tc>
          <w:tcPr>
            <w:tcW w:w="18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20" w:type="dxa"/>
            <w:vAlign w:val="bottom"/>
            <w:vMerge w:val="restart"/>
          </w:tcPr>
          <w:p>
            <w:pPr>
              <w:jc w:val="right"/>
              <w:spacing w:after="0"/>
              <w:rPr>
                <w:sz w:val="20"/>
                <w:szCs w:val="20"/>
                <w:color w:val="auto"/>
              </w:rPr>
            </w:pPr>
            <w:r>
              <w:rPr>
                <w:rFonts w:ascii="Arial" w:cs="Arial" w:eastAsia="Arial" w:hAnsi="Arial"/>
                <w:sz w:val="18"/>
                <w:szCs w:val="18"/>
                <w:color w:val="auto"/>
              </w:rPr>
              <w:t>2,074.8</w:t>
            </w:r>
          </w:p>
        </w:tc>
        <w:tc>
          <w:tcPr>
            <w:tcW w:w="18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120" w:type="dxa"/>
            <w:vAlign w:val="bottom"/>
            <w:tcBorders>
              <w:bottom w:val="single" w:sz="8" w:color="CCEEFF"/>
            </w:tcBorders>
            <w:vMerge w:val="continue"/>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840" w:type="dxa"/>
            <w:vAlign w:val="bottom"/>
            <w:tcBorders>
              <w:bottom w:val="single" w:sz="8" w:color="auto"/>
            </w:tcBorders>
            <w:vMerge w:val="continue"/>
          </w:tcPr>
          <w:p>
            <w:pPr>
              <w:spacing w:after="0"/>
              <w:rPr>
                <w:sz w:val="17"/>
                <w:szCs w:val="17"/>
                <w:color w:val="auto"/>
              </w:rPr>
            </w:pPr>
          </w:p>
        </w:tc>
        <w:tc>
          <w:tcPr>
            <w:tcW w:w="180" w:type="dxa"/>
            <w:vAlign w:val="bottom"/>
            <w:tcBorders>
              <w:bottom w:val="single" w:sz="8" w:color="CCEEFF"/>
            </w:tcBorders>
          </w:tcPr>
          <w:p>
            <w:pPr>
              <w:spacing w:after="0"/>
              <w:rPr>
                <w:sz w:val="17"/>
                <w:szCs w:val="17"/>
                <w:color w:val="auto"/>
              </w:rPr>
            </w:pPr>
          </w:p>
        </w:tc>
        <w:tc>
          <w:tcPr>
            <w:tcW w:w="420" w:type="dxa"/>
            <w:vAlign w:val="bottom"/>
            <w:tcBorders>
              <w:bottom w:val="single" w:sz="8" w:color="CCEEFF"/>
            </w:tcBorders>
          </w:tcPr>
          <w:p>
            <w:pPr>
              <w:spacing w:after="0"/>
              <w:rPr>
                <w:sz w:val="17"/>
                <w:szCs w:val="17"/>
                <w:color w:val="auto"/>
              </w:rPr>
            </w:pPr>
          </w:p>
        </w:tc>
        <w:tc>
          <w:tcPr>
            <w:tcW w:w="500" w:type="dxa"/>
            <w:vAlign w:val="bottom"/>
            <w:tcBorders>
              <w:bottom w:val="single" w:sz="8" w:color="CCEEFF"/>
            </w:tcBorders>
          </w:tcPr>
          <w:p>
            <w:pPr>
              <w:spacing w:after="0"/>
              <w:rPr>
                <w:sz w:val="17"/>
                <w:szCs w:val="17"/>
                <w:color w:val="auto"/>
              </w:rPr>
            </w:pPr>
          </w:p>
        </w:tc>
        <w:tc>
          <w:tcPr>
            <w:tcW w:w="220" w:type="dxa"/>
            <w:vAlign w:val="bottom"/>
            <w:tcBorders>
              <w:bottom w:val="single" w:sz="8" w:color="CCEEFF"/>
            </w:tcBorders>
          </w:tcPr>
          <w:p>
            <w:pPr>
              <w:spacing w:after="0"/>
              <w:rPr>
                <w:sz w:val="17"/>
                <w:szCs w:val="17"/>
                <w:color w:val="auto"/>
              </w:rPr>
            </w:pPr>
          </w:p>
        </w:tc>
        <w:tc>
          <w:tcPr>
            <w:tcW w:w="40" w:type="dxa"/>
            <w:vAlign w:val="bottom"/>
            <w:tcBorders>
              <w:bottom w:val="single" w:sz="8" w:color="CCEEFF"/>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vMerge w:val="continue"/>
          </w:tcPr>
          <w:p>
            <w:pPr>
              <w:spacing w:after="0"/>
              <w:rPr>
                <w:sz w:val="17"/>
                <w:szCs w:val="17"/>
                <w:color w:val="auto"/>
              </w:rPr>
            </w:pPr>
          </w:p>
        </w:tc>
        <w:tc>
          <w:tcPr>
            <w:tcW w:w="180" w:type="dxa"/>
            <w:vAlign w:val="bottom"/>
            <w:tcBorders>
              <w:bottom w:val="single" w:sz="8" w:color="CCEEFF"/>
            </w:tcBorders>
          </w:tcPr>
          <w:p>
            <w:pPr>
              <w:spacing w:after="0"/>
              <w:rPr>
                <w:sz w:val="17"/>
                <w:szCs w:val="17"/>
                <w:color w:val="auto"/>
              </w:rPr>
            </w:pPr>
          </w:p>
        </w:tc>
        <w:tc>
          <w:tcPr>
            <w:tcW w:w="920" w:type="dxa"/>
            <w:vAlign w:val="bottom"/>
            <w:tcBorders>
              <w:bottom w:val="single" w:sz="8" w:color="CCEEFF"/>
            </w:tcBorders>
          </w:tcPr>
          <w:p>
            <w:pPr>
              <w:spacing w:after="0"/>
              <w:rPr>
                <w:sz w:val="17"/>
                <w:szCs w:val="17"/>
                <w:color w:val="auto"/>
              </w:rPr>
            </w:pPr>
          </w:p>
        </w:tc>
        <w:tc>
          <w:tcPr>
            <w:tcW w:w="160" w:type="dxa"/>
            <w:vAlign w:val="bottom"/>
            <w:tcBorders>
              <w:bottom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512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Total invested assets and cash</w:t>
            </w:r>
          </w:p>
        </w:tc>
        <w:tc>
          <w:tcPr>
            <w:tcW w:w="24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71,611.7</w:t>
            </w:r>
          </w:p>
        </w:tc>
        <w:tc>
          <w:tcPr>
            <w:tcW w:w="180" w:type="dxa"/>
            <w:vAlign w:val="bottom"/>
            <w:tcBorders>
              <w:bottom w:val="single" w:sz="8" w:color="CCEEFF"/>
            </w:tcBorders>
            <w:shd w:val="clear" w:color="auto" w:fill="CCEEFF"/>
          </w:tcPr>
          <w:p>
            <w:pPr>
              <w:spacing w:after="0"/>
              <w:rPr>
                <w:sz w:val="18"/>
                <w:szCs w:val="18"/>
                <w:color w:val="auto"/>
              </w:rPr>
            </w:pPr>
          </w:p>
        </w:tc>
        <w:tc>
          <w:tcPr>
            <w:tcW w:w="420" w:type="dxa"/>
            <w:vAlign w:val="bottom"/>
            <w:tcBorders>
              <w:bottom w:val="single" w:sz="8" w:color="CCEEFF"/>
            </w:tcBorders>
            <w:shd w:val="clear" w:color="auto" w:fill="CCEEFF"/>
          </w:tcPr>
          <w:p>
            <w:pPr>
              <w:spacing w:after="0"/>
              <w:rPr>
                <w:sz w:val="18"/>
                <w:szCs w:val="18"/>
                <w:color w:val="auto"/>
              </w:rPr>
            </w:pPr>
          </w:p>
        </w:tc>
        <w:tc>
          <w:tcPr>
            <w:tcW w:w="50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CCEEFF"/>
            </w:tcBorders>
            <w:shd w:val="clear" w:color="auto" w:fill="CCEEFF"/>
          </w:tcPr>
          <w:p>
            <w:pPr>
              <w:spacing w:after="0"/>
              <w:rPr>
                <w:sz w:val="18"/>
                <w:szCs w:val="18"/>
                <w:color w:val="auto"/>
              </w:rPr>
            </w:pPr>
          </w:p>
        </w:tc>
        <w:tc>
          <w:tcPr>
            <w:tcW w:w="40" w:type="dxa"/>
            <w:vAlign w:val="bottom"/>
            <w:tcBorders>
              <w:bottom w:val="single" w:sz="8" w:color="CCEEFF"/>
            </w:tcBorders>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8"/>
                <w:szCs w:val="18"/>
                <w:color w:val="auto"/>
                <w:w w:val="79"/>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2"/>
              </w:rPr>
              <w:t>104,020.4</w:t>
            </w:r>
          </w:p>
        </w:tc>
        <w:tc>
          <w:tcPr>
            <w:tcW w:w="180" w:type="dxa"/>
            <w:vAlign w:val="bottom"/>
            <w:tcBorders>
              <w:bottom w:val="single" w:sz="8" w:color="CCEEFF"/>
            </w:tcBorders>
            <w:shd w:val="clear" w:color="auto" w:fill="CCEEFF"/>
          </w:tcPr>
          <w:p>
            <w:pPr>
              <w:spacing w:after="0"/>
              <w:rPr>
                <w:sz w:val="18"/>
                <w:szCs w:val="18"/>
                <w:color w:val="auto"/>
              </w:rPr>
            </w:pPr>
          </w:p>
        </w:tc>
        <w:tc>
          <w:tcPr>
            <w:tcW w:w="92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Fixed Maturities</w:t>
      </w:r>
    </w:p>
    <w:p>
      <w:pPr>
        <w:spacing w:after="0" w:line="225" w:lineRule="exact"/>
        <w:rPr>
          <w:sz w:val="20"/>
          <w:szCs w:val="20"/>
          <w:color w:val="auto"/>
        </w:rPr>
      </w:pPr>
    </w:p>
    <w:p>
      <w:pPr>
        <w:ind w:right="40" w:firstLine="648"/>
        <w:spacing w:after="0" w:line="311" w:lineRule="auto"/>
        <w:rPr>
          <w:sz w:val="20"/>
          <w:szCs w:val="20"/>
          <w:color w:val="auto"/>
        </w:rPr>
      </w:pPr>
      <w:r>
        <w:rPr>
          <w:rFonts w:ascii="Arial" w:cs="Arial" w:eastAsia="Arial" w:hAnsi="Arial"/>
          <w:sz w:val="16"/>
          <w:szCs w:val="16"/>
          <w:color w:val="auto"/>
        </w:rPr>
        <w:t>Fixed maturities include bonds, ABS, redeemable preferred stock and certain non-redeemable preferred securities. Included in the privately placed category as of June 30, 2022 and December 31, 2021, were $10.7 billion and $18.3 billion, respectively, of securities subject to certain holding periods and resale restrictions pursuant to Rule 144A of the Securities Act of 1933.</w:t>
      </w:r>
    </w:p>
    <w:p>
      <w:pPr>
        <w:spacing w:after="0" w:line="14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Fixed maturities were diversified by category of issuer, as shown in the following table for the periods indicated.</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3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520" w:type="dxa"/>
            <w:vAlign w:val="bottom"/>
            <w:gridSpan w:val="5"/>
          </w:tcPr>
          <w:p>
            <w:pPr>
              <w:jc w:val="right"/>
              <w:ind w:right="1107"/>
              <w:spacing w:after="0"/>
              <w:rPr>
                <w:sz w:val="20"/>
                <w:szCs w:val="20"/>
                <w:color w:val="auto"/>
              </w:rPr>
            </w:pPr>
            <w:r>
              <w:rPr>
                <w:rFonts w:ascii="Arial" w:cs="Arial" w:eastAsia="Arial" w:hAnsi="Arial"/>
                <w:sz w:val="14"/>
                <w:szCs w:val="14"/>
                <w:b w:val="1"/>
                <w:bCs w:val="1"/>
                <w:color w:val="auto"/>
              </w:rPr>
              <w:t>June 30, 2022</w:t>
            </w:r>
          </w:p>
        </w:tc>
        <w:tc>
          <w:tcPr>
            <w:tcW w:w="2120" w:type="dxa"/>
            <w:vAlign w:val="bottom"/>
            <w:gridSpan w:val="4"/>
          </w:tcPr>
          <w:p>
            <w:pPr>
              <w:jc w:val="right"/>
              <w:ind w:right="610"/>
              <w:spacing w:after="0"/>
              <w:rPr>
                <w:sz w:val="20"/>
                <w:szCs w:val="20"/>
                <w:color w:val="auto"/>
              </w:rPr>
            </w:pPr>
            <w:r>
              <w:rPr>
                <w:rFonts w:ascii="Arial" w:cs="Arial" w:eastAsia="Arial" w:hAnsi="Arial"/>
                <w:sz w:val="14"/>
                <w:szCs w:val="14"/>
                <w:b w:val="1"/>
                <w:bCs w:val="1"/>
                <w:color w:val="auto"/>
              </w:rPr>
              <w:t>December 31, 2021</w:t>
            </w:r>
          </w:p>
        </w:tc>
        <w:tc>
          <w:tcPr>
            <w:tcW w:w="0" w:type="dxa"/>
            <w:vAlign w:val="bottom"/>
          </w:tcPr>
          <w:p>
            <w:pPr>
              <w:spacing w:after="0"/>
              <w:rPr>
                <w:sz w:val="1"/>
                <w:szCs w:val="1"/>
                <w:color w:val="auto"/>
              </w:rPr>
            </w:pPr>
          </w:p>
        </w:tc>
      </w:tr>
      <w:tr>
        <w:trPr>
          <w:trHeight w:val="119"/>
        </w:trPr>
        <w:tc>
          <w:tcPr>
            <w:tcW w:w="432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1080" w:type="dxa"/>
            <w:vAlign w:val="bottom"/>
            <w:tcBorders>
              <w:top w:val="single" w:sz="8" w:color="auto"/>
            </w:tcBorders>
            <w:gridSpan w:val="2"/>
          </w:tcPr>
          <w:p>
            <w:pPr>
              <w:ind w:left="80"/>
              <w:spacing w:after="0" w:line="119" w:lineRule="exact"/>
              <w:rPr>
                <w:sz w:val="20"/>
                <w:szCs w:val="20"/>
                <w:color w:val="auto"/>
              </w:rPr>
            </w:pPr>
            <w:r>
              <w:rPr>
                <w:rFonts w:ascii="Arial" w:cs="Arial" w:eastAsia="Arial" w:hAnsi="Arial"/>
                <w:sz w:val="13"/>
                <w:szCs w:val="13"/>
                <w:b w:val="1"/>
                <w:bCs w:val="1"/>
                <w:color w:val="auto"/>
              </w:rPr>
              <w:t>Carrying</w:t>
            </w:r>
          </w:p>
        </w:tc>
        <w:tc>
          <w:tcPr>
            <w:tcW w:w="920" w:type="dxa"/>
            <w:vAlign w:val="bottom"/>
            <w:tcBorders>
              <w:top w:val="single" w:sz="8" w:color="auto"/>
            </w:tcBorders>
          </w:tcPr>
          <w:p>
            <w:pPr>
              <w:jc w:val="right"/>
              <w:ind w:right="135"/>
              <w:spacing w:after="0" w:line="119" w:lineRule="exact"/>
              <w:rPr>
                <w:sz w:val="20"/>
                <w:szCs w:val="20"/>
                <w:color w:val="auto"/>
              </w:rPr>
            </w:pPr>
            <w:r>
              <w:rPr>
                <w:rFonts w:ascii="Arial" w:cs="Arial" w:eastAsia="Arial" w:hAnsi="Arial"/>
                <w:sz w:val="13"/>
                <w:szCs w:val="13"/>
                <w:b w:val="1"/>
                <w:bCs w:val="1"/>
                <w:color w:val="auto"/>
              </w:rPr>
              <w:t>Percent</w:t>
            </w:r>
          </w:p>
        </w:tc>
        <w:tc>
          <w:tcPr>
            <w:tcW w:w="280" w:type="dxa"/>
            <w:vAlign w:val="bottom"/>
          </w:tcPr>
          <w:p>
            <w:pPr>
              <w:spacing w:after="0"/>
              <w:rPr>
                <w:sz w:val="10"/>
                <w:szCs w:val="10"/>
                <w:color w:val="auto"/>
              </w:rPr>
            </w:pPr>
          </w:p>
        </w:tc>
        <w:tc>
          <w:tcPr>
            <w:tcW w:w="240" w:type="dxa"/>
            <w:vAlign w:val="bottom"/>
            <w:tcBorders>
              <w:top w:val="single" w:sz="8" w:color="auto"/>
            </w:tcBorders>
          </w:tcPr>
          <w:p>
            <w:pPr>
              <w:spacing w:after="0"/>
              <w:rPr>
                <w:sz w:val="10"/>
                <w:szCs w:val="10"/>
                <w:color w:val="auto"/>
              </w:rPr>
            </w:pPr>
          </w:p>
        </w:tc>
        <w:tc>
          <w:tcPr>
            <w:tcW w:w="1020" w:type="dxa"/>
            <w:vAlign w:val="bottom"/>
            <w:tcBorders>
              <w:top w:val="single" w:sz="8" w:color="auto"/>
            </w:tcBorders>
            <w:gridSpan w:val="2"/>
          </w:tcPr>
          <w:p>
            <w:pPr>
              <w:spacing w:after="0" w:line="119" w:lineRule="exact"/>
              <w:rPr>
                <w:sz w:val="20"/>
                <w:szCs w:val="20"/>
                <w:color w:val="auto"/>
              </w:rPr>
            </w:pPr>
            <w:r>
              <w:rPr>
                <w:rFonts w:ascii="Arial" w:cs="Arial" w:eastAsia="Arial" w:hAnsi="Arial"/>
                <w:sz w:val="13"/>
                <w:szCs w:val="13"/>
                <w:b w:val="1"/>
                <w:bCs w:val="1"/>
                <w:color w:val="auto"/>
              </w:rPr>
              <w:t>Carrying</w:t>
            </w:r>
          </w:p>
        </w:tc>
        <w:tc>
          <w:tcPr>
            <w:tcW w:w="920" w:type="dxa"/>
            <w:vAlign w:val="bottom"/>
            <w:tcBorders>
              <w:top w:val="single" w:sz="8" w:color="auto"/>
            </w:tcBorders>
          </w:tcPr>
          <w:p>
            <w:pPr>
              <w:jc w:val="right"/>
              <w:ind w:right="133"/>
              <w:spacing w:after="0" w:line="119" w:lineRule="exact"/>
              <w:rPr>
                <w:sz w:val="20"/>
                <w:szCs w:val="20"/>
                <w:color w:val="auto"/>
              </w:rPr>
            </w:pPr>
            <w:r>
              <w:rPr>
                <w:rFonts w:ascii="Arial" w:cs="Arial" w:eastAsia="Arial" w:hAnsi="Arial"/>
                <w:sz w:val="13"/>
                <w:szCs w:val="13"/>
                <w:b w:val="1"/>
                <w:bCs w:val="1"/>
                <w:color w:val="auto"/>
              </w:rPr>
              <w:t>Percent</w:t>
            </w:r>
          </w:p>
        </w:tc>
        <w:tc>
          <w:tcPr>
            <w:tcW w:w="1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43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jc w:val="right"/>
              <w:ind w:right="195"/>
              <w:spacing w:after="0"/>
              <w:rPr>
                <w:sz w:val="20"/>
                <w:szCs w:val="20"/>
                <w:color w:val="auto"/>
              </w:rPr>
            </w:pPr>
            <w:r>
              <w:rPr>
                <w:rFonts w:ascii="Arial" w:cs="Arial" w:eastAsia="Arial" w:hAnsi="Arial"/>
                <w:sz w:val="14"/>
                <w:szCs w:val="14"/>
                <w:b w:val="1"/>
                <w:bCs w:val="1"/>
                <w:color w:val="auto"/>
              </w:rPr>
              <w:t>amount</w:t>
            </w:r>
          </w:p>
        </w:tc>
        <w:tc>
          <w:tcPr>
            <w:tcW w:w="200" w:type="dxa"/>
            <w:vAlign w:val="bottom"/>
          </w:tcPr>
          <w:p>
            <w:pPr>
              <w:spacing w:after="0"/>
              <w:rPr>
                <w:sz w:val="14"/>
                <w:szCs w:val="14"/>
                <w:color w:val="auto"/>
              </w:rPr>
            </w:pPr>
          </w:p>
        </w:tc>
        <w:tc>
          <w:tcPr>
            <w:tcW w:w="920" w:type="dxa"/>
            <w:vAlign w:val="bottom"/>
            <w:tcBorders>
              <w:bottom w:val="single" w:sz="8" w:color="auto"/>
            </w:tcBorders>
          </w:tcPr>
          <w:p>
            <w:pPr>
              <w:jc w:val="right"/>
              <w:ind w:right="155"/>
              <w:spacing w:after="0"/>
              <w:rPr>
                <w:sz w:val="20"/>
                <w:szCs w:val="20"/>
                <w:color w:val="auto"/>
              </w:rPr>
            </w:pPr>
            <w:r>
              <w:rPr>
                <w:rFonts w:ascii="Arial" w:cs="Arial" w:eastAsia="Arial" w:hAnsi="Arial"/>
                <w:sz w:val="14"/>
                <w:szCs w:val="14"/>
                <w:b w:val="1"/>
                <w:bCs w:val="1"/>
                <w:color w:val="auto"/>
              </w:rPr>
              <w:t>of total</w:t>
            </w:r>
          </w:p>
        </w:tc>
        <w:tc>
          <w:tcPr>
            <w:tcW w:w="28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right"/>
              <w:ind w:right="195"/>
              <w:spacing w:after="0"/>
              <w:rPr>
                <w:sz w:val="20"/>
                <w:szCs w:val="20"/>
                <w:color w:val="auto"/>
              </w:rPr>
            </w:pPr>
            <w:r>
              <w:rPr>
                <w:rFonts w:ascii="Arial" w:cs="Arial" w:eastAsia="Arial" w:hAnsi="Arial"/>
                <w:sz w:val="14"/>
                <w:szCs w:val="14"/>
                <w:b w:val="1"/>
                <w:bCs w:val="1"/>
                <w:color w:val="auto"/>
                <w:w w:val="98"/>
              </w:rPr>
              <w:t>amount</w:t>
            </w:r>
          </w:p>
        </w:tc>
        <w:tc>
          <w:tcPr>
            <w:tcW w:w="220" w:type="dxa"/>
            <w:vAlign w:val="bottom"/>
          </w:tcPr>
          <w:p>
            <w:pPr>
              <w:spacing w:after="0"/>
              <w:rPr>
                <w:sz w:val="14"/>
                <w:szCs w:val="14"/>
                <w:color w:val="auto"/>
              </w:rPr>
            </w:pPr>
          </w:p>
        </w:tc>
        <w:tc>
          <w:tcPr>
            <w:tcW w:w="920" w:type="dxa"/>
            <w:vAlign w:val="bottom"/>
            <w:tcBorders>
              <w:bottom w:val="single" w:sz="8" w:color="auto"/>
            </w:tcBorders>
          </w:tcPr>
          <w:p>
            <w:pPr>
              <w:jc w:val="right"/>
              <w:ind w:right="153"/>
              <w:spacing w:after="0"/>
              <w:rPr>
                <w:sz w:val="20"/>
                <w:szCs w:val="20"/>
                <w:color w:val="auto"/>
              </w:rPr>
            </w:pPr>
            <w:r>
              <w:rPr>
                <w:rFonts w:ascii="Arial" w:cs="Arial" w:eastAsia="Arial" w:hAnsi="Arial"/>
                <w:sz w:val="14"/>
                <w:szCs w:val="14"/>
                <w:b w:val="1"/>
                <w:bCs w:val="1"/>
                <w:color w:val="auto"/>
              </w:rPr>
              <w:t>of total</w:t>
            </w:r>
          </w:p>
        </w:tc>
        <w:tc>
          <w:tcPr>
            <w:tcW w:w="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43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40" w:type="dxa"/>
            <w:vAlign w:val="bottom"/>
            <w:gridSpan w:val="3"/>
          </w:tcPr>
          <w:p>
            <w:pPr>
              <w:jc w:val="right"/>
              <w:spacing w:after="0" w:line="129" w:lineRule="exact"/>
              <w:rPr>
                <w:sz w:val="20"/>
                <w:szCs w:val="20"/>
                <w:color w:val="auto"/>
              </w:rPr>
            </w:pPr>
            <w:r>
              <w:rPr>
                <w:rFonts w:ascii="Arial" w:cs="Arial" w:eastAsia="Arial" w:hAnsi="Arial"/>
                <w:sz w:val="14"/>
                <w:szCs w:val="14"/>
                <w:i w:val="1"/>
                <w:iCs w:val="1"/>
                <w:color w:val="auto"/>
              </w:rPr>
              <w:t>(in millions)</w:t>
            </w: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4320" w:type="dxa"/>
            <w:vAlign w:val="bottom"/>
            <w:shd w:val="clear" w:color="auto" w:fill="CCEEFF"/>
          </w:tcPr>
          <w:p>
            <w:pPr>
              <w:spacing w:after="0"/>
              <w:rPr>
                <w:sz w:val="20"/>
                <w:szCs w:val="20"/>
                <w:color w:val="auto"/>
              </w:rPr>
            </w:pPr>
            <w:r>
              <w:rPr>
                <w:rFonts w:ascii="Arial" w:cs="Arial" w:eastAsia="Arial" w:hAnsi="Arial"/>
                <w:sz w:val="18"/>
                <w:szCs w:val="18"/>
                <w:color w:val="auto"/>
              </w:rPr>
              <w:t>U.S. government and agencies</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880" w:type="dxa"/>
            <w:vAlign w:val="bottom"/>
            <w:shd w:val="clear" w:color="auto" w:fill="CCEEFF"/>
          </w:tcPr>
          <w:p>
            <w:pPr>
              <w:jc w:val="right"/>
              <w:ind w:right="15"/>
              <w:spacing w:after="0"/>
              <w:rPr>
                <w:sz w:val="20"/>
                <w:szCs w:val="20"/>
                <w:color w:val="auto"/>
              </w:rPr>
            </w:pPr>
            <w:r>
              <w:rPr>
                <w:rFonts w:ascii="Arial" w:cs="Arial" w:eastAsia="Arial" w:hAnsi="Arial"/>
                <w:sz w:val="18"/>
                <w:szCs w:val="18"/>
                <w:b w:val="1"/>
                <w:bCs w:val="1"/>
                <w:color w:val="auto"/>
              </w:rPr>
              <w:t>1,239.1</w:t>
            </w:r>
          </w:p>
        </w:tc>
        <w:tc>
          <w:tcPr>
            <w:tcW w:w="200" w:type="dxa"/>
            <w:vAlign w:val="bottom"/>
            <w:shd w:val="clear" w:color="auto" w:fill="CCEEFF"/>
          </w:tcPr>
          <w:p>
            <w:pPr>
              <w:spacing w:after="0"/>
              <w:rPr>
                <w:sz w:val="18"/>
                <w:szCs w:val="18"/>
                <w:color w:val="auto"/>
              </w:rPr>
            </w:pPr>
          </w:p>
        </w:tc>
        <w:tc>
          <w:tcPr>
            <w:tcW w:w="1440" w:type="dxa"/>
            <w:vAlign w:val="bottom"/>
            <w:gridSpan w:val="3"/>
            <w:shd w:val="clear" w:color="auto" w:fill="CCEEFF"/>
          </w:tcPr>
          <w:p>
            <w:pPr>
              <w:jc w:val="right"/>
              <w:ind w:right="87"/>
              <w:spacing w:after="0"/>
              <w:rPr>
                <w:sz w:val="20"/>
                <w:szCs w:val="20"/>
                <w:color w:val="auto"/>
              </w:rPr>
            </w:pPr>
            <w:r>
              <w:rPr>
                <w:rFonts w:ascii="Arial" w:cs="Arial" w:eastAsia="Arial" w:hAnsi="Arial"/>
                <w:sz w:val="18"/>
                <w:szCs w:val="18"/>
                <w:b w:val="1"/>
                <w:bCs w:val="1"/>
                <w:color w:val="auto"/>
              </w:rPr>
              <w:t xml:space="preserve">3 % </w:t>
            </w:r>
            <w:r>
              <w:rPr>
                <w:rFonts w:ascii="Arial" w:cs="Arial" w:eastAsia="Arial" w:hAnsi="Arial"/>
                <w:sz w:val="18"/>
                <w:szCs w:val="18"/>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2,067.1</w:t>
            </w:r>
          </w:p>
        </w:tc>
        <w:tc>
          <w:tcPr>
            <w:tcW w:w="2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3 %</w:t>
            </w:r>
          </w:p>
        </w:tc>
        <w:tc>
          <w:tcPr>
            <w:tcW w:w="0" w:type="dxa"/>
            <w:vAlign w:val="bottom"/>
          </w:tcPr>
          <w:p>
            <w:pPr>
              <w:spacing w:after="0"/>
              <w:rPr>
                <w:sz w:val="1"/>
                <w:szCs w:val="1"/>
                <w:color w:val="auto"/>
              </w:rPr>
            </w:pPr>
          </w:p>
        </w:tc>
      </w:tr>
      <w:tr>
        <w:trPr>
          <w:trHeight w:val="216"/>
        </w:trPr>
        <w:tc>
          <w:tcPr>
            <w:tcW w:w="4320" w:type="dxa"/>
            <w:vAlign w:val="bottom"/>
          </w:tcPr>
          <w:p>
            <w:pPr>
              <w:spacing w:after="0"/>
              <w:rPr>
                <w:sz w:val="20"/>
                <w:szCs w:val="20"/>
                <w:color w:val="auto"/>
              </w:rPr>
            </w:pPr>
            <w:r>
              <w:rPr>
                <w:rFonts w:ascii="Arial" w:cs="Arial" w:eastAsia="Arial" w:hAnsi="Arial"/>
                <w:sz w:val="18"/>
                <w:szCs w:val="18"/>
                <w:color w:val="auto"/>
              </w:rPr>
              <w:t>Non-U.S. governments</w:t>
            </w:r>
          </w:p>
        </w:tc>
        <w:tc>
          <w:tcPr>
            <w:tcW w:w="8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tcPr>
          <w:p>
            <w:pPr>
              <w:jc w:val="right"/>
              <w:ind w:right="15"/>
              <w:spacing w:after="0"/>
              <w:rPr>
                <w:sz w:val="20"/>
                <w:szCs w:val="20"/>
                <w:color w:val="auto"/>
              </w:rPr>
            </w:pPr>
            <w:r>
              <w:rPr>
                <w:rFonts w:ascii="Arial" w:cs="Arial" w:eastAsia="Arial" w:hAnsi="Arial"/>
                <w:sz w:val="18"/>
                <w:szCs w:val="18"/>
                <w:b w:val="1"/>
                <w:bCs w:val="1"/>
                <w:color w:val="auto"/>
              </w:rPr>
              <w:t>503.4</w:t>
            </w:r>
          </w:p>
        </w:tc>
        <w:tc>
          <w:tcPr>
            <w:tcW w:w="20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1</w:t>
            </w: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949.5</w:t>
            </w:r>
          </w:p>
        </w:tc>
        <w:tc>
          <w:tcPr>
            <w:tcW w:w="2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w:t>
            </w: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20" w:type="dxa"/>
            <w:vAlign w:val="bottom"/>
            <w:shd w:val="clear" w:color="auto" w:fill="CCEEFF"/>
          </w:tcPr>
          <w:p>
            <w:pPr>
              <w:spacing w:after="0"/>
              <w:rPr>
                <w:sz w:val="20"/>
                <w:szCs w:val="20"/>
                <w:color w:val="auto"/>
              </w:rPr>
            </w:pPr>
            <w:r>
              <w:rPr>
                <w:rFonts w:ascii="Arial" w:cs="Arial" w:eastAsia="Arial" w:hAnsi="Arial"/>
                <w:sz w:val="18"/>
                <w:szCs w:val="18"/>
                <w:color w:val="auto"/>
              </w:rPr>
              <w:t>States and political subdivisions</w:t>
            </w:r>
          </w:p>
        </w:tc>
        <w:tc>
          <w:tcPr>
            <w:tcW w:w="8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80" w:type="dxa"/>
            <w:vAlign w:val="bottom"/>
            <w:shd w:val="clear" w:color="auto" w:fill="CCEEFF"/>
          </w:tcPr>
          <w:p>
            <w:pPr>
              <w:jc w:val="right"/>
              <w:ind w:right="15"/>
              <w:spacing w:after="0"/>
              <w:rPr>
                <w:sz w:val="20"/>
                <w:szCs w:val="20"/>
                <w:color w:val="auto"/>
              </w:rPr>
            </w:pPr>
            <w:r>
              <w:rPr>
                <w:rFonts w:ascii="Arial" w:cs="Arial" w:eastAsia="Arial" w:hAnsi="Arial"/>
                <w:sz w:val="18"/>
                <w:szCs w:val="18"/>
                <w:b w:val="1"/>
                <w:bCs w:val="1"/>
                <w:color w:val="auto"/>
              </w:rPr>
              <w:t>4,892.2</w:t>
            </w: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11</w:t>
            </w:r>
          </w:p>
        </w:tc>
        <w:tc>
          <w:tcPr>
            <w:tcW w:w="2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9,289.9</w:t>
            </w:r>
          </w:p>
        </w:tc>
        <w:tc>
          <w:tcPr>
            <w:tcW w:w="22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1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20" w:type="dxa"/>
            <w:vAlign w:val="bottom"/>
          </w:tcPr>
          <w:p>
            <w:pPr>
              <w:spacing w:after="0"/>
              <w:rPr>
                <w:sz w:val="20"/>
                <w:szCs w:val="20"/>
                <w:color w:val="auto"/>
              </w:rPr>
            </w:pPr>
            <w:r>
              <w:rPr>
                <w:rFonts w:ascii="Arial" w:cs="Arial" w:eastAsia="Arial" w:hAnsi="Arial"/>
                <w:sz w:val="18"/>
                <w:szCs w:val="18"/>
                <w:color w:val="auto"/>
              </w:rPr>
              <w:t>Corporate - public</w:t>
            </w:r>
          </w:p>
        </w:tc>
        <w:tc>
          <w:tcPr>
            <w:tcW w:w="8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tcPr>
          <w:p>
            <w:pPr>
              <w:jc w:val="right"/>
              <w:ind w:right="15"/>
              <w:spacing w:after="0"/>
              <w:rPr>
                <w:sz w:val="20"/>
                <w:szCs w:val="20"/>
                <w:color w:val="auto"/>
              </w:rPr>
            </w:pPr>
            <w:r>
              <w:rPr>
                <w:rFonts w:ascii="Arial" w:cs="Arial" w:eastAsia="Arial" w:hAnsi="Arial"/>
                <w:sz w:val="18"/>
                <w:szCs w:val="18"/>
                <w:b w:val="1"/>
                <w:bCs w:val="1"/>
                <w:color w:val="auto"/>
              </w:rPr>
              <w:t>11,687.1</w:t>
            </w:r>
          </w:p>
        </w:tc>
        <w:tc>
          <w:tcPr>
            <w:tcW w:w="20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26</w:t>
            </w: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23,042.1</w:t>
            </w:r>
          </w:p>
        </w:tc>
        <w:tc>
          <w:tcPr>
            <w:tcW w:w="2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31</w:t>
            </w: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20" w:type="dxa"/>
            <w:vAlign w:val="bottom"/>
            <w:shd w:val="clear" w:color="auto" w:fill="CCEEFF"/>
          </w:tcPr>
          <w:p>
            <w:pPr>
              <w:spacing w:after="0"/>
              <w:rPr>
                <w:sz w:val="20"/>
                <w:szCs w:val="20"/>
                <w:color w:val="auto"/>
              </w:rPr>
            </w:pPr>
            <w:r>
              <w:rPr>
                <w:rFonts w:ascii="Arial" w:cs="Arial" w:eastAsia="Arial" w:hAnsi="Arial"/>
                <w:sz w:val="18"/>
                <w:szCs w:val="18"/>
                <w:color w:val="auto"/>
              </w:rPr>
              <w:t>Corporate - private</w:t>
            </w:r>
          </w:p>
        </w:tc>
        <w:tc>
          <w:tcPr>
            <w:tcW w:w="8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80" w:type="dxa"/>
            <w:vAlign w:val="bottom"/>
            <w:shd w:val="clear" w:color="auto" w:fill="CCEEFF"/>
          </w:tcPr>
          <w:p>
            <w:pPr>
              <w:jc w:val="right"/>
              <w:ind w:right="15"/>
              <w:spacing w:after="0"/>
              <w:rPr>
                <w:sz w:val="20"/>
                <w:szCs w:val="20"/>
                <w:color w:val="auto"/>
              </w:rPr>
            </w:pPr>
            <w:r>
              <w:rPr>
                <w:rFonts w:ascii="Arial" w:cs="Arial" w:eastAsia="Arial" w:hAnsi="Arial"/>
                <w:sz w:val="18"/>
                <w:szCs w:val="18"/>
                <w:b w:val="1"/>
                <w:bCs w:val="1"/>
                <w:color w:val="auto"/>
              </w:rPr>
              <w:t>14,142.2</w:t>
            </w: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31</w:t>
            </w:r>
          </w:p>
        </w:tc>
        <w:tc>
          <w:tcPr>
            <w:tcW w:w="2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20,251.8</w:t>
            </w:r>
          </w:p>
        </w:tc>
        <w:tc>
          <w:tcPr>
            <w:tcW w:w="22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w:t>
            </w:r>
          </w:p>
        </w:tc>
        <w:tc>
          <w:tcPr>
            <w:tcW w:w="1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20" w:type="dxa"/>
            <w:vAlign w:val="bottom"/>
          </w:tcPr>
          <w:p>
            <w:pPr>
              <w:spacing w:after="0"/>
              <w:rPr>
                <w:sz w:val="20"/>
                <w:szCs w:val="20"/>
                <w:color w:val="auto"/>
              </w:rPr>
            </w:pPr>
            <w:r>
              <w:rPr>
                <w:rFonts w:ascii="Arial" w:cs="Arial" w:eastAsia="Arial" w:hAnsi="Arial"/>
                <w:sz w:val="18"/>
                <w:szCs w:val="18"/>
                <w:color w:val="auto"/>
              </w:rPr>
              <w:t>Residential mortgage-backed pass-through securities</w:t>
            </w:r>
          </w:p>
        </w:tc>
        <w:tc>
          <w:tcPr>
            <w:tcW w:w="8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tcPr>
          <w:p>
            <w:pPr>
              <w:jc w:val="right"/>
              <w:ind w:right="15"/>
              <w:spacing w:after="0"/>
              <w:rPr>
                <w:sz w:val="20"/>
                <w:szCs w:val="20"/>
                <w:color w:val="auto"/>
              </w:rPr>
            </w:pPr>
            <w:r>
              <w:rPr>
                <w:rFonts w:ascii="Arial" w:cs="Arial" w:eastAsia="Arial" w:hAnsi="Arial"/>
                <w:sz w:val="18"/>
                <w:szCs w:val="18"/>
                <w:b w:val="1"/>
                <w:bCs w:val="1"/>
                <w:color w:val="auto"/>
              </w:rPr>
              <w:t>1,799.9</w:t>
            </w:r>
          </w:p>
        </w:tc>
        <w:tc>
          <w:tcPr>
            <w:tcW w:w="20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4</w:t>
            </w: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3,262.7</w:t>
            </w:r>
          </w:p>
        </w:tc>
        <w:tc>
          <w:tcPr>
            <w:tcW w:w="2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4</w:t>
            </w: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20" w:type="dxa"/>
            <w:vAlign w:val="bottom"/>
            <w:shd w:val="clear" w:color="auto" w:fill="CCEEFF"/>
          </w:tcPr>
          <w:p>
            <w:pPr>
              <w:spacing w:after="0"/>
              <w:rPr>
                <w:sz w:val="20"/>
                <w:szCs w:val="20"/>
                <w:color w:val="auto"/>
              </w:rPr>
            </w:pPr>
            <w:r>
              <w:rPr>
                <w:rFonts w:ascii="Arial" w:cs="Arial" w:eastAsia="Arial" w:hAnsi="Arial"/>
                <w:sz w:val="18"/>
                <w:szCs w:val="18"/>
                <w:color w:val="auto"/>
              </w:rPr>
              <w:t>Commercial mortgage-backed securities</w:t>
            </w:r>
          </w:p>
        </w:tc>
        <w:tc>
          <w:tcPr>
            <w:tcW w:w="8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80" w:type="dxa"/>
            <w:vAlign w:val="bottom"/>
            <w:shd w:val="clear" w:color="auto" w:fill="CCEEFF"/>
          </w:tcPr>
          <w:p>
            <w:pPr>
              <w:jc w:val="right"/>
              <w:ind w:right="15"/>
              <w:spacing w:after="0"/>
              <w:rPr>
                <w:sz w:val="20"/>
                <w:szCs w:val="20"/>
                <w:color w:val="auto"/>
              </w:rPr>
            </w:pPr>
            <w:r>
              <w:rPr>
                <w:rFonts w:ascii="Arial" w:cs="Arial" w:eastAsia="Arial" w:hAnsi="Arial"/>
                <w:sz w:val="18"/>
                <w:szCs w:val="18"/>
                <w:b w:val="1"/>
                <w:bCs w:val="1"/>
                <w:color w:val="auto"/>
              </w:rPr>
              <w:t>4,048.7</w:t>
            </w: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w:t>
            </w:r>
          </w:p>
        </w:tc>
        <w:tc>
          <w:tcPr>
            <w:tcW w:w="2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5,556.1</w:t>
            </w:r>
          </w:p>
        </w:tc>
        <w:tc>
          <w:tcPr>
            <w:tcW w:w="22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w:t>
            </w:r>
          </w:p>
        </w:tc>
        <w:tc>
          <w:tcPr>
            <w:tcW w:w="1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20" w:type="dxa"/>
            <w:vAlign w:val="bottom"/>
          </w:tcPr>
          <w:p>
            <w:pPr>
              <w:spacing w:after="0"/>
              <w:rPr>
                <w:sz w:val="20"/>
                <w:szCs w:val="20"/>
                <w:color w:val="auto"/>
              </w:rPr>
            </w:pPr>
            <w:r>
              <w:rPr>
                <w:rFonts w:ascii="Arial" w:cs="Arial" w:eastAsia="Arial" w:hAnsi="Arial"/>
                <w:sz w:val="18"/>
                <w:szCs w:val="18"/>
                <w:color w:val="auto"/>
              </w:rPr>
              <w:t>Residential collateralized mortgage obligations</w:t>
            </w:r>
          </w:p>
        </w:tc>
        <w:tc>
          <w:tcPr>
            <w:tcW w:w="8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tcPr>
          <w:p>
            <w:pPr>
              <w:jc w:val="right"/>
              <w:ind w:right="15"/>
              <w:spacing w:after="0"/>
              <w:rPr>
                <w:sz w:val="20"/>
                <w:szCs w:val="20"/>
                <w:color w:val="auto"/>
              </w:rPr>
            </w:pPr>
            <w:r>
              <w:rPr>
                <w:rFonts w:ascii="Arial" w:cs="Arial" w:eastAsia="Arial" w:hAnsi="Arial"/>
                <w:sz w:val="18"/>
                <w:szCs w:val="18"/>
                <w:b w:val="1"/>
                <w:bCs w:val="1"/>
                <w:color w:val="auto"/>
              </w:rPr>
              <w:t>2,742.9</w:t>
            </w:r>
          </w:p>
        </w:tc>
        <w:tc>
          <w:tcPr>
            <w:tcW w:w="20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6</w:t>
            </w: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3,834.8</w:t>
            </w:r>
          </w:p>
        </w:tc>
        <w:tc>
          <w:tcPr>
            <w:tcW w:w="2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5</w:t>
            </w: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20" w:type="dxa"/>
            <w:vAlign w:val="bottom"/>
            <w:shd w:val="clear" w:color="auto" w:fill="CCEEFF"/>
          </w:tcPr>
          <w:p>
            <w:pPr>
              <w:spacing w:after="0"/>
              <w:rPr>
                <w:sz w:val="20"/>
                <w:szCs w:val="20"/>
                <w:color w:val="auto"/>
              </w:rPr>
            </w:pPr>
            <w:r>
              <w:rPr>
                <w:rFonts w:ascii="Arial" w:cs="Arial" w:eastAsia="Arial" w:hAnsi="Arial"/>
                <w:sz w:val="18"/>
                <w:szCs w:val="18"/>
                <w:color w:val="auto"/>
              </w:rPr>
              <w:t>Asset-backed securities</w:t>
            </w:r>
          </w:p>
        </w:tc>
        <w:tc>
          <w:tcPr>
            <w:tcW w:w="80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b w:val="1"/>
                <w:bCs w:val="1"/>
                <w:color w:val="auto"/>
              </w:rPr>
              <w:t>4,333.6</w:t>
            </w:r>
          </w:p>
        </w:tc>
        <w:tc>
          <w:tcPr>
            <w:tcW w:w="200" w:type="dxa"/>
            <w:vAlign w:val="bottom"/>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w:t>
            </w:r>
          </w:p>
        </w:tc>
        <w:tc>
          <w:tcPr>
            <w:tcW w:w="28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7,299.4</w:t>
            </w:r>
          </w:p>
        </w:tc>
        <w:tc>
          <w:tcPr>
            <w:tcW w:w="220" w:type="dxa"/>
            <w:vAlign w:val="bottom"/>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1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320" w:type="dxa"/>
            <w:vAlign w:val="bottom"/>
          </w:tcPr>
          <w:p>
            <w:pPr>
              <w:ind w:left="120"/>
              <w:spacing w:after="0"/>
              <w:rPr>
                <w:sz w:val="20"/>
                <w:szCs w:val="20"/>
                <w:color w:val="auto"/>
              </w:rPr>
            </w:pPr>
            <w:r>
              <w:rPr>
                <w:rFonts w:ascii="Arial" w:cs="Arial" w:eastAsia="Arial" w:hAnsi="Arial"/>
                <w:sz w:val="18"/>
                <w:szCs w:val="18"/>
                <w:color w:val="auto"/>
              </w:rPr>
              <w:t>Total fixed maturities</w:t>
            </w:r>
          </w:p>
        </w:tc>
        <w:tc>
          <w:tcPr>
            <w:tcW w:w="800" w:type="dxa"/>
            <w:vAlign w:val="bottom"/>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880" w:type="dxa"/>
            <w:vAlign w:val="bottom"/>
            <w:tcBorders>
              <w:bottom w:val="single" w:sz="8" w:color="auto"/>
            </w:tcBorders>
          </w:tcPr>
          <w:p>
            <w:pPr>
              <w:jc w:val="right"/>
              <w:ind w:right="15"/>
              <w:spacing w:after="0"/>
              <w:rPr>
                <w:sz w:val="20"/>
                <w:szCs w:val="20"/>
                <w:color w:val="auto"/>
              </w:rPr>
            </w:pPr>
            <w:r>
              <w:rPr>
                <w:rFonts w:ascii="Arial" w:cs="Arial" w:eastAsia="Arial" w:hAnsi="Arial"/>
                <w:sz w:val="18"/>
                <w:szCs w:val="18"/>
                <w:b w:val="1"/>
                <w:bCs w:val="1"/>
                <w:color w:val="auto"/>
              </w:rPr>
              <w:t>45,389.1</w:t>
            </w:r>
          </w:p>
        </w:tc>
        <w:tc>
          <w:tcPr>
            <w:tcW w:w="200" w:type="dxa"/>
            <w:vAlign w:val="bottom"/>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100</w:t>
            </w:r>
          </w:p>
        </w:tc>
        <w:tc>
          <w:tcPr>
            <w:tcW w:w="280" w:type="dxa"/>
            <w:vAlign w:val="bottom"/>
          </w:tcPr>
          <w:p>
            <w:pPr>
              <w:jc w:val="right"/>
              <w:ind w:right="10"/>
              <w:spacing w:after="0"/>
              <w:rPr>
                <w:sz w:val="20"/>
                <w:szCs w:val="20"/>
                <w:color w:val="auto"/>
              </w:rPr>
            </w:pPr>
            <w:r>
              <w:rPr>
                <w:rFonts w:ascii="Arial" w:cs="Arial" w:eastAsia="Arial" w:hAnsi="Arial"/>
                <w:sz w:val="18"/>
                <w:szCs w:val="18"/>
                <w:b w:val="1"/>
                <w:bCs w:val="1"/>
                <w:color w:val="auto"/>
                <w:w w:val="99"/>
              </w:rPr>
              <w:t>%</w:t>
            </w:r>
          </w:p>
        </w:tc>
        <w:tc>
          <w:tcPr>
            <w:tcW w:w="240" w:type="dxa"/>
            <w:vAlign w:val="bottom"/>
            <w:tcBorders>
              <w:bottom w:val="single" w:sz="8" w:color="auto"/>
            </w:tcBorders>
          </w:tcPr>
          <w:p>
            <w:pPr>
              <w:jc w:val="right"/>
              <w:ind w:right="87"/>
              <w:spacing w:after="0"/>
              <w:rPr>
                <w:sz w:val="20"/>
                <w:szCs w:val="20"/>
                <w:color w:val="auto"/>
              </w:rPr>
            </w:pPr>
            <w:r>
              <w:rPr>
                <w:rFonts w:ascii="Arial" w:cs="Arial" w:eastAsia="Arial" w:hAnsi="Arial"/>
                <w:sz w:val="15"/>
                <w:szCs w:val="15"/>
                <w:color w:val="auto"/>
                <w:w w:val="71"/>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75,553.4</w:t>
            </w:r>
          </w:p>
        </w:tc>
        <w:tc>
          <w:tcPr>
            <w:tcW w:w="220" w:type="dxa"/>
            <w:vAlign w:val="bottom"/>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100</w:t>
            </w:r>
          </w:p>
        </w:tc>
        <w:tc>
          <w:tcPr>
            <w:tcW w:w="180" w:type="dxa"/>
            <w:vAlign w:val="bottom"/>
          </w:tcPr>
          <w:p>
            <w:pPr>
              <w:jc w:val="right"/>
              <w:spacing w:after="0"/>
              <w:rPr>
                <w:sz w:val="20"/>
                <w:szCs w:val="20"/>
                <w:color w:val="auto"/>
              </w:rPr>
            </w:pPr>
            <w:r>
              <w:rPr>
                <w:rFonts w:ascii="Arial" w:cs="Arial" w:eastAsia="Arial" w:hAnsi="Arial"/>
                <w:sz w:val="18"/>
                <w:szCs w:val="18"/>
                <w:color w:val="auto"/>
                <w:w w:val="87"/>
              </w:rPr>
              <w:t>%</w:t>
            </w:r>
          </w:p>
        </w:tc>
        <w:tc>
          <w:tcPr>
            <w:tcW w:w="0" w:type="dxa"/>
            <w:vAlign w:val="bottom"/>
          </w:tcPr>
          <w:p>
            <w:pPr>
              <w:spacing w:after="0"/>
              <w:rPr>
                <w:sz w:val="1"/>
                <w:szCs w:val="1"/>
                <w:color w:val="auto"/>
              </w:rPr>
            </w:pPr>
          </w:p>
        </w:tc>
      </w:tr>
      <w:tr>
        <w:trPr>
          <w:trHeight w:val="20"/>
        </w:trPr>
        <w:tc>
          <w:tcPr>
            <w:tcW w:w="4320" w:type="dxa"/>
            <w:vAlign w:val="bottom"/>
          </w:tcPr>
          <w:p>
            <w:pPr>
              <w:spacing w:after="0" w:line="20" w:lineRule="exact"/>
              <w:rPr>
                <w:sz w:val="1"/>
                <w:szCs w:val="1"/>
                <w:color w:val="auto"/>
              </w:rPr>
            </w:pPr>
          </w:p>
        </w:tc>
        <w:tc>
          <w:tcPr>
            <w:tcW w:w="800" w:type="dxa"/>
            <w:vAlign w:val="bottom"/>
            <w:vMerge w:val="restart"/>
          </w:tcPr>
          <w:p>
            <w:pPr>
              <w:jc w:val="right"/>
              <w:spacing w:after="0"/>
              <w:rPr>
                <w:sz w:val="20"/>
                <w:szCs w:val="20"/>
                <w:color w:val="auto"/>
              </w:rPr>
            </w:pPr>
            <w:r>
              <w:rPr>
                <w:rFonts w:ascii="Arial" w:cs="Arial" w:eastAsia="Arial" w:hAnsi="Arial"/>
                <w:sz w:val="18"/>
                <w:szCs w:val="18"/>
                <w:color w:val="auto"/>
              </w:rPr>
              <w:t>114</w:t>
            </w:r>
          </w:p>
        </w:tc>
        <w:tc>
          <w:tcPr>
            <w:tcW w:w="1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4"/>
        </w:trPr>
        <w:tc>
          <w:tcPr>
            <w:tcW w:w="4320" w:type="dxa"/>
            <w:vAlign w:val="bottom"/>
          </w:tcPr>
          <w:p>
            <w:pPr>
              <w:spacing w:after="0"/>
              <w:rPr>
                <w:sz w:val="24"/>
                <w:szCs w:val="24"/>
                <w:color w:val="auto"/>
              </w:rPr>
            </w:pPr>
          </w:p>
        </w:tc>
        <w:tc>
          <w:tcPr>
            <w:tcW w:w="800" w:type="dxa"/>
            <w:vAlign w:val="bottom"/>
            <w:vMerge w:val="continue"/>
          </w:tcPr>
          <w:p>
            <w:pPr>
              <w:spacing w:after="0"/>
              <w:rPr>
                <w:sz w:val="24"/>
                <w:szCs w:val="24"/>
                <w:color w:val="auto"/>
              </w:rPr>
            </w:pPr>
          </w:p>
        </w:tc>
        <w:tc>
          <w:tcPr>
            <w:tcW w:w="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60"/>
        </w:trPr>
        <w:tc>
          <w:tcPr>
            <w:tcW w:w="432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920"/>
          </w:cols>
          <w:pgMar w:left="980" w:top="665" w:right="999" w:bottom="1440" w:gutter="0" w:footer="0" w:header="0"/>
        </w:sectPr>
      </w:pPr>
    </w:p>
    <w:bookmarkStart w:id="114" w:name="page115"/>
    <w:bookmarkEnd w:id="114"/>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9" w:lineRule="exact"/>
        <w:rPr>
          <w:sz w:val="20"/>
          <w:szCs w:val="20"/>
          <w:color w:val="auto"/>
        </w:rPr>
      </w:pPr>
    </w:p>
    <w:p>
      <w:pPr>
        <w:ind w:right="100" w:firstLine="648"/>
        <w:spacing w:after="0" w:line="301" w:lineRule="auto"/>
        <w:rPr>
          <w:sz w:val="20"/>
          <w:szCs w:val="20"/>
          <w:color w:val="auto"/>
        </w:rPr>
      </w:pPr>
      <w:r>
        <w:rPr>
          <w:rFonts w:ascii="Arial" w:cs="Arial" w:eastAsia="Arial" w:hAnsi="Arial"/>
          <w:sz w:val="16"/>
          <w:szCs w:val="16"/>
          <w:color w:val="auto"/>
        </w:rPr>
        <w:t>We believe it is desirable to hold residential mortgage-backed pass-through securities due to their credit quality and liquidity as well as portfolio diversification characteristics. Our portfolio is comprised of Government National Mortgage Association, Federal National Mortgage Association and Federal Home Loan Mortgage Corporation pass-through securities. In addition, our residential collateralized mortgage obligation portfolio offers structural features that allow cash flows to be matched to our liabilities.</w:t>
      </w:r>
    </w:p>
    <w:p>
      <w:pPr>
        <w:spacing w:after="0" w:line="157" w:lineRule="exact"/>
        <w:rPr>
          <w:sz w:val="20"/>
          <w:szCs w:val="20"/>
          <w:color w:val="auto"/>
        </w:rPr>
      </w:pPr>
    </w:p>
    <w:p>
      <w:pPr>
        <w:ind w:right="260" w:firstLine="648"/>
        <w:spacing w:after="0" w:line="272" w:lineRule="auto"/>
        <w:rPr>
          <w:sz w:val="20"/>
          <w:szCs w:val="20"/>
          <w:color w:val="auto"/>
        </w:rPr>
      </w:pPr>
      <w:r>
        <w:rPr>
          <w:rFonts w:ascii="Arial" w:cs="Arial" w:eastAsia="Arial" w:hAnsi="Arial"/>
          <w:sz w:val="17"/>
          <w:szCs w:val="17"/>
          <w:color w:val="auto"/>
        </w:rPr>
        <w:t>We purchase CMBS to diversify the overall credit risks of the fixed maturities portfolio and to provide attractive returns. The primary risks in holding CMBS are structural and credit risks. Structural risks include the security’s priority in the issuer’s capital structure, the adequacy of and ability to realize proceeds from the collateral and the potential for prepayments. Credit risks involve collateral and issuer/servicer risk where collateral and servicer performance may deteriorate. CMBS are predominantly comprised of large pool securitizations that are diverse by property type, borrower and geographic dispersion. The risks to any CMBS deal are determined by the credit quality of the underlying loans and how those loans perform over time. Another key risk is the vintage of the underlying loans and the state of the markets during a particular vintage.</w:t>
      </w:r>
    </w:p>
    <w:p>
      <w:pPr>
        <w:spacing w:after="0" w:line="177" w:lineRule="exact"/>
        <w:rPr>
          <w:sz w:val="20"/>
          <w:szCs w:val="20"/>
          <w:color w:val="auto"/>
        </w:rPr>
      </w:pPr>
    </w:p>
    <w:p>
      <w:pPr>
        <w:ind w:right="40" w:firstLine="648"/>
        <w:spacing w:after="0" w:line="273" w:lineRule="auto"/>
        <w:rPr>
          <w:sz w:val="20"/>
          <w:szCs w:val="20"/>
          <w:color w:val="auto"/>
        </w:rPr>
      </w:pPr>
      <w:r>
        <w:rPr>
          <w:rFonts w:ascii="Arial" w:cs="Arial" w:eastAsia="Arial" w:hAnsi="Arial"/>
          <w:sz w:val="17"/>
          <w:szCs w:val="17"/>
          <w:color w:val="auto"/>
        </w:rPr>
        <w:t>Similar to CMBS, we purchase ABS for diversification and to provide attractive returns. The primary risks in holding ABS are also structural and credit risks, which are similar to those noted above for CMBS. Our ABS portfolio is diversified by type of asset, issuer, and vintage. We actively monitor holdings of ABS to recognize adverse changes in the risk profile of each security. Prepayments in the ABS portfolio are, in general, insensitive to changes in interest rates or are insulated from such changes by call protection features. In the event we are subject to prepayment risk, we monitor the factors that impact the level of prepayment and prepayment speed for those ABS. In addition, we hold a diverse class of securities, which limits our exposure to any one security.</w:t>
      </w:r>
    </w:p>
    <w:p>
      <w:pPr>
        <w:spacing w:after="0" w:line="178" w:lineRule="exact"/>
        <w:rPr>
          <w:sz w:val="20"/>
          <w:szCs w:val="20"/>
          <w:color w:val="auto"/>
        </w:rPr>
      </w:pPr>
    </w:p>
    <w:p>
      <w:pPr>
        <w:ind w:right="240" w:firstLine="648"/>
        <w:spacing w:after="0" w:line="308" w:lineRule="auto"/>
        <w:rPr>
          <w:sz w:val="20"/>
          <w:szCs w:val="20"/>
          <w:color w:val="auto"/>
        </w:rPr>
      </w:pPr>
      <w:r>
        <w:rPr>
          <w:rFonts w:ascii="Arial" w:cs="Arial" w:eastAsia="Arial" w:hAnsi="Arial"/>
          <w:sz w:val="17"/>
          <w:szCs w:val="17"/>
          <w:color w:val="auto"/>
        </w:rPr>
        <w:t>The international exposure held in our U.S. operation’s fixed maturities portfolio was 15% of total fixed maturities as of June 30, 2022, and 16% as of December 31, 2021. It is comprised of corporate and foreign government fixed maturities.</w:t>
      </w:r>
    </w:p>
    <w:p>
      <w:pPr>
        <w:spacing w:after="0" w:line="15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480" w:type="dxa"/>
            <w:vAlign w:val="bottom"/>
          </w:tcPr>
          <w:p>
            <w:pPr>
              <w:spacing w:after="0"/>
              <w:rPr>
                <w:sz w:val="14"/>
                <w:szCs w:val="14"/>
                <w:color w:val="auto"/>
              </w:rPr>
            </w:pPr>
          </w:p>
        </w:tc>
        <w:tc>
          <w:tcPr>
            <w:tcW w:w="434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240" w:type="dxa"/>
            <w:vAlign w:val="bottom"/>
            <w:tcBorders>
              <w:bottom w:val="single" w:sz="8" w:color="auto"/>
            </w:tcBorders>
          </w:tcPr>
          <w:p>
            <w:pPr>
              <w:jc w:val="right"/>
              <w:ind w:right="213"/>
              <w:spacing w:after="0"/>
              <w:rPr>
                <w:sz w:val="20"/>
                <w:szCs w:val="20"/>
                <w:color w:val="auto"/>
              </w:rPr>
            </w:pPr>
            <w:r>
              <w:rPr>
                <w:rFonts w:ascii="Arial" w:cs="Arial" w:eastAsia="Arial" w:hAnsi="Arial"/>
                <w:sz w:val="14"/>
                <w:szCs w:val="14"/>
                <w:b w:val="1"/>
                <w:bCs w:val="1"/>
                <w:color w:val="auto"/>
              </w:rPr>
              <w:t>June 30, 2022</w:t>
            </w:r>
          </w:p>
        </w:tc>
        <w:tc>
          <w:tcPr>
            <w:tcW w:w="2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340" w:type="dxa"/>
            <w:vAlign w:val="bottom"/>
            <w:tcBorders>
              <w:bottom w:val="single" w:sz="8" w:color="auto"/>
            </w:tcBorders>
          </w:tcPr>
          <w:p>
            <w:pPr>
              <w:jc w:val="right"/>
              <w:ind w:right="72"/>
              <w:spacing w:after="0"/>
              <w:rPr>
                <w:sz w:val="20"/>
                <w:szCs w:val="20"/>
                <w:color w:val="auto"/>
              </w:rPr>
            </w:pPr>
            <w:r>
              <w:rPr>
                <w:rFonts w:ascii="Arial" w:cs="Arial" w:eastAsia="Arial" w:hAnsi="Arial"/>
                <w:sz w:val="14"/>
                <w:szCs w:val="14"/>
                <w:b w:val="1"/>
                <w:bCs w:val="1"/>
                <w:color w:val="auto"/>
                <w:w w:val="91"/>
              </w:rPr>
              <w:t>December 31, 2021</w:t>
            </w:r>
          </w:p>
        </w:tc>
      </w:tr>
      <w:tr>
        <w:trPr>
          <w:trHeight w:val="129"/>
        </w:trPr>
        <w:tc>
          <w:tcPr>
            <w:tcW w:w="2480" w:type="dxa"/>
            <w:vAlign w:val="bottom"/>
          </w:tcPr>
          <w:p>
            <w:pPr>
              <w:spacing w:after="0"/>
              <w:rPr>
                <w:sz w:val="11"/>
                <w:szCs w:val="11"/>
                <w:color w:val="auto"/>
              </w:rPr>
            </w:pPr>
          </w:p>
        </w:tc>
        <w:tc>
          <w:tcPr>
            <w:tcW w:w="43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900" w:type="dxa"/>
            <w:vAlign w:val="bottom"/>
            <w:gridSpan w:val="4"/>
          </w:tcPr>
          <w:p>
            <w:pPr>
              <w:jc w:val="right"/>
              <w:ind w:right="1112"/>
              <w:spacing w:after="0" w:line="129" w:lineRule="exact"/>
              <w:rPr>
                <w:sz w:val="20"/>
                <w:szCs w:val="20"/>
                <w:color w:val="auto"/>
              </w:rPr>
            </w:pPr>
            <w:r>
              <w:rPr>
                <w:rFonts w:ascii="Arial" w:cs="Arial" w:eastAsia="Arial" w:hAnsi="Arial"/>
                <w:sz w:val="14"/>
                <w:szCs w:val="14"/>
                <w:i w:val="1"/>
                <w:iCs w:val="1"/>
                <w:color w:val="auto"/>
              </w:rPr>
              <w:t>(in millions)</w:t>
            </w:r>
          </w:p>
        </w:tc>
      </w:tr>
      <w:tr>
        <w:trPr>
          <w:trHeight w:val="216"/>
        </w:trPr>
        <w:tc>
          <w:tcPr>
            <w:tcW w:w="2480" w:type="dxa"/>
            <w:vAlign w:val="bottom"/>
            <w:shd w:val="clear" w:color="auto" w:fill="CCEEFF"/>
          </w:tcPr>
          <w:p>
            <w:pPr>
              <w:spacing w:after="0"/>
              <w:rPr>
                <w:sz w:val="20"/>
                <w:szCs w:val="20"/>
                <w:color w:val="auto"/>
              </w:rPr>
            </w:pPr>
            <w:r>
              <w:rPr>
                <w:rFonts w:ascii="Arial" w:cs="Arial" w:eastAsia="Arial" w:hAnsi="Arial"/>
                <w:sz w:val="18"/>
                <w:szCs w:val="18"/>
                <w:color w:val="auto"/>
              </w:rPr>
              <w:t>European Union</w:t>
            </w:r>
          </w:p>
        </w:tc>
        <w:tc>
          <w:tcPr>
            <w:tcW w:w="4540" w:type="dxa"/>
            <w:vAlign w:val="bottom"/>
            <w:gridSpan w:val="2"/>
            <w:shd w:val="clear" w:color="auto" w:fill="CCEEFF"/>
          </w:tcPr>
          <w:p>
            <w:pPr>
              <w:jc w:val="right"/>
              <w:ind w:right="47"/>
              <w:spacing w:after="0"/>
              <w:rPr>
                <w:sz w:val="20"/>
                <w:szCs w:val="20"/>
                <w:color w:val="auto"/>
              </w:rPr>
            </w:pPr>
            <w:r>
              <w:rPr>
                <w:rFonts w:ascii="Arial" w:cs="Arial" w:eastAsia="Arial" w:hAnsi="Arial"/>
                <w:sz w:val="18"/>
                <w:szCs w:val="18"/>
                <w:b w:val="1"/>
                <w:bCs w:val="1"/>
                <w:color w:val="auto"/>
              </w:rPr>
              <w:t>$</w:t>
            </w: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1,591.9</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2,876.6</w:t>
            </w:r>
          </w:p>
        </w:tc>
      </w:tr>
      <w:tr>
        <w:trPr>
          <w:trHeight w:val="216"/>
        </w:trPr>
        <w:tc>
          <w:tcPr>
            <w:tcW w:w="2480" w:type="dxa"/>
            <w:vAlign w:val="bottom"/>
          </w:tcPr>
          <w:p>
            <w:pPr>
              <w:spacing w:after="0"/>
              <w:rPr>
                <w:sz w:val="20"/>
                <w:szCs w:val="20"/>
                <w:color w:val="auto"/>
              </w:rPr>
            </w:pPr>
            <w:r>
              <w:rPr>
                <w:rFonts w:ascii="Arial" w:cs="Arial" w:eastAsia="Arial" w:hAnsi="Arial"/>
                <w:sz w:val="18"/>
                <w:szCs w:val="18"/>
                <w:color w:val="auto"/>
              </w:rPr>
              <w:t>United Kingdom</w:t>
            </w:r>
          </w:p>
        </w:tc>
        <w:tc>
          <w:tcPr>
            <w:tcW w:w="4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1,211.2</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2,079.0</w:t>
            </w:r>
          </w:p>
        </w:tc>
      </w:tr>
      <w:tr>
        <w:trPr>
          <w:trHeight w:val="216"/>
        </w:trPr>
        <w:tc>
          <w:tcPr>
            <w:tcW w:w="2480" w:type="dxa"/>
            <w:vAlign w:val="bottom"/>
            <w:shd w:val="clear" w:color="auto" w:fill="CCEEFF"/>
          </w:tcPr>
          <w:p>
            <w:pPr>
              <w:spacing w:after="0"/>
              <w:rPr>
                <w:sz w:val="20"/>
                <w:szCs w:val="20"/>
                <w:color w:val="auto"/>
              </w:rPr>
            </w:pPr>
            <w:r>
              <w:rPr>
                <w:rFonts w:ascii="Arial" w:cs="Arial" w:eastAsia="Arial" w:hAnsi="Arial"/>
                <w:sz w:val="18"/>
                <w:szCs w:val="18"/>
                <w:color w:val="auto"/>
              </w:rPr>
              <w:t>Australia/New Zealand</w:t>
            </w:r>
          </w:p>
        </w:tc>
        <w:tc>
          <w:tcPr>
            <w:tcW w:w="4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1,384.3</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2,060.3</w:t>
            </w:r>
          </w:p>
        </w:tc>
      </w:tr>
      <w:tr>
        <w:trPr>
          <w:trHeight w:val="216"/>
        </w:trPr>
        <w:tc>
          <w:tcPr>
            <w:tcW w:w="2480" w:type="dxa"/>
            <w:vAlign w:val="bottom"/>
          </w:tcPr>
          <w:p>
            <w:pPr>
              <w:spacing w:after="0"/>
              <w:rPr>
                <w:sz w:val="20"/>
                <w:szCs w:val="20"/>
                <w:color w:val="auto"/>
              </w:rPr>
            </w:pPr>
            <w:r>
              <w:rPr>
                <w:rFonts w:ascii="Arial" w:cs="Arial" w:eastAsia="Arial" w:hAnsi="Arial"/>
                <w:sz w:val="18"/>
                <w:szCs w:val="18"/>
                <w:color w:val="auto"/>
              </w:rPr>
              <w:t>Latin America</w:t>
            </w:r>
          </w:p>
        </w:tc>
        <w:tc>
          <w:tcPr>
            <w:tcW w:w="4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1,049.7</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1,578.6</w:t>
            </w:r>
          </w:p>
        </w:tc>
      </w:tr>
      <w:tr>
        <w:trPr>
          <w:trHeight w:val="216"/>
        </w:trPr>
        <w:tc>
          <w:tcPr>
            <w:tcW w:w="2480" w:type="dxa"/>
            <w:vAlign w:val="bottom"/>
            <w:shd w:val="clear" w:color="auto" w:fill="CCEEFF"/>
          </w:tcPr>
          <w:p>
            <w:pPr>
              <w:spacing w:after="0"/>
              <w:rPr>
                <w:sz w:val="20"/>
                <w:szCs w:val="20"/>
                <w:color w:val="auto"/>
              </w:rPr>
            </w:pPr>
            <w:r>
              <w:rPr>
                <w:rFonts w:ascii="Arial" w:cs="Arial" w:eastAsia="Arial" w:hAnsi="Arial"/>
                <w:sz w:val="18"/>
                <w:szCs w:val="18"/>
                <w:color w:val="auto"/>
              </w:rPr>
              <w:t>Asia-Pacific</w:t>
            </w:r>
          </w:p>
        </w:tc>
        <w:tc>
          <w:tcPr>
            <w:tcW w:w="4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671.2</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1,364.3</w:t>
            </w:r>
          </w:p>
        </w:tc>
      </w:tr>
      <w:tr>
        <w:trPr>
          <w:trHeight w:val="216"/>
        </w:trPr>
        <w:tc>
          <w:tcPr>
            <w:tcW w:w="2480" w:type="dxa"/>
            <w:vAlign w:val="bottom"/>
          </w:tcPr>
          <w:p>
            <w:pPr>
              <w:spacing w:after="0"/>
              <w:rPr>
                <w:sz w:val="20"/>
                <w:szCs w:val="20"/>
                <w:color w:val="auto"/>
              </w:rPr>
            </w:pPr>
            <w:r>
              <w:rPr>
                <w:rFonts w:ascii="Arial" w:cs="Arial" w:eastAsia="Arial" w:hAnsi="Arial"/>
                <w:sz w:val="18"/>
                <w:szCs w:val="18"/>
                <w:color w:val="auto"/>
              </w:rPr>
              <w:t>Middle East and Africa</w:t>
            </w:r>
          </w:p>
        </w:tc>
        <w:tc>
          <w:tcPr>
            <w:tcW w:w="4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469.8</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920.7</w:t>
            </w:r>
          </w:p>
        </w:tc>
      </w:tr>
      <w:tr>
        <w:trPr>
          <w:trHeight w:val="216"/>
        </w:trPr>
        <w:tc>
          <w:tcPr>
            <w:tcW w:w="2480" w:type="dxa"/>
            <w:vAlign w:val="bottom"/>
            <w:shd w:val="clear" w:color="auto" w:fill="CCEEFF"/>
          </w:tcPr>
          <w:p>
            <w:pPr>
              <w:spacing w:after="0"/>
              <w:rPr>
                <w:sz w:val="20"/>
                <w:szCs w:val="20"/>
                <w:color w:val="auto"/>
              </w:rPr>
            </w:pPr>
            <w:r>
              <w:rPr>
                <w:rFonts w:ascii="Arial" w:cs="Arial" w:eastAsia="Arial" w:hAnsi="Arial"/>
                <w:sz w:val="18"/>
                <w:szCs w:val="18"/>
                <w:color w:val="auto"/>
              </w:rPr>
              <w:t>Europe, non-European Union</w:t>
            </w:r>
          </w:p>
        </w:tc>
        <w:tc>
          <w:tcPr>
            <w:tcW w:w="4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343.0</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713.7</w:t>
            </w:r>
          </w:p>
        </w:tc>
      </w:tr>
      <w:tr>
        <w:trPr>
          <w:trHeight w:val="216"/>
        </w:trPr>
        <w:tc>
          <w:tcPr>
            <w:tcW w:w="248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Other (1)</w:t>
            </w:r>
          </w:p>
        </w:tc>
        <w:tc>
          <w:tcPr>
            <w:tcW w:w="434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134.6</w:t>
            </w:r>
          </w:p>
        </w:tc>
        <w:tc>
          <w:tcPr>
            <w:tcW w:w="20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253.7</w:t>
            </w:r>
          </w:p>
        </w:tc>
      </w:tr>
      <w:tr>
        <w:trPr>
          <w:trHeight w:val="210"/>
        </w:trPr>
        <w:tc>
          <w:tcPr>
            <w:tcW w:w="248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Total</w:t>
            </w:r>
          </w:p>
        </w:tc>
        <w:tc>
          <w:tcPr>
            <w:tcW w:w="434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jc w:val="right"/>
              <w:ind w:right="47"/>
              <w:spacing w:after="0"/>
              <w:rPr>
                <w:sz w:val="20"/>
                <w:szCs w:val="20"/>
                <w:color w:val="auto"/>
              </w:rPr>
            </w:pPr>
            <w:r>
              <w:rPr>
                <w:rFonts w:ascii="Arial" w:cs="Arial" w:eastAsia="Arial" w:hAnsi="Arial"/>
                <w:sz w:val="15"/>
                <w:szCs w:val="15"/>
                <w:b w:val="1"/>
                <w:bCs w:val="1"/>
                <w:color w:val="auto"/>
                <w:w w:val="71"/>
              </w:rPr>
              <w:t>$</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6,855.7</w:t>
            </w:r>
          </w:p>
        </w:tc>
        <w:tc>
          <w:tcPr>
            <w:tcW w:w="20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11,846.9</w:t>
            </w:r>
          </w:p>
        </w:tc>
      </w:tr>
      <w:tr>
        <w:trPr>
          <w:trHeight w:val="20"/>
        </w:trPr>
        <w:tc>
          <w:tcPr>
            <w:tcW w:w="2480" w:type="dxa"/>
            <w:vAlign w:val="bottom"/>
          </w:tcPr>
          <w:p>
            <w:pPr>
              <w:spacing w:after="0" w:line="20" w:lineRule="exact"/>
              <w:rPr>
                <w:sz w:val="1"/>
                <w:szCs w:val="1"/>
                <w:color w:val="auto"/>
              </w:rPr>
            </w:pPr>
          </w:p>
        </w:tc>
        <w:tc>
          <w:tcPr>
            <w:tcW w:w="43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r>
      <w:tr>
        <w:trPr>
          <w:trHeight w:val="88"/>
        </w:trPr>
        <w:tc>
          <w:tcPr>
            <w:tcW w:w="2480" w:type="dxa"/>
            <w:vAlign w:val="bottom"/>
            <w:tcBorders>
              <w:bottom w:val="single" w:sz="8" w:color="auto"/>
            </w:tcBorders>
          </w:tcPr>
          <w:p>
            <w:pPr>
              <w:spacing w:after="0"/>
              <w:rPr>
                <w:sz w:val="7"/>
                <w:szCs w:val="7"/>
                <w:color w:val="auto"/>
              </w:rPr>
            </w:pPr>
          </w:p>
        </w:tc>
        <w:tc>
          <w:tcPr>
            <w:tcW w:w="4340" w:type="dxa"/>
            <w:vAlign w:val="bottom"/>
          </w:tcPr>
          <w:p>
            <w:pPr>
              <w:spacing w:after="0"/>
              <w:rPr>
                <w:sz w:val="7"/>
                <w:szCs w:val="7"/>
                <w:color w:val="auto"/>
              </w:rPr>
            </w:pPr>
          </w:p>
        </w:tc>
        <w:tc>
          <w:tcPr>
            <w:tcW w:w="200" w:type="dxa"/>
            <w:vAlign w:val="bottom"/>
          </w:tcPr>
          <w:p>
            <w:pPr>
              <w:spacing w:after="0"/>
              <w:rPr>
                <w:sz w:val="7"/>
                <w:szCs w:val="7"/>
                <w:color w:val="auto"/>
              </w:rPr>
            </w:pPr>
          </w:p>
        </w:tc>
        <w:tc>
          <w:tcPr>
            <w:tcW w:w="1240" w:type="dxa"/>
            <w:vAlign w:val="bottom"/>
          </w:tcPr>
          <w:p>
            <w:pPr>
              <w:spacing w:after="0"/>
              <w:rPr>
                <w:sz w:val="7"/>
                <w:szCs w:val="7"/>
                <w:color w:val="auto"/>
              </w:rPr>
            </w:pPr>
          </w:p>
        </w:tc>
        <w:tc>
          <w:tcPr>
            <w:tcW w:w="2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340" w:type="dxa"/>
            <w:vAlign w:val="bottom"/>
          </w:tcPr>
          <w:p>
            <w:pPr>
              <w:spacing w:after="0"/>
              <w:rPr>
                <w:sz w:val="7"/>
                <w:szCs w:val="7"/>
                <w:color w:val="auto"/>
              </w:rPr>
            </w:pPr>
          </w:p>
        </w:tc>
      </w:tr>
    </w:tbl>
    <w:p>
      <w:pPr>
        <w:spacing w:after="0" w:line="80" w:lineRule="exact"/>
        <w:rPr>
          <w:sz w:val="20"/>
          <w:szCs w:val="20"/>
          <w:color w:val="auto"/>
        </w:rPr>
      </w:pPr>
    </w:p>
    <w:p>
      <w:pPr>
        <w:spacing w:after="0"/>
        <w:rPr>
          <w:sz w:val="20"/>
          <w:szCs w:val="20"/>
          <w:color w:val="auto"/>
        </w:rPr>
      </w:pPr>
      <w:r>
        <w:rPr>
          <w:rFonts w:ascii="Arial" w:cs="Arial" w:eastAsia="Arial" w:hAnsi="Arial"/>
          <w:sz w:val="17"/>
          <w:szCs w:val="17"/>
          <w:color w:val="auto"/>
        </w:rPr>
        <w:t>(1) Includes exposure from one country and various supranational organizations as of both June 30, 2022 and December 31, 2021.</w:t>
      </w:r>
    </w:p>
    <w:p>
      <w:pPr>
        <w:spacing w:after="0" w:line="237" w:lineRule="exact"/>
        <w:rPr>
          <w:sz w:val="20"/>
          <w:szCs w:val="20"/>
          <w:color w:val="auto"/>
        </w:rPr>
      </w:pPr>
    </w:p>
    <w:p>
      <w:pPr>
        <w:ind w:right="140" w:firstLine="648"/>
        <w:spacing w:after="0" w:line="254" w:lineRule="auto"/>
        <w:rPr>
          <w:sz w:val="20"/>
          <w:szCs w:val="20"/>
          <w:color w:val="auto"/>
        </w:rPr>
      </w:pPr>
      <w:r>
        <w:rPr>
          <w:rFonts w:ascii="Arial" w:cs="Arial" w:eastAsia="Arial" w:hAnsi="Arial"/>
          <w:sz w:val="18"/>
          <w:szCs w:val="18"/>
          <w:color w:val="auto"/>
        </w:rPr>
        <w:t>International fixed maturities exposure is determined by the country of risk of the obligor entity. All international fixed maturities held by our U.S. operations are either denominated in U.S. dollars or have been swapped into U.S. dollar equivalents. Our international investments are analyzed internally by country and industry credit investment professionals. We control concentrations using issuer and country level exposure benchmarks, which are based on the credit quality of the issuer and the country. Our investment policy limits total international fixed maturities investments and we are within those internal limits. Exposure to Canada is not included in our international exposure. As of June 30, 2022 and December 31, 2021, our investments in Canada totaled $1,140.9 million and $1,839.5 million, respectively.</w:t>
      </w:r>
    </w:p>
    <w:p>
      <w:pPr>
        <w:spacing w:after="0" w:line="195" w:lineRule="exact"/>
        <w:rPr>
          <w:sz w:val="20"/>
          <w:szCs w:val="20"/>
          <w:color w:val="auto"/>
        </w:rPr>
      </w:pPr>
    </w:p>
    <w:p>
      <w:pPr>
        <w:jc w:val="both"/>
        <w:ind w:right="680" w:firstLine="648"/>
        <w:spacing w:after="0" w:line="263" w:lineRule="auto"/>
        <w:rPr>
          <w:sz w:val="20"/>
          <w:szCs w:val="20"/>
          <w:color w:val="auto"/>
        </w:rPr>
      </w:pPr>
      <w:r>
        <w:rPr>
          <w:rFonts w:ascii="Arial" w:cs="Arial" w:eastAsia="Arial" w:hAnsi="Arial"/>
          <w:sz w:val="18"/>
          <w:szCs w:val="18"/>
          <w:b w:val="1"/>
          <w:bCs w:val="1"/>
          <w:i w:val="1"/>
          <w:iCs w:val="1"/>
          <w:color w:val="auto"/>
        </w:rPr>
        <w:t xml:space="preserve">Fixed Maturities Credit Concentrations. </w:t>
      </w:r>
      <w:r>
        <w:rPr>
          <w:rFonts w:ascii="Arial" w:cs="Arial" w:eastAsia="Arial" w:hAnsi="Arial"/>
          <w:sz w:val="18"/>
          <w:szCs w:val="18"/>
          <w:color w:val="auto"/>
        </w:rPr>
        <w:t>One aspect of managing credit risk is through industry, issuer and asset class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diversification. Our credit concentrations are managed to established limits. The top 10 exposures comprised 4.9% of total fixed maturities as of June 30, 2022, and 4.6% as of December 31, 2021.</w:t>
      </w: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603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115" w:name="page116"/>
    <w:bookmarkEnd w:id="115"/>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9" w:lineRule="exact"/>
        <w:rPr>
          <w:sz w:val="20"/>
          <w:szCs w:val="20"/>
          <w:color w:val="auto"/>
        </w:rPr>
      </w:pPr>
    </w:p>
    <w:p>
      <w:pPr>
        <w:ind w:firstLine="648"/>
        <w:spacing w:after="0" w:line="287" w:lineRule="auto"/>
        <w:rPr>
          <w:sz w:val="20"/>
          <w:szCs w:val="20"/>
          <w:color w:val="auto"/>
        </w:rPr>
      </w:pPr>
      <w:r>
        <w:rPr>
          <w:rFonts w:ascii="Arial" w:cs="Arial" w:eastAsia="Arial" w:hAnsi="Arial"/>
          <w:sz w:val="16"/>
          <w:szCs w:val="16"/>
          <w:b w:val="1"/>
          <w:bCs w:val="1"/>
          <w:i w:val="1"/>
          <w:iCs w:val="1"/>
          <w:color w:val="auto"/>
        </w:rPr>
        <w:t xml:space="preserve">Fixed Maturities Valuation and Credit Quality. </w:t>
      </w:r>
      <w:r>
        <w:rPr>
          <w:rFonts w:ascii="Arial" w:cs="Arial" w:eastAsia="Arial" w:hAnsi="Arial"/>
          <w:sz w:val="16"/>
          <w:szCs w:val="16"/>
          <w:color w:val="auto"/>
        </w:rPr>
        <w:t>Valuation techniques for the fixed maturities portfolio vary by security type and</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the availability of market data. The use of different pricing techniques and their assumptions could produce different financial results. See Item 1. “Financial Statements, Notes to Unaudited Condensed Consolidated Financial Statements, Note 12, Fair Value Measurements” for further details regarding our pricing methodology. Once prices are determined, they are reviewed by pricing analysts for reasonableness based on asset class and observable market data. Investment analysts who are familiar with specific securities review prices for reasonableness through direct interaction with external sources, review of recent trade activity or use of internal models. All fixed maturities placed on the “watch list” are periodically analyzed by investment analysts. These analysts periodically meet with the Chief Investment Officer and the Portfolio Managers to determine reasonableness of the analysts’ prices. The valuation of bonds for which a credit loss exists and there is no quoted price is typically based on relative value analysis and the present value of the future cash flows expected to be received. Although we believe these values reasonably reflect the fair value of those securities, the key assumptions about risk premiums, performance of underlying collateral (if any) and other market factors involve qualitative and unobservable inputs.</w:t>
      </w:r>
    </w:p>
    <w:p>
      <w:pPr>
        <w:spacing w:after="0" w:line="172" w:lineRule="exact"/>
        <w:rPr>
          <w:sz w:val="20"/>
          <w:szCs w:val="20"/>
          <w:color w:val="auto"/>
        </w:rPr>
      </w:pPr>
    </w:p>
    <w:p>
      <w:pPr>
        <w:ind w:right="40" w:firstLine="648"/>
        <w:spacing w:after="0" w:line="271" w:lineRule="auto"/>
        <w:rPr>
          <w:sz w:val="20"/>
          <w:szCs w:val="20"/>
          <w:color w:val="auto"/>
        </w:rPr>
      </w:pPr>
      <w:r>
        <w:rPr>
          <w:rFonts w:ascii="Arial" w:cs="Arial" w:eastAsia="Arial" w:hAnsi="Arial"/>
          <w:sz w:val="17"/>
          <w:szCs w:val="17"/>
          <w:color w:val="auto"/>
        </w:rPr>
        <w:t>The Securities Valuation Office (“SVO”) of the National Association of Insurance Commissioners (“NAIC”) monitors the bond investments of insurers for regulatory capital and reporting purposes and, when required, assigns securities to one of six categories referred to as NAIC designations. Although NAIC designations are not produced to aid the investment decision making process, NAIC designations may serve as a reasonable proxy for Nationally Recognized Statistical Rating Organizations’ (“NRSRO”) credit ratings for certain bonds. For most corporate bonds, NAIC designations 1 and 2 include bonds generally considered investment grade by such rating organizations. Bonds are considered investment grade when rated ‘‘Baa3’’ or higher by Moody’s, or ‘‘BBB-’’ or higher by S&amp;P. NAIC designations 3 through 6 include bonds generally referred to as below investment grade. Bonds are considered below investment grade when rated ‘‘Ba1’’ or lower by Moody’s, or ‘‘BB+’’ or lower by S&amp;P.</w:t>
      </w:r>
    </w:p>
    <w:p>
      <w:pPr>
        <w:spacing w:after="0" w:line="178" w:lineRule="exact"/>
        <w:rPr>
          <w:sz w:val="20"/>
          <w:szCs w:val="20"/>
          <w:color w:val="auto"/>
        </w:rPr>
      </w:pPr>
    </w:p>
    <w:p>
      <w:pPr>
        <w:ind w:right="140" w:firstLine="648"/>
        <w:spacing w:after="0" w:line="286" w:lineRule="auto"/>
        <w:rPr>
          <w:sz w:val="20"/>
          <w:szCs w:val="20"/>
          <w:color w:val="auto"/>
        </w:rPr>
      </w:pPr>
      <w:r>
        <w:rPr>
          <w:rFonts w:ascii="Arial" w:cs="Arial" w:eastAsia="Arial" w:hAnsi="Arial"/>
          <w:sz w:val="17"/>
          <w:szCs w:val="17"/>
          <w:color w:val="auto"/>
        </w:rPr>
        <w:t>For loan-backed and structured securities, as defined by the NAIC, the NAIC designation is not always a reasonable indication of an NRSRO rating as described below. For CMBS and non-agency RMBS, Blackrock Solutions undertakes the modeling of those NAIC designations. This may result in a final designation being higher or lower than the NRSRO credit rating.</w:t>
      </w:r>
    </w:p>
    <w:p>
      <w:pPr>
        <w:spacing w:after="0" w:line="165" w:lineRule="exact"/>
        <w:rPr>
          <w:sz w:val="20"/>
          <w:szCs w:val="20"/>
          <w:color w:val="auto"/>
        </w:rPr>
      </w:pPr>
    </w:p>
    <w:p>
      <w:pPr>
        <w:ind w:right="1120" w:firstLine="648"/>
        <w:spacing w:after="0" w:line="277" w:lineRule="auto"/>
        <w:rPr>
          <w:sz w:val="20"/>
          <w:szCs w:val="20"/>
          <w:color w:val="auto"/>
        </w:rPr>
      </w:pPr>
      <w:r>
        <w:rPr>
          <w:rFonts w:ascii="Arial" w:cs="Arial" w:eastAsia="Arial" w:hAnsi="Arial"/>
          <w:sz w:val="18"/>
          <w:szCs w:val="18"/>
          <w:color w:val="auto"/>
        </w:rPr>
        <w:t>The following table presents our total fixed maturities by NAIC designation as of the periods indicated as well as the percentage, based on fair value, that each designation comprises.</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9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gridSpan w:val="4"/>
          </w:tcPr>
          <w:p>
            <w:pPr>
              <w:jc w:val="right"/>
              <w:ind w:right="300"/>
              <w:spacing w:after="0"/>
              <w:rPr>
                <w:sz w:val="20"/>
                <w:szCs w:val="20"/>
                <w:color w:val="auto"/>
              </w:rPr>
            </w:pPr>
            <w:r>
              <w:rPr>
                <w:rFonts w:ascii="Arial" w:cs="Arial" w:eastAsia="Arial" w:hAnsi="Arial"/>
                <w:sz w:val="14"/>
                <w:szCs w:val="14"/>
                <w:b w:val="1"/>
                <w:bCs w:val="1"/>
                <w:color w:val="auto"/>
                <w:w w:val="94"/>
              </w:rPr>
              <w:t>June 30, 2022</w:t>
            </w:r>
          </w:p>
        </w:tc>
        <w:tc>
          <w:tcPr>
            <w:tcW w:w="640" w:type="dxa"/>
            <w:vAlign w:val="bottom"/>
            <w:tcBorders>
              <w:bottom w:val="single" w:sz="8" w:color="auto"/>
            </w:tcBorders>
          </w:tcPr>
          <w:p>
            <w:pPr>
              <w:spacing w:after="0"/>
              <w:rPr>
                <w:sz w:val="14"/>
                <w:szCs w:val="14"/>
                <w:color w:val="auto"/>
              </w:rPr>
            </w:pPr>
          </w:p>
        </w:tc>
        <w:tc>
          <w:tcPr>
            <w:tcW w:w="2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980" w:type="dxa"/>
            <w:vAlign w:val="bottom"/>
            <w:tcBorders>
              <w:bottom w:val="single" w:sz="8" w:color="auto"/>
            </w:tcBorders>
            <w:gridSpan w:val="5"/>
          </w:tcPr>
          <w:p>
            <w:pPr>
              <w:ind w:left="680"/>
              <w:spacing w:after="0"/>
              <w:rPr>
                <w:sz w:val="20"/>
                <w:szCs w:val="20"/>
                <w:color w:val="auto"/>
              </w:rPr>
            </w:pPr>
            <w:r>
              <w:rPr>
                <w:rFonts w:ascii="Arial" w:cs="Arial" w:eastAsia="Arial" w:hAnsi="Arial"/>
                <w:sz w:val="14"/>
                <w:szCs w:val="14"/>
                <w:b w:val="1"/>
                <w:bCs w:val="1"/>
                <w:color w:val="auto"/>
              </w:rPr>
              <w:t>December 31, 2021</w:t>
            </w:r>
          </w:p>
        </w:tc>
        <w:tc>
          <w:tcPr>
            <w:tcW w:w="64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39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vMerge w:val="restart"/>
          </w:tcPr>
          <w:p>
            <w:pPr>
              <w:jc w:val="right"/>
              <w:ind w:right="34"/>
              <w:spacing w:after="0"/>
              <w:rPr>
                <w:sz w:val="20"/>
                <w:szCs w:val="20"/>
                <w:color w:val="auto"/>
              </w:rPr>
            </w:pPr>
            <w:r>
              <w:rPr>
                <w:rFonts w:ascii="Arial" w:cs="Arial" w:eastAsia="Arial" w:hAnsi="Arial"/>
                <w:sz w:val="14"/>
                <w:szCs w:val="14"/>
                <w:b w:val="1"/>
                <w:bCs w:val="1"/>
                <w:color w:val="auto"/>
                <w:w w:val="96"/>
              </w:rPr>
              <w:t>Amortized</w:t>
            </w:r>
          </w:p>
        </w:tc>
        <w:tc>
          <w:tcPr>
            <w:tcW w:w="1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20" w:type="dxa"/>
            <w:vAlign w:val="bottom"/>
            <w:gridSpan w:val="2"/>
            <w:vMerge w:val="restart"/>
          </w:tcPr>
          <w:p>
            <w:pPr>
              <w:jc w:val="right"/>
              <w:ind w:right="320"/>
              <w:spacing w:after="0"/>
              <w:rPr>
                <w:sz w:val="20"/>
                <w:szCs w:val="20"/>
                <w:color w:val="auto"/>
              </w:rPr>
            </w:pPr>
            <w:r>
              <w:rPr>
                <w:rFonts w:ascii="Arial" w:cs="Arial" w:eastAsia="Arial" w:hAnsi="Arial"/>
                <w:sz w:val="14"/>
                <w:szCs w:val="14"/>
                <w:b w:val="1"/>
                <w:bCs w:val="1"/>
                <w:color w:val="auto"/>
              </w:rPr>
              <w:t>Carrying</w:t>
            </w:r>
          </w:p>
        </w:tc>
        <w:tc>
          <w:tcPr>
            <w:tcW w:w="640" w:type="dxa"/>
            <w:vAlign w:val="bottom"/>
          </w:tcPr>
          <w:p>
            <w:pPr>
              <w:jc w:val="center"/>
              <w:spacing w:after="0" w:line="119" w:lineRule="exact"/>
              <w:rPr>
                <w:sz w:val="20"/>
                <w:szCs w:val="20"/>
                <w:color w:val="auto"/>
              </w:rPr>
            </w:pPr>
            <w:r>
              <w:rPr>
                <w:rFonts w:ascii="Arial" w:cs="Arial" w:eastAsia="Arial" w:hAnsi="Arial"/>
                <w:sz w:val="13"/>
                <w:szCs w:val="13"/>
                <w:b w:val="1"/>
                <w:bCs w:val="1"/>
                <w:color w:val="auto"/>
                <w:w w:val="97"/>
              </w:rPr>
              <w:t>Percent of</w:t>
            </w:r>
          </w:p>
        </w:tc>
        <w:tc>
          <w:tcPr>
            <w:tcW w:w="2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vMerge w:val="restart"/>
          </w:tcPr>
          <w:p>
            <w:pPr>
              <w:jc w:val="right"/>
              <w:ind w:right="35"/>
              <w:spacing w:after="0"/>
              <w:rPr>
                <w:sz w:val="20"/>
                <w:szCs w:val="20"/>
                <w:color w:val="auto"/>
              </w:rPr>
            </w:pPr>
            <w:r>
              <w:rPr>
                <w:rFonts w:ascii="Arial" w:cs="Arial" w:eastAsia="Arial" w:hAnsi="Arial"/>
                <w:sz w:val="14"/>
                <w:szCs w:val="14"/>
                <w:b w:val="1"/>
                <w:bCs w:val="1"/>
                <w:color w:val="auto"/>
                <w:w w:val="96"/>
              </w:rPr>
              <w:t>Amortized</w:t>
            </w:r>
          </w:p>
        </w:tc>
        <w:tc>
          <w:tcPr>
            <w:tcW w:w="1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2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Carrying</w:t>
            </w:r>
          </w:p>
        </w:tc>
        <w:tc>
          <w:tcPr>
            <w:tcW w:w="640" w:type="dxa"/>
            <w:vAlign w:val="bottom"/>
          </w:tcPr>
          <w:p>
            <w:pPr>
              <w:jc w:val="center"/>
              <w:spacing w:after="0" w:line="119" w:lineRule="exact"/>
              <w:rPr>
                <w:sz w:val="20"/>
                <w:szCs w:val="20"/>
                <w:color w:val="auto"/>
              </w:rPr>
            </w:pPr>
            <w:r>
              <w:rPr>
                <w:rFonts w:ascii="Arial" w:cs="Arial" w:eastAsia="Arial" w:hAnsi="Arial"/>
                <w:sz w:val="13"/>
                <w:szCs w:val="13"/>
                <w:b w:val="1"/>
                <w:bCs w:val="1"/>
                <w:color w:val="auto"/>
              </w:rPr>
              <w:t>Percent of</w:t>
            </w: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8"/>
        </w:trPr>
        <w:tc>
          <w:tcPr>
            <w:tcW w:w="3920" w:type="dxa"/>
            <w:vAlign w:val="bottom"/>
            <w:vMerge w:val="restart"/>
          </w:tcPr>
          <w:p>
            <w:pPr>
              <w:ind w:left="1400"/>
              <w:spacing w:after="0"/>
              <w:rPr>
                <w:sz w:val="20"/>
                <w:szCs w:val="20"/>
                <w:color w:val="auto"/>
              </w:rPr>
            </w:pPr>
            <w:r>
              <w:rPr>
                <w:rFonts w:ascii="Arial" w:cs="Arial" w:eastAsia="Arial" w:hAnsi="Arial"/>
                <w:sz w:val="14"/>
                <w:szCs w:val="14"/>
                <w:b w:val="1"/>
                <w:bCs w:val="1"/>
                <w:color w:val="auto"/>
              </w:rPr>
              <w:t>NAIC designation</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1000" w:type="dxa"/>
            <w:vAlign w:val="bottom"/>
            <w:gridSpan w:val="3"/>
          </w:tcPr>
          <w:p>
            <w:pPr>
              <w:jc w:val="center"/>
              <w:ind w:right="270"/>
              <w:spacing w:after="0" w:line="149" w:lineRule="exact"/>
              <w:rPr>
                <w:sz w:val="20"/>
                <w:szCs w:val="20"/>
                <w:color w:val="auto"/>
              </w:rPr>
            </w:pPr>
            <w:r>
              <w:rPr>
                <w:rFonts w:ascii="Arial" w:cs="Arial" w:eastAsia="Arial" w:hAnsi="Arial"/>
                <w:sz w:val="14"/>
                <w:szCs w:val="14"/>
                <w:b w:val="1"/>
                <w:bCs w:val="1"/>
                <w:color w:val="auto"/>
                <w:w w:val="94"/>
              </w:rPr>
              <w:t>carrying</w:t>
            </w:r>
          </w:p>
        </w:tc>
        <w:tc>
          <w:tcPr>
            <w:tcW w:w="80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800" w:type="dxa"/>
            <w:vAlign w:val="bottom"/>
            <w:gridSpan w:val="2"/>
          </w:tcPr>
          <w:p>
            <w:pPr>
              <w:jc w:val="center"/>
              <w:ind w:right="70"/>
              <w:spacing w:after="0" w:line="149" w:lineRule="exact"/>
              <w:rPr>
                <w:sz w:val="20"/>
                <w:szCs w:val="20"/>
                <w:color w:val="auto"/>
              </w:rPr>
            </w:pPr>
            <w:r>
              <w:rPr>
                <w:rFonts w:ascii="Arial" w:cs="Arial" w:eastAsia="Arial" w:hAnsi="Arial"/>
                <w:sz w:val="14"/>
                <w:szCs w:val="14"/>
                <w:b w:val="1"/>
                <w:bCs w:val="1"/>
                <w:color w:val="auto"/>
                <w:w w:val="94"/>
              </w:rPr>
              <w:t>carrying</w:t>
            </w:r>
          </w:p>
        </w:tc>
        <w:tc>
          <w:tcPr>
            <w:tcW w:w="0" w:type="dxa"/>
            <w:vAlign w:val="bottom"/>
          </w:tcPr>
          <w:p>
            <w:pPr>
              <w:spacing w:after="0"/>
              <w:rPr>
                <w:sz w:val="1"/>
                <w:szCs w:val="1"/>
                <w:color w:val="auto"/>
              </w:rPr>
            </w:pPr>
          </w:p>
        </w:tc>
      </w:tr>
      <w:tr>
        <w:trPr>
          <w:trHeight w:val="171"/>
        </w:trPr>
        <w:tc>
          <w:tcPr>
            <w:tcW w:w="3920" w:type="dxa"/>
            <w:vAlign w:val="bottom"/>
            <w:tcBorders>
              <w:bottom w:val="single" w:sz="8" w:color="auto"/>
            </w:tcBorders>
            <w:vMerge w:val="continue"/>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right"/>
              <w:ind w:right="254"/>
              <w:spacing w:after="0"/>
              <w:rPr>
                <w:sz w:val="20"/>
                <w:szCs w:val="20"/>
                <w:color w:val="auto"/>
              </w:rPr>
            </w:pPr>
            <w:r>
              <w:rPr>
                <w:rFonts w:ascii="Arial" w:cs="Arial" w:eastAsia="Arial" w:hAnsi="Arial"/>
                <w:sz w:val="14"/>
                <w:szCs w:val="14"/>
                <w:b w:val="1"/>
                <w:bCs w:val="1"/>
                <w:color w:val="auto"/>
              </w:rPr>
              <w:t>cost</w:t>
            </w:r>
          </w:p>
        </w:tc>
        <w:tc>
          <w:tcPr>
            <w:tcW w:w="14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114"/>
              <w:spacing w:after="0"/>
              <w:rPr>
                <w:sz w:val="20"/>
                <w:szCs w:val="20"/>
                <w:color w:val="auto"/>
              </w:rPr>
            </w:pPr>
            <w:r>
              <w:rPr>
                <w:rFonts w:ascii="Arial" w:cs="Arial" w:eastAsia="Arial" w:hAnsi="Arial"/>
                <w:sz w:val="14"/>
                <w:szCs w:val="14"/>
                <w:b w:val="1"/>
                <w:bCs w:val="1"/>
                <w:color w:val="auto"/>
              </w:rPr>
              <w:t>amount</w:t>
            </w:r>
          </w:p>
        </w:tc>
        <w:tc>
          <w:tcPr>
            <w:tcW w:w="160" w:type="dxa"/>
            <w:vAlign w:val="bottom"/>
          </w:tcPr>
          <w:p>
            <w:pPr>
              <w:spacing w:after="0"/>
              <w:rPr>
                <w:sz w:val="14"/>
                <w:szCs w:val="14"/>
                <w:color w:val="auto"/>
              </w:rPr>
            </w:pPr>
          </w:p>
        </w:tc>
        <w:tc>
          <w:tcPr>
            <w:tcW w:w="6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amount</w:t>
            </w:r>
          </w:p>
        </w:tc>
        <w:tc>
          <w:tcPr>
            <w:tcW w:w="2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right"/>
              <w:ind w:right="255"/>
              <w:spacing w:after="0"/>
              <w:rPr>
                <w:sz w:val="20"/>
                <w:szCs w:val="20"/>
                <w:color w:val="auto"/>
              </w:rPr>
            </w:pPr>
            <w:r>
              <w:rPr>
                <w:rFonts w:ascii="Arial" w:cs="Arial" w:eastAsia="Arial" w:hAnsi="Arial"/>
                <w:sz w:val="14"/>
                <w:szCs w:val="14"/>
                <w:b w:val="1"/>
                <w:bCs w:val="1"/>
                <w:color w:val="auto"/>
              </w:rPr>
              <w:t>cost</w:t>
            </w:r>
          </w:p>
        </w:tc>
        <w:tc>
          <w:tcPr>
            <w:tcW w:w="14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right"/>
              <w:ind w:right="134"/>
              <w:spacing w:after="0"/>
              <w:rPr>
                <w:sz w:val="20"/>
                <w:szCs w:val="20"/>
                <w:color w:val="auto"/>
              </w:rPr>
            </w:pPr>
            <w:r>
              <w:rPr>
                <w:rFonts w:ascii="Arial" w:cs="Arial" w:eastAsia="Arial" w:hAnsi="Arial"/>
                <w:sz w:val="14"/>
                <w:szCs w:val="14"/>
                <w:b w:val="1"/>
                <w:bCs w:val="1"/>
                <w:color w:val="auto"/>
              </w:rPr>
              <w:t>amount</w:t>
            </w:r>
          </w:p>
        </w:tc>
        <w:tc>
          <w:tcPr>
            <w:tcW w:w="140" w:type="dxa"/>
            <w:vAlign w:val="bottom"/>
          </w:tcPr>
          <w:p>
            <w:pPr>
              <w:spacing w:after="0"/>
              <w:rPr>
                <w:sz w:val="14"/>
                <w:szCs w:val="14"/>
                <w:color w:val="auto"/>
              </w:rPr>
            </w:pPr>
          </w:p>
        </w:tc>
        <w:tc>
          <w:tcPr>
            <w:tcW w:w="6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amount</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39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800" w:type="dxa"/>
            <w:vAlign w:val="bottom"/>
            <w:gridSpan w:val="4"/>
          </w:tcPr>
          <w:p>
            <w:pPr>
              <w:jc w:val="right"/>
              <w:ind w:right="595"/>
              <w:spacing w:after="0" w:line="142" w:lineRule="exact"/>
              <w:rPr>
                <w:sz w:val="20"/>
                <w:szCs w:val="20"/>
                <w:color w:val="auto"/>
              </w:rPr>
            </w:pPr>
            <w:r>
              <w:rPr>
                <w:rFonts w:ascii="Arial" w:cs="Arial" w:eastAsia="Arial" w:hAnsi="Arial"/>
                <w:sz w:val="14"/>
                <w:szCs w:val="14"/>
                <w:i w:val="1"/>
                <w:iCs w:val="1"/>
                <w:color w:val="auto"/>
              </w:rPr>
              <w:t>(in millions)</w:t>
            </w: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3920" w:type="dxa"/>
            <w:vAlign w:val="bottom"/>
            <w:shd w:val="clear" w:color="auto" w:fill="CCEEFF"/>
          </w:tcPr>
          <w:p>
            <w:pPr>
              <w:spacing w:after="0"/>
              <w:rPr>
                <w:sz w:val="20"/>
                <w:szCs w:val="20"/>
                <w:color w:val="auto"/>
              </w:rPr>
            </w:pPr>
            <w:r>
              <w:rPr>
                <w:rFonts w:ascii="Arial" w:cs="Arial" w:eastAsia="Arial" w:hAnsi="Arial"/>
                <w:sz w:val="18"/>
                <w:szCs w:val="18"/>
                <w:color w:val="auto"/>
              </w:rPr>
              <w:t>1</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30,905.1</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28,859.6</w:t>
            </w:r>
          </w:p>
        </w:tc>
        <w:tc>
          <w:tcPr>
            <w:tcW w:w="160" w:type="dxa"/>
            <w:vAlign w:val="bottom"/>
            <w:shd w:val="clear" w:color="auto" w:fill="CCEEFF"/>
          </w:tcPr>
          <w:p>
            <w:pPr>
              <w:spacing w:after="0"/>
              <w:rPr>
                <w:sz w:val="18"/>
                <w:szCs w:val="18"/>
                <w:color w:val="auto"/>
              </w:rPr>
            </w:pPr>
          </w:p>
        </w:tc>
        <w:tc>
          <w:tcPr>
            <w:tcW w:w="1000" w:type="dxa"/>
            <w:vAlign w:val="bottom"/>
            <w:gridSpan w:val="3"/>
            <w:shd w:val="clear" w:color="auto" w:fill="CCEEFF"/>
          </w:tcPr>
          <w:p>
            <w:pPr>
              <w:jc w:val="right"/>
              <w:spacing w:after="0"/>
              <w:rPr>
                <w:sz w:val="20"/>
                <w:szCs w:val="20"/>
                <w:color w:val="auto"/>
              </w:rPr>
            </w:pPr>
            <w:r>
              <w:rPr>
                <w:rFonts w:ascii="Arial" w:cs="Arial" w:eastAsia="Arial" w:hAnsi="Arial"/>
                <w:sz w:val="18"/>
                <w:szCs w:val="18"/>
                <w:b w:val="1"/>
                <w:bCs w:val="1"/>
                <w:color w:val="auto"/>
              </w:rPr>
              <w:t xml:space="preserve">64 % </w:t>
            </w:r>
            <w:r>
              <w:rPr>
                <w:rFonts w:ascii="Arial" w:cs="Arial" w:eastAsia="Arial" w:hAnsi="Arial"/>
                <w:sz w:val="18"/>
                <w:szCs w:val="18"/>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46,117.2</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49,166.2</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65 %</w:t>
            </w:r>
          </w:p>
        </w:tc>
        <w:tc>
          <w:tcPr>
            <w:tcW w:w="0" w:type="dxa"/>
            <w:vAlign w:val="bottom"/>
          </w:tcPr>
          <w:p>
            <w:pPr>
              <w:spacing w:after="0"/>
              <w:rPr>
                <w:sz w:val="1"/>
                <w:szCs w:val="1"/>
                <w:color w:val="auto"/>
              </w:rPr>
            </w:pPr>
          </w:p>
        </w:tc>
      </w:tr>
      <w:tr>
        <w:trPr>
          <w:trHeight w:val="216"/>
        </w:trPr>
        <w:tc>
          <w:tcPr>
            <w:tcW w:w="3920" w:type="dxa"/>
            <w:vAlign w:val="bottom"/>
          </w:tcPr>
          <w:p>
            <w:pPr>
              <w:spacing w:after="0"/>
              <w:rPr>
                <w:sz w:val="20"/>
                <w:szCs w:val="20"/>
                <w:color w:val="auto"/>
              </w:rPr>
            </w:pPr>
            <w:r>
              <w:rPr>
                <w:rFonts w:ascii="Arial" w:cs="Arial" w:eastAsia="Arial" w:hAnsi="Arial"/>
                <w:sz w:val="18"/>
                <w:szCs w:val="18"/>
                <w:color w:val="auto"/>
              </w:rPr>
              <w:t>2</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b w:val="1"/>
                <w:bCs w:val="1"/>
                <w:color w:val="auto"/>
              </w:rPr>
              <w:t>14,552.0</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w w:val="99"/>
              </w:rPr>
              <w:t>13,615.6</w:t>
            </w:r>
          </w:p>
        </w:tc>
        <w:tc>
          <w:tcPr>
            <w:tcW w:w="16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b w:val="1"/>
                <w:bCs w:val="1"/>
                <w:color w:val="auto"/>
              </w:rPr>
              <w:t>30</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20,140.8</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w w:val="99"/>
              </w:rPr>
              <w:t>22,094.8</w:t>
            </w: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29</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920" w:type="dxa"/>
            <w:vAlign w:val="bottom"/>
            <w:shd w:val="clear" w:color="auto" w:fill="CCEEFF"/>
          </w:tcPr>
          <w:p>
            <w:pPr>
              <w:spacing w:after="0"/>
              <w:rPr>
                <w:sz w:val="20"/>
                <w:szCs w:val="20"/>
                <w:color w:val="auto"/>
              </w:rPr>
            </w:pPr>
            <w:r>
              <w:rPr>
                <w:rFonts w:ascii="Arial" w:cs="Arial" w:eastAsia="Arial" w:hAnsi="Arial"/>
                <w:sz w:val="18"/>
                <w:szCs w:val="18"/>
                <w:color w:val="auto"/>
              </w:rPr>
              <w:t>3</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2,939.6</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2,685.5</w:t>
            </w: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3,909.7</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4,016.5</w:t>
            </w: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920" w:type="dxa"/>
            <w:vAlign w:val="bottom"/>
          </w:tcPr>
          <w:p>
            <w:pPr>
              <w:spacing w:after="0"/>
              <w:rPr>
                <w:sz w:val="20"/>
                <w:szCs w:val="20"/>
                <w:color w:val="auto"/>
              </w:rPr>
            </w:pPr>
            <w:r>
              <w:rPr>
                <w:rFonts w:ascii="Arial" w:cs="Arial" w:eastAsia="Arial" w:hAnsi="Arial"/>
                <w:sz w:val="18"/>
                <w:szCs w:val="18"/>
                <w:color w:val="auto"/>
              </w:rPr>
              <w:t>4</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b w:val="1"/>
                <w:bCs w:val="1"/>
                <w:color w:val="auto"/>
              </w:rPr>
              <w:t>222.4</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203.8</w:t>
            </w:r>
          </w:p>
        </w:tc>
        <w:tc>
          <w:tcPr>
            <w:tcW w:w="160" w:type="dxa"/>
            <w:vAlign w:val="bottom"/>
          </w:tcPr>
          <w:p>
            <w:pPr>
              <w:spacing w:after="0"/>
              <w:rPr>
                <w:sz w:val="18"/>
                <w:szCs w:val="18"/>
                <w:color w:val="auto"/>
              </w:rPr>
            </w:pPr>
          </w:p>
        </w:tc>
        <w:tc>
          <w:tcPr>
            <w:tcW w:w="1000" w:type="dxa"/>
            <w:vAlign w:val="bottom"/>
            <w:gridSpan w:val="3"/>
          </w:tcPr>
          <w:p>
            <w:pPr>
              <w:jc w:val="right"/>
              <w:ind w:right="330"/>
              <w:spacing w:after="0"/>
              <w:rPr>
                <w:sz w:val="20"/>
                <w:szCs w:val="20"/>
                <w:color w:val="auto"/>
              </w:rPr>
            </w:pPr>
            <w:r>
              <w:rPr>
                <w:rFonts w:ascii="Arial" w:cs="Arial" w:eastAsia="Arial" w:hAnsi="Arial"/>
                <w:sz w:val="18"/>
                <w:szCs w:val="18"/>
                <w:b w:val="1"/>
                <w:bCs w:val="1"/>
                <w:color w:val="auto"/>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245.2</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242.2</w:t>
            </w:r>
          </w:p>
        </w:tc>
        <w:tc>
          <w:tcPr>
            <w:tcW w:w="140" w:type="dxa"/>
            <w:vAlign w:val="bottom"/>
          </w:tcPr>
          <w:p>
            <w:pPr>
              <w:spacing w:after="0"/>
              <w:rPr>
                <w:sz w:val="18"/>
                <w:szCs w:val="18"/>
                <w:color w:val="auto"/>
              </w:rPr>
            </w:pPr>
          </w:p>
        </w:tc>
        <w:tc>
          <w:tcPr>
            <w:tcW w:w="800" w:type="dxa"/>
            <w:vAlign w:val="bottom"/>
            <w:gridSpan w:val="2"/>
          </w:tcPr>
          <w:p>
            <w:pPr>
              <w:jc w:val="right"/>
              <w:ind w:right="1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3920" w:type="dxa"/>
            <w:vAlign w:val="bottom"/>
            <w:shd w:val="clear" w:color="auto" w:fill="CCEEFF"/>
          </w:tcPr>
          <w:p>
            <w:pPr>
              <w:spacing w:after="0"/>
              <w:rPr>
                <w:sz w:val="20"/>
                <w:szCs w:val="20"/>
                <w:color w:val="auto"/>
              </w:rPr>
            </w:pPr>
            <w:r>
              <w:rPr>
                <w:rFonts w:ascii="Arial" w:cs="Arial" w:eastAsia="Arial" w:hAnsi="Arial"/>
                <w:sz w:val="18"/>
                <w:szCs w:val="18"/>
                <w:color w:val="auto"/>
              </w:rPr>
              <w:t>5</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17.0</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15.8</w:t>
            </w:r>
          </w:p>
        </w:tc>
        <w:tc>
          <w:tcPr>
            <w:tcW w:w="160" w:type="dxa"/>
            <w:vAlign w:val="bottom"/>
            <w:shd w:val="clear" w:color="auto" w:fill="CCEEFF"/>
          </w:tcPr>
          <w:p>
            <w:pPr>
              <w:spacing w:after="0"/>
              <w:rPr>
                <w:sz w:val="18"/>
                <w:szCs w:val="18"/>
                <w:color w:val="auto"/>
              </w:rPr>
            </w:pPr>
          </w:p>
        </w:tc>
        <w:tc>
          <w:tcPr>
            <w:tcW w:w="1000" w:type="dxa"/>
            <w:vAlign w:val="bottom"/>
            <w:gridSpan w:val="3"/>
            <w:shd w:val="clear" w:color="auto" w:fill="CCEEFF"/>
          </w:tcPr>
          <w:p>
            <w:pPr>
              <w:jc w:val="right"/>
              <w:ind w:right="330"/>
              <w:spacing w:after="0"/>
              <w:rPr>
                <w:sz w:val="20"/>
                <w:szCs w:val="20"/>
                <w:color w:val="auto"/>
              </w:rPr>
            </w:pPr>
            <w:r>
              <w:rPr>
                <w:rFonts w:ascii="Arial" w:cs="Arial" w:eastAsia="Arial" w:hAnsi="Arial"/>
                <w:sz w:val="18"/>
                <w:szCs w:val="18"/>
                <w:b w:val="1"/>
                <w:bCs w:val="1"/>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34.4</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28.9</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3920" w:type="dxa"/>
            <w:vAlign w:val="bottom"/>
          </w:tcPr>
          <w:p>
            <w:pPr>
              <w:spacing w:after="0"/>
              <w:rPr>
                <w:sz w:val="20"/>
                <w:szCs w:val="20"/>
                <w:color w:val="auto"/>
              </w:rPr>
            </w:pPr>
            <w:r>
              <w:rPr>
                <w:rFonts w:ascii="Arial" w:cs="Arial" w:eastAsia="Arial" w:hAnsi="Arial"/>
                <w:sz w:val="18"/>
                <w:szCs w:val="18"/>
                <w:color w:val="auto"/>
              </w:rPr>
              <w:t>6</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b w:val="1"/>
                <w:bCs w:val="1"/>
                <w:color w:val="auto"/>
              </w:rPr>
              <w:t>13.6</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8.8</w:t>
            </w:r>
          </w:p>
        </w:tc>
        <w:tc>
          <w:tcPr>
            <w:tcW w:w="160" w:type="dxa"/>
            <w:vAlign w:val="bottom"/>
          </w:tcPr>
          <w:p>
            <w:pPr>
              <w:spacing w:after="0"/>
              <w:rPr>
                <w:sz w:val="18"/>
                <w:szCs w:val="18"/>
                <w:color w:val="auto"/>
              </w:rPr>
            </w:pPr>
          </w:p>
        </w:tc>
        <w:tc>
          <w:tcPr>
            <w:tcW w:w="1000" w:type="dxa"/>
            <w:vAlign w:val="bottom"/>
            <w:gridSpan w:val="3"/>
          </w:tcPr>
          <w:p>
            <w:pPr>
              <w:jc w:val="right"/>
              <w:ind w:right="330"/>
              <w:spacing w:after="0"/>
              <w:rPr>
                <w:sz w:val="20"/>
                <w:szCs w:val="20"/>
                <w:color w:val="auto"/>
              </w:rPr>
            </w:pPr>
            <w:r>
              <w:rPr>
                <w:rFonts w:ascii="Arial" w:cs="Arial" w:eastAsia="Arial" w:hAnsi="Arial"/>
                <w:sz w:val="18"/>
                <w:szCs w:val="18"/>
                <w:b w:val="1"/>
                <w:bCs w:val="1"/>
                <w:color w:val="auto"/>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3.6</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4.8</w:t>
            </w:r>
          </w:p>
        </w:tc>
        <w:tc>
          <w:tcPr>
            <w:tcW w:w="140" w:type="dxa"/>
            <w:vAlign w:val="bottom"/>
          </w:tcPr>
          <w:p>
            <w:pPr>
              <w:spacing w:after="0"/>
              <w:rPr>
                <w:sz w:val="18"/>
                <w:szCs w:val="18"/>
                <w:color w:val="auto"/>
              </w:rPr>
            </w:pPr>
          </w:p>
        </w:tc>
        <w:tc>
          <w:tcPr>
            <w:tcW w:w="800" w:type="dxa"/>
            <w:vAlign w:val="bottom"/>
            <w:gridSpan w:val="2"/>
          </w:tcPr>
          <w:p>
            <w:pPr>
              <w:jc w:val="right"/>
              <w:ind w:right="1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0"/>
        </w:trPr>
        <w:tc>
          <w:tcPr>
            <w:tcW w:w="392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fixed maturities</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48,649.7</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45,389.1</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100</w:t>
            </w:r>
          </w:p>
        </w:tc>
        <w:tc>
          <w:tcPr>
            <w:tcW w:w="260" w:type="dxa"/>
            <w:vAlign w:val="bottom"/>
            <w:tcBorders>
              <w:top w:val="single" w:sz="8" w:color="CCEEFF"/>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w:t>
            </w: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70,450.9</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75,553.4</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w:t>
            </w:r>
          </w:p>
        </w:tc>
        <w:tc>
          <w:tcPr>
            <w:tcW w:w="160" w:type="dxa"/>
            <w:vAlign w:val="bottom"/>
            <w:tcBorders>
              <w:top w:val="single" w:sz="8" w:color="CCEEFF"/>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4"/>
              </w:rPr>
              <w:t>%</w:t>
            </w:r>
          </w:p>
        </w:tc>
        <w:tc>
          <w:tcPr>
            <w:tcW w:w="0" w:type="dxa"/>
            <w:vAlign w:val="bottom"/>
          </w:tcPr>
          <w:p>
            <w:pPr>
              <w:spacing w:after="0"/>
              <w:rPr>
                <w:sz w:val="1"/>
                <w:szCs w:val="1"/>
                <w:color w:val="auto"/>
              </w:rPr>
            </w:pPr>
          </w:p>
        </w:tc>
      </w:tr>
      <w:tr>
        <w:trPr>
          <w:trHeight w:val="20"/>
        </w:trPr>
        <w:tc>
          <w:tcPr>
            <w:tcW w:w="39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right="80" w:firstLine="648"/>
        <w:spacing w:after="0" w:line="275" w:lineRule="auto"/>
        <w:rPr>
          <w:sz w:val="20"/>
          <w:szCs w:val="20"/>
          <w:color w:val="auto"/>
        </w:rPr>
      </w:pPr>
      <w:r>
        <w:rPr>
          <w:rFonts w:ascii="Arial" w:cs="Arial" w:eastAsia="Arial" w:hAnsi="Arial"/>
          <w:sz w:val="17"/>
          <w:szCs w:val="17"/>
          <w:color w:val="auto"/>
        </w:rPr>
        <w:t>Fixed maturities included 56 securities with an amortized cost of $710.5 million, gross gains of $2.8 million, gross losses of $40.6 million and a carrying amount of $672.7 million as of June 30, 2022, that were still pending a review and assignment of a designation by the SVO. Due to the timing of when fixed maturities are purchased, legal documents are filed and the review by the SVO is completed, we will always have securities in our portfolio that are unrated over a reporting period. In these instances, an equivalent designation is assigned based on our fixed income analyst’s assessment.</w:t>
      </w:r>
    </w:p>
    <w:p>
      <w:pPr>
        <w:spacing w:after="0" w:line="176" w:lineRule="exact"/>
        <w:rPr>
          <w:sz w:val="20"/>
          <w:szCs w:val="20"/>
          <w:color w:val="auto"/>
        </w:rPr>
      </w:pPr>
    </w:p>
    <w:p>
      <w:pPr>
        <w:ind w:right="200" w:firstLine="648"/>
        <w:spacing w:after="0" w:line="277" w:lineRule="auto"/>
        <w:rPr>
          <w:sz w:val="20"/>
          <w:szCs w:val="20"/>
          <w:color w:val="auto"/>
        </w:rPr>
      </w:pPr>
      <w:r>
        <w:rPr>
          <w:rFonts w:ascii="Arial" w:cs="Arial" w:eastAsia="Arial" w:hAnsi="Arial"/>
          <w:sz w:val="18"/>
          <w:szCs w:val="18"/>
          <w:b w:val="1"/>
          <w:bCs w:val="1"/>
          <w:i w:val="1"/>
          <w:iCs w:val="1"/>
          <w:color w:val="auto"/>
        </w:rPr>
        <w:t xml:space="preserve">Commercial Mortgage-Backed Securities. </w:t>
      </w:r>
      <w:r>
        <w:rPr>
          <w:rFonts w:ascii="Arial" w:cs="Arial" w:eastAsia="Arial" w:hAnsi="Arial"/>
          <w:sz w:val="18"/>
          <w:szCs w:val="18"/>
          <w:color w:val="auto"/>
        </w:rPr>
        <w:t>As of June 30, 2022, based on amortized cost, 95% of our CMBS portfolio had an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NAIC designation of 1.</w:t>
      </w: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603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116" w:name="page117"/>
    <w:bookmarkEnd w:id="116"/>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9" w:lineRule="exact"/>
        <w:rPr>
          <w:sz w:val="20"/>
          <w:szCs w:val="20"/>
          <w:color w:val="auto"/>
        </w:rPr>
      </w:pPr>
    </w:p>
    <w:p>
      <w:pPr>
        <w:ind w:right="480" w:firstLine="648"/>
        <w:spacing w:after="0" w:line="277" w:lineRule="auto"/>
        <w:rPr>
          <w:sz w:val="20"/>
          <w:szCs w:val="20"/>
          <w:color w:val="auto"/>
        </w:rPr>
      </w:pPr>
      <w:r>
        <w:rPr>
          <w:rFonts w:ascii="Arial" w:cs="Arial" w:eastAsia="Arial" w:hAnsi="Arial"/>
          <w:sz w:val="18"/>
          <w:szCs w:val="18"/>
          <w:color w:val="auto"/>
        </w:rPr>
        <w:t>The following table presents our exposure by credit quality based on NAIC designations for our CMBS portfolio as of the periods indicated.</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480" w:type="dxa"/>
            <w:vAlign w:val="bottom"/>
          </w:tcPr>
          <w:p>
            <w:pPr>
              <w:spacing w:after="0"/>
              <w:rPr>
                <w:sz w:val="14"/>
                <w:szCs w:val="14"/>
                <w:color w:val="auto"/>
              </w:rPr>
            </w:pPr>
          </w:p>
        </w:tc>
        <w:tc>
          <w:tcPr>
            <w:tcW w:w="33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960" w:type="dxa"/>
            <w:vAlign w:val="bottom"/>
            <w:gridSpan w:val="5"/>
          </w:tcPr>
          <w:p>
            <w:pPr>
              <w:ind w:left="420"/>
              <w:spacing w:after="0"/>
              <w:rPr>
                <w:sz w:val="20"/>
                <w:szCs w:val="20"/>
                <w:color w:val="auto"/>
              </w:rPr>
            </w:pPr>
            <w:r>
              <w:rPr>
                <w:rFonts w:ascii="Arial" w:cs="Arial" w:eastAsia="Arial" w:hAnsi="Arial"/>
                <w:sz w:val="14"/>
                <w:szCs w:val="14"/>
                <w:b w:val="1"/>
                <w:bCs w:val="1"/>
                <w:color w:val="auto"/>
              </w:rPr>
              <w:t>June 30, 2022</w:t>
            </w:r>
          </w:p>
        </w:tc>
        <w:tc>
          <w:tcPr>
            <w:tcW w:w="100" w:type="dxa"/>
            <w:vAlign w:val="bottom"/>
          </w:tcPr>
          <w:p>
            <w:pPr>
              <w:spacing w:after="0"/>
              <w:rPr>
                <w:sz w:val="14"/>
                <w:szCs w:val="14"/>
                <w:color w:val="auto"/>
              </w:rPr>
            </w:pPr>
          </w:p>
        </w:tc>
        <w:tc>
          <w:tcPr>
            <w:tcW w:w="1780" w:type="dxa"/>
            <w:vAlign w:val="bottom"/>
            <w:gridSpan w:val="4"/>
          </w:tcPr>
          <w:p>
            <w:pPr>
              <w:jc w:val="right"/>
              <w:ind w:right="275"/>
              <w:spacing w:after="0"/>
              <w:rPr>
                <w:sz w:val="20"/>
                <w:szCs w:val="20"/>
                <w:color w:val="auto"/>
              </w:rPr>
            </w:pPr>
            <w:r>
              <w:rPr>
                <w:rFonts w:ascii="Arial" w:cs="Arial" w:eastAsia="Arial" w:hAnsi="Arial"/>
                <w:sz w:val="14"/>
                <w:szCs w:val="14"/>
                <w:b w:val="1"/>
                <w:bCs w:val="1"/>
                <w:color w:val="auto"/>
              </w:rPr>
              <w:t>December 31, 2021</w:t>
            </w:r>
          </w:p>
        </w:tc>
        <w:tc>
          <w:tcPr>
            <w:tcW w:w="0" w:type="dxa"/>
            <w:vAlign w:val="bottom"/>
          </w:tcPr>
          <w:p>
            <w:pPr>
              <w:spacing w:after="0"/>
              <w:rPr>
                <w:sz w:val="1"/>
                <w:szCs w:val="1"/>
                <w:color w:val="auto"/>
              </w:rPr>
            </w:pPr>
          </w:p>
        </w:tc>
      </w:tr>
      <w:tr>
        <w:trPr>
          <w:trHeight w:val="119"/>
        </w:trPr>
        <w:tc>
          <w:tcPr>
            <w:tcW w:w="5800" w:type="dxa"/>
            <w:vAlign w:val="bottom"/>
            <w:gridSpan w:val="2"/>
            <w:vMerge w:val="restart"/>
          </w:tcPr>
          <w:p>
            <w:pPr>
              <w:ind w:left="2360"/>
              <w:spacing w:after="0"/>
              <w:rPr>
                <w:sz w:val="20"/>
                <w:szCs w:val="20"/>
                <w:color w:val="auto"/>
              </w:rPr>
            </w:pPr>
            <w:r>
              <w:rPr>
                <w:rFonts w:ascii="Arial" w:cs="Arial" w:eastAsia="Arial" w:hAnsi="Arial"/>
                <w:sz w:val="14"/>
                <w:szCs w:val="14"/>
                <w:b w:val="1"/>
                <w:bCs w:val="1"/>
                <w:color w:val="auto"/>
              </w:rPr>
              <w:t>NAIC designation</w:t>
            </w:r>
          </w:p>
        </w:tc>
        <w:tc>
          <w:tcPr>
            <w:tcW w:w="180" w:type="dxa"/>
            <w:vAlign w:val="bottom"/>
            <w:vMerge w:val="restart"/>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940" w:type="dxa"/>
            <w:vAlign w:val="bottom"/>
            <w:tcBorders>
              <w:top w:val="single" w:sz="8" w:color="auto"/>
            </w:tcBorders>
            <w:gridSpan w:val="2"/>
          </w:tcPr>
          <w:p>
            <w:pPr>
              <w:spacing w:after="0" w:line="119" w:lineRule="exact"/>
              <w:rPr>
                <w:sz w:val="20"/>
                <w:szCs w:val="20"/>
                <w:color w:val="auto"/>
              </w:rPr>
            </w:pPr>
            <w:r>
              <w:rPr>
                <w:rFonts w:ascii="Arial" w:cs="Arial" w:eastAsia="Arial" w:hAnsi="Arial"/>
                <w:sz w:val="13"/>
                <w:szCs w:val="13"/>
                <w:b w:val="1"/>
                <w:bCs w:val="1"/>
                <w:color w:val="auto"/>
              </w:rPr>
              <w:t>Amortized</w:t>
            </w:r>
          </w:p>
        </w:tc>
        <w:tc>
          <w:tcPr>
            <w:tcW w:w="100" w:type="dxa"/>
            <w:vAlign w:val="bottom"/>
            <w:tcBorders>
              <w:top w:val="single" w:sz="8" w:color="auto"/>
            </w:tcBorders>
          </w:tcPr>
          <w:p>
            <w:pPr>
              <w:spacing w:after="0"/>
              <w:rPr>
                <w:sz w:val="10"/>
                <w:szCs w:val="10"/>
                <w:color w:val="auto"/>
              </w:rPr>
            </w:pPr>
          </w:p>
        </w:tc>
        <w:tc>
          <w:tcPr>
            <w:tcW w:w="740" w:type="dxa"/>
            <w:vAlign w:val="bottom"/>
            <w:tcBorders>
              <w:top w:val="single" w:sz="8" w:color="auto"/>
            </w:tcBorders>
          </w:tcPr>
          <w:p>
            <w:pPr>
              <w:jc w:val="right"/>
              <w:ind w:right="56"/>
              <w:spacing w:after="0" w:line="119" w:lineRule="exact"/>
              <w:rPr>
                <w:sz w:val="20"/>
                <w:szCs w:val="20"/>
                <w:color w:val="auto"/>
              </w:rPr>
            </w:pPr>
            <w:r>
              <w:rPr>
                <w:rFonts w:ascii="Arial" w:cs="Arial" w:eastAsia="Arial" w:hAnsi="Arial"/>
                <w:sz w:val="13"/>
                <w:szCs w:val="13"/>
                <w:b w:val="1"/>
                <w:bCs w:val="1"/>
                <w:color w:val="auto"/>
              </w:rPr>
              <w:t>Carrying</w:t>
            </w:r>
          </w:p>
        </w:tc>
        <w:tc>
          <w:tcPr>
            <w:tcW w:w="18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920" w:type="dxa"/>
            <w:vAlign w:val="bottom"/>
            <w:tcBorders>
              <w:top w:val="single" w:sz="8" w:color="auto"/>
            </w:tcBorders>
            <w:gridSpan w:val="2"/>
          </w:tcPr>
          <w:p>
            <w:pPr>
              <w:spacing w:after="0" w:line="119" w:lineRule="exact"/>
              <w:rPr>
                <w:sz w:val="20"/>
                <w:szCs w:val="20"/>
                <w:color w:val="auto"/>
              </w:rPr>
            </w:pPr>
            <w:r>
              <w:rPr>
                <w:rFonts w:ascii="Arial" w:cs="Arial" w:eastAsia="Arial" w:hAnsi="Arial"/>
                <w:sz w:val="13"/>
                <w:szCs w:val="13"/>
                <w:b w:val="1"/>
                <w:bCs w:val="1"/>
                <w:color w:val="auto"/>
              </w:rPr>
              <w:t>Amortized</w:t>
            </w:r>
          </w:p>
        </w:tc>
        <w:tc>
          <w:tcPr>
            <w:tcW w:w="120" w:type="dxa"/>
            <w:vAlign w:val="bottom"/>
            <w:tcBorders>
              <w:top w:val="single" w:sz="8" w:color="auto"/>
            </w:tcBorders>
          </w:tcPr>
          <w:p>
            <w:pPr>
              <w:spacing w:after="0"/>
              <w:rPr>
                <w:sz w:val="10"/>
                <w:szCs w:val="10"/>
                <w:color w:val="auto"/>
              </w:rPr>
            </w:pPr>
          </w:p>
        </w:tc>
        <w:tc>
          <w:tcPr>
            <w:tcW w:w="740" w:type="dxa"/>
            <w:vAlign w:val="bottom"/>
            <w:tcBorders>
              <w:top w:val="single" w:sz="8" w:color="auto"/>
            </w:tcBorders>
          </w:tcPr>
          <w:p>
            <w:pPr>
              <w:jc w:val="right"/>
              <w:ind w:right="55"/>
              <w:spacing w:after="0" w:line="119" w:lineRule="exact"/>
              <w:rPr>
                <w:sz w:val="20"/>
                <w:szCs w:val="20"/>
                <w:color w:val="auto"/>
              </w:rPr>
            </w:pPr>
            <w:r>
              <w:rPr>
                <w:rFonts w:ascii="Arial" w:cs="Arial" w:eastAsia="Arial" w:hAnsi="Arial"/>
                <w:sz w:val="13"/>
                <w:szCs w:val="13"/>
                <w:b w:val="1"/>
                <w:bCs w:val="1"/>
                <w:color w:val="auto"/>
              </w:rPr>
              <w:t>Carrying</w:t>
            </w:r>
          </w:p>
        </w:tc>
        <w:tc>
          <w:tcPr>
            <w:tcW w:w="0" w:type="dxa"/>
            <w:vAlign w:val="bottom"/>
          </w:tcPr>
          <w:p>
            <w:pPr>
              <w:spacing w:after="0"/>
              <w:rPr>
                <w:sz w:val="1"/>
                <w:szCs w:val="1"/>
                <w:color w:val="auto"/>
              </w:rPr>
            </w:pPr>
          </w:p>
        </w:tc>
      </w:tr>
      <w:tr>
        <w:trPr>
          <w:trHeight w:val="171"/>
        </w:trPr>
        <w:tc>
          <w:tcPr>
            <w:tcW w:w="5800" w:type="dxa"/>
            <w:vAlign w:val="bottom"/>
            <w:tcBorders>
              <w:bottom w:val="single" w:sz="8" w:color="auto"/>
            </w:tcBorders>
            <w:gridSpan w:val="2"/>
            <w:vMerge w:val="continue"/>
          </w:tcPr>
          <w:p>
            <w:pPr>
              <w:spacing w:after="0"/>
              <w:rPr>
                <w:sz w:val="14"/>
                <w:szCs w:val="14"/>
                <w:color w:val="auto"/>
              </w:rPr>
            </w:pPr>
          </w:p>
        </w:tc>
        <w:tc>
          <w:tcPr>
            <w:tcW w:w="180" w:type="dxa"/>
            <w:vAlign w:val="bottom"/>
            <w:vMerge w:val="continue"/>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216"/>
              <w:spacing w:after="0"/>
              <w:rPr>
                <w:sz w:val="20"/>
                <w:szCs w:val="20"/>
                <w:color w:val="auto"/>
              </w:rPr>
            </w:pPr>
            <w:r>
              <w:rPr>
                <w:rFonts w:ascii="Arial" w:cs="Arial" w:eastAsia="Arial" w:hAnsi="Arial"/>
                <w:sz w:val="14"/>
                <w:szCs w:val="14"/>
                <w:b w:val="1"/>
                <w:bCs w:val="1"/>
                <w:color w:val="auto"/>
              </w:rPr>
              <w:t>cost</w:t>
            </w:r>
          </w:p>
        </w:tc>
        <w:tc>
          <w:tcPr>
            <w:tcW w:w="2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96"/>
              <w:spacing w:after="0"/>
              <w:rPr>
                <w:sz w:val="20"/>
                <w:szCs w:val="20"/>
                <w:color w:val="auto"/>
              </w:rPr>
            </w:pPr>
            <w:r>
              <w:rPr>
                <w:rFonts w:ascii="Arial" w:cs="Arial" w:eastAsia="Arial" w:hAnsi="Arial"/>
                <w:sz w:val="14"/>
                <w:szCs w:val="14"/>
                <w:b w:val="1"/>
                <w:bCs w:val="1"/>
                <w:color w:val="auto"/>
              </w:rPr>
              <w:t>amount</w:t>
            </w:r>
          </w:p>
        </w:tc>
        <w:tc>
          <w:tcPr>
            <w:tcW w:w="1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216"/>
              <w:spacing w:after="0"/>
              <w:rPr>
                <w:sz w:val="20"/>
                <w:szCs w:val="20"/>
                <w:color w:val="auto"/>
              </w:rPr>
            </w:pPr>
            <w:r>
              <w:rPr>
                <w:rFonts w:ascii="Arial" w:cs="Arial" w:eastAsia="Arial" w:hAnsi="Arial"/>
                <w:sz w:val="14"/>
                <w:szCs w:val="14"/>
                <w:b w:val="1"/>
                <w:bCs w:val="1"/>
                <w:color w:val="auto"/>
              </w:rPr>
              <w:t>cost</w:t>
            </w:r>
          </w:p>
        </w:tc>
        <w:tc>
          <w:tcPr>
            <w:tcW w:w="1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115"/>
              <w:spacing w:after="0"/>
              <w:rPr>
                <w:sz w:val="20"/>
                <w:szCs w:val="20"/>
                <w:color w:val="auto"/>
              </w:rPr>
            </w:pPr>
            <w:r>
              <w:rPr>
                <w:rFonts w:ascii="Arial" w:cs="Arial" w:eastAsia="Arial" w:hAnsi="Arial"/>
                <w:sz w:val="14"/>
                <w:szCs w:val="14"/>
                <w:b w:val="1"/>
                <w:bCs w:val="1"/>
                <w:color w:val="auto"/>
              </w:rPr>
              <w:t>amount</w:t>
            </w:r>
          </w:p>
        </w:tc>
        <w:tc>
          <w:tcPr>
            <w:tcW w:w="0" w:type="dxa"/>
            <w:vAlign w:val="bottom"/>
          </w:tcPr>
          <w:p>
            <w:pPr>
              <w:spacing w:after="0"/>
              <w:rPr>
                <w:sz w:val="1"/>
                <w:szCs w:val="1"/>
                <w:color w:val="auto"/>
              </w:rPr>
            </w:pPr>
          </w:p>
        </w:tc>
      </w:tr>
      <w:tr>
        <w:trPr>
          <w:trHeight w:val="142"/>
        </w:trPr>
        <w:tc>
          <w:tcPr>
            <w:tcW w:w="2480" w:type="dxa"/>
            <w:vAlign w:val="bottom"/>
          </w:tcPr>
          <w:p>
            <w:pPr>
              <w:spacing w:after="0"/>
              <w:rPr>
                <w:sz w:val="12"/>
                <w:szCs w:val="12"/>
                <w:color w:val="auto"/>
              </w:rPr>
            </w:pPr>
          </w:p>
        </w:tc>
        <w:tc>
          <w:tcPr>
            <w:tcW w:w="33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760" w:type="dxa"/>
            <w:vAlign w:val="bottom"/>
            <w:gridSpan w:val="4"/>
          </w:tcPr>
          <w:p>
            <w:pPr>
              <w:jc w:val="right"/>
              <w:ind w:right="496"/>
              <w:spacing w:after="0" w:line="142" w:lineRule="exact"/>
              <w:rPr>
                <w:sz w:val="20"/>
                <w:szCs w:val="20"/>
                <w:color w:val="auto"/>
              </w:rPr>
            </w:pPr>
            <w:r>
              <w:rPr>
                <w:rFonts w:ascii="Arial" w:cs="Arial" w:eastAsia="Arial" w:hAnsi="Arial"/>
                <w:sz w:val="14"/>
                <w:szCs w:val="14"/>
                <w:i w:val="1"/>
                <w:iCs w:val="1"/>
                <w:color w:val="auto"/>
              </w:rPr>
              <w:t>(in millions)</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480" w:type="dxa"/>
            <w:vAlign w:val="bottom"/>
            <w:shd w:val="clear" w:color="auto" w:fill="CCEEFF"/>
          </w:tcPr>
          <w:p>
            <w:pPr>
              <w:spacing w:after="0"/>
              <w:rPr>
                <w:sz w:val="20"/>
                <w:szCs w:val="20"/>
                <w:color w:val="auto"/>
              </w:rPr>
            </w:pPr>
            <w:r>
              <w:rPr>
                <w:rFonts w:ascii="Arial" w:cs="Arial" w:eastAsia="Arial" w:hAnsi="Arial"/>
                <w:sz w:val="18"/>
                <w:szCs w:val="18"/>
                <w:color w:val="auto"/>
              </w:rPr>
              <w:t>1</w:t>
            </w:r>
          </w:p>
        </w:tc>
        <w:tc>
          <w:tcPr>
            <w:tcW w:w="33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4,199.8</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3,866.1</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5,169.9</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5,285.8</w:t>
            </w:r>
          </w:p>
        </w:tc>
        <w:tc>
          <w:tcPr>
            <w:tcW w:w="0" w:type="dxa"/>
            <w:vAlign w:val="bottom"/>
          </w:tcPr>
          <w:p>
            <w:pPr>
              <w:spacing w:after="0"/>
              <w:rPr>
                <w:sz w:val="1"/>
                <w:szCs w:val="1"/>
                <w:color w:val="auto"/>
              </w:rPr>
            </w:pPr>
          </w:p>
        </w:tc>
      </w:tr>
      <w:tr>
        <w:trPr>
          <w:trHeight w:val="216"/>
        </w:trPr>
        <w:tc>
          <w:tcPr>
            <w:tcW w:w="2480" w:type="dxa"/>
            <w:vAlign w:val="bottom"/>
          </w:tcPr>
          <w:p>
            <w:pPr>
              <w:spacing w:after="0"/>
              <w:rPr>
                <w:sz w:val="20"/>
                <w:szCs w:val="20"/>
                <w:color w:val="auto"/>
              </w:rPr>
            </w:pPr>
            <w:r>
              <w:rPr>
                <w:rFonts w:ascii="Arial" w:cs="Arial" w:eastAsia="Arial" w:hAnsi="Arial"/>
                <w:sz w:val="18"/>
                <w:szCs w:val="18"/>
                <w:color w:val="auto"/>
              </w:rPr>
              <w:t>2</w:t>
            </w:r>
          </w:p>
        </w:tc>
        <w:tc>
          <w:tcPr>
            <w:tcW w:w="33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b w:val="1"/>
                <w:bCs w:val="1"/>
                <w:color w:val="auto"/>
              </w:rPr>
              <w:t>134.7</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b w:val="1"/>
                <w:bCs w:val="1"/>
                <w:color w:val="auto"/>
              </w:rPr>
              <w:t>122.2</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169.5</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176.3</w:t>
            </w:r>
          </w:p>
        </w:tc>
        <w:tc>
          <w:tcPr>
            <w:tcW w:w="0" w:type="dxa"/>
            <w:vAlign w:val="bottom"/>
          </w:tcPr>
          <w:p>
            <w:pPr>
              <w:spacing w:after="0"/>
              <w:rPr>
                <w:sz w:val="1"/>
                <w:szCs w:val="1"/>
                <w:color w:val="auto"/>
              </w:rPr>
            </w:pPr>
          </w:p>
        </w:tc>
      </w:tr>
      <w:tr>
        <w:trPr>
          <w:trHeight w:val="216"/>
        </w:trPr>
        <w:tc>
          <w:tcPr>
            <w:tcW w:w="2480" w:type="dxa"/>
            <w:vAlign w:val="bottom"/>
            <w:shd w:val="clear" w:color="auto" w:fill="CCEEFF"/>
          </w:tcPr>
          <w:p>
            <w:pPr>
              <w:spacing w:after="0"/>
              <w:rPr>
                <w:sz w:val="20"/>
                <w:szCs w:val="20"/>
                <w:color w:val="auto"/>
              </w:rPr>
            </w:pPr>
            <w:r>
              <w:rPr>
                <w:rFonts w:ascii="Arial" w:cs="Arial" w:eastAsia="Arial" w:hAnsi="Arial"/>
                <w:sz w:val="18"/>
                <w:szCs w:val="18"/>
                <w:color w:val="auto"/>
              </w:rPr>
              <w:t>3</w:t>
            </w:r>
          </w:p>
        </w:tc>
        <w:tc>
          <w:tcPr>
            <w:tcW w:w="33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62.7</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56.0</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84.2</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87.4</w:t>
            </w:r>
          </w:p>
        </w:tc>
        <w:tc>
          <w:tcPr>
            <w:tcW w:w="0" w:type="dxa"/>
            <w:vAlign w:val="bottom"/>
          </w:tcPr>
          <w:p>
            <w:pPr>
              <w:spacing w:after="0"/>
              <w:rPr>
                <w:sz w:val="1"/>
                <w:szCs w:val="1"/>
                <w:color w:val="auto"/>
              </w:rPr>
            </w:pPr>
          </w:p>
        </w:tc>
      </w:tr>
      <w:tr>
        <w:trPr>
          <w:trHeight w:val="216"/>
        </w:trPr>
        <w:tc>
          <w:tcPr>
            <w:tcW w:w="2480" w:type="dxa"/>
            <w:vAlign w:val="bottom"/>
          </w:tcPr>
          <w:p>
            <w:pPr>
              <w:spacing w:after="0"/>
              <w:rPr>
                <w:sz w:val="20"/>
                <w:szCs w:val="20"/>
                <w:color w:val="auto"/>
              </w:rPr>
            </w:pPr>
            <w:r>
              <w:rPr>
                <w:rFonts w:ascii="Arial" w:cs="Arial" w:eastAsia="Arial" w:hAnsi="Arial"/>
                <w:sz w:val="18"/>
                <w:szCs w:val="18"/>
                <w:color w:val="auto"/>
              </w:rPr>
              <w:t>4</w:t>
            </w:r>
          </w:p>
        </w:tc>
        <w:tc>
          <w:tcPr>
            <w:tcW w:w="33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b w:val="1"/>
                <w:bCs w:val="1"/>
                <w:color w:val="auto"/>
              </w:rPr>
              <w:t>4.7</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b w:val="1"/>
                <w:bCs w:val="1"/>
                <w:color w:val="auto"/>
              </w:rPr>
              <w:t>4.1</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5.1</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5.3</w:t>
            </w:r>
          </w:p>
        </w:tc>
        <w:tc>
          <w:tcPr>
            <w:tcW w:w="0" w:type="dxa"/>
            <w:vAlign w:val="bottom"/>
          </w:tcPr>
          <w:p>
            <w:pPr>
              <w:spacing w:after="0"/>
              <w:rPr>
                <w:sz w:val="1"/>
                <w:szCs w:val="1"/>
                <w:color w:val="auto"/>
              </w:rPr>
            </w:pPr>
          </w:p>
        </w:tc>
      </w:tr>
      <w:tr>
        <w:trPr>
          <w:trHeight w:val="216"/>
        </w:trPr>
        <w:tc>
          <w:tcPr>
            <w:tcW w:w="2480" w:type="dxa"/>
            <w:vAlign w:val="bottom"/>
            <w:shd w:val="clear" w:color="auto" w:fill="CCEEFF"/>
          </w:tcPr>
          <w:p>
            <w:pPr>
              <w:spacing w:after="0"/>
              <w:rPr>
                <w:sz w:val="20"/>
                <w:szCs w:val="20"/>
                <w:color w:val="auto"/>
              </w:rPr>
            </w:pPr>
            <w:r>
              <w:rPr>
                <w:rFonts w:ascii="Arial" w:cs="Arial" w:eastAsia="Arial" w:hAnsi="Arial"/>
                <w:sz w:val="18"/>
                <w:szCs w:val="18"/>
                <w:color w:val="auto"/>
              </w:rPr>
              <w:t>5</w:t>
            </w:r>
          </w:p>
        </w:tc>
        <w:tc>
          <w:tcPr>
            <w:tcW w:w="33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48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6</w:t>
            </w:r>
          </w:p>
        </w:tc>
        <w:tc>
          <w:tcPr>
            <w:tcW w:w="3320" w:type="dxa"/>
            <w:vAlign w:val="bottom"/>
            <w:tcBorders>
              <w:bottom w:val="single" w:sz="8" w:color="CCEEFF"/>
            </w:tcBorders>
          </w:tcPr>
          <w:p>
            <w:pPr>
              <w:spacing w:after="0"/>
              <w:rPr>
                <w:sz w:val="18"/>
                <w:szCs w:val="18"/>
                <w:color w:val="auto"/>
              </w:rPr>
            </w:pPr>
          </w:p>
        </w:tc>
        <w:tc>
          <w:tcPr>
            <w:tcW w:w="18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0.6</w:t>
            </w:r>
          </w:p>
        </w:tc>
        <w:tc>
          <w:tcPr>
            <w:tcW w:w="20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0.3</w:t>
            </w:r>
          </w:p>
        </w:tc>
        <w:tc>
          <w:tcPr>
            <w:tcW w:w="18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w:t>
            </w:r>
          </w:p>
        </w:tc>
        <w:tc>
          <w:tcPr>
            <w:tcW w:w="18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09"/>
        </w:trPr>
        <w:tc>
          <w:tcPr>
            <w:tcW w:w="5980" w:type="dxa"/>
            <w:vAlign w:val="bottom"/>
            <w:tcBorders>
              <w:bottom w:val="single" w:sz="8" w:color="CCEEFF"/>
            </w:tcBorders>
            <w:gridSpan w:val="3"/>
            <w:shd w:val="clear" w:color="auto" w:fill="CCEEFF"/>
          </w:tcPr>
          <w:p>
            <w:pPr>
              <w:spacing w:after="0"/>
              <w:rPr>
                <w:sz w:val="20"/>
                <w:szCs w:val="20"/>
                <w:color w:val="auto"/>
              </w:rPr>
            </w:pPr>
            <w:r>
              <w:rPr>
                <w:rFonts w:ascii="Arial" w:cs="Arial" w:eastAsia="Arial" w:hAnsi="Arial"/>
                <w:sz w:val="18"/>
                <w:szCs w:val="18"/>
                <w:color w:val="auto"/>
              </w:rPr>
              <w:t>Total (1)</w:t>
            </w: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4,402.5</w:t>
            </w:r>
          </w:p>
        </w:tc>
        <w:tc>
          <w:tcPr>
            <w:tcW w:w="20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4,048.7</w:t>
            </w:r>
          </w:p>
        </w:tc>
        <w:tc>
          <w:tcPr>
            <w:tcW w:w="18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5,430.3</w:t>
            </w:r>
          </w:p>
        </w:tc>
        <w:tc>
          <w:tcPr>
            <w:tcW w:w="18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5,556.1</w:t>
            </w:r>
          </w:p>
        </w:tc>
        <w:tc>
          <w:tcPr>
            <w:tcW w:w="0" w:type="dxa"/>
            <w:vAlign w:val="bottom"/>
          </w:tcPr>
          <w:p>
            <w:pPr>
              <w:spacing w:after="0"/>
              <w:rPr>
                <w:sz w:val="1"/>
                <w:szCs w:val="1"/>
                <w:color w:val="auto"/>
              </w:rPr>
            </w:pPr>
          </w:p>
        </w:tc>
      </w:tr>
      <w:tr>
        <w:trPr>
          <w:trHeight w:val="20"/>
        </w:trPr>
        <w:tc>
          <w:tcPr>
            <w:tcW w:w="2480" w:type="dxa"/>
            <w:vAlign w:val="bottom"/>
          </w:tcPr>
          <w:p>
            <w:pPr>
              <w:spacing w:after="0" w:line="20" w:lineRule="exact"/>
              <w:rPr>
                <w:sz w:val="1"/>
                <w:szCs w:val="1"/>
                <w:color w:val="auto"/>
              </w:rPr>
            </w:pPr>
          </w:p>
        </w:tc>
        <w:tc>
          <w:tcPr>
            <w:tcW w:w="33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8"/>
        </w:trPr>
        <w:tc>
          <w:tcPr>
            <w:tcW w:w="2480" w:type="dxa"/>
            <w:vAlign w:val="bottom"/>
            <w:tcBorders>
              <w:bottom w:val="single" w:sz="8" w:color="auto"/>
            </w:tcBorders>
          </w:tcPr>
          <w:p>
            <w:pPr>
              <w:spacing w:after="0"/>
              <w:rPr>
                <w:sz w:val="7"/>
                <w:szCs w:val="7"/>
                <w:color w:val="auto"/>
              </w:rPr>
            </w:pPr>
          </w:p>
        </w:tc>
        <w:tc>
          <w:tcPr>
            <w:tcW w:w="3320" w:type="dxa"/>
            <w:vAlign w:val="bottom"/>
          </w:tcPr>
          <w:p>
            <w:pPr>
              <w:spacing w:after="0"/>
              <w:rPr>
                <w:sz w:val="7"/>
                <w:szCs w:val="7"/>
                <w:color w:val="auto"/>
              </w:rPr>
            </w:pPr>
          </w:p>
        </w:tc>
        <w:tc>
          <w:tcPr>
            <w:tcW w:w="180" w:type="dxa"/>
            <w:vAlign w:val="bottom"/>
          </w:tcPr>
          <w:p>
            <w:pPr>
              <w:spacing w:after="0"/>
              <w:rPr>
                <w:sz w:val="7"/>
                <w:szCs w:val="7"/>
                <w:color w:val="auto"/>
              </w:rPr>
            </w:pPr>
          </w:p>
        </w:tc>
        <w:tc>
          <w:tcPr>
            <w:tcW w:w="10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0" w:type="dxa"/>
            <w:vAlign w:val="bottom"/>
          </w:tcPr>
          <w:p>
            <w:pPr>
              <w:spacing w:after="0"/>
              <w:rPr>
                <w:sz w:val="7"/>
                <w:szCs w:val="7"/>
                <w:color w:val="auto"/>
              </w:rPr>
            </w:pPr>
          </w:p>
        </w:tc>
        <w:tc>
          <w:tcPr>
            <w:tcW w:w="100" w:type="dxa"/>
            <w:vAlign w:val="bottom"/>
          </w:tcPr>
          <w:p>
            <w:pPr>
              <w:spacing w:after="0"/>
              <w:rPr>
                <w:sz w:val="7"/>
                <w:szCs w:val="7"/>
                <w:color w:val="auto"/>
              </w:rPr>
            </w:pPr>
          </w:p>
        </w:tc>
        <w:tc>
          <w:tcPr>
            <w:tcW w:w="740" w:type="dxa"/>
            <w:vAlign w:val="bottom"/>
          </w:tcPr>
          <w:p>
            <w:pPr>
              <w:spacing w:after="0"/>
              <w:rPr>
                <w:sz w:val="7"/>
                <w:szCs w:val="7"/>
                <w:color w:val="auto"/>
              </w:rPr>
            </w:pPr>
          </w:p>
        </w:tc>
        <w:tc>
          <w:tcPr>
            <w:tcW w:w="180" w:type="dxa"/>
            <w:vAlign w:val="bottom"/>
          </w:tcPr>
          <w:p>
            <w:pPr>
              <w:spacing w:after="0"/>
              <w:rPr>
                <w:sz w:val="7"/>
                <w:szCs w:val="7"/>
                <w:color w:val="auto"/>
              </w:rPr>
            </w:pPr>
          </w:p>
        </w:tc>
        <w:tc>
          <w:tcPr>
            <w:tcW w:w="100" w:type="dxa"/>
            <w:vAlign w:val="bottom"/>
          </w:tcPr>
          <w:p>
            <w:pPr>
              <w:spacing w:after="0"/>
              <w:rPr>
                <w:sz w:val="7"/>
                <w:szCs w:val="7"/>
                <w:color w:val="auto"/>
              </w:rPr>
            </w:pPr>
          </w:p>
        </w:tc>
        <w:tc>
          <w:tcPr>
            <w:tcW w:w="740" w:type="dxa"/>
            <w:vAlign w:val="bottom"/>
          </w:tcPr>
          <w:p>
            <w:pPr>
              <w:spacing w:after="0"/>
              <w:rPr>
                <w:sz w:val="7"/>
                <w:szCs w:val="7"/>
                <w:color w:val="auto"/>
              </w:rPr>
            </w:pPr>
          </w:p>
        </w:tc>
        <w:tc>
          <w:tcPr>
            <w:tcW w:w="180" w:type="dxa"/>
            <w:vAlign w:val="bottom"/>
          </w:tcPr>
          <w:p>
            <w:pPr>
              <w:spacing w:after="0"/>
              <w:rPr>
                <w:sz w:val="7"/>
                <w:szCs w:val="7"/>
                <w:color w:val="auto"/>
              </w:rPr>
            </w:pPr>
          </w:p>
        </w:tc>
        <w:tc>
          <w:tcPr>
            <w:tcW w:w="120" w:type="dxa"/>
            <w:vAlign w:val="bottom"/>
          </w:tcPr>
          <w:p>
            <w:pPr>
              <w:spacing w:after="0"/>
              <w:rPr>
                <w:sz w:val="7"/>
                <w:szCs w:val="7"/>
                <w:color w:val="auto"/>
              </w:rPr>
            </w:pPr>
          </w:p>
        </w:tc>
        <w:tc>
          <w:tcPr>
            <w:tcW w:w="74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80" w:lineRule="exact"/>
        <w:rPr>
          <w:sz w:val="20"/>
          <w:szCs w:val="20"/>
          <w:color w:val="auto"/>
        </w:rPr>
      </w:pPr>
    </w:p>
    <w:p>
      <w:pPr>
        <w:ind w:left="340" w:right="100" w:hanging="332"/>
        <w:spacing w:after="0" w:line="308" w:lineRule="auto"/>
        <w:tabs>
          <w:tab w:leader="none" w:pos="340" w:val="left"/>
        </w:tabs>
        <w:numPr>
          <w:ilvl w:val="0"/>
          <w:numId w:val="54"/>
        </w:numPr>
        <w:rPr>
          <w:rFonts w:ascii="Arial" w:cs="Arial" w:eastAsia="Arial" w:hAnsi="Arial"/>
          <w:sz w:val="17"/>
          <w:szCs w:val="17"/>
          <w:color w:val="auto"/>
        </w:rPr>
      </w:pPr>
      <w:r>
        <w:rPr>
          <w:rFonts w:ascii="Arial" w:cs="Arial" w:eastAsia="Arial" w:hAnsi="Arial"/>
          <w:sz w:val="17"/>
          <w:szCs w:val="17"/>
          <w:color w:val="auto"/>
        </w:rPr>
        <w:t>The CMBS portfolio included agency CMBS with a $566.7 million amortized cost and a $542.5 million carrying amount as of June 30, 2022, and a $405.5 million amortized cost and a $410.3 million carrying amount as of December 31, 2021.</w:t>
      </w:r>
    </w:p>
    <w:p>
      <w:pPr>
        <w:spacing w:after="0" w:line="146" w:lineRule="exact"/>
        <w:rPr>
          <w:sz w:val="20"/>
          <w:szCs w:val="20"/>
          <w:color w:val="auto"/>
        </w:rPr>
      </w:pPr>
    </w:p>
    <w:p>
      <w:pPr>
        <w:ind w:right="20" w:firstLine="648"/>
        <w:spacing w:after="0" w:line="286" w:lineRule="auto"/>
        <w:rPr>
          <w:sz w:val="20"/>
          <w:szCs w:val="20"/>
          <w:color w:val="auto"/>
        </w:rPr>
      </w:pPr>
      <w:r>
        <w:rPr>
          <w:rFonts w:ascii="Arial" w:cs="Arial" w:eastAsia="Arial" w:hAnsi="Arial"/>
          <w:sz w:val="16"/>
          <w:szCs w:val="16"/>
          <w:b w:val="1"/>
          <w:bCs w:val="1"/>
          <w:i w:val="1"/>
          <w:iCs w:val="1"/>
          <w:color w:val="auto"/>
        </w:rPr>
        <w:t xml:space="preserve">Fixed Maturities Watch List. </w:t>
      </w:r>
      <w:r>
        <w:rPr>
          <w:rFonts w:ascii="Arial" w:cs="Arial" w:eastAsia="Arial" w:hAnsi="Arial"/>
          <w:sz w:val="16"/>
          <w:szCs w:val="16"/>
          <w:color w:val="auto"/>
        </w:rPr>
        <w:t>We monitor any decline in the credit quality of fixed maturities through the designation of</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“problem securities,” “potential problem securities” and “restructured securities”. We define problem securities in our fixed maturity portfolio as securities: (i) with principal and/or interest payments in default or where default is perceived to be imminent in the near term, or (ii) issued by a company that went into bankruptcy subsequent to the acquisition of such securities. We define potential problem securities in our fixed maturity portfolio as securities included on an internal “watch list” for which management has concerns as to the ability of the issuer to comply with the present debt payment terms and which may result in the security becoming a problem or being restructured. The decision whether to classify a performing fixed maturity security as a potential problem involves significant subjective judgments by our management as to the likely future industry conditions and developments with respect to the issuer. We define restructured securities in our fixed maturity portfolio as securities where a concession has been granted to the borrower related to the borrower’s financial difficulties that would not have otherwise been considered. We determine that restructures should occur in those instances where greater economic value will be realized under the new terms than through liquidation or other disposition and may involve a change in contractual cash flows. If the present value of the restructured cash flows is less than the current cost of the asset being restructured, a realized capital loss is recorded in net income and a new cost basis is established.</w:t>
      </w:r>
    </w:p>
    <w:p>
      <w:pPr>
        <w:spacing w:after="0" w:line="174"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The following table presents the total carrying amount of our fixed maturities portfolio, as well as its problem, potential problem and restructured fixed maturities for the periods indicated.</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480" w:type="dxa"/>
            <w:vAlign w:val="bottom"/>
          </w:tcPr>
          <w:p>
            <w:pPr>
              <w:spacing w:after="0"/>
              <w:rPr>
                <w:sz w:val="14"/>
                <w:szCs w:val="14"/>
                <w:color w:val="auto"/>
              </w:rPr>
            </w:pPr>
          </w:p>
        </w:tc>
        <w:tc>
          <w:tcPr>
            <w:tcW w:w="41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tcPr>
          <w:p>
            <w:pPr>
              <w:jc w:val="right"/>
              <w:ind w:right="135"/>
              <w:spacing w:after="0"/>
              <w:rPr>
                <w:sz w:val="20"/>
                <w:szCs w:val="20"/>
                <w:color w:val="auto"/>
              </w:rPr>
            </w:pPr>
            <w:r>
              <w:rPr>
                <w:rFonts w:ascii="Arial" w:cs="Arial" w:eastAsia="Arial" w:hAnsi="Arial"/>
                <w:sz w:val="14"/>
                <w:szCs w:val="14"/>
                <w:b w:val="1"/>
                <w:bCs w:val="1"/>
                <w:color w:val="auto"/>
                <w:w w:val="96"/>
              </w:rPr>
              <w:t>June 30, 2022</w:t>
            </w:r>
          </w:p>
        </w:tc>
        <w:tc>
          <w:tcPr>
            <w:tcW w:w="2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8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5"/>
              </w:rPr>
              <w:t>December 31, 2021</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8"/>
        </w:trPr>
        <w:tc>
          <w:tcPr>
            <w:tcW w:w="2480" w:type="dxa"/>
            <w:vAlign w:val="bottom"/>
          </w:tcPr>
          <w:p>
            <w:pPr>
              <w:spacing w:after="0"/>
              <w:rPr>
                <w:sz w:val="11"/>
                <w:szCs w:val="11"/>
                <w:color w:val="auto"/>
              </w:rPr>
            </w:pPr>
          </w:p>
        </w:tc>
        <w:tc>
          <w:tcPr>
            <w:tcW w:w="41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780" w:type="dxa"/>
            <w:vAlign w:val="bottom"/>
            <w:gridSpan w:val="4"/>
          </w:tcPr>
          <w:p>
            <w:pPr>
              <w:jc w:val="right"/>
              <w:ind w:right="96"/>
              <w:spacing w:after="0" w:line="129" w:lineRule="exact"/>
              <w:rPr>
                <w:sz w:val="20"/>
                <w:szCs w:val="20"/>
                <w:color w:val="auto"/>
              </w:rPr>
            </w:pPr>
            <w:r>
              <w:rPr>
                <w:rFonts w:ascii="Arial" w:cs="Arial" w:eastAsia="Arial" w:hAnsi="Arial"/>
                <w:sz w:val="14"/>
                <w:szCs w:val="14"/>
                <w:i w:val="1"/>
                <w:iCs w:val="1"/>
                <w:color w:val="auto"/>
              </w:rPr>
              <w:t>(in millions)</w:t>
            </w:r>
          </w:p>
        </w:tc>
        <w:tc>
          <w:tcPr>
            <w:tcW w:w="8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6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fixed maturities</w:t>
            </w:r>
          </w:p>
        </w:tc>
        <w:tc>
          <w:tcPr>
            <w:tcW w:w="4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120" w:type="dxa"/>
            <w:vAlign w:val="bottom"/>
            <w:shd w:val="clear" w:color="auto" w:fill="CCEEFF"/>
          </w:tcPr>
          <w:p>
            <w:pPr>
              <w:jc w:val="right"/>
              <w:ind w:right="15"/>
              <w:spacing w:after="0"/>
              <w:rPr>
                <w:sz w:val="20"/>
                <w:szCs w:val="20"/>
                <w:color w:val="auto"/>
              </w:rPr>
            </w:pPr>
            <w:r>
              <w:rPr>
                <w:rFonts w:ascii="Arial" w:cs="Arial" w:eastAsia="Arial" w:hAnsi="Arial"/>
                <w:sz w:val="18"/>
                <w:szCs w:val="18"/>
                <w:b w:val="1"/>
                <w:bCs w:val="1"/>
                <w:color w:val="auto"/>
              </w:rPr>
              <w:t>45,389.1</w:t>
            </w:r>
          </w:p>
        </w:tc>
        <w:tc>
          <w:tcPr>
            <w:tcW w:w="220" w:type="dxa"/>
            <w:vAlign w:val="bottom"/>
            <w:shd w:val="clear" w:color="auto" w:fill="CCEEFF"/>
          </w:tcPr>
          <w:p>
            <w:pPr>
              <w:spacing w:after="0"/>
              <w:rPr>
                <w:sz w:val="18"/>
                <w:szCs w:val="18"/>
                <w:color w:val="auto"/>
              </w:rPr>
            </w:pPr>
          </w:p>
        </w:tc>
        <w:tc>
          <w:tcPr>
            <w:tcW w:w="440" w:type="dxa"/>
            <w:vAlign w:val="bottom"/>
            <w:gridSpan w:val="2"/>
            <w:shd w:val="clear" w:color="auto" w:fill="CCEEFF"/>
          </w:tcPr>
          <w:p>
            <w:pPr>
              <w:jc w:val="right"/>
              <w:ind w:right="216"/>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75,553.4</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640" w:type="dxa"/>
            <w:vAlign w:val="bottom"/>
            <w:tcBorders>
              <w:top w:val="single" w:sz="8" w:color="CCEEFF"/>
              <w:bottom w:val="single" w:sz="8" w:color="CCEEFF"/>
            </w:tcBorders>
            <w:gridSpan w:val="2"/>
            <w:vMerge w:val="restart"/>
          </w:tcPr>
          <w:p>
            <w:pPr>
              <w:spacing w:after="0"/>
              <w:rPr>
                <w:sz w:val="20"/>
                <w:szCs w:val="20"/>
                <w:color w:val="auto"/>
              </w:rPr>
            </w:pPr>
            <w:r>
              <w:rPr>
                <w:rFonts w:ascii="Arial" w:cs="Arial" w:eastAsia="Arial" w:hAnsi="Arial"/>
                <w:sz w:val="18"/>
                <w:szCs w:val="18"/>
                <w:color w:val="auto"/>
              </w:rPr>
              <w:t>Problem fixed maturities (1)</w:t>
            </w:r>
          </w:p>
        </w:tc>
        <w:tc>
          <w:tcPr>
            <w:tcW w:w="300" w:type="dxa"/>
            <w:vAlign w:val="bottom"/>
            <w:tcBorders>
              <w:top w:val="single" w:sz="8" w:color="CCEEFF"/>
              <w:bottom w:val="single" w:sz="8" w:color="CCEEFF"/>
            </w:tcBorders>
            <w:vMerge w:val="restart"/>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bottom w:val="single" w:sz="8" w:color="CCEEFF"/>
            </w:tcBorders>
            <w:vMerge w:val="restart"/>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6640" w:type="dxa"/>
            <w:vAlign w:val="bottom"/>
            <w:gridSpan w:val="2"/>
            <w:vMerge w:val="continue"/>
          </w:tcPr>
          <w:p>
            <w:pPr>
              <w:spacing w:after="0"/>
              <w:rPr>
                <w:sz w:val="17"/>
                <w:szCs w:val="17"/>
                <w:color w:val="auto"/>
              </w:rPr>
            </w:pPr>
          </w:p>
        </w:tc>
        <w:tc>
          <w:tcPr>
            <w:tcW w:w="300" w:type="dxa"/>
            <w:vAlign w:val="bottom"/>
            <w:vMerge w:val="continue"/>
          </w:tcPr>
          <w:p>
            <w:pPr>
              <w:spacing w:after="0"/>
              <w:rPr>
                <w:sz w:val="17"/>
                <w:szCs w:val="17"/>
                <w:color w:val="auto"/>
              </w:rPr>
            </w:pPr>
          </w:p>
        </w:tc>
        <w:tc>
          <w:tcPr>
            <w:tcW w:w="160" w:type="dxa"/>
            <w:vAlign w:val="bottom"/>
          </w:tcPr>
          <w:p>
            <w:pPr>
              <w:jc w:val="right"/>
              <w:spacing w:after="0" w:line="196" w:lineRule="exact"/>
              <w:rPr>
                <w:sz w:val="20"/>
                <w:szCs w:val="20"/>
                <w:color w:val="auto"/>
              </w:rPr>
            </w:pPr>
            <w:r>
              <w:rPr>
                <w:rFonts w:ascii="Arial" w:cs="Arial" w:eastAsia="Arial" w:hAnsi="Arial"/>
                <w:sz w:val="18"/>
                <w:szCs w:val="18"/>
                <w:b w:val="1"/>
                <w:bCs w:val="1"/>
                <w:color w:val="auto"/>
                <w:w w:val="79"/>
              </w:rPr>
              <w:t>$</w:t>
            </w:r>
          </w:p>
        </w:tc>
        <w:tc>
          <w:tcPr>
            <w:tcW w:w="1120" w:type="dxa"/>
            <w:vAlign w:val="bottom"/>
          </w:tcPr>
          <w:p>
            <w:pPr>
              <w:jc w:val="right"/>
              <w:ind w:right="15"/>
              <w:spacing w:after="0" w:line="196" w:lineRule="exact"/>
              <w:rPr>
                <w:sz w:val="20"/>
                <w:szCs w:val="20"/>
                <w:color w:val="auto"/>
              </w:rPr>
            </w:pPr>
            <w:r>
              <w:rPr>
                <w:rFonts w:ascii="Arial" w:cs="Arial" w:eastAsia="Arial" w:hAnsi="Arial"/>
                <w:sz w:val="18"/>
                <w:szCs w:val="18"/>
                <w:b w:val="1"/>
                <w:bCs w:val="1"/>
                <w:color w:val="auto"/>
              </w:rPr>
              <w:t>14.2</w:t>
            </w:r>
          </w:p>
        </w:tc>
        <w:tc>
          <w:tcPr>
            <w:tcW w:w="220" w:type="dxa"/>
            <w:vAlign w:val="bottom"/>
          </w:tcPr>
          <w:p>
            <w:pPr>
              <w:spacing w:after="0"/>
              <w:rPr>
                <w:sz w:val="17"/>
                <w:szCs w:val="17"/>
                <w:color w:val="auto"/>
              </w:rPr>
            </w:pPr>
          </w:p>
        </w:tc>
        <w:tc>
          <w:tcPr>
            <w:tcW w:w="40" w:type="dxa"/>
            <w:vAlign w:val="bottom"/>
            <w:vMerge w:val="continue"/>
          </w:tcPr>
          <w:p>
            <w:pPr>
              <w:spacing w:after="0"/>
              <w:rPr>
                <w:sz w:val="17"/>
                <w:szCs w:val="17"/>
                <w:color w:val="auto"/>
              </w:rPr>
            </w:pPr>
          </w:p>
        </w:tc>
        <w:tc>
          <w:tcPr>
            <w:tcW w:w="400" w:type="dxa"/>
            <w:vAlign w:val="bottom"/>
          </w:tcPr>
          <w:p>
            <w:pPr>
              <w:jc w:val="right"/>
              <w:ind w:right="216"/>
              <w:spacing w:after="0" w:line="196" w:lineRule="exact"/>
              <w:rPr>
                <w:sz w:val="20"/>
                <w:szCs w:val="20"/>
                <w:color w:val="auto"/>
              </w:rPr>
            </w:pPr>
            <w:r>
              <w:rPr>
                <w:rFonts w:ascii="Arial" w:cs="Arial" w:eastAsia="Arial" w:hAnsi="Arial"/>
                <w:sz w:val="18"/>
                <w:szCs w:val="18"/>
                <w:color w:val="auto"/>
                <w:w w:val="79"/>
              </w:rPr>
              <w:t>$</w:t>
            </w:r>
          </w:p>
        </w:tc>
        <w:tc>
          <w:tcPr>
            <w:tcW w:w="880" w:type="dxa"/>
            <w:vAlign w:val="bottom"/>
          </w:tcPr>
          <w:p>
            <w:pPr>
              <w:jc w:val="right"/>
              <w:spacing w:after="0" w:line="196" w:lineRule="exact"/>
              <w:rPr>
                <w:sz w:val="20"/>
                <w:szCs w:val="20"/>
                <w:color w:val="auto"/>
              </w:rPr>
            </w:pPr>
            <w:r>
              <w:rPr>
                <w:rFonts w:ascii="Arial" w:cs="Arial" w:eastAsia="Arial" w:hAnsi="Arial"/>
                <w:sz w:val="18"/>
                <w:szCs w:val="18"/>
                <w:color w:val="auto"/>
              </w:rPr>
              <w:t>20.5</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6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Potential problem fixed maturities</w:t>
            </w:r>
          </w:p>
        </w:tc>
        <w:tc>
          <w:tcPr>
            <w:tcW w:w="30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b w:val="1"/>
                <w:bCs w:val="1"/>
                <w:color w:val="auto"/>
              </w:rPr>
              <w:t>16.9</w:t>
            </w:r>
          </w:p>
        </w:tc>
        <w:tc>
          <w:tcPr>
            <w:tcW w:w="2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5.7</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6640" w:type="dxa"/>
            <w:vAlign w:val="bottom"/>
            <w:tcBorders>
              <w:bottom w:val="single" w:sz="8" w:color="CCEEFF"/>
            </w:tcBorders>
            <w:gridSpan w:val="2"/>
          </w:tcPr>
          <w:p>
            <w:pPr>
              <w:ind w:left="120"/>
              <w:spacing w:after="0"/>
              <w:rPr>
                <w:sz w:val="20"/>
                <w:szCs w:val="20"/>
                <w:color w:val="auto"/>
              </w:rPr>
            </w:pPr>
            <w:r>
              <w:rPr>
                <w:rFonts w:ascii="Arial" w:cs="Arial" w:eastAsia="Arial" w:hAnsi="Arial"/>
                <w:sz w:val="18"/>
                <w:szCs w:val="18"/>
                <w:color w:val="auto"/>
              </w:rPr>
              <w:t>Total problem, potential problem and restructured fixed maturities</w:t>
            </w:r>
          </w:p>
        </w:tc>
        <w:tc>
          <w:tcPr>
            <w:tcW w:w="300" w:type="dxa"/>
            <w:vAlign w:val="bottom"/>
            <w:tcBorders>
              <w:bottom w:val="single" w:sz="8" w:color="CCEEFF"/>
            </w:tcBorders>
          </w:tcPr>
          <w:p>
            <w:pPr>
              <w:spacing w:after="0"/>
              <w:rPr>
                <w:sz w:val="21"/>
                <w:szCs w:val="21"/>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1120" w:type="dxa"/>
            <w:vAlign w:val="bottom"/>
            <w:tcBorders>
              <w:bottom w:val="single" w:sz="8" w:color="auto"/>
            </w:tcBorders>
          </w:tcPr>
          <w:p>
            <w:pPr>
              <w:jc w:val="right"/>
              <w:ind w:right="15"/>
              <w:spacing w:after="0"/>
              <w:rPr>
                <w:sz w:val="20"/>
                <w:szCs w:val="20"/>
                <w:color w:val="auto"/>
              </w:rPr>
            </w:pPr>
            <w:r>
              <w:rPr>
                <w:rFonts w:ascii="Arial" w:cs="Arial" w:eastAsia="Arial" w:hAnsi="Arial"/>
                <w:sz w:val="18"/>
                <w:szCs w:val="18"/>
                <w:b w:val="1"/>
                <w:bCs w:val="1"/>
                <w:color w:val="auto"/>
              </w:rPr>
              <w:t>31.1</w:t>
            </w:r>
          </w:p>
        </w:tc>
        <w:tc>
          <w:tcPr>
            <w:tcW w:w="220" w:type="dxa"/>
            <w:vAlign w:val="bottom"/>
            <w:tcBorders>
              <w:bottom w:val="single" w:sz="8" w:color="CCEEFF"/>
            </w:tcBorders>
          </w:tcPr>
          <w:p>
            <w:pPr>
              <w:spacing w:after="0"/>
              <w:rPr>
                <w:sz w:val="21"/>
                <w:szCs w:val="21"/>
                <w:color w:val="auto"/>
              </w:rPr>
            </w:pPr>
          </w:p>
        </w:tc>
        <w:tc>
          <w:tcPr>
            <w:tcW w:w="40" w:type="dxa"/>
            <w:vAlign w:val="bottom"/>
            <w:tcBorders>
              <w:bottom w:val="single" w:sz="8" w:color="CCEEFF"/>
            </w:tcBorders>
          </w:tcPr>
          <w:p>
            <w:pPr>
              <w:spacing w:after="0"/>
              <w:rPr>
                <w:sz w:val="21"/>
                <w:szCs w:val="21"/>
                <w:color w:val="auto"/>
              </w:rPr>
            </w:pPr>
          </w:p>
        </w:tc>
        <w:tc>
          <w:tcPr>
            <w:tcW w:w="400" w:type="dxa"/>
            <w:vAlign w:val="bottom"/>
            <w:tcBorders>
              <w:bottom w:val="single" w:sz="8" w:color="auto"/>
            </w:tcBorders>
          </w:tcPr>
          <w:p>
            <w:pPr>
              <w:jc w:val="right"/>
              <w:ind w:right="216"/>
              <w:spacing w:after="0"/>
              <w:rPr>
                <w:sz w:val="20"/>
                <w:szCs w:val="20"/>
                <w:color w:val="auto"/>
              </w:rPr>
            </w:pPr>
            <w:r>
              <w:rPr>
                <w:rFonts w:ascii="Arial" w:cs="Arial" w:eastAsia="Arial" w:hAnsi="Arial"/>
                <w:sz w:val="18"/>
                <w:szCs w:val="18"/>
                <w:color w:val="auto"/>
                <w:w w:val="79"/>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26.2</w:t>
            </w:r>
          </w:p>
        </w:tc>
        <w:tc>
          <w:tcPr>
            <w:tcW w:w="160" w:type="dxa"/>
            <w:vAlign w:val="bottom"/>
            <w:tcBorders>
              <w:bottom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155"/>
        </w:trPr>
        <w:tc>
          <w:tcPr>
            <w:tcW w:w="6640" w:type="dxa"/>
            <w:vAlign w:val="bottom"/>
            <w:gridSpan w:val="2"/>
            <w:shd w:val="clear" w:color="auto" w:fill="CCEEFF"/>
          </w:tcPr>
          <w:p>
            <w:pPr>
              <w:ind w:left="120"/>
              <w:spacing w:after="0" w:line="155" w:lineRule="exact"/>
              <w:rPr>
                <w:sz w:val="20"/>
                <w:szCs w:val="20"/>
                <w:color w:val="auto"/>
              </w:rPr>
            </w:pPr>
            <w:r>
              <w:rPr>
                <w:rFonts w:ascii="Arial" w:cs="Arial" w:eastAsia="Arial" w:hAnsi="Arial"/>
                <w:sz w:val="17"/>
                <w:szCs w:val="17"/>
                <w:color w:val="auto"/>
              </w:rPr>
              <w:t>Total problem, potential problem and restructured fixed maturities as a percent of total</w:t>
            </w:r>
          </w:p>
        </w:tc>
        <w:tc>
          <w:tcPr>
            <w:tcW w:w="30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1340" w:type="dxa"/>
            <w:vAlign w:val="bottom"/>
            <w:gridSpan w:val="2"/>
            <w:vMerge w:val="restart"/>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0.07 %</w:t>
            </w:r>
          </w:p>
        </w:tc>
        <w:tc>
          <w:tcPr>
            <w:tcW w:w="40" w:type="dxa"/>
            <w:vAlign w:val="bottom"/>
            <w:shd w:val="clear" w:color="auto" w:fill="CCEEFF"/>
          </w:tcPr>
          <w:p>
            <w:pPr>
              <w:spacing w:after="0"/>
              <w:rPr>
                <w:sz w:val="13"/>
                <w:szCs w:val="13"/>
                <w:color w:val="auto"/>
              </w:rPr>
            </w:pPr>
          </w:p>
        </w:tc>
        <w:tc>
          <w:tcPr>
            <w:tcW w:w="400" w:type="dxa"/>
            <w:vAlign w:val="bottom"/>
            <w:shd w:val="clear" w:color="auto" w:fill="CCEEFF"/>
          </w:tcPr>
          <w:p>
            <w:pPr>
              <w:spacing w:after="0"/>
              <w:rPr>
                <w:sz w:val="13"/>
                <w:szCs w:val="13"/>
                <w:color w:val="auto"/>
              </w:rPr>
            </w:pPr>
          </w:p>
        </w:tc>
        <w:tc>
          <w:tcPr>
            <w:tcW w:w="88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230"/>
        </w:trPr>
        <w:tc>
          <w:tcPr>
            <w:tcW w:w="664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fixed maturities</w:t>
            </w:r>
          </w:p>
        </w:tc>
        <w:tc>
          <w:tcPr>
            <w:tcW w:w="30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340" w:type="dxa"/>
            <w:vAlign w:val="bottom"/>
            <w:gridSpan w:val="2"/>
            <w:vMerge w:val="continue"/>
            <w:shd w:val="clear" w:color="auto" w:fill="CCEEFF"/>
          </w:tcPr>
          <w:p>
            <w:pPr>
              <w:spacing w:after="0"/>
              <w:rPr>
                <w:sz w:val="20"/>
                <w:szCs w:val="20"/>
                <w:color w:val="auto"/>
              </w:rPr>
            </w:pPr>
          </w:p>
        </w:tc>
        <w:tc>
          <w:tcPr>
            <w:tcW w:w="40" w:type="dxa"/>
            <w:vAlign w:val="bottom"/>
            <w:shd w:val="clear" w:color="auto" w:fill="CCEEFF"/>
          </w:tcPr>
          <w:p>
            <w:pPr>
              <w:spacing w:after="0"/>
              <w:rPr>
                <w:sz w:val="20"/>
                <w:szCs w:val="20"/>
                <w:color w:val="auto"/>
              </w:rPr>
            </w:pPr>
          </w:p>
        </w:tc>
        <w:tc>
          <w:tcPr>
            <w:tcW w:w="400" w:type="dxa"/>
            <w:vAlign w:val="bottom"/>
            <w:shd w:val="clear" w:color="auto" w:fill="CCEEFF"/>
          </w:tcPr>
          <w:p>
            <w:pPr>
              <w:spacing w:after="0"/>
              <w:rPr>
                <w:sz w:val="20"/>
                <w:szCs w:val="20"/>
                <w:color w:val="auto"/>
              </w:rPr>
            </w:pPr>
          </w:p>
        </w:tc>
        <w:tc>
          <w:tcPr>
            <w:tcW w:w="10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0.03 %</w:t>
            </w:r>
          </w:p>
        </w:tc>
        <w:tc>
          <w:tcPr>
            <w:tcW w:w="0" w:type="dxa"/>
            <w:vAlign w:val="bottom"/>
          </w:tcPr>
          <w:p>
            <w:pPr>
              <w:spacing w:after="0"/>
              <w:rPr>
                <w:sz w:val="1"/>
                <w:szCs w:val="1"/>
                <w:color w:val="auto"/>
              </w:rPr>
            </w:pPr>
          </w:p>
        </w:tc>
      </w:tr>
      <w:tr>
        <w:trPr>
          <w:trHeight w:val="108"/>
        </w:trPr>
        <w:tc>
          <w:tcPr>
            <w:tcW w:w="2480" w:type="dxa"/>
            <w:vAlign w:val="bottom"/>
            <w:tcBorders>
              <w:bottom w:val="single" w:sz="8" w:color="auto"/>
            </w:tcBorders>
          </w:tcPr>
          <w:p>
            <w:pPr>
              <w:spacing w:after="0"/>
              <w:rPr>
                <w:sz w:val="9"/>
                <w:szCs w:val="9"/>
                <w:color w:val="auto"/>
              </w:rPr>
            </w:pPr>
          </w:p>
        </w:tc>
        <w:tc>
          <w:tcPr>
            <w:tcW w:w="4160" w:type="dxa"/>
            <w:vAlign w:val="bottom"/>
          </w:tcPr>
          <w:p>
            <w:pPr>
              <w:spacing w:after="0"/>
              <w:rPr>
                <w:sz w:val="9"/>
                <w:szCs w:val="9"/>
                <w:color w:val="auto"/>
              </w:rPr>
            </w:pPr>
          </w:p>
        </w:tc>
        <w:tc>
          <w:tcPr>
            <w:tcW w:w="3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40" w:type="dxa"/>
            <w:vAlign w:val="bottom"/>
          </w:tcPr>
          <w:p>
            <w:pPr>
              <w:spacing w:after="0"/>
              <w:rPr>
                <w:sz w:val="9"/>
                <w:szCs w:val="9"/>
                <w:color w:val="auto"/>
              </w:rPr>
            </w:pPr>
          </w:p>
        </w:tc>
        <w:tc>
          <w:tcPr>
            <w:tcW w:w="400" w:type="dxa"/>
            <w:vAlign w:val="bottom"/>
          </w:tcPr>
          <w:p>
            <w:pPr>
              <w:spacing w:after="0"/>
              <w:rPr>
                <w:sz w:val="9"/>
                <w:szCs w:val="9"/>
                <w:color w:val="auto"/>
              </w:rPr>
            </w:pPr>
          </w:p>
        </w:tc>
        <w:tc>
          <w:tcPr>
            <w:tcW w:w="88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80" w:lineRule="exact"/>
        <w:rPr>
          <w:sz w:val="20"/>
          <w:szCs w:val="20"/>
          <w:color w:val="auto"/>
        </w:rPr>
      </w:pPr>
    </w:p>
    <w:p>
      <w:pPr>
        <w:spacing w:after="0"/>
        <w:rPr>
          <w:sz w:val="20"/>
          <w:szCs w:val="20"/>
          <w:color w:val="auto"/>
        </w:rPr>
      </w:pPr>
      <w:r>
        <w:rPr>
          <w:rFonts w:ascii="Arial" w:cs="Arial" w:eastAsia="Arial" w:hAnsi="Arial"/>
          <w:sz w:val="18"/>
          <w:szCs w:val="18"/>
          <w:color w:val="auto"/>
        </w:rPr>
        <w:t>(1) The problem fixed maturities carrying amount is net of the credit loss valuation allowance.</w:t>
      </w:r>
    </w:p>
    <w:p>
      <w:pPr>
        <w:spacing w:after="0" w:line="225" w:lineRule="exact"/>
        <w:rPr>
          <w:sz w:val="20"/>
          <w:szCs w:val="20"/>
          <w:color w:val="auto"/>
        </w:rPr>
      </w:pPr>
    </w:p>
    <w:p>
      <w:pPr>
        <w:ind w:right="80" w:firstLine="648"/>
        <w:spacing w:after="0" w:line="273" w:lineRule="auto"/>
        <w:rPr>
          <w:sz w:val="20"/>
          <w:szCs w:val="20"/>
          <w:color w:val="auto"/>
        </w:rPr>
      </w:pPr>
      <w:r>
        <w:rPr>
          <w:rFonts w:ascii="Arial" w:cs="Arial" w:eastAsia="Arial" w:hAnsi="Arial"/>
          <w:sz w:val="17"/>
          <w:szCs w:val="17"/>
          <w:b w:val="1"/>
          <w:bCs w:val="1"/>
          <w:i w:val="1"/>
          <w:iCs w:val="1"/>
          <w:color w:val="auto"/>
        </w:rPr>
        <w:t xml:space="preserve">Fixed Maturities Credit Losses. </w:t>
      </w:r>
      <w:r>
        <w:rPr>
          <w:rFonts w:ascii="Arial" w:cs="Arial" w:eastAsia="Arial" w:hAnsi="Arial"/>
          <w:sz w:val="17"/>
          <w:szCs w:val="17"/>
          <w:color w:val="auto"/>
        </w:rPr>
        <w:t>Each reporting period, a group of individuals including the Chief Investment Officer, our</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Portfolio Managers, the assigned analysts and representatives from Investment Accounting review all securities to determine whether a credit loss exists. The analysis focuses on each issuer’s ability to service its debts in a timely fashion. Formal documentation of the analysis and our decision is prepared and approved by management. For additional details regarding our process to identify and evaluate securities with credit losses, see Item 1. “Financial Statements, Notes to Unaudited Condensed Consolidated Financial Statements, Note 3, Investments” under the caption “Allowance for Credit Loss.”</w:t>
      </w:r>
    </w:p>
    <w:p>
      <w:pPr>
        <w:spacing w:after="0" w:line="3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1714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6292215" cy="17145"/>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117" w:name="page118"/>
    <w:bookmarkEnd w:id="117"/>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9" w:lineRule="exact"/>
        <w:rPr>
          <w:sz w:val="20"/>
          <w:szCs w:val="20"/>
          <w:color w:val="auto"/>
        </w:rPr>
      </w:pPr>
    </w:p>
    <w:p>
      <w:pPr>
        <w:ind w:firstLine="648"/>
        <w:spacing w:after="0" w:line="293" w:lineRule="auto"/>
        <w:rPr>
          <w:sz w:val="20"/>
          <w:szCs w:val="20"/>
          <w:color w:val="auto"/>
        </w:rPr>
      </w:pPr>
      <w:r>
        <w:rPr>
          <w:rFonts w:ascii="Arial" w:cs="Arial" w:eastAsia="Arial" w:hAnsi="Arial"/>
          <w:sz w:val="16"/>
          <w:szCs w:val="16"/>
          <w:color w:val="auto"/>
        </w:rPr>
        <w:t>We would not consider a security with unrealized losses to have a decline in value due to credit when it is not our intent to sell the security, it is not more likely than not that we would be required to sell the security before recovery of the amortized cost, which may be maturity, and we expect to recover the amortized cost basis. However, we do sell securities under certain circumstances, such as when we have evidence of a change in the issuer’s creditworthiness, when we anticipate poor relative future performance of securities, when a change in regulatory requirements modifies what constitutes a permissible investment or the maximum level of investments held or when there is an increase in capital requirements or a change in risk weights of debt securities. Sales generate both gains and losses.</w:t>
      </w:r>
    </w:p>
    <w:p>
      <w:pPr>
        <w:spacing w:after="0" w:line="164" w:lineRule="exact"/>
        <w:rPr>
          <w:sz w:val="20"/>
          <w:szCs w:val="20"/>
          <w:color w:val="auto"/>
        </w:rPr>
      </w:pPr>
    </w:p>
    <w:p>
      <w:pPr>
        <w:ind w:firstLine="648"/>
        <w:spacing w:after="0" w:line="291" w:lineRule="auto"/>
        <w:rPr>
          <w:sz w:val="20"/>
          <w:szCs w:val="20"/>
          <w:color w:val="auto"/>
        </w:rPr>
      </w:pPr>
      <w:r>
        <w:rPr>
          <w:rFonts w:ascii="Arial" w:cs="Arial" w:eastAsia="Arial" w:hAnsi="Arial"/>
          <w:sz w:val="16"/>
          <w:szCs w:val="16"/>
          <w:color w:val="auto"/>
        </w:rPr>
        <w:t>A number of significant risks and uncertainties are inherent in the process of monitoring credit losses and determining the allowance for credit loss. These risks and uncertainties include: (1) the risk that our assessment of an issuer’s ability to meet all of its contractual obligations will change based on changes in the credit characteristics of that issuer, (2) the risk that the economic outlook will be worse than expected or have more of an impact on the issuer than anticipated, (3) the risk that our investment professionals are making decisions based on fraudulent or misstated information in the financial statements provided by issuers and (4) the risk that new information obtained by us or changes in other facts and circumstances lead us to change our intent to not sell the security prior to recovery of its amortized cost. Any of these situations could result in a charge to net income in a future period.</w:t>
      </w:r>
    </w:p>
    <w:p>
      <w:pPr>
        <w:spacing w:after="0" w:line="166" w:lineRule="exact"/>
        <w:rPr>
          <w:sz w:val="20"/>
          <w:szCs w:val="20"/>
          <w:color w:val="auto"/>
        </w:rPr>
      </w:pPr>
    </w:p>
    <w:p>
      <w:pPr>
        <w:ind w:right="60" w:firstLine="648"/>
        <w:spacing w:after="0" w:line="263" w:lineRule="auto"/>
        <w:rPr>
          <w:sz w:val="20"/>
          <w:szCs w:val="20"/>
          <w:color w:val="auto"/>
        </w:rPr>
      </w:pPr>
      <w:r>
        <w:rPr>
          <w:rFonts w:ascii="Arial" w:cs="Arial" w:eastAsia="Arial" w:hAnsi="Arial"/>
          <w:sz w:val="18"/>
          <w:szCs w:val="18"/>
          <w:color w:val="auto"/>
        </w:rPr>
        <w:t>The net realized loss relating to the change in the allowance for credit loss and credit related sales of fixed maturities was $14.5 million and $10.5 million for the three months ended June 30, 2022 and 2021, respectively, and $19.6 million and $15.1 million for the six months ended June 30, 2022 and 2021, respectively.</w:t>
      </w:r>
    </w:p>
    <w:p>
      <w:pPr>
        <w:spacing w:after="0" w:line="40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540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00"/>
          </w:cols>
          <w:pgMar w:left="980" w:top="665" w:right="1019" w:bottom="1440" w:gutter="0" w:footer="0" w:header="0"/>
        </w:sectPr>
      </w:pPr>
    </w:p>
    <w:bookmarkStart w:id="118" w:name="page119"/>
    <w:bookmarkEnd w:id="118"/>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Fixed Maturities Available-for-Sale</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tables present our fixed maturities available-for-sale by industry category, as of the periods indicated.</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194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gridSpan w:val="3"/>
          </w:tcPr>
          <w:p>
            <w:pPr>
              <w:jc w:val="center"/>
              <w:ind w:right="180"/>
              <w:spacing w:after="0"/>
              <w:rPr>
                <w:sz w:val="20"/>
                <w:szCs w:val="20"/>
                <w:color w:val="auto"/>
              </w:rPr>
            </w:pPr>
            <w:r>
              <w:rPr>
                <w:rFonts w:ascii="Arial" w:cs="Arial" w:eastAsia="Arial" w:hAnsi="Arial"/>
                <w:sz w:val="14"/>
                <w:szCs w:val="14"/>
                <w:b w:val="1"/>
                <w:bCs w:val="1"/>
                <w:color w:val="auto"/>
                <w:w w:val="90"/>
              </w:rPr>
              <w:t>June 30, 2022</w:t>
            </w:r>
          </w:p>
        </w:tc>
        <w:tc>
          <w:tcPr>
            <w:tcW w:w="12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2460" w:type="dxa"/>
            <w:vAlign w:val="bottom"/>
          </w:tcPr>
          <w:p>
            <w:pPr>
              <w:spacing w:after="0"/>
              <w:rPr>
                <w:sz w:val="10"/>
                <w:szCs w:val="10"/>
                <w:color w:val="auto"/>
              </w:rPr>
            </w:pPr>
          </w:p>
        </w:tc>
        <w:tc>
          <w:tcPr>
            <w:tcW w:w="19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80" w:type="dxa"/>
            <w:vAlign w:val="bottom"/>
            <w:gridSpan w:val="2"/>
            <w:vMerge w:val="restart"/>
          </w:tcPr>
          <w:p>
            <w:pPr>
              <w:jc w:val="center"/>
              <w:ind w:right="340"/>
              <w:spacing w:after="0"/>
              <w:rPr>
                <w:sz w:val="20"/>
                <w:szCs w:val="20"/>
                <w:color w:val="auto"/>
              </w:rPr>
            </w:pPr>
            <w:r>
              <w:rPr>
                <w:rFonts w:ascii="Arial" w:cs="Arial" w:eastAsia="Arial" w:hAnsi="Arial"/>
                <w:sz w:val="14"/>
                <w:szCs w:val="14"/>
                <w:b w:val="1"/>
                <w:bCs w:val="1"/>
                <w:color w:val="auto"/>
                <w:w w:val="96"/>
              </w:rPr>
              <w:t>Amortized</w:t>
            </w:r>
          </w:p>
        </w:tc>
        <w:tc>
          <w:tcPr>
            <w:tcW w:w="100" w:type="dxa"/>
            <w:vAlign w:val="bottom"/>
          </w:tcPr>
          <w:p>
            <w:pPr>
              <w:spacing w:after="0"/>
              <w:rPr>
                <w:sz w:val="10"/>
                <w:szCs w:val="10"/>
                <w:color w:val="auto"/>
              </w:rPr>
            </w:pPr>
          </w:p>
        </w:tc>
        <w:tc>
          <w:tcPr>
            <w:tcW w:w="1000" w:type="dxa"/>
            <w:vAlign w:val="bottom"/>
            <w:gridSpan w:val="2"/>
          </w:tcPr>
          <w:p>
            <w:pPr>
              <w:jc w:val="center"/>
              <w:ind w:right="340"/>
              <w:spacing w:after="0" w:line="119" w:lineRule="exact"/>
              <w:rPr>
                <w:sz w:val="20"/>
                <w:szCs w:val="20"/>
                <w:color w:val="auto"/>
              </w:rPr>
            </w:pPr>
            <w:r>
              <w:rPr>
                <w:rFonts w:ascii="Arial" w:cs="Arial" w:eastAsia="Arial" w:hAnsi="Arial"/>
                <w:sz w:val="13"/>
                <w:szCs w:val="13"/>
                <w:b w:val="1"/>
                <w:bCs w:val="1"/>
                <w:color w:val="auto"/>
                <w:w w:val="90"/>
              </w:rPr>
              <w:t>Gross</w:t>
            </w:r>
          </w:p>
        </w:tc>
        <w:tc>
          <w:tcPr>
            <w:tcW w:w="100" w:type="dxa"/>
            <w:vAlign w:val="bottom"/>
          </w:tcPr>
          <w:p>
            <w:pPr>
              <w:spacing w:after="0"/>
              <w:rPr>
                <w:sz w:val="10"/>
                <w:szCs w:val="10"/>
                <w:color w:val="auto"/>
              </w:rPr>
            </w:pPr>
          </w:p>
        </w:tc>
        <w:tc>
          <w:tcPr>
            <w:tcW w:w="980" w:type="dxa"/>
            <w:vAlign w:val="bottom"/>
            <w:gridSpan w:val="2"/>
          </w:tcPr>
          <w:p>
            <w:pPr>
              <w:jc w:val="center"/>
              <w:ind w:right="300"/>
              <w:spacing w:after="0" w:line="119" w:lineRule="exact"/>
              <w:rPr>
                <w:sz w:val="20"/>
                <w:szCs w:val="20"/>
                <w:color w:val="auto"/>
              </w:rPr>
            </w:pPr>
            <w:r>
              <w:rPr>
                <w:rFonts w:ascii="Arial" w:cs="Arial" w:eastAsia="Arial" w:hAnsi="Arial"/>
                <w:sz w:val="13"/>
                <w:szCs w:val="13"/>
                <w:b w:val="1"/>
                <w:bCs w:val="1"/>
                <w:color w:val="auto"/>
                <w:w w:val="95"/>
              </w:rPr>
              <w:t>Gross</w:t>
            </w:r>
          </w:p>
        </w:tc>
        <w:tc>
          <w:tcPr>
            <w:tcW w:w="120" w:type="dxa"/>
            <w:vAlign w:val="bottom"/>
          </w:tcPr>
          <w:p>
            <w:pPr>
              <w:spacing w:after="0"/>
              <w:rPr>
                <w:sz w:val="10"/>
                <w:szCs w:val="10"/>
                <w:color w:val="auto"/>
              </w:rPr>
            </w:pPr>
          </w:p>
        </w:tc>
        <w:tc>
          <w:tcPr>
            <w:tcW w:w="800" w:type="dxa"/>
            <w:vAlign w:val="bottom"/>
          </w:tcPr>
          <w:p>
            <w:pPr>
              <w:jc w:val="center"/>
              <w:ind w:right="32"/>
              <w:spacing w:after="0" w:line="119" w:lineRule="exact"/>
              <w:rPr>
                <w:sz w:val="20"/>
                <w:szCs w:val="20"/>
                <w:color w:val="auto"/>
              </w:rPr>
            </w:pPr>
            <w:r>
              <w:rPr>
                <w:rFonts w:ascii="Arial" w:cs="Arial" w:eastAsia="Arial" w:hAnsi="Arial"/>
                <w:sz w:val="13"/>
                <w:szCs w:val="13"/>
                <w:b w:val="1"/>
                <w:bCs w:val="1"/>
                <w:color w:val="auto"/>
                <w:w w:val="99"/>
              </w:rPr>
              <w:t>Allowance</w:t>
            </w:r>
          </w:p>
        </w:tc>
        <w:tc>
          <w:tcPr>
            <w:tcW w:w="2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20" w:type="dxa"/>
            <w:vAlign w:val="bottom"/>
            <w:vMerge w:val="restart"/>
          </w:tcPr>
          <w:p>
            <w:pPr>
              <w:jc w:val="right"/>
              <w:ind w:right="111"/>
              <w:spacing w:after="0"/>
              <w:rPr>
                <w:sz w:val="20"/>
                <w:szCs w:val="20"/>
                <w:color w:val="auto"/>
              </w:rPr>
            </w:pPr>
            <w:r>
              <w:rPr>
                <w:rFonts w:ascii="Arial" w:cs="Arial" w:eastAsia="Arial" w:hAnsi="Arial"/>
                <w:sz w:val="14"/>
                <w:szCs w:val="14"/>
                <w:b w:val="1"/>
                <w:bCs w:val="1"/>
                <w:color w:val="auto"/>
              </w:rPr>
              <w:t>Carrying</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460" w:type="dxa"/>
            <w:vAlign w:val="bottom"/>
          </w:tcPr>
          <w:p>
            <w:pPr>
              <w:spacing w:after="0"/>
              <w:rPr>
                <w:sz w:val="12"/>
                <w:szCs w:val="12"/>
                <w:color w:val="auto"/>
              </w:rPr>
            </w:pPr>
          </w:p>
        </w:tc>
        <w:tc>
          <w:tcPr>
            <w:tcW w:w="19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5"/>
              </w:rPr>
              <w:t>unrealized</w:t>
            </w:r>
          </w:p>
        </w:tc>
        <w:tc>
          <w:tcPr>
            <w:tcW w:w="100" w:type="dxa"/>
            <w:vAlign w:val="bottom"/>
          </w:tcPr>
          <w:p>
            <w:pPr>
              <w:spacing w:after="0"/>
              <w:rPr>
                <w:sz w:val="12"/>
                <w:szCs w:val="12"/>
                <w:color w:val="auto"/>
              </w:rPr>
            </w:pPr>
          </w:p>
        </w:tc>
        <w:tc>
          <w:tcPr>
            <w:tcW w:w="98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2"/>
              </w:rPr>
              <w:t>unrealized</w:t>
            </w:r>
          </w:p>
        </w:tc>
        <w:tc>
          <w:tcPr>
            <w:tcW w:w="120" w:type="dxa"/>
            <w:vAlign w:val="bottom"/>
          </w:tcPr>
          <w:p>
            <w:pPr>
              <w:spacing w:after="0"/>
              <w:rPr>
                <w:sz w:val="12"/>
                <w:szCs w:val="12"/>
                <w:color w:val="auto"/>
              </w:rPr>
            </w:pPr>
          </w:p>
        </w:tc>
        <w:tc>
          <w:tcPr>
            <w:tcW w:w="800" w:type="dxa"/>
            <w:vAlign w:val="bottom"/>
          </w:tcPr>
          <w:p>
            <w:pPr>
              <w:jc w:val="center"/>
              <w:ind w:right="52"/>
              <w:spacing w:after="0" w:line="149" w:lineRule="exact"/>
              <w:rPr>
                <w:sz w:val="20"/>
                <w:szCs w:val="20"/>
                <w:color w:val="auto"/>
              </w:rPr>
            </w:pPr>
            <w:r>
              <w:rPr>
                <w:rFonts w:ascii="Arial" w:cs="Arial" w:eastAsia="Arial" w:hAnsi="Arial"/>
                <w:sz w:val="14"/>
                <w:szCs w:val="14"/>
                <w:b w:val="1"/>
                <w:bCs w:val="1"/>
                <w:color w:val="auto"/>
                <w:w w:val="95"/>
              </w:rPr>
              <w:t>for credit</w:t>
            </w:r>
          </w:p>
        </w:tc>
        <w:tc>
          <w:tcPr>
            <w:tcW w:w="2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19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8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83"/>
              </w:rPr>
              <w:t>cost</w:t>
            </w:r>
          </w:p>
        </w:tc>
        <w:tc>
          <w:tcPr>
            <w:tcW w:w="100" w:type="dxa"/>
            <w:vAlign w:val="bottom"/>
          </w:tcPr>
          <w:p>
            <w:pPr>
              <w:spacing w:after="0"/>
              <w:rPr>
                <w:sz w:val="14"/>
                <w:szCs w:val="14"/>
                <w:color w:val="auto"/>
              </w:rPr>
            </w:pPr>
          </w:p>
        </w:tc>
        <w:tc>
          <w:tcPr>
            <w:tcW w:w="100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87"/>
              </w:rPr>
              <w:t>gains</w:t>
            </w:r>
          </w:p>
        </w:tc>
        <w:tc>
          <w:tcPr>
            <w:tcW w:w="100" w:type="dxa"/>
            <w:vAlign w:val="bottom"/>
          </w:tcPr>
          <w:p>
            <w:pPr>
              <w:spacing w:after="0"/>
              <w:rPr>
                <w:sz w:val="14"/>
                <w:szCs w:val="14"/>
                <w:color w:val="auto"/>
              </w:rPr>
            </w:pPr>
          </w:p>
        </w:tc>
        <w:tc>
          <w:tcPr>
            <w:tcW w:w="98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77"/>
              </w:rPr>
              <w:t>losses</w:t>
            </w:r>
          </w:p>
        </w:tc>
        <w:tc>
          <w:tcPr>
            <w:tcW w:w="120" w:type="dxa"/>
            <w:vAlign w:val="bottom"/>
          </w:tcPr>
          <w:p>
            <w:pPr>
              <w:spacing w:after="0"/>
              <w:rPr>
                <w:sz w:val="14"/>
                <w:szCs w:val="14"/>
                <w:color w:val="auto"/>
              </w:rPr>
            </w:pPr>
          </w:p>
        </w:tc>
        <w:tc>
          <w:tcPr>
            <w:tcW w:w="800" w:type="dxa"/>
            <w:vAlign w:val="bottom"/>
          </w:tcPr>
          <w:p>
            <w:pPr>
              <w:jc w:val="center"/>
              <w:ind w:right="52"/>
              <w:spacing w:after="0"/>
              <w:rPr>
                <w:sz w:val="20"/>
                <w:szCs w:val="20"/>
                <w:color w:val="auto"/>
              </w:rPr>
            </w:pPr>
            <w:r>
              <w:rPr>
                <w:rFonts w:ascii="Arial" w:cs="Arial" w:eastAsia="Arial" w:hAnsi="Arial"/>
                <w:sz w:val="14"/>
                <w:szCs w:val="14"/>
                <w:b w:val="1"/>
                <w:bCs w:val="1"/>
                <w:color w:val="auto"/>
                <w:w w:val="78"/>
              </w:rPr>
              <w:t>loss</w:t>
            </w:r>
          </w:p>
        </w:tc>
        <w:tc>
          <w:tcPr>
            <w:tcW w:w="2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20" w:type="dxa"/>
            <w:vAlign w:val="bottom"/>
          </w:tcPr>
          <w:p>
            <w:pPr>
              <w:jc w:val="right"/>
              <w:ind w:right="171"/>
              <w:spacing w:after="0"/>
              <w:rPr>
                <w:sz w:val="20"/>
                <w:szCs w:val="20"/>
                <w:color w:val="auto"/>
              </w:rPr>
            </w:pPr>
            <w:r>
              <w:rPr>
                <w:rFonts w:ascii="Arial" w:cs="Arial" w:eastAsia="Arial" w:hAnsi="Arial"/>
                <w:sz w:val="14"/>
                <w:szCs w:val="14"/>
                <w:b w:val="1"/>
                <w:bCs w:val="1"/>
                <w:color w:val="auto"/>
              </w:rPr>
              <w:t>amount</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2460" w:type="dxa"/>
            <w:vAlign w:val="bottom"/>
          </w:tcPr>
          <w:p>
            <w:pPr>
              <w:spacing w:after="0"/>
              <w:rPr>
                <w:sz w:val="11"/>
                <w:szCs w:val="11"/>
                <w:color w:val="auto"/>
              </w:rPr>
            </w:pPr>
          </w:p>
        </w:tc>
        <w:tc>
          <w:tcPr>
            <w:tcW w:w="194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840" w:type="dxa"/>
            <w:vAlign w:val="bottom"/>
            <w:tcBorders>
              <w:top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760" w:type="dxa"/>
            <w:vAlign w:val="bottom"/>
            <w:tcBorders>
              <w:top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78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i w:val="1"/>
                <w:iCs w:val="1"/>
                <w:color w:val="auto"/>
                <w:w w:val="98"/>
              </w:rPr>
              <w:t>(in millions)</w:t>
            </w:r>
          </w:p>
        </w:tc>
        <w:tc>
          <w:tcPr>
            <w:tcW w:w="20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800" w:type="dxa"/>
            <w:vAlign w:val="bottom"/>
            <w:tcBorders>
              <w:top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820" w:type="dxa"/>
            <w:vAlign w:val="bottom"/>
            <w:tcBorders>
              <w:top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Finance — Banking</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840" w:type="dxa"/>
            <w:vAlign w:val="bottom"/>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2,444.4</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15.7</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780" w:type="dxa"/>
            <w:vAlign w:val="bottom"/>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162.2</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800" w:type="dxa"/>
            <w:vAlign w:val="bottom"/>
            <w:shd w:val="clear" w:color="auto" w:fill="CCEEFF"/>
          </w:tcPr>
          <w:p>
            <w:pPr>
              <w:ind w:left="560"/>
              <w:spacing w:after="0"/>
              <w:rPr>
                <w:sz w:val="20"/>
                <w:szCs w:val="20"/>
                <w:color w:val="auto"/>
              </w:rPr>
            </w:pPr>
            <w:r>
              <w:rPr>
                <w:rFonts w:ascii="Arial" w:cs="Arial" w:eastAsia="Arial" w:hAnsi="Arial"/>
                <w:sz w:val="18"/>
                <w:szCs w:val="18"/>
                <w:b w:val="1"/>
                <w:bCs w:val="1"/>
                <w:color w:val="auto"/>
              </w:rPr>
              <w:t>—</w:t>
            </w:r>
          </w:p>
        </w:tc>
        <w:tc>
          <w:tcPr>
            <w:tcW w:w="3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820" w:type="dxa"/>
            <w:vAlign w:val="bottom"/>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2,297.9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tcPr>
          <w:p>
            <w:pPr>
              <w:spacing w:after="0"/>
              <w:rPr>
                <w:sz w:val="20"/>
                <w:szCs w:val="20"/>
                <w:color w:val="auto"/>
              </w:rPr>
            </w:pPr>
            <w:r>
              <w:rPr>
                <w:rFonts w:ascii="Arial" w:cs="Arial" w:eastAsia="Arial" w:hAnsi="Arial"/>
                <w:sz w:val="18"/>
                <w:szCs w:val="18"/>
                <w:color w:val="auto"/>
              </w:rPr>
              <w:t>Finance — Brokerage</w:t>
            </w:r>
          </w:p>
        </w:tc>
        <w:tc>
          <w:tcPr>
            <w:tcW w:w="120" w:type="dxa"/>
            <w:vAlign w:val="bottom"/>
          </w:tcPr>
          <w:p>
            <w:pPr>
              <w:spacing w:after="0"/>
              <w:rPr>
                <w:sz w:val="18"/>
                <w:szCs w:val="18"/>
                <w:color w:val="auto"/>
              </w:rPr>
            </w:pPr>
          </w:p>
        </w:tc>
        <w:tc>
          <w:tcPr>
            <w:tcW w:w="840" w:type="dxa"/>
            <w:vAlign w:val="bottom"/>
          </w:tcPr>
          <w:p>
            <w:pPr>
              <w:jc w:val="right"/>
              <w:ind w:right="11"/>
              <w:spacing w:after="0"/>
              <w:rPr>
                <w:sz w:val="20"/>
                <w:szCs w:val="20"/>
                <w:color w:val="auto"/>
              </w:rPr>
            </w:pPr>
            <w:r>
              <w:rPr>
                <w:rFonts w:ascii="Arial" w:cs="Arial" w:eastAsia="Arial" w:hAnsi="Arial"/>
                <w:sz w:val="18"/>
                <w:szCs w:val="18"/>
                <w:b w:val="1"/>
                <w:bCs w:val="1"/>
                <w:color w:val="auto"/>
              </w:rPr>
              <w:t>541.1</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2.1</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ind w:right="12"/>
              <w:spacing w:after="0"/>
              <w:rPr>
                <w:sz w:val="20"/>
                <w:szCs w:val="20"/>
                <w:color w:val="auto"/>
              </w:rPr>
            </w:pPr>
            <w:r>
              <w:rPr>
                <w:rFonts w:ascii="Arial" w:cs="Arial" w:eastAsia="Arial" w:hAnsi="Arial"/>
                <w:sz w:val="18"/>
                <w:szCs w:val="18"/>
                <w:b w:val="1"/>
                <w:bCs w:val="1"/>
                <w:color w:val="auto"/>
              </w:rPr>
              <w:t>53.4</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ind w:left="560"/>
              <w:spacing w:after="0"/>
              <w:rPr>
                <w:sz w:val="20"/>
                <w:szCs w:val="20"/>
                <w:color w:val="auto"/>
              </w:rPr>
            </w:pPr>
            <w:r>
              <w:rPr>
                <w:rFonts w:ascii="Arial" w:cs="Arial" w:eastAsia="Arial" w:hAnsi="Arial"/>
                <w:sz w:val="18"/>
                <w:szCs w:val="18"/>
                <w:b w:val="1"/>
                <w:bCs w:val="1"/>
                <w:color w:val="auto"/>
              </w:rPr>
              <w: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ind w:right="11"/>
              <w:spacing w:after="0"/>
              <w:rPr>
                <w:sz w:val="20"/>
                <w:szCs w:val="20"/>
                <w:color w:val="auto"/>
              </w:rPr>
            </w:pPr>
            <w:r>
              <w:rPr>
                <w:rFonts w:ascii="Arial" w:cs="Arial" w:eastAsia="Arial" w:hAnsi="Arial"/>
                <w:sz w:val="18"/>
                <w:szCs w:val="18"/>
                <w:b w:val="1"/>
                <w:bCs w:val="1"/>
                <w:color w:val="auto"/>
              </w:rPr>
              <w:t>489.8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Finance — Finance Companies</w:t>
            </w: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414.9</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52.9</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ind w:left="560"/>
              <w:spacing w:after="0"/>
              <w:rPr>
                <w:sz w:val="20"/>
                <w:szCs w:val="20"/>
                <w:color w:val="auto"/>
              </w:rPr>
            </w:pPr>
            <w:r>
              <w:rPr>
                <w:rFonts w:ascii="Arial" w:cs="Arial" w:eastAsia="Arial" w:hAnsi="Arial"/>
                <w:sz w:val="18"/>
                <w:szCs w:val="18"/>
                <w:b w:val="1"/>
                <w:bCs w:val="1"/>
                <w:color w:val="auto"/>
              </w:rPr>
              <w:t>—</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362.0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tcPr>
          <w:p>
            <w:pPr>
              <w:spacing w:after="0"/>
              <w:rPr>
                <w:sz w:val="20"/>
                <w:szCs w:val="20"/>
                <w:color w:val="auto"/>
              </w:rPr>
            </w:pPr>
            <w:r>
              <w:rPr>
                <w:rFonts w:ascii="Arial" w:cs="Arial" w:eastAsia="Arial" w:hAnsi="Arial"/>
                <w:sz w:val="18"/>
                <w:szCs w:val="18"/>
                <w:color w:val="auto"/>
              </w:rPr>
              <w:t>Finance — Financial Other</w:t>
            </w:r>
          </w:p>
        </w:tc>
        <w:tc>
          <w:tcPr>
            <w:tcW w:w="120" w:type="dxa"/>
            <w:vAlign w:val="bottom"/>
          </w:tcPr>
          <w:p>
            <w:pPr>
              <w:spacing w:after="0"/>
              <w:rPr>
                <w:sz w:val="18"/>
                <w:szCs w:val="18"/>
                <w:color w:val="auto"/>
              </w:rPr>
            </w:pPr>
          </w:p>
        </w:tc>
        <w:tc>
          <w:tcPr>
            <w:tcW w:w="840" w:type="dxa"/>
            <w:vAlign w:val="bottom"/>
          </w:tcPr>
          <w:p>
            <w:pPr>
              <w:jc w:val="right"/>
              <w:ind w:right="11"/>
              <w:spacing w:after="0"/>
              <w:rPr>
                <w:sz w:val="20"/>
                <w:szCs w:val="20"/>
                <w:color w:val="auto"/>
              </w:rPr>
            </w:pPr>
            <w:r>
              <w:rPr>
                <w:rFonts w:ascii="Arial" w:cs="Arial" w:eastAsia="Arial" w:hAnsi="Arial"/>
                <w:sz w:val="18"/>
                <w:szCs w:val="18"/>
                <w:b w:val="1"/>
                <w:bCs w:val="1"/>
                <w:color w:val="auto"/>
              </w:rPr>
              <w:t>1,079.7</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2.5</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ind w:right="12"/>
              <w:spacing w:after="0"/>
              <w:rPr>
                <w:sz w:val="20"/>
                <w:szCs w:val="20"/>
                <w:color w:val="auto"/>
              </w:rPr>
            </w:pPr>
            <w:r>
              <w:rPr>
                <w:rFonts w:ascii="Arial" w:cs="Arial" w:eastAsia="Arial" w:hAnsi="Arial"/>
                <w:sz w:val="18"/>
                <w:szCs w:val="18"/>
                <w:b w:val="1"/>
                <w:bCs w:val="1"/>
                <w:color w:val="auto"/>
              </w:rPr>
              <w:t>124.1</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ind w:left="560"/>
              <w:spacing w:after="0"/>
              <w:rPr>
                <w:sz w:val="20"/>
                <w:szCs w:val="20"/>
                <w:color w:val="auto"/>
              </w:rPr>
            </w:pPr>
            <w:r>
              <w:rPr>
                <w:rFonts w:ascii="Arial" w:cs="Arial" w:eastAsia="Arial" w:hAnsi="Arial"/>
                <w:sz w:val="18"/>
                <w:szCs w:val="18"/>
                <w:b w:val="1"/>
                <w:bCs w:val="1"/>
                <w:color w:val="auto"/>
              </w:rPr>
              <w: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ind w:right="11"/>
              <w:spacing w:after="0"/>
              <w:rPr>
                <w:sz w:val="20"/>
                <w:szCs w:val="20"/>
                <w:color w:val="auto"/>
              </w:rPr>
            </w:pPr>
            <w:r>
              <w:rPr>
                <w:rFonts w:ascii="Arial" w:cs="Arial" w:eastAsia="Arial" w:hAnsi="Arial"/>
                <w:sz w:val="18"/>
                <w:szCs w:val="18"/>
                <w:b w:val="1"/>
                <w:bCs w:val="1"/>
                <w:color w:val="auto"/>
              </w:rPr>
              <w:t>958.1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Finance — Insurance</w:t>
            </w: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1,919.8</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67.8</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137.5</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ind w:left="560"/>
              <w:spacing w:after="0"/>
              <w:rPr>
                <w:sz w:val="20"/>
                <w:szCs w:val="20"/>
                <w:color w:val="auto"/>
              </w:rPr>
            </w:pPr>
            <w:r>
              <w:rPr>
                <w:rFonts w:ascii="Arial" w:cs="Arial" w:eastAsia="Arial" w:hAnsi="Arial"/>
                <w:sz w:val="18"/>
                <w:szCs w:val="18"/>
                <w:b w:val="1"/>
                <w:bCs w:val="1"/>
                <w:color w:val="auto"/>
              </w:rPr>
              <w:t>—</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1,850.1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tcPr>
          <w:p>
            <w:pPr>
              <w:spacing w:after="0"/>
              <w:rPr>
                <w:sz w:val="20"/>
                <w:szCs w:val="20"/>
                <w:color w:val="auto"/>
              </w:rPr>
            </w:pPr>
            <w:r>
              <w:rPr>
                <w:rFonts w:ascii="Arial" w:cs="Arial" w:eastAsia="Arial" w:hAnsi="Arial"/>
                <w:sz w:val="18"/>
                <w:szCs w:val="18"/>
                <w:color w:val="auto"/>
              </w:rPr>
              <w:t>Finance — Real estate investment trusts (“REITs”)</w:t>
            </w:r>
          </w:p>
        </w:tc>
        <w:tc>
          <w:tcPr>
            <w:tcW w:w="120" w:type="dxa"/>
            <w:vAlign w:val="bottom"/>
          </w:tcPr>
          <w:p>
            <w:pPr>
              <w:spacing w:after="0"/>
              <w:rPr>
                <w:sz w:val="18"/>
                <w:szCs w:val="18"/>
                <w:color w:val="auto"/>
              </w:rPr>
            </w:pPr>
          </w:p>
        </w:tc>
        <w:tc>
          <w:tcPr>
            <w:tcW w:w="840" w:type="dxa"/>
            <w:vAlign w:val="bottom"/>
          </w:tcPr>
          <w:p>
            <w:pPr>
              <w:jc w:val="right"/>
              <w:ind w:right="11"/>
              <w:spacing w:after="0"/>
              <w:rPr>
                <w:sz w:val="20"/>
                <w:szCs w:val="20"/>
                <w:color w:val="auto"/>
              </w:rPr>
            </w:pPr>
            <w:r>
              <w:rPr>
                <w:rFonts w:ascii="Arial" w:cs="Arial" w:eastAsia="Arial" w:hAnsi="Arial"/>
                <w:sz w:val="18"/>
                <w:szCs w:val="18"/>
                <w:b w:val="1"/>
                <w:bCs w:val="1"/>
                <w:color w:val="auto"/>
              </w:rPr>
              <w:t>1,842.6</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1.4</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ind w:right="12"/>
              <w:spacing w:after="0"/>
              <w:rPr>
                <w:sz w:val="20"/>
                <w:szCs w:val="20"/>
                <w:color w:val="auto"/>
              </w:rPr>
            </w:pPr>
            <w:r>
              <w:rPr>
                <w:rFonts w:ascii="Arial" w:cs="Arial" w:eastAsia="Arial" w:hAnsi="Arial"/>
                <w:sz w:val="18"/>
                <w:szCs w:val="18"/>
                <w:b w:val="1"/>
                <w:bCs w:val="1"/>
                <w:color w:val="auto"/>
              </w:rPr>
              <w:t>168.4</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ind w:left="560"/>
              <w:spacing w:after="0"/>
              <w:rPr>
                <w:sz w:val="20"/>
                <w:szCs w:val="20"/>
                <w:color w:val="auto"/>
              </w:rPr>
            </w:pPr>
            <w:r>
              <w:rPr>
                <w:rFonts w:ascii="Arial" w:cs="Arial" w:eastAsia="Arial" w:hAnsi="Arial"/>
                <w:sz w:val="18"/>
                <w:szCs w:val="18"/>
                <w:b w:val="1"/>
                <w:bCs w:val="1"/>
                <w:color w:val="auto"/>
              </w:rPr>
              <w: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ind w:right="11"/>
              <w:spacing w:after="0"/>
              <w:rPr>
                <w:sz w:val="20"/>
                <w:szCs w:val="20"/>
                <w:color w:val="auto"/>
              </w:rPr>
            </w:pPr>
            <w:r>
              <w:rPr>
                <w:rFonts w:ascii="Arial" w:cs="Arial" w:eastAsia="Arial" w:hAnsi="Arial"/>
                <w:sz w:val="18"/>
                <w:szCs w:val="18"/>
                <w:b w:val="1"/>
                <w:bCs w:val="1"/>
                <w:color w:val="auto"/>
              </w:rPr>
              <w:t>1,675.6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Industrial — Basic Industry</w:t>
            </w: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1,285.4</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18.5</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108.8</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ind w:left="560"/>
              <w:spacing w:after="0"/>
              <w:rPr>
                <w:sz w:val="20"/>
                <w:szCs w:val="20"/>
                <w:color w:val="auto"/>
              </w:rPr>
            </w:pPr>
            <w:r>
              <w:rPr>
                <w:rFonts w:ascii="Arial" w:cs="Arial" w:eastAsia="Arial" w:hAnsi="Arial"/>
                <w:sz w:val="18"/>
                <w:szCs w:val="18"/>
                <w:b w:val="1"/>
                <w:bCs w:val="1"/>
                <w:color w:val="auto"/>
              </w:rPr>
              <w:t>—</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1,195.1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tcPr>
          <w:p>
            <w:pPr>
              <w:spacing w:after="0"/>
              <w:rPr>
                <w:sz w:val="20"/>
                <w:szCs w:val="20"/>
                <w:color w:val="auto"/>
              </w:rPr>
            </w:pPr>
            <w:r>
              <w:rPr>
                <w:rFonts w:ascii="Arial" w:cs="Arial" w:eastAsia="Arial" w:hAnsi="Arial"/>
                <w:sz w:val="18"/>
                <w:szCs w:val="18"/>
                <w:color w:val="auto"/>
              </w:rPr>
              <w:t>Industrial — Capital Goods</w:t>
            </w:r>
          </w:p>
        </w:tc>
        <w:tc>
          <w:tcPr>
            <w:tcW w:w="120" w:type="dxa"/>
            <w:vAlign w:val="bottom"/>
          </w:tcPr>
          <w:p>
            <w:pPr>
              <w:spacing w:after="0"/>
              <w:rPr>
                <w:sz w:val="18"/>
                <w:szCs w:val="18"/>
                <w:color w:val="auto"/>
              </w:rPr>
            </w:pPr>
          </w:p>
        </w:tc>
        <w:tc>
          <w:tcPr>
            <w:tcW w:w="840" w:type="dxa"/>
            <w:vAlign w:val="bottom"/>
          </w:tcPr>
          <w:p>
            <w:pPr>
              <w:jc w:val="right"/>
              <w:ind w:right="11"/>
              <w:spacing w:after="0"/>
              <w:rPr>
                <w:sz w:val="20"/>
                <w:szCs w:val="20"/>
                <w:color w:val="auto"/>
              </w:rPr>
            </w:pPr>
            <w:r>
              <w:rPr>
                <w:rFonts w:ascii="Arial" w:cs="Arial" w:eastAsia="Arial" w:hAnsi="Arial"/>
                <w:sz w:val="18"/>
                <w:szCs w:val="18"/>
                <w:b w:val="1"/>
                <w:bCs w:val="1"/>
                <w:color w:val="auto"/>
              </w:rPr>
              <w:t>1,670.4</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19.7</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ind w:right="12"/>
              <w:spacing w:after="0"/>
              <w:rPr>
                <w:sz w:val="20"/>
                <w:szCs w:val="20"/>
                <w:color w:val="auto"/>
              </w:rPr>
            </w:pPr>
            <w:r>
              <w:rPr>
                <w:rFonts w:ascii="Arial" w:cs="Arial" w:eastAsia="Arial" w:hAnsi="Arial"/>
                <w:sz w:val="18"/>
                <w:szCs w:val="18"/>
                <w:b w:val="1"/>
                <w:bCs w:val="1"/>
                <w:color w:val="auto"/>
              </w:rPr>
              <w:t>137.7</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ind w:left="560"/>
              <w:spacing w:after="0"/>
              <w:rPr>
                <w:sz w:val="20"/>
                <w:szCs w:val="20"/>
                <w:color w:val="auto"/>
              </w:rPr>
            </w:pPr>
            <w:r>
              <w:rPr>
                <w:rFonts w:ascii="Arial" w:cs="Arial" w:eastAsia="Arial" w:hAnsi="Arial"/>
                <w:sz w:val="18"/>
                <w:szCs w:val="18"/>
                <w:b w:val="1"/>
                <w:bCs w:val="1"/>
                <w:color w:val="auto"/>
              </w:rPr>
              <w: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ind w:right="11"/>
              <w:spacing w:after="0"/>
              <w:rPr>
                <w:sz w:val="20"/>
                <w:szCs w:val="20"/>
                <w:color w:val="auto"/>
              </w:rPr>
            </w:pPr>
            <w:r>
              <w:rPr>
                <w:rFonts w:ascii="Arial" w:cs="Arial" w:eastAsia="Arial" w:hAnsi="Arial"/>
                <w:sz w:val="18"/>
                <w:szCs w:val="18"/>
                <w:b w:val="1"/>
                <w:bCs w:val="1"/>
                <w:color w:val="auto"/>
              </w:rPr>
              <w:t>1,552.4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Industrial — Communications</w:t>
            </w: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2,385.1</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94.0</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162.1</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ind w:left="560"/>
              <w:spacing w:after="0"/>
              <w:rPr>
                <w:sz w:val="20"/>
                <w:szCs w:val="20"/>
                <w:color w:val="auto"/>
              </w:rPr>
            </w:pPr>
            <w:r>
              <w:rPr>
                <w:rFonts w:ascii="Arial" w:cs="Arial" w:eastAsia="Arial" w:hAnsi="Arial"/>
                <w:sz w:val="18"/>
                <w:szCs w:val="18"/>
                <w:b w:val="1"/>
                <w:bCs w:val="1"/>
                <w:color w:val="auto"/>
              </w:rPr>
              <w:t>—</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2,317.0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tcPr>
          <w:p>
            <w:pPr>
              <w:spacing w:after="0"/>
              <w:rPr>
                <w:sz w:val="20"/>
                <w:szCs w:val="20"/>
                <w:color w:val="auto"/>
              </w:rPr>
            </w:pPr>
            <w:r>
              <w:rPr>
                <w:rFonts w:ascii="Arial" w:cs="Arial" w:eastAsia="Arial" w:hAnsi="Arial"/>
                <w:sz w:val="18"/>
                <w:szCs w:val="18"/>
                <w:color w:val="auto"/>
              </w:rPr>
              <w:t>Industrial — Consumer Cyclical</w:t>
            </w:r>
          </w:p>
        </w:tc>
        <w:tc>
          <w:tcPr>
            <w:tcW w:w="120" w:type="dxa"/>
            <w:vAlign w:val="bottom"/>
          </w:tcPr>
          <w:p>
            <w:pPr>
              <w:spacing w:after="0"/>
              <w:rPr>
                <w:sz w:val="18"/>
                <w:szCs w:val="18"/>
                <w:color w:val="auto"/>
              </w:rPr>
            </w:pPr>
          </w:p>
        </w:tc>
        <w:tc>
          <w:tcPr>
            <w:tcW w:w="840" w:type="dxa"/>
            <w:vAlign w:val="bottom"/>
          </w:tcPr>
          <w:p>
            <w:pPr>
              <w:jc w:val="right"/>
              <w:ind w:right="11"/>
              <w:spacing w:after="0"/>
              <w:rPr>
                <w:sz w:val="20"/>
                <w:szCs w:val="20"/>
                <w:color w:val="auto"/>
              </w:rPr>
            </w:pPr>
            <w:r>
              <w:rPr>
                <w:rFonts w:ascii="Arial" w:cs="Arial" w:eastAsia="Arial" w:hAnsi="Arial"/>
                <w:sz w:val="18"/>
                <w:szCs w:val="18"/>
                <w:b w:val="1"/>
                <w:bCs w:val="1"/>
                <w:color w:val="auto"/>
              </w:rPr>
              <w:t>1,216.6</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9.0</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ind w:right="12"/>
              <w:spacing w:after="0"/>
              <w:rPr>
                <w:sz w:val="20"/>
                <w:szCs w:val="20"/>
                <w:color w:val="auto"/>
              </w:rPr>
            </w:pPr>
            <w:r>
              <w:rPr>
                <w:rFonts w:ascii="Arial" w:cs="Arial" w:eastAsia="Arial" w:hAnsi="Arial"/>
                <w:sz w:val="18"/>
                <w:szCs w:val="18"/>
                <w:b w:val="1"/>
                <w:bCs w:val="1"/>
                <w:color w:val="auto"/>
              </w:rPr>
              <w:t>125.9</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ind w:left="560"/>
              <w:spacing w:after="0"/>
              <w:rPr>
                <w:sz w:val="20"/>
                <w:szCs w:val="20"/>
                <w:color w:val="auto"/>
              </w:rPr>
            </w:pPr>
            <w:r>
              <w:rPr>
                <w:rFonts w:ascii="Arial" w:cs="Arial" w:eastAsia="Arial" w:hAnsi="Arial"/>
                <w:sz w:val="18"/>
                <w:szCs w:val="18"/>
                <w:b w:val="1"/>
                <w:bCs w:val="1"/>
                <w:color w:val="auto"/>
              </w:rPr>
              <w: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ind w:right="11"/>
              <w:spacing w:after="0"/>
              <w:rPr>
                <w:sz w:val="20"/>
                <w:szCs w:val="20"/>
                <w:color w:val="auto"/>
              </w:rPr>
            </w:pPr>
            <w:r>
              <w:rPr>
                <w:rFonts w:ascii="Arial" w:cs="Arial" w:eastAsia="Arial" w:hAnsi="Arial"/>
                <w:sz w:val="18"/>
                <w:szCs w:val="18"/>
                <w:b w:val="1"/>
                <w:bCs w:val="1"/>
                <w:color w:val="auto"/>
              </w:rPr>
              <w:t>1,099.7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Industrial — Consumer Non-Cyclical</w:t>
            </w: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3,108.9</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29.5</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219.1</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ind w:left="560"/>
              <w:spacing w:after="0"/>
              <w:rPr>
                <w:sz w:val="20"/>
                <w:szCs w:val="20"/>
                <w:color w:val="auto"/>
              </w:rPr>
            </w:pPr>
            <w:r>
              <w:rPr>
                <w:rFonts w:ascii="Arial" w:cs="Arial" w:eastAsia="Arial" w:hAnsi="Arial"/>
                <w:sz w:val="18"/>
                <w:szCs w:val="18"/>
                <w:b w:val="1"/>
                <w:bCs w:val="1"/>
                <w:color w:val="auto"/>
              </w:rPr>
              <w:t>—</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2,919.3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tcPr>
          <w:p>
            <w:pPr>
              <w:spacing w:after="0"/>
              <w:rPr>
                <w:sz w:val="20"/>
                <w:szCs w:val="20"/>
                <w:color w:val="auto"/>
              </w:rPr>
            </w:pPr>
            <w:r>
              <w:rPr>
                <w:rFonts w:ascii="Arial" w:cs="Arial" w:eastAsia="Arial" w:hAnsi="Arial"/>
                <w:sz w:val="18"/>
                <w:szCs w:val="18"/>
                <w:color w:val="auto"/>
              </w:rPr>
              <w:t>Industrial — Energy</w:t>
            </w:r>
          </w:p>
        </w:tc>
        <w:tc>
          <w:tcPr>
            <w:tcW w:w="120" w:type="dxa"/>
            <w:vAlign w:val="bottom"/>
          </w:tcPr>
          <w:p>
            <w:pPr>
              <w:spacing w:after="0"/>
              <w:rPr>
                <w:sz w:val="18"/>
                <w:szCs w:val="18"/>
                <w:color w:val="auto"/>
              </w:rPr>
            </w:pPr>
          </w:p>
        </w:tc>
        <w:tc>
          <w:tcPr>
            <w:tcW w:w="840" w:type="dxa"/>
            <w:vAlign w:val="bottom"/>
          </w:tcPr>
          <w:p>
            <w:pPr>
              <w:jc w:val="right"/>
              <w:ind w:right="11"/>
              <w:spacing w:after="0"/>
              <w:rPr>
                <w:sz w:val="20"/>
                <w:szCs w:val="20"/>
                <w:color w:val="auto"/>
              </w:rPr>
            </w:pPr>
            <w:r>
              <w:rPr>
                <w:rFonts w:ascii="Arial" w:cs="Arial" w:eastAsia="Arial" w:hAnsi="Arial"/>
                <w:sz w:val="18"/>
                <w:szCs w:val="18"/>
                <w:b w:val="1"/>
                <w:bCs w:val="1"/>
                <w:color w:val="auto"/>
              </w:rPr>
              <w:t>1,973.3</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60.8</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ind w:right="12"/>
              <w:spacing w:after="0"/>
              <w:rPr>
                <w:sz w:val="20"/>
                <w:szCs w:val="20"/>
                <w:color w:val="auto"/>
              </w:rPr>
            </w:pPr>
            <w:r>
              <w:rPr>
                <w:rFonts w:ascii="Arial" w:cs="Arial" w:eastAsia="Arial" w:hAnsi="Arial"/>
                <w:sz w:val="18"/>
                <w:szCs w:val="18"/>
                <w:b w:val="1"/>
                <w:bCs w:val="1"/>
                <w:color w:val="auto"/>
              </w:rPr>
              <w:t>135.0</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ind w:left="560"/>
              <w:spacing w:after="0"/>
              <w:rPr>
                <w:sz w:val="20"/>
                <w:szCs w:val="20"/>
                <w:color w:val="auto"/>
              </w:rPr>
            </w:pPr>
            <w:r>
              <w:rPr>
                <w:rFonts w:ascii="Arial" w:cs="Arial" w:eastAsia="Arial" w:hAnsi="Arial"/>
                <w:sz w:val="18"/>
                <w:szCs w:val="18"/>
                <w:b w:val="1"/>
                <w:bCs w:val="1"/>
                <w:color w:val="auto"/>
              </w:rPr>
              <w: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ind w:right="11"/>
              <w:spacing w:after="0"/>
              <w:rPr>
                <w:sz w:val="20"/>
                <w:szCs w:val="20"/>
                <w:color w:val="auto"/>
              </w:rPr>
            </w:pPr>
            <w:r>
              <w:rPr>
                <w:rFonts w:ascii="Arial" w:cs="Arial" w:eastAsia="Arial" w:hAnsi="Arial"/>
                <w:sz w:val="18"/>
                <w:szCs w:val="18"/>
                <w:b w:val="1"/>
                <w:bCs w:val="1"/>
                <w:color w:val="auto"/>
              </w:rPr>
              <w:t>1,899.1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Industrial — Other</w:t>
            </w: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708.3</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1.7</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45.3</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ind w:left="560"/>
              <w:spacing w:after="0"/>
              <w:rPr>
                <w:sz w:val="20"/>
                <w:szCs w:val="20"/>
                <w:color w:val="auto"/>
              </w:rPr>
            </w:pPr>
            <w:r>
              <w:rPr>
                <w:rFonts w:ascii="Arial" w:cs="Arial" w:eastAsia="Arial" w:hAnsi="Arial"/>
                <w:sz w:val="18"/>
                <w:szCs w:val="18"/>
                <w:b w:val="1"/>
                <w:bCs w:val="1"/>
                <w:color w:val="auto"/>
              </w:rPr>
              <w:t>—</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664.7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tcPr>
          <w:p>
            <w:pPr>
              <w:spacing w:after="0"/>
              <w:rPr>
                <w:sz w:val="20"/>
                <w:szCs w:val="20"/>
                <w:color w:val="auto"/>
              </w:rPr>
            </w:pPr>
            <w:r>
              <w:rPr>
                <w:rFonts w:ascii="Arial" w:cs="Arial" w:eastAsia="Arial" w:hAnsi="Arial"/>
                <w:sz w:val="18"/>
                <w:szCs w:val="18"/>
                <w:color w:val="auto"/>
              </w:rPr>
              <w:t>Industrial — Technology</w:t>
            </w:r>
          </w:p>
        </w:tc>
        <w:tc>
          <w:tcPr>
            <w:tcW w:w="120" w:type="dxa"/>
            <w:vAlign w:val="bottom"/>
          </w:tcPr>
          <w:p>
            <w:pPr>
              <w:spacing w:after="0"/>
              <w:rPr>
                <w:sz w:val="18"/>
                <w:szCs w:val="18"/>
                <w:color w:val="auto"/>
              </w:rPr>
            </w:pPr>
          </w:p>
        </w:tc>
        <w:tc>
          <w:tcPr>
            <w:tcW w:w="840" w:type="dxa"/>
            <w:vAlign w:val="bottom"/>
          </w:tcPr>
          <w:p>
            <w:pPr>
              <w:jc w:val="right"/>
              <w:ind w:right="11"/>
              <w:spacing w:after="0"/>
              <w:rPr>
                <w:sz w:val="20"/>
                <w:szCs w:val="20"/>
                <w:color w:val="auto"/>
              </w:rPr>
            </w:pPr>
            <w:r>
              <w:rPr>
                <w:rFonts w:ascii="Arial" w:cs="Arial" w:eastAsia="Arial" w:hAnsi="Arial"/>
                <w:sz w:val="18"/>
                <w:szCs w:val="18"/>
                <w:b w:val="1"/>
                <w:bCs w:val="1"/>
                <w:color w:val="auto"/>
              </w:rPr>
              <w:t>1,445.7</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8.9</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ind w:right="12"/>
              <w:spacing w:after="0"/>
              <w:rPr>
                <w:sz w:val="20"/>
                <w:szCs w:val="20"/>
                <w:color w:val="auto"/>
              </w:rPr>
            </w:pPr>
            <w:r>
              <w:rPr>
                <w:rFonts w:ascii="Arial" w:cs="Arial" w:eastAsia="Arial" w:hAnsi="Arial"/>
                <w:sz w:val="18"/>
                <w:szCs w:val="18"/>
                <w:b w:val="1"/>
                <w:bCs w:val="1"/>
                <w:color w:val="auto"/>
              </w:rPr>
              <w:t>123.1</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ind w:left="560"/>
              <w:spacing w:after="0"/>
              <w:rPr>
                <w:sz w:val="20"/>
                <w:szCs w:val="20"/>
                <w:color w:val="auto"/>
              </w:rPr>
            </w:pPr>
            <w:r>
              <w:rPr>
                <w:rFonts w:ascii="Arial" w:cs="Arial" w:eastAsia="Arial" w:hAnsi="Arial"/>
                <w:sz w:val="18"/>
                <w:szCs w:val="18"/>
                <w:b w:val="1"/>
                <w:bCs w:val="1"/>
                <w:color w:val="auto"/>
              </w:rPr>
              <w: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ind w:right="11"/>
              <w:spacing w:after="0"/>
              <w:rPr>
                <w:sz w:val="20"/>
                <w:szCs w:val="20"/>
                <w:color w:val="auto"/>
              </w:rPr>
            </w:pPr>
            <w:r>
              <w:rPr>
                <w:rFonts w:ascii="Arial" w:cs="Arial" w:eastAsia="Arial" w:hAnsi="Arial"/>
                <w:sz w:val="18"/>
                <w:szCs w:val="18"/>
                <w:b w:val="1"/>
                <w:bCs w:val="1"/>
                <w:color w:val="auto"/>
              </w:rPr>
              <w:t>1,331.5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Industrial — Transportation</w:t>
            </w: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1,619.9</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9.7</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110.7</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ind w:left="560"/>
              <w:spacing w:after="0"/>
              <w:rPr>
                <w:sz w:val="20"/>
                <w:szCs w:val="20"/>
                <w:color w:val="auto"/>
              </w:rPr>
            </w:pPr>
            <w:r>
              <w:rPr>
                <w:rFonts w:ascii="Arial" w:cs="Arial" w:eastAsia="Arial" w:hAnsi="Arial"/>
                <w:sz w:val="18"/>
                <w:szCs w:val="18"/>
                <w:b w:val="1"/>
                <w:bCs w:val="1"/>
                <w:color w:val="auto"/>
              </w:rPr>
              <w:t>—</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1,518.9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tcPr>
          <w:p>
            <w:pPr>
              <w:spacing w:after="0"/>
              <w:rPr>
                <w:sz w:val="20"/>
                <w:szCs w:val="20"/>
                <w:color w:val="auto"/>
              </w:rPr>
            </w:pPr>
            <w:r>
              <w:rPr>
                <w:rFonts w:ascii="Arial" w:cs="Arial" w:eastAsia="Arial" w:hAnsi="Arial"/>
                <w:sz w:val="18"/>
                <w:szCs w:val="18"/>
                <w:color w:val="auto"/>
              </w:rPr>
              <w:t>Utility — Electric</w:t>
            </w:r>
          </w:p>
        </w:tc>
        <w:tc>
          <w:tcPr>
            <w:tcW w:w="120" w:type="dxa"/>
            <w:vAlign w:val="bottom"/>
          </w:tcPr>
          <w:p>
            <w:pPr>
              <w:spacing w:after="0"/>
              <w:rPr>
                <w:sz w:val="18"/>
                <w:szCs w:val="18"/>
                <w:color w:val="auto"/>
              </w:rPr>
            </w:pPr>
          </w:p>
        </w:tc>
        <w:tc>
          <w:tcPr>
            <w:tcW w:w="840" w:type="dxa"/>
            <w:vAlign w:val="bottom"/>
          </w:tcPr>
          <w:p>
            <w:pPr>
              <w:jc w:val="right"/>
              <w:ind w:right="11"/>
              <w:spacing w:after="0"/>
              <w:rPr>
                <w:sz w:val="20"/>
                <w:szCs w:val="20"/>
                <w:color w:val="auto"/>
              </w:rPr>
            </w:pPr>
            <w:r>
              <w:rPr>
                <w:rFonts w:ascii="Arial" w:cs="Arial" w:eastAsia="Arial" w:hAnsi="Arial"/>
                <w:sz w:val="18"/>
                <w:szCs w:val="18"/>
                <w:b w:val="1"/>
                <w:bCs w:val="1"/>
                <w:color w:val="auto"/>
              </w:rPr>
              <w:t>2,891.3</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39.9</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ind w:right="12"/>
              <w:spacing w:after="0"/>
              <w:rPr>
                <w:sz w:val="20"/>
                <w:szCs w:val="20"/>
                <w:color w:val="auto"/>
              </w:rPr>
            </w:pPr>
            <w:r>
              <w:rPr>
                <w:rFonts w:ascii="Arial" w:cs="Arial" w:eastAsia="Arial" w:hAnsi="Arial"/>
                <w:sz w:val="18"/>
                <w:szCs w:val="18"/>
                <w:b w:val="1"/>
                <w:bCs w:val="1"/>
                <w:color w:val="auto"/>
              </w:rPr>
              <w:t>263.5</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ind w:left="560"/>
              <w:spacing w:after="0"/>
              <w:rPr>
                <w:sz w:val="20"/>
                <w:szCs w:val="20"/>
                <w:color w:val="auto"/>
              </w:rPr>
            </w:pPr>
            <w:r>
              <w:rPr>
                <w:rFonts w:ascii="Arial" w:cs="Arial" w:eastAsia="Arial" w:hAnsi="Arial"/>
                <w:sz w:val="18"/>
                <w:szCs w:val="18"/>
                <w:b w:val="1"/>
                <w:bCs w:val="1"/>
                <w:color w:val="auto"/>
              </w:rPr>
              <w: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ind w:right="11"/>
              <w:spacing w:after="0"/>
              <w:rPr>
                <w:sz w:val="20"/>
                <w:szCs w:val="20"/>
                <w:color w:val="auto"/>
              </w:rPr>
            </w:pPr>
            <w:r>
              <w:rPr>
                <w:rFonts w:ascii="Arial" w:cs="Arial" w:eastAsia="Arial" w:hAnsi="Arial"/>
                <w:sz w:val="18"/>
                <w:szCs w:val="18"/>
                <w:b w:val="1"/>
                <w:bCs w:val="1"/>
                <w:color w:val="auto"/>
              </w:rPr>
              <w:t>2,667.7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Utility — Natural Gas</w:t>
            </w: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396.2</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2.9</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41.6</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ind w:left="560"/>
              <w:spacing w:after="0"/>
              <w:rPr>
                <w:sz w:val="20"/>
                <w:szCs w:val="20"/>
                <w:color w:val="auto"/>
              </w:rPr>
            </w:pPr>
            <w:r>
              <w:rPr>
                <w:rFonts w:ascii="Arial" w:cs="Arial" w:eastAsia="Arial" w:hAnsi="Arial"/>
                <w:sz w:val="18"/>
                <w:szCs w:val="18"/>
                <w:b w:val="1"/>
                <w:bCs w:val="1"/>
                <w:color w:val="auto"/>
              </w:rPr>
              <w:t>—</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357.5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tcPr>
          <w:p>
            <w:pPr>
              <w:spacing w:after="0"/>
              <w:rPr>
                <w:sz w:val="20"/>
                <w:szCs w:val="20"/>
                <w:color w:val="auto"/>
              </w:rPr>
            </w:pPr>
            <w:r>
              <w:rPr>
                <w:rFonts w:ascii="Arial" w:cs="Arial" w:eastAsia="Arial" w:hAnsi="Arial"/>
                <w:sz w:val="18"/>
                <w:szCs w:val="18"/>
                <w:color w:val="auto"/>
              </w:rPr>
              <w:t>Utility — Other</w:t>
            </w:r>
          </w:p>
        </w:tc>
        <w:tc>
          <w:tcPr>
            <w:tcW w:w="120" w:type="dxa"/>
            <w:vAlign w:val="bottom"/>
          </w:tcPr>
          <w:p>
            <w:pPr>
              <w:spacing w:after="0"/>
              <w:rPr>
                <w:sz w:val="18"/>
                <w:szCs w:val="18"/>
                <w:color w:val="auto"/>
              </w:rPr>
            </w:pPr>
          </w:p>
        </w:tc>
        <w:tc>
          <w:tcPr>
            <w:tcW w:w="840" w:type="dxa"/>
            <w:vAlign w:val="bottom"/>
          </w:tcPr>
          <w:p>
            <w:pPr>
              <w:jc w:val="right"/>
              <w:ind w:right="11"/>
              <w:spacing w:after="0"/>
              <w:rPr>
                <w:sz w:val="20"/>
                <w:szCs w:val="20"/>
                <w:color w:val="auto"/>
              </w:rPr>
            </w:pPr>
            <w:r>
              <w:rPr>
                <w:rFonts w:ascii="Arial" w:cs="Arial" w:eastAsia="Arial" w:hAnsi="Arial"/>
                <w:sz w:val="18"/>
                <w:szCs w:val="18"/>
                <w:b w:val="1"/>
                <w:bCs w:val="1"/>
                <w:color w:val="auto"/>
              </w:rPr>
              <w:t>335.7</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780" w:type="dxa"/>
            <w:vAlign w:val="bottom"/>
          </w:tcPr>
          <w:p>
            <w:pPr>
              <w:jc w:val="right"/>
              <w:ind w:right="12"/>
              <w:spacing w:after="0"/>
              <w:rPr>
                <w:sz w:val="20"/>
                <w:szCs w:val="20"/>
                <w:color w:val="auto"/>
              </w:rPr>
            </w:pPr>
            <w:r>
              <w:rPr>
                <w:rFonts w:ascii="Arial" w:cs="Arial" w:eastAsia="Arial" w:hAnsi="Arial"/>
                <w:sz w:val="18"/>
                <w:szCs w:val="18"/>
                <w:b w:val="1"/>
                <w:bCs w:val="1"/>
                <w:color w:val="auto"/>
              </w:rPr>
              <w:t>47.8</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ind w:left="560"/>
              <w:spacing w:after="0"/>
              <w:rPr>
                <w:sz w:val="20"/>
                <w:szCs w:val="20"/>
                <w:color w:val="auto"/>
              </w:rPr>
            </w:pPr>
            <w:r>
              <w:rPr>
                <w:rFonts w:ascii="Arial" w:cs="Arial" w:eastAsia="Arial" w:hAnsi="Arial"/>
                <w:sz w:val="18"/>
                <w:szCs w:val="18"/>
                <w:b w:val="1"/>
                <w:bCs w:val="1"/>
                <w:color w:val="auto"/>
              </w:rPr>
              <w: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ind w:right="11"/>
              <w:spacing w:after="0"/>
              <w:rPr>
                <w:sz w:val="20"/>
                <w:szCs w:val="20"/>
                <w:color w:val="auto"/>
              </w:rPr>
            </w:pPr>
            <w:r>
              <w:rPr>
                <w:rFonts w:ascii="Arial" w:cs="Arial" w:eastAsia="Arial" w:hAnsi="Arial"/>
                <w:sz w:val="18"/>
                <w:szCs w:val="18"/>
                <w:b w:val="1"/>
                <w:bCs w:val="1"/>
                <w:color w:val="auto"/>
              </w:rPr>
              <w:t>287.9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Government guaranteed</w:t>
            </w:r>
          </w:p>
        </w:tc>
        <w:tc>
          <w:tcPr>
            <w:tcW w:w="12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182.4</w:t>
            </w:r>
          </w:p>
        </w:tc>
        <w:tc>
          <w:tcPr>
            <w:tcW w:w="2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13.3</w:t>
            </w:r>
          </w:p>
        </w:tc>
        <w:tc>
          <w:tcPr>
            <w:tcW w:w="2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14.0</w:t>
            </w:r>
          </w:p>
        </w:tc>
        <w:tc>
          <w:tcPr>
            <w:tcW w:w="20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ind w:left="560"/>
              <w:spacing w:after="0"/>
              <w:rPr>
                <w:sz w:val="20"/>
                <w:szCs w:val="20"/>
                <w:color w:val="auto"/>
              </w:rPr>
            </w:pPr>
            <w:r>
              <w:rPr>
                <w:rFonts w:ascii="Arial" w:cs="Arial" w:eastAsia="Arial" w:hAnsi="Arial"/>
                <w:sz w:val="18"/>
                <w:szCs w:val="18"/>
                <w:b w:val="1"/>
                <w:bCs w:val="1"/>
                <w:color w:val="auto"/>
              </w:rPr>
              <w:t>—</w:t>
            </w:r>
          </w:p>
        </w:tc>
        <w:tc>
          <w:tcPr>
            <w:tcW w:w="22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181.7</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400" w:type="dxa"/>
            <w:vAlign w:val="bottom"/>
            <w:gridSpan w:val="2"/>
          </w:tcPr>
          <w:p>
            <w:pPr>
              <w:ind w:left="100"/>
              <w:spacing w:after="0"/>
              <w:rPr>
                <w:sz w:val="20"/>
                <w:szCs w:val="20"/>
                <w:color w:val="auto"/>
              </w:rPr>
            </w:pPr>
            <w:r>
              <w:rPr>
                <w:rFonts w:ascii="Arial" w:cs="Arial" w:eastAsia="Arial" w:hAnsi="Arial"/>
                <w:sz w:val="18"/>
                <w:szCs w:val="18"/>
                <w:color w:val="auto"/>
              </w:rPr>
              <w:t>Total corporate securities</w:t>
            </w: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b w:val="1"/>
                <w:bCs w:val="1"/>
                <w:color w:val="auto"/>
              </w:rPr>
              <w:t>27,461.7</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397.4</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ind w:right="12"/>
              <w:spacing w:after="0"/>
              <w:rPr>
                <w:sz w:val="20"/>
                <w:szCs w:val="20"/>
                <w:color w:val="auto"/>
              </w:rPr>
            </w:pPr>
            <w:r>
              <w:rPr>
                <w:rFonts w:ascii="Arial" w:cs="Arial" w:eastAsia="Arial" w:hAnsi="Arial"/>
                <w:sz w:val="18"/>
                <w:szCs w:val="18"/>
                <w:b w:val="1"/>
                <w:bCs w:val="1"/>
                <w:color w:val="auto"/>
              </w:rPr>
              <w:t>2,233.1</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ind w:left="560"/>
              <w:spacing w:after="0"/>
              <w:rPr>
                <w:sz w:val="20"/>
                <w:szCs w:val="20"/>
                <w:color w:val="auto"/>
              </w:rPr>
            </w:pPr>
            <w:r>
              <w:rPr>
                <w:rFonts w:ascii="Arial" w:cs="Arial" w:eastAsia="Arial" w:hAnsi="Arial"/>
                <w:sz w:val="18"/>
                <w:szCs w:val="18"/>
                <w:b w:val="1"/>
                <w:bCs w:val="1"/>
                <w:color w:val="auto"/>
              </w:rPr>
              <w: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ind w:right="11"/>
              <w:spacing w:after="0"/>
              <w:rPr>
                <w:sz w:val="20"/>
                <w:szCs w:val="20"/>
                <w:color w:val="auto"/>
              </w:rPr>
            </w:pPr>
            <w:r>
              <w:rPr>
                <w:rFonts w:ascii="Arial" w:cs="Arial" w:eastAsia="Arial" w:hAnsi="Arial"/>
                <w:sz w:val="18"/>
                <w:szCs w:val="18"/>
                <w:b w:val="1"/>
                <w:bCs w:val="1"/>
                <w:color w:val="auto"/>
                <w:w w:val="99"/>
              </w:rPr>
              <w:t>25,626.0</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2460" w:type="dxa"/>
            <w:vAlign w:val="bottom"/>
            <w:shd w:val="clear" w:color="auto" w:fill="CCEEFF"/>
          </w:tcPr>
          <w:p>
            <w:pPr>
              <w:spacing w:after="0"/>
              <w:rPr>
                <w:sz w:val="18"/>
                <w:szCs w:val="18"/>
                <w:color w:val="auto"/>
              </w:rPr>
            </w:pPr>
          </w:p>
        </w:tc>
        <w:tc>
          <w:tcPr>
            <w:tcW w:w="19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400" w:type="dxa"/>
            <w:vAlign w:val="bottom"/>
            <w:gridSpan w:val="2"/>
          </w:tcPr>
          <w:p>
            <w:pPr>
              <w:spacing w:after="0"/>
              <w:rPr>
                <w:sz w:val="20"/>
                <w:szCs w:val="20"/>
                <w:color w:val="auto"/>
              </w:rPr>
            </w:pPr>
            <w:r>
              <w:rPr>
                <w:rFonts w:ascii="Arial" w:cs="Arial" w:eastAsia="Arial" w:hAnsi="Arial"/>
                <w:sz w:val="18"/>
                <w:szCs w:val="18"/>
                <w:color w:val="auto"/>
              </w:rPr>
              <w:t>Residential mortgage-backed pass-through securities</w:t>
            </w:r>
          </w:p>
        </w:tc>
        <w:tc>
          <w:tcPr>
            <w:tcW w:w="120" w:type="dxa"/>
            <w:vAlign w:val="bottom"/>
          </w:tcPr>
          <w:p>
            <w:pPr>
              <w:spacing w:after="0"/>
              <w:rPr>
                <w:sz w:val="18"/>
                <w:szCs w:val="18"/>
                <w:color w:val="auto"/>
              </w:rPr>
            </w:pPr>
          </w:p>
        </w:tc>
        <w:tc>
          <w:tcPr>
            <w:tcW w:w="840" w:type="dxa"/>
            <w:vAlign w:val="bottom"/>
          </w:tcPr>
          <w:p>
            <w:pPr>
              <w:jc w:val="right"/>
              <w:ind w:right="11"/>
              <w:spacing w:after="0"/>
              <w:rPr>
                <w:sz w:val="20"/>
                <w:szCs w:val="20"/>
                <w:color w:val="auto"/>
              </w:rPr>
            </w:pPr>
            <w:r>
              <w:rPr>
                <w:rFonts w:ascii="Arial" w:cs="Arial" w:eastAsia="Arial" w:hAnsi="Arial"/>
                <w:sz w:val="18"/>
                <w:szCs w:val="18"/>
                <w:b w:val="1"/>
                <w:bCs w:val="1"/>
                <w:color w:val="auto"/>
              </w:rPr>
              <w:t>1,865.0</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3.8</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ind w:right="12"/>
              <w:spacing w:after="0"/>
              <w:rPr>
                <w:sz w:val="20"/>
                <w:szCs w:val="20"/>
                <w:color w:val="auto"/>
              </w:rPr>
            </w:pPr>
            <w:r>
              <w:rPr>
                <w:rFonts w:ascii="Arial" w:cs="Arial" w:eastAsia="Arial" w:hAnsi="Arial"/>
                <w:sz w:val="18"/>
                <w:szCs w:val="18"/>
                <w:b w:val="1"/>
                <w:bCs w:val="1"/>
                <w:color w:val="auto"/>
              </w:rPr>
              <w:t>132.0</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ind w:left="560"/>
              <w:spacing w:after="0"/>
              <w:rPr>
                <w:sz w:val="20"/>
                <w:szCs w:val="20"/>
                <w:color w:val="auto"/>
              </w:rPr>
            </w:pPr>
            <w:r>
              <w:rPr>
                <w:rFonts w:ascii="Arial" w:cs="Arial" w:eastAsia="Arial" w:hAnsi="Arial"/>
                <w:sz w:val="18"/>
                <w:szCs w:val="18"/>
                <w:b w:val="1"/>
                <w:bCs w:val="1"/>
                <w:color w:val="auto"/>
              </w:rPr>
              <w: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ind w:right="11"/>
              <w:spacing w:after="0"/>
              <w:rPr>
                <w:sz w:val="20"/>
                <w:szCs w:val="20"/>
                <w:color w:val="auto"/>
              </w:rPr>
            </w:pPr>
            <w:r>
              <w:rPr>
                <w:rFonts w:ascii="Arial" w:cs="Arial" w:eastAsia="Arial" w:hAnsi="Arial"/>
                <w:sz w:val="18"/>
                <w:szCs w:val="18"/>
                <w:b w:val="1"/>
                <w:bCs w:val="1"/>
                <w:color w:val="auto"/>
              </w:rPr>
              <w:t>1,736.8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Commercial mortgage-backed securities</w:t>
            </w: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4,381.3</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1.7</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355.5</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ind w:left="560"/>
              <w:spacing w:after="0"/>
              <w:rPr>
                <w:sz w:val="20"/>
                <w:szCs w:val="20"/>
                <w:color w:val="auto"/>
              </w:rPr>
            </w:pPr>
            <w:r>
              <w:rPr>
                <w:rFonts w:ascii="Arial" w:cs="Arial" w:eastAsia="Arial" w:hAnsi="Arial"/>
                <w:sz w:val="18"/>
                <w:szCs w:val="18"/>
                <w:b w:val="1"/>
                <w:bCs w:val="1"/>
                <w:color w:val="auto"/>
              </w:rPr>
              <w:t>—</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4,027.5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tcPr>
          <w:p>
            <w:pPr>
              <w:spacing w:after="0"/>
              <w:rPr>
                <w:sz w:val="20"/>
                <w:szCs w:val="20"/>
                <w:color w:val="auto"/>
              </w:rPr>
            </w:pPr>
            <w:r>
              <w:rPr>
                <w:rFonts w:ascii="Arial" w:cs="Arial" w:eastAsia="Arial" w:hAnsi="Arial"/>
                <w:sz w:val="18"/>
                <w:szCs w:val="18"/>
                <w:color w:val="auto"/>
              </w:rPr>
              <w:t>Residential collateralized mortgage obligations</w:t>
            </w:r>
          </w:p>
        </w:tc>
        <w:tc>
          <w:tcPr>
            <w:tcW w:w="120" w:type="dxa"/>
            <w:vAlign w:val="bottom"/>
          </w:tcPr>
          <w:p>
            <w:pPr>
              <w:spacing w:after="0"/>
              <w:rPr>
                <w:sz w:val="18"/>
                <w:szCs w:val="18"/>
                <w:color w:val="auto"/>
              </w:rPr>
            </w:pPr>
          </w:p>
        </w:tc>
        <w:tc>
          <w:tcPr>
            <w:tcW w:w="840" w:type="dxa"/>
            <w:vAlign w:val="bottom"/>
          </w:tcPr>
          <w:p>
            <w:pPr>
              <w:jc w:val="right"/>
              <w:ind w:right="11"/>
              <w:spacing w:after="0"/>
              <w:rPr>
                <w:sz w:val="20"/>
                <w:szCs w:val="20"/>
                <w:color w:val="auto"/>
              </w:rPr>
            </w:pPr>
            <w:r>
              <w:rPr>
                <w:rFonts w:ascii="Arial" w:cs="Arial" w:eastAsia="Arial" w:hAnsi="Arial"/>
                <w:sz w:val="18"/>
                <w:szCs w:val="18"/>
                <w:b w:val="1"/>
                <w:bCs w:val="1"/>
                <w:color w:val="auto"/>
              </w:rPr>
              <w:t>3,024.7</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3.6</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ind w:right="12"/>
              <w:spacing w:after="0"/>
              <w:rPr>
                <w:sz w:val="20"/>
                <w:szCs w:val="20"/>
                <w:color w:val="auto"/>
              </w:rPr>
            </w:pPr>
            <w:r>
              <w:rPr>
                <w:rFonts w:ascii="Arial" w:cs="Arial" w:eastAsia="Arial" w:hAnsi="Arial"/>
                <w:sz w:val="18"/>
                <w:szCs w:val="18"/>
                <w:b w:val="1"/>
                <w:bCs w:val="1"/>
                <w:color w:val="auto"/>
              </w:rPr>
              <w:t>285.4</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ind w:left="560"/>
              <w:spacing w:after="0"/>
              <w:rPr>
                <w:sz w:val="20"/>
                <w:szCs w:val="20"/>
                <w:color w:val="auto"/>
              </w:rPr>
            </w:pPr>
            <w:r>
              <w:rPr>
                <w:rFonts w:ascii="Arial" w:cs="Arial" w:eastAsia="Arial" w:hAnsi="Arial"/>
                <w:sz w:val="18"/>
                <w:szCs w:val="18"/>
                <w:b w:val="1"/>
                <w:bCs w:val="1"/>
                <w:color w:val="auto"/>
              </w:rPr>
              <w: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ind w:right="11"/>
              <w:spacing w:after="0"/>
              <w:rPr>
                <w:sz w:val="20"/>
                <w:szCs w:val="20"/>
                <w:color w:val="auto"/>
              </w:rPr>
            </w:pPr>
            <w:r>
              <w:rPr>
                <w:rFonts w:ascii="Arial" w:cs="Arial" w:eastAsia="Arial" w:hAnsi="Arial"/>
                <w:sz w:val="18"/>
                <w:szCs w:val="18"/>
                <w:b w:val="1"/>
                <w:bCs w:val="1"/>
                <w:color w:val="auto"/>
              </w:rPr>
              <w:t>2,742.9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Asset-backed securities — Home equity (1)</w:t>
            </w: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79.5</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4.7</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2.5</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ind w:left="560"/>
              <w:spacing w:after="0"/>
              <w:rPr>
                <w:sz w:val="20"/>
                <w:szCs w:val="20"/>
                <w:color w:val="auto"/>
              </w:rPr>
            </w:pPr>
            <w:r>
              <w:rPr>
                <w:rFonts w:ascii="Arial" w:cs="Arial" w:eastAsia="Arial" w:hAnsi="Arial"/>
                <w:sz w:val="18"/>
                <w:szCs w:val="18"/>
                <w:b w:val="1"/>
                <w:bCs w:val="1"/>
                <w:color w:val="auto"/>
              </w:rPr>
              <w:t>—</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81.7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tcPr>
          <w:p>
            <w:pPr>
              <w:spacing w:after="0"/>
              <w:rPr>
                <w:sz w:val="20"/>
                <w:szCs w:val="20"/>
                <w:color w:val="auto"/>
              </w:rPr>
            </w:pPr>
            <w:r>
              <w:rPr>
                <w:rFonts w:ascii="Arial" w:cs="Arial" w:eastAsia="Arial" w:hAnsi="Arial"/>
                <w:sz w:val="18"/>
                <w:szCs w:val="18"/>
                <w:color w:val="auto"/>
              </w:rPr>
              <w:t>Asset-backed securities — All other</w:t>
            </w:r>
          </w:p>
        </w:tc>
        <w:tc>
          <w:tcPr>
            <w:tcW w:w="120" w:type="dxa"/>
            <w:vAlign w:val="bottom"/>
          </w:tcPr>
          <w:p>
            <w:pPr>
              <w:spacing w:after="0"/>
              <w:rPr>
                <w:sz w:val="18"/>
                <w:szCs w:val="18"/>
                <w:color w:val="auto"/>
              </w:rPr>
            </w:pPr>
          </w:p>
        </w:tc>
        <w:tc>
          <w:tcPr>
            <w:tcW w:w="840" w:type="dxa"/>
            <w:vAlign w:val="bottom"/>
          </w:tcPr>
          <w:p>
            <w:pPr>
              <w:jc w:val="right"/>
              <w:ind w:right="11"/>
              <w:spacing w:after="0"/>
              <w:rPr>
                <w:sz w:val="20"/>
                <w:szCs w:val="20"/>
                <w:color w:val="auto"/>
              </w:rPr>
            </w:pPr>
            <w:r>
              <w:rPr>
                <w:rFonts w:ascii="Arial" w:cs="Arial" w:eastAsia="Arial" w:hAnsi="Arial"/>
                <w:sz w:val="18"/>
                <w:szCs w:val="18"/>
                <w:b w:val="1"/>
                <w:bCs w:val="1"/>
                <w:color w:val="auto"/>
              </w:rPr>
              <w:t>1,413.5</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(1.7)</w:t>
            </w:r>
          </w:p>
        </w:tc>
        <w:tc>
          <w:tcPr>
            <w:tcW w:w="100" w:type="dxa"/>
            <w:vAlign w:val="bottom"/>
          </w:tcPr>
          <w:p>
            <w:pPr>
              <w:spacing w:after="0"/>
              <w:rPr>
                <w:sz w:val="18"/>
                <w:szCs w:val="18"/>
                <w:color w:val="auto"/>
              </w:rPr>
            </w:pPr>
          </w:p>
        </w:tc>
        <w:tc>
          <w:tcPr>
            <w:tcW w:w="780" w:type="dxa"/>
            <w:vAlign w:val="bottom"/>
          </w:tcPr>
          <w:p>
            <w:pPr>
              <w:jc w:val="right"/>
              <w:ind w:right="12"/>
              <w:spacing w:after="0"/>
              <w:rPr>
                <w:sz w:val="20"/>
                <w:szCs w:val="20"/>
                <w:color w:val="auto"/>
              </w:rPr>
            </w:pPr>
            <w:r>
              <w:rPr>
                <w:rFonts w:ascii="Arial" w:cs="Arial" w:eastAsia="Arial" w:hAnsi="Arial"/>
                <w:sz w:val="18"/>
                <w:szCs w:val="18"/>
                <w:b w:val="1"/>
                <w:bCs w:val="1"/>
                <w:color w:val="auto"/>
              </w:rPr>
              <w:t>92.5</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ind w:left="560"/>
              <w:spacing w:after="0"/>
              <w:rPr>
                <w:sz w:val="20"/>
                <w:szCs w:val="20"/>
                <w:color w:val="auto"/>
              </w:rPr>
            </w:pPr>
            <w:r>
              <w:rPr>
                <w:rFonts w:ascii="Arial" w:cs="Arial" w:eastAsia="Arial" w:hAnsi="Arial"/>
                <w:sz w:val="18"/>
                <w:szCs w:val="18"/>
                <w:b w:val="1"/>
                <w:bCs w:val="1"/>
                <w:color w:val="auto"/>
              </w:rPr>
              <w: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ind w:right="11"/>
              <w:spacing w:after="0"/>
              <w:rPr>
                <w:sz w:val="20"/>
                <w:szCs w:val="20"/>
                <w:color w:val="auto"/>
              </w:rPr>
            </w:pPr>
            <w:r>
              <w:rPr>
                <w:rFonts w:ascii="Arial" w:cs="Arial" w:eastAsia="Arial" w:hAnsi="Arial"/>
                <w:sz w:val="18"/>
                <w:szCs w:val="18"/>
                <w:b w:val="1"/>
                <w:bCs w:val="1"/>
                <w:color w:val="auto"/>
              </w:rPr>
              <w:t>1,319.3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Collateralized debt obligations — Credit</w:t>
            </w: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16.7</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5.3</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ind w:left="560"/>
              <w:spacing w:after="0"/>
              <w:rPr>
                <w:sz w:val="20"/>
                <w:szCs w:val="20"/>
                <w:color w:val="auto"/>
              </w:rPr>
            </w:pPr>
            <w:r>
              <w:rPr>
                <w:rFonts w:ascii="Arial" w:cs="Arial" w:eastAsia="Arial" w:hAnsi="Arial"/>
                <w:sz w:val="18"/>
                <w:szCs w:val="18"/>
                <w:b w:val="1"/>
                <w:bCs w:val="1"/>
                <w:color w:val="auto"/>
              </w:rPr>
              <w:t>—</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11.4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tcPr>
          <w:p>
            <w:pPr>
              <w:spacing w:after="0"/>
              <w:rPr>
                <w:sz w:val="20"/>
                <w:szCs w:val="20"/>
                <w:color w:val="auto"/>
              </w:rPr>
            </w:pPr>
            <w:r>
              <w:rPr>
                <w:rFonts w:ascii="Arial" w:cs="Arial" w:eastAsia="Arial" w:hAnsi="Arial"/>
                <w:sz w:val="18"/>
                <w:szCs w:val="18"/>
                <w:color w:val="auto"/>
              </w:rPr>
              <w:t>Collateralized debt obligations — CMBS</w:t>
            </w:r>
          </w:p>
        </w:tc>
        <w:tc>
          <w:tcPr>
            <w:tcW w:w="120" w:type="dxa"/>
            <w:vAlign w:val="bottom"/>
          </w:tcPr>
          <w:p>
            <w:pPr>
              <w:spacing w:after="0"/>
              <w:rPr>
                <w:sz w:val="18"/>
                <w:szCs w:val="18"/>
                <w:color w:val="auto"/>
              </w:rPr>
            </w:pPr>
          </w:p>
        </w:tc>
        <w:tc>
          <w:tcPr>
            <w:tcW w:w="1080" w:type="dxa"/>
            <w:vAlign w:val="bottom"/>
            <w:gridSpan w:val="2"/>
          </w:tcPr>
          <w:p>
            <w:pPr>
              <w:ind w:left="60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0.6</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gridSpan w:val="2"/>
          </w:tcPr>
          <w:p>
            <w:pPr>
              <w:ind w:left="54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800" w:type="dxa"/>
            <w:vAlign w:val="bottom"/>
          </w:tcPr>
          <w:p>
            <w:pPr>
              <w:ind w:left="560"/>
              <w:spacing w:after="0"/>
              <w:rPr>
                <w:sz w:val="20"/>
                <w:szCs w:val="20"/>
                <w:color w:val="auto"/>
              </w:rPr>
            </w:pPr>
            <w:r>
              <w:rPr>
                <w:rFonts w:ascii="Arial" w:cs="Arial" w:eastAsia="Arial" w:hAnsi="Arial"/>
                <w:sz w:val="18"/>
                <w:szCs w:val="18"/>
                <w:b w:val="1"/>
                <w:bCs w:val="1"/>
                <w:color w:val="auto"/>
              </w:rPr>
              <w: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ind w:right="11"/>
              <w:spacing w:after="0"/>
              <w:rPr>
                <w:sz w:val="20"/>
                <w:szCs w:val="20"/>
                <w:color w:val="auto"/>
              </w:rPr>
            </w:pPr>
            <w:r>
              <w:rPr>
                <w:rFonts w:ascii="Arial" w:cs="Arial" w:eastAsia="Arial" w:hAnsi="Arial"/>
                <w:sz w:val="18"/>
                <w:szCs w:val="18"/>
                <w:b w:val="1"/>
                <w:bCs w:val="1"/>
                <w:color w:val="auto"/>
              </w:rPr>
              <w:t>0.6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Collateralized debt obligations — Loans</w:t>
            </w:r>
          </w:p>
        </w:tc>
        <w:tc>
          <w:tcPr>
            <w:tcW w:w="12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2,997.7</w:t>
            </w:r>
          </w:p>
        </w:tc>
        <w:tc>
          <w:tcPr>
            <w:tcW w:w="2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0.7</w:t>
            </w:r>
          </w:p>
        </w:tc>
        <w:tc>
          <w:tcPr>
            <w:tcW w:w="2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89.5</w:t>
            </w:r>
          </w:p>
        </w:tc>
        <w:tc>
          <w:tcPr>
            <w:tcW w:w="20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ind w:left="560"/>
              <w:spacing w:after="0"/>
              <w:rPr>
                <w:sz w:val="20"/>
                <w:szCs w:val="20"/>
                <w:color w:val="auto"/>
              </w:rPr>
            </w:pPr>
            <w:r>
              <w:rPr>
                <w:rFonts w:ascii="Arial" w:cs="Arial" w:eastAsia="Arial" w:hAnsi="Arial"/>
                <w:sz w:val="18"/>
                <w:szCs w:val="18"/>
                <w:b w:val="1"/>
                <w:bCs w:val="1"/>
                <w:color w:val="auto"/>
              </w:rPr>
              <w:t>—</w:t>
            </w:r>
          </w:p>
        </w:tc>
        <w:tc>
          <w:tcPr>
            <w:tcW w:w="22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2,908.9</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400" w:type="dxa"/>
            <w:vAlign w:val="bottom"/>
            <w:gridSpan w:val="2"/>
          </w:tcPr>
          <w:p>
            <w:pPr>
              <w:ind w:left="100"/>
              <w:spacing w:after="0"/>
              <w:rPr>
                <w:sz w:val="20"/>
                <w:szCs w:val="20"/>
                <w:color w:val="auto"/>
              </w:rPr>
            </w:pPr>
            <w:r>
              <w:rPr>
                <w:rFonts w:ascii="Arial" w:cs="Arial" w:eastAsia="Arial" w:hAnsi="Arial"/>
                <w:sz w:val="18"/>
                <w:szCs w:val="18"/>
                <w:color w:val="auto"/>
                <w:w w:val="93"/>
              </w:rPr>
              <w:t>Total mortgage-backed and other asset-backed securities</w:t>
            </w: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b w:val="1"/>
                <w:bCs w:val="1"/>
                <w:color w:val="auto"/>
              </w:rPr>
              <w:t>13,778.4</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13.4</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ind w:right="12"/>
              <w:spacing w:after="0"/>
              <w:rPr>
                <w:sz w:val="20"/>
                <w:szCs w:val="20"/>
                <w:color w:val="auto"/>
              </w:rPr>
            </w:pPr>
            <w:r>
              <w:rPr>
                <w:rFonts w:ascii="Arial" w:cs="Arial" w:eastAsia="Arial" w:hAnsi="Arial"/>
                <w:sz w:val="18"/>
                <w:szCs w:val="18"/>
                <w:b w:val="1"/>
                <w:bCs w:val="1"/>
                <w:color w:val="auto"/>
              </w:rPr>
              <w:t>962.7</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ind w:left="560"/>
              <w:spacing w:after="0"/>
              <w:rPr>
                <w:sz w:val="20"/>
                <w:szCs w:val="20"/>
                <w:color w:val="auto"/>
              </w:rPr>
            </w:pPr>
            <w:r>
              <w:rPr>
                <w:rFonts w:ascii="Arial" w:cs="Arial" w:eastAsia="Arial" w:hAnsi="Arial"/>
                <w:sz w:val="18"/>
                <w:szCs w:val="18"/>
                <w:b w:val="1"/>
                <w:bCs w:val="1"/>
                <w:color w:val="auto"/>
              </w:rPr>
              <w: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ind w:right="11"/>
              <w:spacing w:after="0"/>
              <w:rPr>
                <w:sz w:val="20"/>
                <w:szCs w:val="20"/>
                <w:color w:val="auto"/>
              </w:rPr>
            </w:pPr>
            <w:r>
              <w:rPr>
                <w:rFonts w:ascii="Arial" w:cs="Arial" w:eastAsia="Arial" w:hAnsi="Arial"/>
                <w:sz w:val="18"/>
                <w:szCs w:val="18"/>
                <w:b w:val="1"/>
                <w:bCs w:val="1"/>
                <w:color w:val="auto"/>
                <w:w w:val="99"/>
              </w:rPr>
              <w:t>12,829.1</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2460" w:type="dxa"/>
            <w:vAlign w:val="bottom"/>
            <w:shd w:val="clear" w:color="auto" w:fill="CCEEFF"/>
          </w:tcPr>
          <w:p>
            <w:pPr>
              <w:spacing w:after="0"/>
              <w:rPr>
                <w:sz w:val="18"/>
                <w:szCs w:val="18"/>
                <w:color w:val="auto"/>
              </w:rPr>
            </w:pPr>
          </w:p>
        </w:tc>
        <w:tc>
          <w:tcPr>
            <w:tcW w:w="19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400" w:type="dxa"/>
            <w:vAlign w:val="bottom"/>
            <w:gridSpan w:val="2"/>
          </w:tcPr>
          <w:p>
            <w:pPr>
              <w:spacing w:after="0"/>
              <w:rPr>
                <w:sz w:val="20"/>
                <w:szCs w:val="20"/>
                <w:color w:val="auto"/>
              </w:rPr>
            </w:pPr>
            <w:r>
              <w:rPr>
                <w:rFonts w:ascii="Arial" w:cs="Arial" w:eastAsia="Arial" w:hAnsi="Arial"/>
                <w:sz w:val="18"/>
                <w:szCs w:val="18"/>
                <w:color w:val="auto"/>
              </w:rPr>
              <w:t>U.S. government and agencies</w:t>
            </w:r>
          </w:p>
        </w:tc>
        <w:tc>
          <w:tcPr>
            <w:tcW w:w="120" w:type="dxa"/>
            <w:vAlign w:val="bottom"/>
          </w:tcPr>
          <w:p>
            <w:pPr>
              <w:spacing w:after="0"/>
              <w:rPr>
                <w:sz w:val="18"/>
                <w:szCs w:val="18"/>
                <w:color w:val="auto"/>
              </w:rPr>
            </w:pPr>
          </w:p>
        </w:tc>
        <w:tc>
          <w:tcPr>
            <w:tcW w:w="840" w:type="dxa"/>
            <w:vAlign w:val="bottom"/>
          </w:tcPr>
          <w:p>
            <w:pPr>
              <w:jc w:val="right"/>
              <w:ind w:right="11"/>
              <w:spacing w:after="0"/>
              <w:rPr>
                <w:sz w:val="20"/>
                <w:szCs w:val="20"/>
                <w:color w:val="auto"/>
              </w:rPr>
            </w:pPr>
            <w:r>
              <w:rPr>
                <w:rFonts w:ascii="Arial" w:cs="Arial" w:eastAsia="Arial" w:hAnsi="Arial"/>
                <w:sz w:val="18"/>
                <w:szCs w:val="18"/>
                <w:b w:val="1"/>
                <w:bCs w:val="1"/>
                <w:color w:val="auto"/>
              </w:rPr>
              <w:t>1,288.3</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1.1</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ind w:right="12"/>
              <w:spacing w:after="0"/>
              <w:rPr>
                <w:sz w:val="20"/>
                <w:szCs w:val="20"/>
                <w:color w:val="auto"/>
              </w:rPr>
            </w:pPr>
            <w:r>
              <w:rPr>
                <w:rFonts w:ascii="Arial" w:cs="Arial" w:eastAsia="Arial" w:hAnsi="Arial"/>
                <w:sz w:val="18"/>
                <w:szCs w:val="18"/>
                <w:b w:val="1"/>
                <w:bCs w:val="1"/>
                <w:color w:val="auto"/>
              </w:rPr>
              <w:t>50.8</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ind w:left="560"/>
              <w:spacing w:after="0"/>
              <w:rPr>
                <w:sz w:val="20"/>
                <w:szCs w:val="20"/>
                <w:color w:val="auto"/>
              </w:rPr>
            </w:pPr>
            <w:r>
              <w:rPr>
                <w:rFonts w:ascii="Arial" w:cs="Arial" w:eastAsia="Arial" w:hAnsi="Arial"/>
                <w:sz w:val="18"/>
                <w:szCs w:val="18"/>
                <w:b w:val="1"/>
                <w:bCs w:val="1"/>
                <w:color w:val="auto"/>
              </w:rPr>
              <w: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ind w:right="11"/>
              <w:spacing w:after="0"/>
              <w:rPr>
                <w:sz w:val="20"/>
                <w:szCs w:val="20"/>
                <w:color w:val="auto"/>
              </w:rPr>
            </w:pPr>
            <w:r>
              <w:rPr>
                <w:rFonts w:ascii="Arial" w:cs="Arial" w:eastAsia="Arial" w:hAnsi="Arial"/>
                <w:sz w:val="18"/>
                <w:szCs w:val="18"/>
                <w:b w:val="1"/>
                <w:bCs w:val="1"/>
                <w:color w:val="auto"/>
              </w:rPr>
              <w:t>1,238.6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States and political subdivisions</w:t>
            </w: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5,317.3</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40.1</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470.1</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ind w:left="560"/>
              <w:spacing w:after="0"/>
              <w:rPr>
                <w:sz w:val="20"/>
                <w:szCs w:val="20"/>
                <w:color w:val="auto"/>
              </w:rPr>
            </w:pPr>
            <w:r>
              <w:rPr>
                <w:rFonts w:ascii="Arial" w:cs="Arial" w:eastAsia="Arial" w:hAnsi="Arial"/>
                <w:sz w:val="18"/>
                <w:szCs w:val="18"/>
                <w:b w:val="1"/>
                <w:bCs w:val="1"/>
                <w:color w:val="auto"/>
              </w:rPr>
              <w:t>—</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4,887.3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tcBorders>
              <w:bottom w:val="single" w:sz="8" w:color="CCEEFF"/>
            </w:tcBorders>
            <w:gridSpan w:val="2"/>
          </w:tcPr>
          <w:p>
            <w:pPr>
              <w:spacing w:after="0"/>
              <w:rPr>
                <w:sz w:val="20"/>
                <w:szCs w:val="20"/>
                <w:color w:val="auto"/>
              </w:rPr>
            </w:pPr>
            <w:r>
              <w:rPr>
                <w:rFonts w:ascii="Arial" w:cs="Arial" w:eastAsia="Arial" w:hAnsi="Arial"/>
                <w:sz w:val="18"/>
                <w:szCs w:val="18"/>
                <w:color w:val="auto"/>
              </w:rPr>
              <w:t>Non-U.S. governments</w:t>
            </w:r>
          </w:p>
        </w:tc>
        <w:tc>
          <w:tcPr>
            <w:tcW w:w="12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ind w:right="11"/>
              <w:spacing w:after="0"/>
              <w:rPr>
                <w:sz w:val="20"/>
                <w:szCs w:val="20"/>
                <w:color w:val="auto"/>
              </w:rPr>
            </w:pPr>
            <w:r>
              <w:rPr>
                <w:rFonts w:ascii="Arial" w:cs="Arial" w:eastAsia="Arial" w:hAnsi="Arial"/>
                <w:sz w:val="18"/>
                <w:szCs w:val="18"/>
                <w:b w:val="1"/>
                <w:bCs w:val="1"/>
                <w:color w:val="auto"/>
              </w:rPr>
              <w:t>497.1</w:t>
            </w:r>
          </w:p>
        </w:tc>
        <w:tc>
          <w:tcPr>
            <w:tcW w:w="24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38.6</w:t>
            </w:r>
          </w:p>
        </w:tc>
        <w:tc>
          <w:tcPr>
            <w:tcW w:w="24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b w:val="1"/>
                <w:bCs w:val="1"/>
                <w:color w:val="auto"/>
              </w:rPr>
              <w:t>34.5</w:t>
            </w:r>
          </w:p>
        </w:tc>
        <w:tc>
          <w:tcPr>
            <w:tcW w:w="20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ind w:left="560"/>
              <w:spacing w:after="0"/>
              <w:rPr>
                <w:sz w:val="20"/>
                <w:szCs w:val="20"/>
                <w:color w:val="auto"/>
              </w:rPr>
            </w:pPr>
            <w:r>
              <w:rPr>
                <w:rFonts w:ascii="Arial" w:cs="Arial" w:eastAsia="Arial" w:hAnsi="Arial"/>
                <w:sz w:val="18"/>
                <w:szCs w:val="18"/>
                <w:b w:val="1"/>
                <w:bCs w:val="1"/>
                <w:color w:val="auto"/>
              </w:rPr>
              <w:t>—</w:t>
            </w:r>
          </w:p>
        </w:tc>
        <w:tc>
          <w:tcPr>
            <w:tcW w:w="22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ind w:right="11"/>
              <w:spacing w:after="0"/>
              <w:rPr>
                <w:sz w:val="20"/>
                <w:szCs w:val="20"/>
                <w:color w:val="auto"/>
              </w:rPr>
            </w:pPr>
            <w:r>
              <w:rPr>
                <w:rFonts w:ascii="Arial" w:cs="Arial" w:eastAsia="Arial" w:hAnsi="Arial"/>
                <w:sz w:val="18"/>
                <w:szCs w:val="18"/>
                <w:b w:val="1"/>
                <w:bCs w:val="1"/>
                <w:color w:val="auto"/>
              </w:rPr>
              <w:t>501.2</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400" w:type="dxa"/>
            <w:vAlign w:val="bottom"/>
            <w:tcBorders>
              <w:bottom w:val="single" w:sz="8" w:color="CCEEFF"/>
            </w:tcBorders>
            <w:gridSpan w:val="2"/>
            <w:shd w:val="clear" w:color="auto" w:fill="CCEEFF"/>
          </w:tcPr>
          <w:p>
            <w:pPr>
              <w:ind w:left="100"/>
              <w:spacing w:after="0"/>
              <w:rPr>
                <w:sz w:val="20"/>
                <w:szCs w:val="20"/>
                <w:color w:val="auto"/>
              </w:rPr>
            </w:pPr>
            <w:r>
              <w:rPr>
                <w:rFonts w:ascii="Arial" w:cs="Arial" w:eastAsia="Arial" w:hAnsi="Arial"/>
                <w:sz w:val="18"/>
                <w:szCs w:val="18"/>
                <w:color w:val="auto"/>
              </w:rPr>
              <w:t>Total fixed maturities, available-for-sale</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48,342.8</w:t>
            </w:r>
          </w:p>
        </w:tc>
        <w:tc>
          <w:tcPr>
            <w:tcW w:w="24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490.6</w:t>
            </w:r>
          </w:p>
        </w:tc>
        <w:tc>
          <w:tcPr>
            <w:tcW w:w="24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78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3,751.2</w:t>
            </w:r>
          </w:p>
        </w:tc>
        <w:tc>
          <w:tcPr>
            <w:tcW w:w="20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800" w:type="dxa"/>
            <w:vAlign w:val="bottom"/>
            <w:tcBorders>
              <w:bottom w:val="single" w:sz="8" w:color="auto"/>
            </w:tcBorders>
            <w:shd w:val="clear" w:color="auto" w:fill="CCEEFF"/>
          </w:tcPr>
          <w:p>
            <w:pPr>
              <w:ind w:left="560"/>
              <w:spacing w:after="0"/>
              <w:rPr>
                <w:sz w:val="20"/>
                <w:szCs w:val="20"/>
                <w:color w:val="auto"/>
              </w:rPr>
            </w:pPr>
            <w:r>
              <w:rPr>
                <w:rFonts w:ascii="Arial" w:cs="Arial" w:eastAsia="Arial" w:hAnsi="Arial"/>
                <w:sz w:val="18"/>
                <w:szCs w:val="18"/>
                <w:b w:val="1"/>
                <w:bCs w:val="1"/>
                <w:color w:val="auto"/>
              </w:rPr>
              <w:t>—</w:t>
            </w:r>
          </w:p>
        </w:tc>
        <w:tc>
          <w:tcPr>
            <w:tcW w:w="22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82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b w:val="1"/>
                <w:bCs w:val="1"/>
                <w:color w:val="auto"/>
                <w:w w:val="99"/>
              </w:rPr>
              <w:t>45,082.2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c>
          <w:tcPr>
            <w:tcW w:w="19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8"/>
        </w:trPr>
        <w:tc>
          <w:tcPr>
            <w:tcW w:w="20" w:type="dxa"/>
            <w:vAlign w:val="bottom"/>
          </w:tcPr>
          <w:p>
            <w:pPr>
              <w:spacing w:after="0"/>
              <w:rPr>
                <w:sz w:val="7"/>
                <w:szCs w:val="7"/>
                <w:color w:val="auto"/>
              </w:rPr>
            </w:pPr>
          </w:p>
        </w:tc>
        <w:tc>
          <w:tcPr>
            <w:tcW w:w="2460" w:type="dxa"/>
            <w:vAlign w:val="bottom"/>
            <w:tcBorders>
              <w:bottom w:val="single" w:sz="8" w:color="auto"/>
            </w:tcBorders>
          </w:tcPr>
          <w:p>
            <w:pPr>
              <w:spacing w:after="0"/>
              <w:rPr>
                <w:sz w:val="7"/>
                <w:szCs w:val="7"/>
                <w:color w:val="auto"/>
              </w:rPr>
            </w:pPr>
          </w:p>
        </w:tc>
        <w:tc>
          <w:tcPr>
            <w:tcW w:w="1940" w:type="dxa"/>
            <w:vAlign w:val="bottom"/>
          </w:tcPr>
          <w:p>
            <w:pPr>
              <w:spacing w:after="0"/>
              <w:rPr>
                <w:sz w:val="7"/>
                <w:szCs w:val="7"/>
                <w:color w:val="auto"/>
              </w:rPr>
            </w:pPr>
          </w:p>
        </w:tc>
        <w:tc>
          <w:tcPr>
            <w:tcW w:w="120" w:type="dxa"/>
            <w:vAlign w:val="bottom"/>
          </w:tcPr>
          <w:p>
            <w:pPr>
              <w:spacing w:after="0"/>
              <w:rPr>
                <w:sz w:val="7"/>
                <w:szCs w:val="7"/>
                <w:color w:val="auto"/>
              </w:rPr>
            </w:pPr>
          </w:p>
        </w:tc>
        <w:tc>
          <w:tcPr>
            <w:tcW w:w="840" w:type="dxa"/>
            <w:vAlign w:val="bottom"/>
          </w:tcPr>
          <w:p>
            <w:pPr>
              <w:spacing w:after="0"/>
              <w:rPr>
                <w:sz w:val="7"/>
                <w:szCs w:val="7"/>
                <w:color w:val="auto"/>
              </w:rPr>
            </w:pPr>
          </w:p>
        </w:tc>
        <w:tc>
          <w:tcPr>
            <w:tcW w:w="240" w:type="dxa"/>
            <w:vAlign w:val="bottom"/>
          </w:tcPr>
          <w:p>
            <w:pPr>
              <w:spacing w:after="0"/>
              <w:rPr>
                <w:sz w:val="7"/>
                <w:szCs w:val="7"/>
                <w:color w:val="auto"/>
              </w:rPr>
            </w:pPr>
          </w:p>
        </w:tc>
        <w:tc>
          <w:tcPr>
            <w:tcW w:w="100" w:type="dxa"/>
            <w:vAlign w:val="bottom"/>
          </w:tcPr>
          <w:p>
            <w:pPr>
              <w:spacing w:after="0"/>
              <w:rPr>
                <w:sz w:val="7"/>
                <w:szCs w:val="7"/>
                <w:color w:val="auto"/>
              </w:rPr>
            </w:pPr>
          </w:p>
        </w:tc>
        <w:tc>
          <w:tcPr>
            <w:tcW w:w="760" w:type="dxa"/>
            <w:vAlign w:val="bottom"/>
          </w:tcPr>
          <w:p>
            <w:pPr>
              <w:spacing w:after="0"/>
              <w:rPr>
                <w:sz w:val="7"/>
                <w:szCs w:val="7"/>
                <w:color w:val="auto"/>
              </w:rPr>
            </w:pPr>
          </w:p>
        </w:tc>
        <w:tc>
          <w:tcPr>
            <w:tcW w:w="240" w:type="dxa"/>
            <w:vAlign w:val="bottom"/>
          </w:tcPr>
          <w:p>
            <w:pPr>
              <w:spacing w:after="0"/>
              <w:rPr>
                <w:sz w:val="7"/>
                <w:szCs w:val="7"/>
                <w:color w:val="auto"/>
              </w:rPr>
            </w:pPr>
          </w:p>
        </w:tc>
        <w:tc>
          <w:tcPr>
            <w:tcW w:w="100" w:type="dxa"/>
            <w:vAlign w:val="bottom"/>
          </w:tcPr>
          <w:p>
            <w:pPr>
              <w:spacing w:after="0"/>
              <w:rPr>
                <w:sz w:val="7"/>
                <w:szCs w:val="7"/>
                <w:color w:val="auto"/>
              </w:rPr>
            </w:pPr>
          </w:p>
        </w:tc>
        <w:tc>
          <w:tcPr>
            <w:tcW w:w="780" w:type="dxa"/>
            <w:vAlign w:val="bottom"/>
          </w:tcPr>
          <w:p>
            <w:pPr>
              <w:spacing w:after="0"/>
              <w:rPr>
                <w:sz w:val="7"/>
                <w:szCs w:val="7"/>
                <w:color w:val="auto"/>
              </w:rPr>
            </w:pPr>
          </w:p>
        </w:tc>
        <w:tc>
          <w:tcPr>
            <w:tcW w:w="200" w:type="dxa"/>
            <w:vAlign w:val="bottom"/>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Pr>
          <w:p>
            <w:pPr>
              <w:spacing w:after="0"/>
              <w:rPr>
                <w:sz w:val="7"/>
                <w:szCs w:val="7"/>
                <w:color w:val="auto"/>
              </w:rPr>
            </w:pPr>
          </w:p>
        </w:tc>
        <w:tc>
          <w:tcPr>
            <w:tcW w:w="220" w:type="dxa"/>
            <w:vAlign w:val="bottom"/>
          </w:tcPr>
          <w:p>
            <w:pPr>
              <w:spacing w:after="0"/>
              <w:rPr>
                <w:sz w:val="7"/>
                <w:szCs w:val="7"/>
                <w:color w:val="auto"/>
              </w:rPr>
            </w:pPr>
          </w:p>
        </w:tc>
        <w:tc>
          <w:tcPr>
            <w:tcW w:w="160" w:type="dxa"/>
            <w:vAlign w:val="bottom"/>
          </w:tcPr>
          <w:p>
            <w:pPr>
              <w:spacing w:after="0"/>
              <w:rPr>
                <w:sz w:val="7"/>
                <w:szCs w:val="7"/>
                <w:color w:val="auto"/>
              </w:rPr>
            </w:pPr>
          </w:p>
        </w:tc>
        <w:tc>
          <w:tcPr>
            <w:tcW w:w="82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80" w:lineRule="exact"/>
        <w:rPr>
          <w:sz w:val="20"/>
          <w:szCs w:val="20"/>
          <w:color w:val="auto"/>
        </w:rPr>
      </w:pPr>
    </w:p>
    <w:p>
      <w:pPr>
        <w:spacing w:after="0"/>
        <w:rPr>
          <w:sz w:val="20"/>
          <w:szCs w:val="20"/>
          <w:color w:val="auto"/>
        </w:rPr>
      </w:pPr>
      <w:r>
        <w:rPr>
          <w:rFonts w:ascii="Arial" w:cs="Arial" w:eastAsia="Arial" w:hAnsi="Arial"/>
          <w:sz w:val="18"/>
          <w:szCs w:val="18"/>
          <w:color w:val="auto"/>
        </w:rPr>
        <w:t>(1) This exposure is all related to sub-prime mortgage loans.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540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119" w:name="page120"/>
    <w:bookmarkEnd w:id="119"/>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54"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194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132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1"/>
              </w:rPr>
              <w:t>December 31, 2021</w:t>
            </w:r>
          </w:p>
        </w:tc>
        <w:tc>
          <w:tcPr>
            <w:tcW w:w="12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2460" w:type="dxa"/>
            <w:vAlign w:val="bottom"/>
          </w:tcPr>
          <w:p>
            <w:pPr>
              <w:spacing w:after="0"/>
              <w:rPr>
                <w:sz w:val="10"/>
                <w:szCs w:val="10"/>
                <w:color w:val="auto"/>
              </w:rPr>
            </w:pPr>
          </w:p>
        </w:tc>
        <w:tc>
          <w:tcPr>
            <w:tcW w:w="19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80" w:type="dxa"/>
            <w:vAlign w:val="bottom"/>
            <w:gridSpan w:val="2"/>
            <w:vMerge w:val="restart"/>
          </w:tcPr>
          <w:p>
            <w:pPr>
              <w:jc w:val="center"/>
              <w:ind w:right="340"/>
              <w:spacing w:after="0"/>
              <w:rPr>
                <w:sz w:val="20"/>
                <w:szCs w:val="20"/>
                <w:color w:val="auto"/>
              </w:rPr>
            </w:pPr>
            <w:r>
              <w:rPr>
                <w:rFonts w:ascii="Arial" w:cs="Arial" w:eastAsia="Arial" w:hAnsi="Arial"/>
                <w:sz w:val="14"/>
                <w:szCs w:val="14"/>
                <w:b w:val="1"/>
                <w:bCs w:val="1"/>
                <w:color w:val="auto"/>
                <w:w w:val="96"/>
              </w:rPr>
              <w:t>Amortized</w:t>
            </w:r>
          </w:p>
        </w:tc>
        <w:tc>
          <w:tcPr>
            <w:tcW w:w="100" w:type="dxa"/>
            <w:vAlign w:val="bottom"/>
          </w:tcPr>
          <w:p>
            <w:pPr>
              <w:spacing w:after="0"/>
              <w:rPr>
                <w:sz w:val="10"/>
                <w:szCs w:val="10"/>
                <w:color w:val="auto"/>
              </w:rPr>
            </w:pPr>
          </w:p>
        </w:tc>
        <w:tc>
          <w:tcPr>
            <w:tcW w:w="760" w:type="dxa"/>
            <w:vAlign w:val="bottom"/>
          </w:tcPr>
          <w:p>
            <w:pPr>
              <w:jc w:val="center"/>
              <w:ind w:right="12"/>
              <w:spacing w:after="0" w:line="119" w:lineRule="exact"/>
              <w:rPr>
                <w:sz w:val="20"/>
                <w:szCs w:val="20"/>
                <w:color w:val="auto"/>
              </w:rPr>
            </w:pPr>
            <w:r>
              <w:rPr>
                <w:rFonts w:ascii="Arial" w:cs="Arial" w:eastAsia="Arial" w:hAnsi="Arial"/>
                <w:sz w:val="13"/>
                <w:szCs w:val="13"/>
                <w:b w:val="1"/>
                <w:bCs w:val="1"/>
                <w:color w:val="auto"/>
                <w:w w:val="90"/>
              </w:rPr>
              <w:t>Gross</w:t>
            </w:r>
          </w:p>
        </w:tc>
        <w:tc>
          <w:tcPr>
            <w:tcW w:w="2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80" w:type="dxa"/>
            <w:vAlign w:val="bottom"/>
            <w:gridSpan w:val="2"/>
          </w:tcPr>
          <w:p>
            <w:pPr>
              <w:jc w:val="center"/>
              <w:ind w:right="300"/>
              <w:spacing w:after="0" w:line="119" w:lineRule="exact"/>
              <w:rPr>
                <w:sz w:val="20"/>
                <w:szCs w:val="20"/>
                <w:color w:val="auto"/>
              </w:rPr>
            </w:pPr>
            <w:r>
              <w:rPr>
                <w:rFonts w:ascii="Arial" w:cs="Arial" w:eastAsia="Arial" w:hAnsi="Arial"/>
                <w:sz w:val="13"/>
                <w:szCs w:val="13"/>
                <w:b w:val="1"/>
                <w:bCs w:val="1"/>
                <w:color w:val="auto"/>
                <w:w w:val="95"/>
              </w:rPr>
              <w:t>Gross</w:t>
            </w:r>
          </w:p>
        </w:tc>
        <w:tc>
          <w:tcPr>
            <w:tcW w:w="120" w:type="dxa"/>
            <w:vAlign w:val="bottom"/>
          </w:tcPr>
          <w:p>
            <w:pPr>
              <w:spacing w:after="0"/>
              <w:rPr>
                <w:sz w:val="10"/>
                <w:szCs w:val="10"/>
                <w:color w:val="auto"/>
              </w:rPr>
            </w:pPr>
          </w:p>
        </w:tc>
        <w:tc>
          <w:tcPr>
            <w:tcW w:w="800" w:type="dxa"/>
            <w:vAlign w:val="bottom"/>
          </w:tcPr>
          <w:p>
            <w:pPr>
              <w:jc w:val="center"/>
              <w:ind w:right="32"/>
              <w:spacing w:after="0" w:line="119" w:lineRule="exact"/>
              <w:rPr>
                <w:sz w:val="20"/>
                <w:szCs w:val="20"/>
                <w:color w:val="auto"/>
              </w:rPr>
            </w:pPr>
            <w:r>
              <w:rPr>
                <w:rFonts w:ascii="Arial" w:cs="Arial" w:eastAsia="Arial" w:hAnsi="Arial"/>
                <w:sz w:val="13"/>
                <w:szCs w:val="13"/>
                <w:b w:val="1"/>
                <w:bCs w:val="1"/>
                <w:color w:val="auto"/>
                <w:w w:val="99"/>
              </w:rPr>
              <w:t>Allowance</w:t>
            </w:r>
          </w:p>
        </w:tc>
        <w:tc>
          <w:tcPr>
            <w:tcW w:w="2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20" w:type="dxa"/>
            <w:vAlign w:val="bottom"/>
            <w:vMerge w:val="restart"/>
          </w:tcPr>
          <w:p>
            <w:pPr>
              <w:jc w:val="right"/>
              <w:ind w:right="111"/>
              <w:spacing w:after="0"/>
              <w:rPr>
                <w:sz w:val="20"/>
                <w:szCs w:val="20"/>
                <w:color w:val="auto"/>
              </w:rPr>
            </w:pPr>
            <w:r>
              <w:rPr>
                <w:rFonts w:ascii="Arial" w:cs="Arial" w:eastAsia="Arial" w:hAnsi="Arial"/>
                <w:sz w:val="14"/>
                <w:szCs w:val="14"/>
                <w:b w:val="1"/>
                <w:bCs w:val="1"/>
                <w:color w:val="auto"/>
              </w:rPr>
              <w:t>Carrying</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2460" w:type="dxa"/>
            <w:vAlign w:val="bottom"/>
          </w:tcPr>
          <w:p>
            <w:pPr>
              <w:spacing w:after="0"/>
              <w:rPr>
                <w:sz w:val="12"/>
                <w:szCs w:val="12"/>
                <w:color w:val="auto"/>
              </w:rPr>
            </w:pPr>
          </w:p>
        </w:tc>
        <w:tc>
          <w:tcPr>
            <w:tcW w:w="19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95"/>
              </w:rPr>
              <w:t>unrealized</w:t>
            </w:r>
          </w:p>
        </w:tc>
        <w:tc>
          <w:tcPr>
            <w:tcW w:w="2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2"/>
              </w:rPr>
              <w:t>unrealized</w:t>
            </w:r>
          </w:p>
        </w:tc>
        <w:tc>
          <w:tcPr>
            <w:tcW w:w="120" w:type="dxa"/>
            <w:vAlign w:val="bottom"/>
          </w:tcPr>
          <w:p>
            <w:pPr>
              <w:spacing w:after="0"/>
              <w:rPr>
                <w:sz w:val="12"/>
                <w:szCs w:val="12"/>
                <w:color w:val="auto"/>
              </w:rPr>
            </w:pPr>
          </w:p>
        </w:tc>
        <w:tc>
          <w:tcPr>
            <w:tcW w:w="800" w:type="dxa"/>
            <w:vAlign w:val="bottom"/>
          </w:tcPr>
          <w:p>
            <w:pPr>
              <w:jc w:val="center"/>
              <w:ind w:right="52"/>
              <w:spacing w:after="0" w:line="149" w:lineRule="exact"/>
              <w:rPr>
                <w:sz w:val="20"/>
                <w:szCs w:val="20"/>
                <w:color w:val="auto"/>
              </w:rPr>
            </w:pPr>
            <w:r>
              <w:rPr>
                <w:rFonts w:ascii="Arial" w:cs="Arial" w:eastAsia="Arial" w:hAnsi="Arial"/>
                <w:sz w:val="14"/>
                <w:szCs w:val="14"/>
                <w:b w:val="1"/>
                <w:bCs w:val="1"/>
                <w:color w:val="auto"/>
                <w:w w:val="95"/>
              </w:rPr>
              <w:t>for credit</w:t>
            </w:r>
          </w:p>
        </w:tc>
        <w:tc>
          <w:tcPr>
            <w:tcW w:w="2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19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8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83"/>
              </w:rPr>
              <w:t>cost</w:t>
            </w:r>
          </w:p>
        </w:tc>
        <w:tc>
          <w:tcPr>
            <w:tcW w:w="100" w:type="dxa"/>
            <w:vAlign w:val="bottom"/>
          </w:tcPr>
          <w:p>
            <w:pPr>
              <w:spacing w:after="0"/>
              <w:rPr>
                <w:sz w:val="14"/>
                <w:szCs w:val="14"/>
                <w:color w:val="auto"/>
              </w:rPr>
            </w:pPr>
          </w:p>
        </w:tc>
        <w:tc>
          <w:tcPr>
            <w:tcW w:w="760" w:type="dxa"/>
            <w:vAlign w:val="bottom"/>
          </w:tcPr>
          <w:p>
            <w:pPr>
              <w:jc w:val="center"/>
              <w:spacing w:after="0"/>
              <w:rPr>
                <w:sz w:val="20"/>
                <w:szCs w:val="20"/>
                <w:color w:val="auto"/>
              </w:rPr>
            </w:pPr>
            <w:r>
              <w:rPr>
                <w:rFonts w:ascii="Arial" w:cs="Arial" w:eastAsia="Arial" w:hAnsi="Arial"/>
                <w:sz w:val="14"/>
                <w:szCs w:val="14"/>
                <w:b w:val="1"/>
                <w:bCs w:val="1"/>
                <w:color w:val="auto"/>
                <w:w w:val="87"/>
              </w:rPr>
              <w:t>gains</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8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77"/>
              </w:rPr>
              <w:t>losses</w:t>
            </w:r>
          </w:p>
        </w:tc>
        <w:tc>
          <w:tcPr>
            <w:tcW w:w="120" w:type="dxa"/>
            <w:vAlign w:val="bottom"/>
          </w:tcPr>
          <w:p>
            <w:pPr>
              <w:spacing w:after="0"/>
              <w:rPr>
                <w:sz w:val="14"/>
                <w:szCs w:val="14"/>
                <w:color w:val="auto"/>
              </w:rPr>
            </w:pPr>
          </w:p>
        </w:tc>
        <w:tc>
          <w:tcPr>
            <w:tcW w:w="800" w:type="dxa"/>
            <w:vAlign w:val="bottom"/>
          </w:tcPr>
          <w:p>
            <w:pPr>
              <w:jc w:val="center"/>
              <w:ind w:right="52"/>
              <w:spacing w:after="0"/>
              <w:rPr>
                <w:sz w:val="20"/>
                <w:szCs w:val="20"/>
                <w:color w:val="auto"/>
              </w:rPr>
            </w:pPr>
            <w:r>
              <w:rPr>
                <w:rFonts w:ascii="Arial" w:cs="Arial" w:eastAsia="Arial" w:hAnsi="Arial"/>
                <w:sz w:val="14"/>
                <w:szCs w:val="14"/>
                <w:b w:val="1"/>
                <w:bCs w:val="1"/>
                <w:color w:val="auto"/>
                <w:w w:val="78"/>
              </w:rPr>
              <w:t>loss</w:t>
            </w:r>
          </w:p>
        </w:tc>
        <w:tc>
          <w:tcPr>
            <w:tcW w:w="2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20" w:type="dxa"/>
            <w:vAlign w:val="bottom"/>
          </w:tcPr>
          <w:p>
            <w:pPr>
              <w:jc w:val="right"/>
              <w:ind w:right="171"/>
              <w:spacing w:after="0"/>
              <w:rPr>
                <w:sz w:val="20"/>
                <w:szCs w:val="20"/>
                <w:color w:val="auto"/>
              </w:rPr>
            </w:pPr>
            <w:r>
              <w:rPr>
                <w:rFonts w:ascii="Arial" w:cs="Arial" w:eastAsia="Arial" w:hAnsi="Arial"/>
                <w:sz w:val="14"/>
                <w:szCs w:val="14"/>
                <w:b w:val="1"/>
                <w:bCs w:val="1"/>
                <w:color w:val="auto"/>
              </w:rPr>
              <w:t>amount</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2460" w:type="dxa"/>
            <w:vAlign w:val="bottom"/>
          </w:tcPr>
          <w:p>
            <w:pPr>
              <w:spacing w:after="0"/>
              <w:rPr>
                <w:sz w:val="11"/>
                <w:szCs w:val="11"/>
                <w:color w:val="auto"/>
              </w:rPr>
            </w:pPr>
          </w:p>
        </w:tc>
        <w:tc>
          <w:tcPr>
            <w:tcW w:w="194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840" w:type="dxa"/>
            <w:vAlign w:val="bottom"/>
            <w:tcBorders>
              <w:top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760" w:type="dxa"/>
            <w:vAlign w:val="bottom"/>
            <w:tcBorders>
              <w:top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78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i w:val="1"/>
                <w:iCs w:val="1"/>
                <w:color w:val="auto"/>
                <w:w w:val="98"/>
              </w:rPr>
              <w:t>(in millions)</w:t>
            </w:r>
          </w:p>
        </w:tc>
        <w:tc>
          <w:tcPr>
            <w:tcW w:w="20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800" w:type="dxa"/>
            <w:vAlign w:val="bottom"/>
            <w:tcBorders>
              <w:top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820" w:type="dxa"/>
            <w:vAlign w:val="bottom"/>
            <w:tcBorders>
              <w:top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Finance — Banking</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4,746.3</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333.3</w:t>
            </w:r>
          </w:p>
        </w:tc>
        <w:tc>
          <w:tcPr>
            <w:tcW w:w="3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15.2</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5,064.4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tcPr>
          <w:p>
            <w:pPr>
              <w:spacing w:after="0"/>
              <w:rPr>
                <w:sz w:val="20"/>
                <w:szCs w:val="20"/>
                <w:color w:val="auto"/>
              </w:rPr>
            </w:pPr>
            <w:r>
              <w:rPr>
                <w:rFonts w:ascii="Arial" w:cs="Arial" w:eastAsia="Arial" w:hAnsi="Arial"/>
                <w:sz w:val="18"/>
                <w:szCs w:val="18"/>
                <w:color w:val="auto"/>
              </w:rPr>
              <w:t>Finance — Brokerage</w:t>
            </w: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798.8</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78.9</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5.6</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872.1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Finance — Finance Companies</w:t>
            </w: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524.9</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24.8</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0.7</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549.0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tcPr>
          <w:p>
            <w:pPr>
              <w:spacing w:after="0"/>
              <w:rPr>
                <w:sz w:val="20"/>
                <w:szCs w:val="20"/>
                <w:color w:val="auto"/>
              </w:rPr>
            </w:pPr>
            <w:r>
              <w:rPr>
                <w:rFonts w:ascii="Arial" w:cs="Arial" w:eastAsia="Arial" w:hAnsi="Arial"/>
                <w:sz w:val="18"/>
                <w:szCs w:val="18"/>
                <w:color w:val="auto"/>
              </w:rPr>
              <w:t>Finance — Financial Other</w:t>
            </w: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987.4</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36.5</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1.1</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1,022.8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Finance — Insurance</w:t>
            </w: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2,845.8</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400.5</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3,239.6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tcPr>
          <w:p>
            <w:pPr>
              <w:spacing w:after="0"/>
              <w:rPr>
                <w:sz w:val="20"/>
                <w:szCs w:val="20"/>
                <w:color w:val="auto"/>
              </w:rPr>
            </w:pPr>
            <w:r>
              <w:rPr>
                <w:rFonts w:ascii="Arial" w:cs="Arial" w:eastAsia="Arial" w:hAnsi="Arial"/>
                <w:sz w:val="18"/>
                <w:szCs w:val="18"/>
                <w:color w:val="auto"/>
              </w:rPr>
              <w:t>Finance — REITs</w:t>
            </w: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2,260.1</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148.0</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4.8</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2,403.3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Industrial — Basic Industry</w:t>
            </w: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1,794.6</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170.7</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1,961.8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tcPr>
          <w:p>
            <w:pPr>
              <w:spacing w:after="0"/>
              <w:rPr>
                <w:sz w:val="20"/>
                <w:szCs w:val="20"/>
                <w:color w:val="auto"/>
              </w:rPr>
            </w:pPr>
            <w:r>
              <w:rPr>
                <w:rFonts w:ascii="Arial" w:cs="Arial" w:eastAsia="Arial" w:hAnsi="Arial"/>
                <w:sz w:val="18"/>
                <w:szCs w:val="18"/>
                <w:color w:val="auto"/>
              </w:rPr>
              <w:t>Industrial — Capital Goods</w:t>
            </w: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2,299.1</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205.6</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8.8</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2,495.9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Industrial — Communications</w:t>
            </w: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3,140.3</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407.0</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10.6</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3,536.7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tcPr>
          <w:p>
            <w:pPr>
              <w:spacing w:after="0"/>
              <w:rPr>
                <w:sz w:val="20"/>
                <w:szCs w:val="20"/>
                <w:color w:val="auto"/>
              </w:rPr>
            </w:pPr>
            <w:r>
              <w:rPr>
                <w:rFonts w:ascii="Arial" w:cs="Arial" w:eastAsia="Arial" w:hAnsi="Arial"/>
                <w:sz w:val="18"/>
                <w:szCs w:val="18"/>
                <w:color w:val="auto"/>
              </w:rPr>
              <w:t>Industrial — Consumer Cyclical</w:t>
            </w: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1,905.8</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99.8</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11.3</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1,994.3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Industrial — Consumer Non-Cyclical</w:t>
            </w: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4,684.6</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500.7</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13.8</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5,171.5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tcPr>
          <w:p>
            <w:pPr>
              <w:spacing w:after="0"/>
              <w:rPr>
                <w:sz w:val="20"/>
                <w:szCs w:val="20"/>
                <w:color w:val="auto"/>
              </w:rPr>
            </w:pPr>
            <w:r>
              <w:rPr>
                <w:rFonts w:ascii="Arial" w:cs="Arial" w:eastAsia="Arial" w:hAnsi="Arial"/>
                <w:sz w:val="18"/>
                <w:szCs w:val="18"/>
                <w:color w:val="auto"/>
              </w:rPr>
              <w:t>Industrial — Energy</w:t>
            </w: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2,669.8</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335.6</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7.1</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2,998.3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Industrial — Other</w:t>
            </w: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760.6</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44.5</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0.7</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804.4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tcPr>
          <w:p>
            <w:pPr>
              <w:spacing w:after="0"/>
              <w:rPr>
                <w:sz w:val="20"/>
                <w:szCs w:val="20"/>
                <w:color w:val="auto"/>
              </w:rPr>
            </w:pPr>
            <w:r>
              <w:rPr>
                <w:rFonts w:ascii="Arial" w:cs="Arial" w:eastAsia="Arial" w:hAnsi="Arial"/>
                <w:sz w:val="18"/>
                <w:szCs w:val="18"/>
                <w:color w:val="auto"/>
              </w:rPr>
              <w:t>Industrial — Technology</w:t>
            </w: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2,629.8</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207.2</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9.6</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4.5</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2,822.9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Industrial — Transportation</w:t>
            </w: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2,119.5</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193.3</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2,310.1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tcPr>
          <w:p>
            <w:pPr>
              <w:spacing w:after="0"/>
              <w:rPr>
                <w:sz w:val="20"/>
                <w:szCs w:val="20"/>
                <w:color w:val="auto"/>
              </w:rPr>
            </w:pPr>
            <w:r>
              <w:rPr>
                <w:rFonts w:ascii="Arial" w:cs="Arial" w:eastAsia="Arial" w:hAnsi="Arial"/>
                <w:sz w:val="18"/>
                <w:szCs w:val="18"/>
                <w:color w:val="auto"/>
              </w:rPr>
              <w:t>Utility — Electric</w:t>
            </w: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3,970.7</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434.2</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18.2</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4,386.7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Utility — Natural Gas</w:t>
            </w: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644.6</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72.4</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714.2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tcPr>
          <w:p>
            <w:pPr>
              <w:spacing w:after="0"/>
              <w:rPr>
                <w:sz w:val="20"/>
                <w:szCs w:val="20"/>
                <w:color w:val="auto"/>
              </w:rPr>
            </w:pPr>
            <w:r>
              <w:rPr>
                <w:rFonts w:ascii="Arial" w:cs="Arial" w:eastAsia="Arial" w:hAnsi="Arial"/>
                <w:sz w:val="18"/>
                <w:szCs w:val="18"/>
                <w:color w:val="auto"/>
              </w:rPr>
              <w:t>Utility — Other</w:t>
            </w: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447.7</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29.8</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4.2</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473.3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Government guaranteed</w:t>
            </w:r>
          </w:p>
        </w:tc>
        <w:tc>
          <w:tcPr>
            <w:tcW w:w="12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256.1</w:t>
            </w:r>
          </w:p>
        </w:tc>
        <w:tc>
          <w:tcPr>
            <w:tcW w:w="2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39.5</w:t>
            </w:r>
          </w:p>
        </w:tc>
        <w:tc>
          <w:tcPr>
            <w:tcW w:w="2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20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295.5</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4400" w:type="dxa"/>
            <w:vAlign w:val="bottom"/>
            <w:gridSpan w:val="2"/>
          </w:tcPr>
          <w:p>
            <w:pPr>
              <w:ind w:left="100"/>
              <w:spacing w:after="0"/>
              <w:rPr>
                <w:sz w:val="20"/>
                <w:szCs w:val="20"/>
                <w:color w:val="auto"/>
              </w:rPr>
            </w:pPr>
            <w:r>
              <w:rPr>
                <w:rFonts w:ascii="Arial" w:cs="Arial" w:eastAsia="Arial" w:hAnsi="Arial"/>
                <w:sz w:val="18"/>
                <w:szCs w:val="18"/>
                <w:color w:val="auto"/>
              </w:rPr>
              <w:t>Total corporate securities</w:t>
            </w: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39,486.5</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3,762.3</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127.5</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4.5</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43,116.8</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2460" w:type="dxa"/>
            <w:vAlign w:val="bottom"/>
            <w:shd w:val="clear" w:color="auto" w:fill="CCEEFF"/>
          </w:tcPr>
          <w:p>
            <w:pPr>
              <w:spacing w:after="0"/>
              <w:rPr>
                <w:sz w:val="18"/>
                <w:szCs w:val="18"/>
                <w:color w:val="auto"/>
              </w:rPr>
            </w:pPr>
          </w:p>
        </w:tc>
        <w:tc>
          <w:tcPr>
            <w:tcW w:w="19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400" w:type="dxa"/>
            <w:vAlign w:val="bottom"/>
            <w:gridSpan w:val="2"/>
          </w:tcPr>
          <w:p>
            <w:pPr>
              <w:spacing w:after="0"/>
              <w:rPr>
                <w:sz w:val="20"/>
                <w:szCs w:val="20"/>
                <w:color w:val="auto"/>
              </w:rPr>
            </w:pPr>
            <w:r>
              <w:rPr>
                <w:rFonts w:ascii="Arial" w:cs="Arial" w:eastAsia="Arial" w:hAnsi="Arial"/>
                <w:sz w:val="18"/>
                <w:szCs w:val="18"/>
                <w:color w:val="auto"/>
              </w:rPr>
              <w:t>Residential mortgage-backed pass-through securities</w:t>
            </w: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3,113.1</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59.0</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26.8</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3,145.3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Commercial mortgage-backed securities</w:t>
            </w: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5,404.7</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157.0</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30.9</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0.3</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5,530.5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tcPr>
          <w:p>
            <w:pPr>
              <w:spacing w:after="0"/>
              <w:rPr>
                <w:sz w:val="20"/>
                <w:szCs w:val="20"/>
                <w:color w:val="auto"/>
              </w:rPr>
            </w:pPr>
            <w:r>
              <w:rPr>
                <w:rFonts w:ascii="Arial" w:cs="Arial" w:eastAsia="Arial" w:hAnsi="Arial"/>
                <w:sz w:val="18"/>
                <w:szCs w:val="18"/>
                <w:color w:val="auto"/>
              </w:rPr>
              <w:t>Residential collateralized mortgage obligations</w:t>
            </w: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3,781.5</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92.4</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39.1</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3,834.8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Asset-backed securities — Home equity (1)</w:t>
            </w: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119.1</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12.0</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130.9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tcPr>
          <w:p>
            <w:pPr>
              <w:spacing w:after="0"/>
              <w:rPr>
                <w:sz w:val="20"/>
                <w:szCs w:val="20"/>
                <w:color w:val="auto"/>
              </w:rPr>
            </w:pPr>
            <w:r>
              <w:rPr>
                <w:rFonts w:ascii="Arial" w:cs="Arial" w:eastAsia="Arial" w:hAnsi="Arial"/>
                <w:sz w:val="18"/>
                <w:szCs w:val="18"/>
                <w:color w:val="auto"/>
              </w:rPr>
              <w:t>Asset-backed securities — All other</w:t>
            </w: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3,585.7</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26.7</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19.2</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3,593.2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Collateralized debt obligations — Credit</w:t>
            </w: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16.8</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tcPr>
          <w:p>
            <w:pPr>
              <w:spacing w:after="0"/>
              <w:rPr>
                <w:sz w:val="20"/>
                <w:szCs w:val="20"/>
                <w:color w:val="auto"/>
              </w:rPr>
            </w:pPr>
            <w:r>
              <w:rPr>
                <w:rFonts w:ascii="Arial" w:cs="Arial" w:eastAsia="Arial" w:hAnsi="Arial"/>
                <w:sz w:val="18"/>
                <w:szCs w:val="18"/>
                <w:color w:val="auto"/>
              </w:rPr>
              <w:t>Collateralized debt obligations — CMBS</w:t>
            </w:r>
          </w:p>
        </w:tc>
        <w:tc>
          <w:tcPr>
            <w:tcW w:w="120" w:type="dxa"/>
            <w:vAlign w:val="bottom"/>
          </w:tcPr>
          <w:p>
            <w:pPr>
              <w:spacing w:after="0"/>
              <w:rPr>
                <w:sz w:val="18"/>
                <w:szCs w:val="18"/>
                <w:color w:val="auto"/>
              </w:rPr>
            </w:pPr>
          </w:p>
        </w:tc>
        <w:tc>
          <w:tcPr>
            <w:tcW w:w="108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0.9</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0.9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Collateralized debt obligations — Loans</w:t>
            </w:r>
          </w:p>
        </w:tc>
        <w:tc>
          <w:tcPr>
            <w:tcW w:w="12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3,547.9</w:t>
            </w:r>
          </w:p>
        </w:tc>
        <w:tc>
          <w:tcPr>
            <w:tcW w:w="2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w:t>
            </w:r>
          </w:p>
        </w:tc>
        <w:tc>
          <w:tcPr>
            <w:tcW w:w="2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4.5</w:t>
            </w:r>
          </w:p>
        </w:tc>
        <w:tc>
          <w:tcPr>
            <w:tcW w:w="20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3,547.0</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400" w:type="dxa"/>
            <w:vAlign w:val="bottom"/>
            <w:gridSpan w:val="2"/>
          </w:tcPr>
          <w:p>
            <w:pPr>
              <w:ind w:left="100"/>
              <w:spacing w:after="0"/>
              <w:rPr>
                <w:sz w:val="20"/>
                <w:szCs w:val="20"/>
                <w:color w:val="auto"/>
              </w:rPr>
            </w:pPr>
            <w:r>
              <w:rPr>
                <w:rFonts w:ascii="Arial" w:cs="Arial" w:eastAsia="Arial" w:hAnsi="Arial"/>
                <w:sz w:val="18"/>
                <w:szCs w:val="18"/>
                <w:color w:val="auto"/>
                <w:w w:val="93"/>
              </w:rPr>
              <w:t>Total mortgage-backed and other asset-backed securities</w:t>
            </w: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19,568.8</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351.6</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125.7</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0.4</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19,794.3</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2460" w:type="dxa"/>
            <w:vAlign w:val="bottom"/>
            <w:shd w:val="clear" w:color="auto" w:fill="CCEEFF"/>
          </w:tcPr>
          <w:p>
            <w:pPr>
              <w:spacing w:after="0"/>
              <w:rPr>
                <w:sz w:val="18"/>
                <w:szCs w:val="18"/>
                <w:color w:val="auto"/>
              </w:rPr>
            </w:pPr>
          </w:p>
        </w:tc>
        <w:tc>
          <w:tcPr>
            <w:tcW w:w="19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400" w:type="dxa"/>
            <w:vAlign w:val="bottom"/>
            <w:gridSpan w:val="2"/>
          </w:tcPr>
          <w:p>
            <w:pPr>
              <w:spacing w:after="0"/>
              <w:rPr>
                <w:sz w:val="20"/>
                <w:szCs w:val="20"/>
                <w:color w:val="auto"/>
              </w:rPr>
            </w:pPr>
            <w:r>
              <w:rPr>
                <w:rFonts w:ascii="Arial" w:cs="Arial" w:eastAsia="Arial" w:hAnsi="Arial"/>
                <w:sz w:val="18"/>
                <w:szCs w:val="18"/>
                <w:color w:val="auto"/>
              </w:rPr>
              <w:t>U.S. government and agencies</w:t>
            </w: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1,957.7</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146.3</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37.4</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2,066.6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States and political subdivisions</w:t>
            </w: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8,272.0</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1,029.0</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16.6</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9,284.4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tcBorders>
              <w:bottom w:val="single" w:sz="8" w:color="CCEEFF"/>
            </w:tcBorders>
            <w:gridSpan w:val="2"/>
          </w:tcPr>
          <w:p>
            <w:pPr>
              <w:spacing w:after="0"/>
              <w:rPr>
                <w:sz w:val="20"/>
                <w:szCs w:val="20"/>
                <w:color w:val="auto"/>
              </w:rPr>
            </w:pPr>
            <w:r>
              <w:rPr>
                <w:rFonts w:ascii="Arial" w:cs="Arial" w:eastAsia="Arial" w:hAnsi="Arial"/>
                <w:sz w:val="18"/>
                <w:szCs w:val="18"/>
                <w:color w:val="auto"/>
              </w:rPr>
              <w:t>Non-U.S. governments</w:t>
            </w:r>
          </w:p>
        </w:tc>
        <w:tc>
          <w:tcPr>
            <w:tcW w:w="12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821.6</w:t>
            </w:r>
          </w:p>
        </w:tc>
        <w:tc>
          <w:tcPr>
            <w:tcW w:w="24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127.5</w:t>
            </w:r>
          </w:p>
        </w:tc>
        <w:tc>
          <w:tcPr>
            <w:tcW w:w="24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w:t>
            </w:r>
          </w:p>
        </w:tc>
        <w:tc>
          <w:tcPr>
            <w:tcW w:w="20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947.0</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4400" w:type="dxa"/>
            <w:vAlign w:val="bottom"/>
            <w:tcBorders>
              <w:bottom w:val="single" w:sz="8" w:color="CCEEFF"/>
            </w:tcBorders>
            <w:gridSpan w:val="2"/>
            <w:shd w:val="clear" w:color="auto" w:fill="CCEEFF"/>
          </w:tcPr>
          <w:p>
            <w:pPr>
              <w:ind w:left="100"/>
              <w:spacing w:after="0"/>
              <w:rPr>
                <w:sz w:val="20"/>
                <w:szCs w:val="20"/>
                <w:color w:val="auto"/>
              </w:rPr>
            </w:pPr>
            <w:r>
              <w:rPr>
                <w:rFonts w:ascii="Arial" w:cs="Arial" w:eastAsia="Arial" w:hAnsi="Arial"/>
                <w:sz w:val="18"/>
                <w:szCs w:val="18"/>
                <w:color w:val="auto"/>
              </w:rPr>
              <w:t>Total fixed maturities, available-for-sale</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70,106.6</w:t>
            </w:r>
          </w:p>
        </w:tc>
        <w:tc>
          <w:tcPr>
            <w:tcW w:w="24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5,416.7</w:t>
            </w:r>
          </w:p>
        </w:tc>
        <w:tc>
          <w:tcPr>
            <w:tcW w:w="24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309.3</w:t>
            </w:r>
          </w:p>
        </w:tc>
        <w:tc>
          <w:tcPr>
            <w:tcW w:w="20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4.9</w:t>
            </w:r>
          </w:p>
        </w:tc>
        <w:tc>
          <w:tcPr>
            <w:tcW w:w="22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75,209.1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c>
          <w:tcPr>
            <w:tcW w:w="19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2460" w:type="dxa"/>
            <w:vAlign w:val="bottom"/>
            <w:tcBorders>
              <w:bottom w:val="single" w:sz="8" w:color="auto"/>
            </w:tcBorders>
          </w:tcPr>
          <w:p>
            <w:pPr>
              <w:spacing w:after="0"/>
              <w:rPr>
                <w:sz w:val="7"/>
                <w:szCs w:val="7"/>
                <w:color w:val="auto"/>
              </w:rPr>
            </w:pPr>
          </w:p>
        </w:tc>
        <w:tc>
          <w:tcPr>
            <w:tcW w:w="1940" w:type="dxa"/>
            <w:vAlign w:val="bottom"/>
          </w:tcPr>
          <w:p>
            <w:pPr>
              <w:spacing w:after="0"/>
              <w:rPr>
                <w:sz w:val="7"/>
                <w:szCs w:val="7"/>
                <w:color w:val="auto"/>
              </w:rPr>
            </w:pPr>
          </w:p>
        </w:tc>
        <w:tc>
          <w:tcPr>
            <w:tcW w:w="120" w:type="dxa"/>
            <w:vAlign w:val="bottom"/>
          </w:tcPr>
          <w:p>
            <w:pPr>
              <w:spacing w:after="0"/>
              <w:rPr>
                <w:sz w:val="7"/>
                <w:szCs w:val="7"/>
                <w:color w:val="auto"/>
              </w:rPr>
            </w:pPr>
          </w:p>
        </w:tc>
        <w:tc>
          <w:tcPr>
            <w:tcW w:w="840" w:type="dxa"/>
            <w:vAlign w:val="bottom"/>
          </w:tcPr>
          <w:p>
            <w:pPr>
              <w:spacing w:after="0"/>
              <w:rPr>
                <w:sz w:val="7"/>
                <w:szCs w:val="7"/>
                <w:color w:val="auto"/>
              </w:rPr>
            </w:pPr>
          </w:p>
        </w:tc>
        <w:tc>
          <w:tcPr>
            <w:tcW w:w="240" w:type="dxa"/>
            <w:vAlign w:val="bottom"/>
          </w:tcPr>
          <w:p>
            <w:pPr>
              <w:spacing w:after="0"/>
              <w:rPr>
                <w:sz w:val="7"/>
                <w:szCs w:val="7"/>
                <w:color w:val="auto"/>
              </w:rPr>
            </w:pPr>
          </w:p>
        </w:tc>
        <w:tc>
          <w:tcPr>
            <w:tcW w:w="100" w:type="dxa"/>
            <w:vAlign w:val="bottom"/>
          </w:tcPr>
          <w:p>
            <w:pPr>
              <w:spacing w:after="0"/>
              <w:rPr>
                <w:sz w:val="7"/>
                <w:szCs w:val="7"/>
                <w:color w:val="auto"/>
              </w:rPr>
            </w:pPr>
          </w:p>
        </w:tc>
        <w:tc>
          <w:tcPr>
            <w:tcW w:w="760" w:type="dxa"/>
            <w:vAlign w:val="bottom"/>
          </w:tcPr>
          <w:p>
            <w:pPr>
              <w:spacing w:after="0"/>
              <w:rPr>
                <w:sz w:val="7"/>
                <w:szCs w:val="7"/>
                <w:color w:val="auto"/>
              </w:rPr>
            </w:pPr>
          </w:p>
        </w:tc>
        <w:tc>
          <w:tcPr>
            <w:tcW w:w="240" w:type="dxa"/>
            <w:vAlign w:val="bottom"/>
          </w:tcPr>
          <w:p>
            <w:pPr>
              <w:spacing w:after="0"/>
              <w:rPr>
                <w:sz w:val="7"/>
                <w:szCs w:val="7"/>
                <w:color w:val="auto"/>
              </w:rPr>
            </w:pPr>
          </w:p>
        </w:tc>
        <w:tc>
          <w:tcPr>
            <w:tcW w:w="100" w:type="dxa"/>
            <w:vAlign w:val="bottom"/>
          </w:tcPr>
          <w:p>
            <w:pPr>
              <w:spacing w:after="0"/>
              <w:rPr>
                <w:sz w:val="7"/>
                <w:szCs w:val="7"/>
                <w:color w:val="auto"/>
              </w:rPr>
            </w:pPr>
          </w:p>
        </w:tc>
        <w:tc>
          <w:tcPr>
            <w:tcW w:w="780" w:type="dxa"/>
            <w:vAlign w:val="bottom"/>
          </w:tcPr>
          <w:p>
            <w:pPr>
              <w:spacing w:after="0"/>
              <w:rPr>
                <w:sz w:val="7"/>
                <w:szCs w:val="7"/>
                <w:color w:val="auto"/>
              </w:rPr>
            </w:pPr>
          </w:p>
        </w:tc>
        <w:tc>
          <w:tcPr>
            <w:tcW w:w="200" w:type="dxa"/>
            <w:vAlign w:val="bottom"/>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Pr>
          <w:p>
            <w:pPr>
              <w:spacing w:after="0"/>
              <w:rPr>
                <w:sz w:val="7"/>
                <w:szCs w:val="7"/>
                <w:color w:val="auto"/>
              </w:rPr>
            </w:pPr>
          </w:p>
        </w:tc>
        <w:tc>
          <w:tcPr>
            <w:tcW w:w="220" w:type="dxa"/>
            <w:vAlign w:val="bottom"/>
          </w:tcPr>
          <w:p>
            <w:pPr>
              <w:spacing w:after="0"/>
              <w:rPr>
                <w:sz w:val="7"/>
                <w:szCs w:val="7"/>
                <w:color w:val="auto"/>
              </w:rPr>
            </w:pPr>
          </w:p>
        </w:tc>
        <w:tc>
          <w:tcPr>
            <w:tcW w:w="160" w:type="dxa"/>
            <w:vAlign w:val="bottom"/>
          </w:tcPr>
          <w:p>
            <w:pPr>
              <w:spacing w:after="0"/>
              <w:rPr>
                <w:sz w:val="7"/>
                <w:szCs w:val="7"/>
                <w:color w:val="auto"/>
              </w:rPr>
            </w:pPr>
          </w:p>
        </w:tc>
        <w:tc>
          <w:tcPr>
            <w:tcW w:w="82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80" w:lineRule="exact"/>
        <w:rPr>
          <w:sz w:val="20"/>
          <w:szCs w:val="20"/>
          <w:color w:val="auto"/>
        </w:rPr>
      </w:pPr>
    </w:p>
    <w:p>
      <w:pPr>
        <w:spacing w:after="0"/>
        <w:rPr>
          <w:sz w:val="20"/>
          <w:szCs w:val="20"/>
          <w:color w:val="auto"/>
        </w:rPr>
      </w:pPr>
      <w:r>
        <w:rPr>
          <w:rFonts w:ascii="Arial" w:cs="Arial" w:eastAsia="Arial" w:hAnsi="Arial"/>
          <w:sz w:val="18"/>
          <w:szCs w:val="18"/>
          <w:color w:val="auto"/>
        </w:rPr>
        <w:t>(1) This exposure is all related to sub-prime mortgage loans.</w:t>
      </w:r>
    </w:p>
    <w:p>
      <w:pPr>
        <w:spacing w:after="0" w:line="225" w:lineRule="exact"/>
        <w:rPr>
          <w:sz w:val="20"/>
          <w:szCs w:val="20"/>
          <w:color w:val="auto"/>
        </w:rPr>
      </w:pPr>
    </w:p>
    <w:p>
      <w:pPr>
        <w:ind w:right="100" w:firstLine="648"/>
        <w:spacing w:after="0" w:line="272" w:lineRule="auto"/>
        <w:rPr>
          <w:sz w:val="20"/>
          <w:szCs w:val="20"/>
          <w:color w:val="auto"/>
        </w:rPr>
      </w:pPr>
      <w:r>
        <w:rPr>
          <w:rFonts w:ascii="Arial" w:cs="Arial" w:eastAsia="Arial" w:hAnsi="Arial"/>
          <w:sz w:val="17"/>
          <w:szCs w:val="17"/>
          <w:color w:val="auto"/>
        </w:rPr>
        <w:t>Of the $3,751.2 million in gross unrealized losses as of June 30, 2022, $3.6 million in losses were attributed to securities scheduled to mature in one year or less, $192.7 million attributed to securities scheduled to mature between one to five years, $817.0 million attributed to securities scheduled to mature between five to ten years, $1,775.2 million attributed to securities scheduled to mature after ten years and $962.7 million related to mortgage-backed and other ABS that are not classified by maturity year. As of June 30, 2022, we were in a $3,260.6 million net unrealized loss position as compared to a $5,107.4 million net unrealized gain position as of December 31, 2021. The $8,368.0 million decrease in net unrealized gains for the six months ended June 30, 2022, can be attributed to an increase in interest rates plus widening of credit spreads.</w:t>
      </w:r>
    </w:p>
    <w:p>
      <w:pPr>
        <w:spacing w:after="0" w:line="177" w:lineRule="exact"/>
        <w:rPr>
          <w:sz w:val="20"/>
          <w:szCs w:val="20"/>
          <w:color w:val="auto"/>
        </w:rPr>
      </w:pPr>
    </w:p>
    <w:p>
      <w:pPr>
        <w:ind w:right="60" w:firstLine="648"/>
        <w:spacing w:after="0" w:line="259" w:lineRule="auto"/>
        <w:rPr>
          <w:sz w:val="20"/>
          <w:szCs w:val="20"/>
          <w:color w:val="auto"/>
        </w:rPr>
      </w:pPr>
      <w:r>
        <w:rPr>
          <w:rFonts w:ascii="Arial" w:cs="Arial" w:eastAsia="Arial" w:hAnsi="Arial"/>
          <w:sz w:val="18"/>
          <w:szCs w:val="18"/>
          <w:b w:val="1"/>
          <w:bCs w:val="1"/>
          <w:i w:val="1"/>
          <w:iCs w:val="1"/>
          <w:color w:val="auto"/>
        </w:rPr>
        <w:t xml:space="preserve">Fixed Maturities Available-For-Sale Unrealized Losses. </w:t>
      </w:r>
      <w:r>
        <w:rPr>
          <w:rFonts w:ascii="Arial" w:cs="Arial" w:eastAsia="Arial" w:hAnsi="Arial"/>
          <w:sz w:val="18"/>
          <w:szCs w:val="18"/>
          <w:color w:val="auto"/>
        </w:rPr>
        <w:t>We believe our long-term fixed maturities portfolio is well diversified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among industry types and between publicly traded and privately placed securities. Each year, we direct the majority of our net cash inflows into investment grade fixed maturities. Our current policy is to limit the percentage of fixed maturities invested in below investment grade assets to 15%.</w:t>
      </w:r>
    </w:p>
    <w:p>
      <w:pPr>
        <w:sectPr>
          <w:pgSz w:w="11900" w:h="16838" w:orient="portrait"/>
          <w:cols w:equalWidth="0" w:num="1">
            <w:col w:w="9920"/>
          </w:cols>
          <w:pgMar w:left="980" w:top="665" w:right="999" w:bottom="1440" w:gutter="0" w:footer="0" w:header="0"/>
        </w:sect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372110</wp:posOffset>
            </wp:positionV>
            <wp:extent cx="6292215" cy="2540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type w:val="continuous"/>
        </w:sectPr>
      </w:pPr>
    </w:p>
    <w:bookmarkStart w:id="120" w:name="page121"/>
    <w:bookmarkEnd w:id="120"/>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9" w:lineRule="exact"/>
        <w:rPr>
          <w:sz w:val="20"/>
          <w:szCs w:val="20"/>
          <w:color w:val="auto"/>
        </w:rPr>
      </w:pPr>
    </w:p>
    <w:p>
      <w:pPr>
        <w:ind w:right="60" w:firstLine="648"/>
        <w:spacing w:after="0" w:line="257" w:lineRule="auto"/>
        <w:rPr>
          <w:sz w:val="20"/>
          <w:szCs w:val="20"/>
          <w:color w:val="auto"/>
        </w:rPr>
      </w:pPr>
      <w:r>
        <w:rPr>
          <w:rFonts w:ascii="Arial" w:cs="Arial" w:eastAsia="Arial" w:hAnsi="Arial"/>
          <w:sz w:val="18"/>
          <w:szCs w:val="18"/>
          <w:color w:val="auto"/>
        </w:rPr>
        <w:t>We invest in privately placed fixed maturities to enhance the overall value of the portfolio, increase diversification and obtain higher yields than are possible with comparable quality public market securities. Generally, private placements provide broader access to management information, strengthened negotiated protective covenants, call protection features and, where applicable, a higher level of collateral. They are, however, generally not freely tradable because of restrictions imposed by U.S. federal and state securities laws and illiquid trading markets.</w:t>
      </w:r>
    </w:p>
    <w:p>
      <w:pPr>
        <w:spacing w:after="0" w:line="188" w:lineRule="exact"/>
        <w:rPr>
          <w:sz w:val="20"/>
          <w:szCs w:val="20"/>
          <w:color w:val="auto"/>
        </w:rPr>
      </w:pPr>
    </w:p>
    <w:p>
      <w:pPr>
        <w:ind w:right="220" w:firstLine="648"/>
        <w:spacing w:after="0" w:line="277" w:lineRule="auto"/>
        <w:rPr>
          <w:sz w:val="20"/>
          <w:szCs w:val="20"/>
          <w:color w:val="auto"/>
        </w:rPr>
      </w:pPr>
      <w:r>
        <w:rPr>
          <w:rFonts w:ascii="Arial" w:cs="Arial" w:eastAsia="Arial" w:hAnsi="Arial"/>
          <w:sz w:val="18"/>
          <w:szCs w:val="18"/>
          <w:color w:val="auto"/>
        </w:rPr>
        <w:t>The following table presents our fixed maturities available-for-sale by investment grade and below investment grade as of the periods indicated.</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17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2"/>
              </w:rPr>
              <w:t>June 30, 2022</w:t>
            </w:r>
          </w:p>
        </w:tc>
        <w:tc>
          <w:tcPr>
            <w:tcW w:w="16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660" w:type="dxa"/>
            <w:vAlign w:val="bottom"/>
            <w:tcBorders>
              <w:bottom w:val="single" w:sz="8" w:color="auto"/>
            </w:tcBorders>
            <w:gridSpan w:val="6"/>
          </w:tcPr>
          <w:p>
            <w:pPr>
              <w:jc w:val="center"/>
              <w:ind w:left="349"/>
              <w:spacing w:after="0"/>
              <w:rPr>
                <w:sz w:val="20"/>
                <w:szCs w:val="20"/>
                <w:color w:val="auto"/>
              </w:rPr>
            </w:pPr>
            <w:r>
              <w:rPr>
                <w:rFonts w:ascii="Arial" w:cs="Arial" w:eastAsia="Arial" w:hAnsi="Arial"/>
                <w:sz w:val="14"/>
                <w:szCs w:val="14"/>
                <w:b w:val="1"/>
                <w:bCs w:val="1"/>
                <w:color w:val="auto"/>
                <w:w w:val="91"/>
              </w:rPr>
              <w:t>December 31, 2021</w:t>
            </w:r>
          </w:p>
        </w:tc>
        <w:tc>
          <w:tcPr>
            <w:tcW w:w="4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17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82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Amortized</w:t>
            </w:r>
          </w:p>
        </w:tc>
        <w:tc>
          <w:tcPr>
            <w:tcW w:w="100" w:type="dxa"/>
            <w:vAlign w:val="bottom"/>
          </w:tcPr>
          <w:p>
            <w:pPr>
              <w:spacing w:after="0"/>
              <w:rPr>
                <w:sz w:val="10"/>
                <w:szCs w:val="10"/>
                <w:color w:val="auto"/>
              </w:rPr>
            </w:pPr>
          </w:p>
        </w:tc>
        <w:tc>
          <w:tcPr>
            <w:tcW w:w="540" w:type="dxa"/>
            <w:vAlign w:val="bottom"/>
          </w:tcPr>
          <w:p>
            <w:pPr>
              <w:jc w:val="right"/>
              <w:ind w:right="69"/>
              <w:spacing w:after="0" w:line="119" w:lineRule="exact"/>
              <w:rPr>
                <w:sz w:val="20"/>
                <w:szCs w:val="20"/>
                <w:color w:val="auto"/>
              </w:rPr>
            </w:pPr>
            <w:r>
              <w:rPr>
                <w:rFonts w:ascii="Arial" w:cs="Arial" w:eastAsia="Arial" w:hAnsi="Arial"/>
                <w:sz w:val="13"/>
                <w:szCs w:val="13"/>
                <w:b w:val="1"/>
                <w:bCs w:val="1"/>
                <w:color w:val="auto"/>
              </w:rPr>
              <w:t>Gross</w:t>
            </w:r>
          </w:p>
        </w:tc>
        <w:tc>
          <w:tcPr>
            <w:tcW w:w="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80" w:type="dxa"/>
            <w:vAlign w:val="bottom"/>
            <w:gridSpan w:val="2"/>
          </w:tcPr>
          <w:p>
            <w:pPr>
              <w:jc w:val="center"/>
              <w:ind w:right="240"/>
              <w:spacing w:after="0" w:line="119" w:lineRule="exact"/>
              <w:rPr>
                <w:sz w:val="20"/>
                <w:szCs w:val="20"/>
                <w:color w:val="auto"/>
              </w:rPr>
            </w:pPr>
            <w:r>
              <w:rPr>
                <w:rFonts w:ascii="Arial" w:cs="Arial" w:eastAsia="Arial" w:hAnsi="Arial"/>
                <w:sz w:val="13"/>
                <w:szCs w:val="13"/>
                <w:b w:val="1"/>
                <w:bCs w:val="1"/>
                <w:color w:val="auto"/>
                <w:w w:val="95"/>
              </w:rPr>
              <w:t>Gross</w:t>
            </w:r>
          </w:p>
        </w:tc>
        <w:tc>
          <w:tcPr>
            <w:tcW w:w="660" w:type="dxa"/>
            <w:vAlign w:val="bottom"/>
            <w:gridSpan w:val="2"/>
          </w:tcPr>
          <w:p>
            <w:pPr>
              <w:ind w:left="20"/>
              <w:spacing w:after="0" w:line="119" w:lineRule="exact"/>
              <w:rPr>
                <w:sz w:val="20"/>
                <w:szCs w:val="20"/>
                <w:color w:val="auto"/>
              </w:rPr>
            </w:pPr>
            <w:r>
              <w:rPr>
                <w:rFonts w:ascii="Arial" w:cs="Arial" w:eastAsia="Arial" w:hAnsi="Arial"/>
                <w:sz w:val="13"/>
                <w:szCs w:val="13"/>
                <w:b w:val="1"/>
                <w:bCs w:val="1"/>
                <w:color w:val="auto"/>
                <w:w w:val="96"/>
              </w:rPr>
              <w:t>Allowance</w:t>
            </w:r>
          </w:p>
        </w:tc>
        <w:tc>
          <w:tcPr>
            <w:tcW w:w="140" w:type="dxa"/>
            <w:vAlign w:val="bottom"/>
          </w:tcPr>
          <w:p>
            <w:pPr>
              <w:spacing w:after="0"/>
              <w:rPr>
                <w:sz w:val="10"/>
                <w:szCs w:val="10"/>
                <w:color w:val="auto"/>
              </w:rPr>
            </w:pPr>
          </w:p>
        </w:tc>
        <w:tc>
          <w:tcPr>
            <w:tcW w:w="82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Carrying</w:t>
            </w:r>
          </w:p>
        </w:tc>
        <w:tc>
          <w:tcPr>
            <w:tcW w:w="680" w:type="dxa"/>
            <w:vAlign w:val="bottom"/>
            <w:vMerge w:val="restart"/>
          </w:tcPr>
          <w:p>
            <w:pPr>
              <w:jc w:val="right"/>
              <w:spacing w:after="0"/>
              <w:rPr>
                <w:sz w:val="20"/>
                <w:szCs w:val="20"/>
                <w:color w:val="auto"/>
              </w:rPr>
            </w:pPr>
            <w:r>
              <w:rPr>
                <w:rFonts w:ascii="Arial" w:cs="Arial" w:eastAsia="Arial" w:hAnsi="Arial"/>
                <w:sz w:val="14"/>
                <w:szCs w:val="14"/>
                <w:b w:val="1"/>
                <w:bCs w:val="1"/>
                <w:color w:val="auto"/>
                <w:w w:val="96"/>
              </w:rPr>
              <w:t>Amortized</w:t>
            </w:r>
          </w:p>
        </w:tc>
        <w:tc>
          <w:tcPr>
            <w:tcW w:w="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80" w:type="dxa"/>
            <w:vAlign w:val="bottom"/>
            <w:gridSpan w:val="2"/>
          </w:tcPr>
          <w:p>
            <w:pPr>
              <w:ind w:left="40"/>
              <w:spacing w:after="0" w:line="119" w:lineRule="exact"/>
              <w:rPr>
                <w:sz w:val="20"/>
                <w:szCs w:val="20"/>
                <w:color w:val="auto"/>
              </w:rPr>
            </w:pPr>
            <w:r>
              <w:rPr>
                <w:rFonts w:ascii="Arial" w:cs="Arial" w:eastAsia="Arial" w:hAnsi="Arial"/>
                <w:sz w:val="13"/>
                <w:szCs w:val="13"/>
                <w:b w:val="1"/>
                <w:bCs w:val="1"/>
                <w:color w:val="auto"/>
              </w:rPr>
              <w:t>Gross</w:t>
            </w:r>
          </w:p>
        </w:tc>
        <w:tc>
          <w:tcPr>
            <w:tcW w:w="120" w:type="dxa"/>
            <w:vAlign w:val="bottom"/>
          </w:tcPr>
          <w:p>
            <w:pPr>
              <w:spacing w:after="0"/>
              <w:rPr>
                <w:sz w:val="10"/>
                <w:szCs w:val="10"/>
                <w:color w:val="auto"/>
              </w:rPr>
            </w:pPr>
          </w:p>
        </w:tc>
        <w:tc>
          <w:tcPr>
            <w:tcW w:w="700" w:type="dxa"/>
            <w:vAlign w:val="bottom"/>
            <w:gridSpan w:val="2"/>
          </w:tcPr>
          <w:p>
            <w:pPr>
              <w:jc w:val="center"/>
              <w:ind w:right="260"/>
              <w:spacing w:after="0" w:line="119" w:lineRule="exact"/>
              <w:rPr>
                <w:sz w:val="20"/>
                <w:szCs w:val="20"/>
                <w:color w:val="auto"/>
              </w:rPr>
            </w:pPr>
            <w:r>
              <w:rPr>
                <w:rFonts w:ascii="Arial" w:cs="Arial" w:eastAsia="Arial" w:hAnsi="Arial"/>
                <w:sz w:val="13"/>
                <w:szCs w:val="13"/>
                <w:b w:val="1"/>
                <w:bCs w:val="1"/>
                <w:color w:val="auto"/>
                <w:w w:val="95"/>
              </w:rPr>
              <w:t>Gross</w:t>
            </w:r>
          </w:p>
        </w:tc>
        <w:tc>
          <w:tcPr>
            <w:tcW w:w="640" w:type="dxa"/>
            <w:vAlign w:val="bottom"/>
            <w:gridSpan w:val="2"/>
          </w:tcPr>
          <w:p>
            <w:pPr>
              <w:spacing w:after="0" w:line="119" w:lineRule="exact"/>
              <w:rPr>
                <w:sz w:val="20"/>
                <w:szCs w:val="20"/>
                <w:color w:val="auto"/>
              </w:rPr>
            </w:pPr>
            <w:r>
              <w:rPr>
                <w:rFonts w:ascii="Arial" w:cs="Arial" w:eastAsia="Arial" w:hAnsi="Arial"/>
                <w:sz w:val="13"/>
                <w:szCs w:val="13"/>
                <w:b w:val="1"/>
                <w:bCs w:val="1"/>
                <w:color w:val="auto"/>
                <w:w w:val="96"/>
              </w:rPr>
              <w:t>Allowance</w:t>
            </w:r>
          </w:p>
        </w:tc>
        <w:tc>
          <w:tcPr>
            <w:tcW w:w="160" w:type="dxa"/>
            <w:vAlign w:val="bottom"/>
          </w:tcPr>
          <w:p>
            <w:pPr>
              <w:spacing w:after="0"/>
              <w:rPr>
                <w:sz w:val="10"/>
                <w:szCs w:val="10"/>
                <w:color w:val="auto"/>
              </w:rPr>
            </w:pPr>
          </w:p>
        </w:tc>
        <w:tc>
          <w:tcPr>
            <w:tcW w:w="70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rPr>
              <w:t>Carrying</w:t>
            </w:r>
          </w:p>
        </w:tc>
        <w:tc>
          <w:tcPr>
            <w:tcW w:w="0" w:type="dxa"/>
            <w:vAlign w:val="bottom"/>
          </w:tcPr>
          <w:p>
            <w:pPr>
              <w:spacing w:after="0"/>
              <w:rPr>
                <w:sz w:val="1"/>
                <w:szCs w:val="1"/>
                <w:color w:val="auto"/>
              </w:rPr>
            </w:pPr>
          </w:p>
        </w:tc>
      </w:tr>
      <w:tr>
        <w:trPr>
          <w:trHeight w:val="148"/>
        </w:trPr>
        <w:tc>
          <w:tcPr>
            <w:tcW w:w="17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20" w:type="dxa"/>
            <w:vAlign w:val="bottom"/>
            <w:gridSpan w:val="2"/>
            <w:vMerge w:val="continue"/>
          </w:tcPr>
          <w:p>
            <w:pPr>
              <w:spacing w:after="0"/>
              <w:rPr>
                <w:sz w:val="12"/>
                <w:szCs w:val="12"/>
                <w:color w:val="auto"/>
              </w:rPr>
            </w:pPr>
          </w:p>
        </w:tc>
        <w:tc>
          <w:tcPr>
            <w:tcW w:w="64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w w:val="89"/>
              </w:rPr>
              <w:t>unrealized</w:t>
            </w:r>
          </w:p>
        </w:tc>
        <w:tc>
          <w:tcPr>
            <w:tcW w:w="160" w:type="dxa"/>
            <w:vAlign w:val="bottom"/>
          </w:tcPr>
          <w:p>
            <w:pPr>
              <w:spacing w:after="0"/>
              <w:rPr>
                <w:sz w:val="12"/>
                <w:szCs w:val="12"/>
                <w:color w:val="auto"/>
              </w:rPr>
            </w:pPr>
          </w:p>
        </w:tc>
        <w:tc>
          <w:tcPr>
            <w:tcW w:w="780" w:type="dxa"/>
            <w:vAlign w:val="bottom"/>
            <w:gridSpan w:val="3"/>
          </w:tcPr>
          <w:p>
            <w:pPr>
              <w:jc w:val="center"/>
              <w:ind w:right="140"/>
              <w:spacing w:after="0" w:line="149" w:lineRule="exact"/>
              <w:rPr>
                <w:sz w:val="20"/>
                <w:szCs w:val="20"/>
                <w:color w:val="auto"/>
              </w:rPr>
            </w:pPr>
            <w:r>
              <w:rPr>
                <w:rFonts w:ascii="Arial" w:cs="Arial" w:eastAsia="Arial" w:hAnsi="Arial"/>
                <w:sz w:val="14"/>
                <w:szCs w:val="14"/>
                <w:b w:val="1"/>
                <w:bCs w:val="1"/>
                <w:color w:val="auto"/>
                <w:w w:val="92"/>
              </w:rPr>
              <w:t>unrealized</w:t>
            </w:r>
          </w:p>
        </w:tc>
        <w:tc>
          <w:tcPr>
            <w:tcW w:w="660" w:type="dxa"/>
            <w:vAlign w:val="bottom"/>
            <w:gridSpan w:val="2"/>
          </w:tcPr>
          <w:p>
            <w:pPr>
              <w:ind w:left="40"/>
              <w:spacing w:after="0" w:line="149" w:lineRule="exact"/>
              <w:rPr>
                <w:sz w:val="20"/>
                <w:szCs w:val="20"/>
                <w:color w:val="auto"/>
              </w:rPr>
            </w:pPr>
            <w:r>
              <w:rPr>
                <w:rFonts w:ascii="Arial" w:cs="Arial" w:eastAsia="Arial" w:hAnsi="Arial"/>
                <w:sz w:val="14"/>
                <w:szCs w:val="14"/>
                <w:b w:val="1"/>
                <w:bCs w:val="1"/>
                <w:color w:val="auto"/>
                <w:w w:val="98"/>
              </w:rPr>
              <w:t>for credit</w:t>
            </w:r>
          </w:p>
        </w:tc>
        <w:tc>
          <w:tcPr>
            <w:tcW w:w="140" w:type="dxa"/>
            <w:vAlign w:val="bottom"/>
          </w:tcPr>
          <w:p>
            <w:pPr>
              <w:spacing w:after="0"/>
              <w:rPr>
                <w:sz w:val="12"/>
                <w:szCs w:val="12"/>
                <w:color w:val="auto"/>
              </w:rPr>
            </w:pPr>
          </w:p>
        </w:tc>
        <w:tc>
          <w:tcPr>
            <w:tcW w:w="820" w:type="dxa"/>
            <w:vAlign w:val="bottom"/>
            <w:gridSpan w:val="2"/>
            <w:vMerge w:val="continue"/>
          </w:tcPr>
          <w:p>
            <w:pPr>
              <w:spacing w:after="0"/>
              <w:rPr>
                <w:sz w:val="12"/>
                <w:szCs w:val="12"/>
                <w:color w:val="auto"/>
              </w:rPr>
            </w:pPr>
          </w:p>
        </w:tc>
        <w:tc>
          <w:tcPr>
            <w:tcW w:w="680" w:type="dxa"/>
            <w:vAlign w:val="bottom"/>
            <w:vMerge w:val="continue"/>
          </w:tcPr>
          <w:p>
            <w:pPr>
              <w:spacing w:after="0"/>
              <w:rPr>
                <w:sz w:val="12"/>
                <w:szCs w:val="12"/>
                <w:color w:val="auto"/>
              </w:rPr>
            </w:pPr>
          </w:p>
        </w:tc>
        <w:tc>
          <w:tcPr>
            <w:tcW w:w="160" w:type="dxa"/>
            <w:vAlign w:val="bottom"/>
          </w:tcPr>
          <w:p>
            <w:pPr>
              <w:spacing w:after="0"/>
              <w:rPr>
                <w:sz w:val="12"/>
                <w:szCs w:val="12"/>
                <w:color w:val="auto"/>
              </w:rPr>
            </w:pPr>
          </w:p>
        </w:tc>
        <w:tc>
          <w:tcPr>
            <w:tcW w:w="78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unrealized</w:t>
            </w:r>
          </w:p>
        </w:tc>
        <w:tc>
          <w:tcPr>
            <w:tcW w:w="820" w:type="dxa"/>
            <w:vAlign w:val="bottom"/>
            <w:gridSpan w:val="3"/>
          </w:tcPr>
          <w:p>
            <w:pPr>
              <w:jc w:val="center"/>
              <w:ind w:right="140"/>
              <w:spacing w:after="0" w:line="149" w:lineRule="exact"/>
              <w:rPr>
                <w:sz w:val="20"/>
                <w:szCs w:val="20"/>
                <w:color w:val="auto"/>
              </w:rPr>
            </w:pPr>
            <w:r>
              <w:rPr>
                <w:rFonts w:ascii="Arial" w:cs="Arial" w:eastAsia="Arial" w:hAnsi="Arial"/>
                <w:sz w:val="14"/>
                <w:szCs w:val="14"/>
                <w:b w:val="1"/>
                <w:bCs w:val="1"/>
                <w:color w:val="auto"/>
                <w:w w:val="92"/>
              </w:rPr>
              <w:t>unrealized</w:t>
            </w:r>
          </w:p>
        </w:tc>
        <w:tc>
          <w:tcPr>
            <w:tcW w:w="6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w w:val="98"/>
              </w:rPr>
              <w:t>for credit</w:t>
            </w:r>
          </w:p>
        </w:tc>
        <w:tc>
          <w:tcPr>
            <w:tcW w:w="160" w:type="dxa"/>
            <w:vAlign w:val="bottom"/>
          </w:tcPr>
          <w:p>
            <w:pPr>
              <w:spacing w:after="0"/>
              <w:rPr>
                <w:sz w:val="12"/>
                <w:szCs w:val="12"/>
                <w:color w:val="auto"/>
              </w:rPr>
            </w:pPr>
          </w:p>
        </w:tc>
        <w:tc>
          <w:tcPr>
            <w:tcW w:w="70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17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6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b w:val="1"/>
                <w:bCs w:val="1"/>
                <w:color w:val="auto"/>
              </w:rPr>
              <w:t>cost</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right"/>
              <w:ind w:right="89"/>
              <w:spacing w:after="0"/>
              <w:rPr>
                <w:sz w:val="20"/>
                <w:szCs w:val="20"/>
                <w:color w:val="auto"/>
              </w:rPr>
            </w:pPr>
            <w:r>
              <w:rPr>
                <w:rFonts w:ascii="Arial" w:cs="Arial" w:eastAsia="Arial" w:hAnsi="Arial"/>
                <w:sz w:val="14"/>
                <w:szCs w:val="14"/>
                <w:b w:val="1"/>
                <w:bCs w:val="1"/>
                <w:color w:val="auto"/>
                <w:w w:val="98"/>
              </w:rPr>
              <w:t>gains</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center"/>
              <w:ind w:right="49"/>
              <w:spacing w:after="0"/>
              <w:rPr>
                <w:sz w:val="20"/>
                <w:szCs w:val="20"/>
                <w:color w:val="auto"/>
              </w:rPr>
            </w:pPr>
            <w:r>
              <w:rPr>
                <w:rFonts w:ascii="Arial" w:cs="Arial" w:eastAsia="Arial" w:hAnsi="Arial"/>
                <w:sz w:val="14"/>
                <w:szCs w:val="14"/>
                <w:b w:val="1"/>
                <w:bCs w:val="1"/>
                <w:color w:val="auto"/>
                <w:w w:val="77"/>
              </w:rPr>
              <w:t>losses</w:t>
            </w:r>
          </w:p>
        </w:tc>
        <w:tc>
          <w:tcPr>
            <w:tcW w:w="14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rPr>
              <w:t>loss</w:t>
            </w:r>
          </w:p>
        </w:tc>
        <w:tc>
          <w:tcPr>
            <w:tcW w:w="140" w:type="dxa"/>
            <w:vAlign w:val="bottom"/>
          </w:tcPr>
          <w:p>
            <w:pPr>
              <w:spacing w:after="0"/>
              <w:rPr>
                <w:sz w:val="14"/>
                <w:szCs w:val="14"/>
                <w:color w:val="auto"/>
              </w:rPr>
            </w:pP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b w:val="1"/>
                <w:bCs w:val="1"/>
                <w:color w:val="auto"/>
              </w:rPr>
              <w:t>amount</w:t>
            </w:r>
          </w:p>
        </w:tc>
        <w:tc>
          <w:tcPr>
            <w:tcW w:w="140" w:type="dxa"/>
            <w:vAlign w:val="bottom"/>
          </w:tcPr>
          <w:p>
            <w:pPr>
              <w:spacing w:after="0"/>
              <w:rPr>
                <w:sz w:val="14"/>
                <w:szCs w:val="14"/>
                <w:color w:val="auto"/>
              </w:rPr>
            </w:pPr>
          </w:p>
        </w:tc>
        <w:tc>
          <w:tcPr>
            <w:tcW w:w="68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b w:val="1"/>
                <w:bCs w:val="1"/>
                <w:color w:val="auto"/>
              </w:rPr>
              <w:t>cost</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right"/>
              <w:ind w:right="89"/>
              <w:spacing w:after="0"/>
              <w:rPr>
                <w:sz w:val="20"/>
                <w:szCs w:val="20"/>
                <w:color w:val="auto"/>
              </w:rPr>
            </w:pPr>
            <w:r>
              <w:rPr>
                <w:rFonts w:ascii="Arial" w:cs="Arial" w:eastAsia="Arial" w:hAnsi="Arial"/>
                <w:sz w:val="14"/>
                <w:szCs w:val="14"/>
                <w:b w:val="1"/>
                <w:bCs w:val="1"/>
                <w:color w:val="auto"/>
                <w:w w:val="98"/>
              </w:rPr>
              <w:t>gains</w:t>
            </w:r>
          </w:p>
        </w:tc>
        <w:tc>
          <w:tcPr>
            <w:tcW w:w="14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center"/>
              <w:ind w:right="49"/>
              <w:spacing w:after="0"/>
              <w:rPr>
                <w:sz w:val="20"/>
                <w:szCs w:val="20"/>
                <w:color w:val="auto"/>
              </w:rPr>
            </w:pPr>
            <w:r>
              <w:rPr>
                <w:rFonts w:ascii="Arial" w:cs="Arial" w:eastAsia="Arial" w:hAnsi="Arial"/>
                <w:sz w:val="14"/>
                <w:szCs w:val="14"/>
                <w:b w:val="1"/>
                <w:bCs w:val="1"/>
                <w:color w:val="auto"/>
                <w:w w:val="82"/>
              </w:rPr>
              <w:t>losses</w:t>
            </w:r>
          </w:p>
        </w:tc>
        <w:tc>
          <w:tcPr>
            <w:tcW w:w="14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b w:val="1"/>
                <w:bCs w:val="1"/>
                <w:color w:val="auto"/>
                <w:w w:val="92"/>
              </w:rPr>
              <w:t>loss</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w w:val="90"/>
              </w:rPr>
              <w:t>amount</w:t>
            </w:r>
          </w:p>
        </w:tc>
        <w:tc>
          <w:tcPr>
            <w:tcW w:w="0" w:type="dxa"/>
            <w:vAlign w:val="bottom"/>
          </w:tcPr>
          <w:p>
            <w:pPr>
              <w:spacing w:after="0"/>
              <w:rPr>
                <w:sz w:val="1"/>
                <w:szCs w:val="1"/>
                <w:color w:val="auto"/>
              </w:rPr>
            </w:pPr>
          </w:p>
        </w:tc>
      </w:tr>
      <w:tr>
        <w:trPr>
          <w:trHeight w:val="128"/>
        </w:trPr>
        <w:tc>
          <w:tcPr>
            <w:tcW w:w="17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500" w:type="dxa"/>
            <w:vAlign w:val="bottom"/>
            <w:gridSpan w:val="3"/>
          </w:tcPr>
          <w:p>
            <w:pPr>
              <w:jc w:val="right"/>
              <w:ind w:right="308"/>
              <w:spacing w:after="0" w:line="129" w:lineRule="exact"/>
              <w:rPr>
                <w:sz w:val="20"/>
                <w:szCs w:val="20"/>
                <w:color w:val="auto"/>
              </w:rPr>
            </w:pPr>
            <w:r>
              <w:rPr>
                <w:rFonts w:ascii="Arial" w:cs="Arial" w:eastAsia="Arial" w:hAnsi="Arial"/>
                <w:sz w:val="14"/>
                <w:szCs w:val="14"/>
                <w:i w:val="1"/>
                <w:iCs w:val="1"/>
                <w:color w:val="auto"/>
              </w:rPr>
              <w:t>(in millions)</w:t>
            </w: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17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Investment grade:</w:t>
            </w:r>
          </w:p>
        </w:tc>
        <w:tc>
          <w:tcPr>
            <w:tcW w:w="26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1700" w:type="dxa"/>
            <w:vAlign w:val="bottom"/>
          </w:tcPr>
          <w:p>
            <w:pPr>
              <w:ind w:left="120"/>
              <w:spacing w:after="0" w:line="149" w:lineRule="exact"/>
              <w:rPr>
                <w:sz w:val="20"/>
                <w:szCs w:val="20"/>
                <w:color w:val="auto"/>
              </w:rPr>
            </w:pPr>
            <w:r>
              <w:rPr>
                <w:rFonts w:ascii="Arial" w:cs="Arial" w:eastAsia="Arial" w:hAnsi="Arial"/>
                <w:sz w:val="14"/>
                <w:szCs w:val="14"/>
                <w:color w:val="auto"/>
              </w:rPr>
              <w:t>Public</w:t>
            </w:r>
          </w:p>
        </w:tc>
        <w:tc>
          <w:tcPr>
            <w:tcW w:w="9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$ 26,462.9</w:t>
            </w:r>
          </w:p>
        </w:tc>
        <w:tc>
          <w:tcPr>
            <w:tcW w:w="160" w:type="dxa"/>
            <w:vAlign w:val="bottom"/>
          </w:tcPr>
          <w:p>
            <w:pPr>
              <w:spacing w:after="0"/>
              <w:rPr>
                <w:sz w:val="12"/>
                <w:szCs w:val="12"/>
                <w:color w:val="auto"/>
              </w:rPr>
            </w:pPr>
          </w:p>
        </w:tc>
        <w:tc>
          <w:tcPr>
            <w:tcW w:w="100" w:type="dxa"/>
            <w:vAlign w:val="bottom"/>
          </w:tcPr>
          <w:p>
            <w:pPr>
              <w:spacing w:after="0" w:line="149" w:lineRule="exact"/>
              <w:rPr>
                <w:sz w:val="20"/>
                <w:szCs w:val="20"/>
                <w:color w:val="auto"/>
              </w:rPr>
            </w:pPr>
            <w:r>
              <w:rPr>
                <w:rFonts w:ascii="Arial" w:cs="Arial" w:eastAsia="Arial" w:hAnsi="Arial"/>
                <w:sz w:val="14"/>
                <w:szCs w:val="14"/>
                <w:b w:val="1"/>
                <w:bCs w:val="1"/>
                <w:color w:val="auto"/>
              </w:rPr>
              <w:t>$</w:t>
            </w: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376.5</w:t>
            </w:r>
          </w:p>
        </w:tc>
        <w:tc>
          <w:tcPr>
            <w:tcW w:w="2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w w:val="98"/>
              </w:rPr>
              <w:t>1,984.2</w:t>
            </w:r>
          </w:p>
        </w:tc>
        <w:tc>
          <w:tcPr>
            <w:tcW w:w="140" w:type="dxa"/>
            <w:vAlign w:val="bottom"/>
          </w:tcPr>
          <w:p>
            <w:pPr>
              <w:spacing w:after="0"/>
              <w:rPr>
                <w:sz w:val="12"/>
                <w:szCs w:val="12"/>
                <w:color w:val="auto"/>
              </w:rPr>
            </w:pPr>
          </w:p>
        </w:tc>
        <w:tc>
          <w:tcPr>
            <w:tcW w:w="160" w:type="dxa"/>
            <w:vAlign w:val="bottom"/>
          </w:tcPr>
          <w:p>
            <w:pPr>
              <w:ind w:left="20"/>
              <w:spacing w:after="0" w:line="149" w:lineRule="exact"/>
              <w:rPr>
                <w:sz w:val="20"/>
                <w:szCs w:val="20"/>
                <w:color w:val="auto"/>
              </w:rPr>
            </w:pPr>
            <w:r>
              <w:rPr>
                <w:rFonts w:ascii="Arial" w:cs="Arial" w:eastAsia="Arial" w:hAnsi="Arial"/>
                <w:sz w:val="14"/>
                <w:szCs w:val="14"/>
                <w:b w:val="1"/>
                <w:bCs w:val="1"/>
                <w:color w:val="auto"/>
              </w:rPr>
              <w:t>$</w:t>
            </w:r>
          </w:p>
        </w:tc>
        <w:tc>
          <w:tcPr>
            <w:tcW w:w="500" w:type="dxa"/>
            <w:vAlign w:val="bottom"/>
          </w:tcPr>
          <w:p>
            <w:pPr>
              <w:ind w:left="300"/>
              <w:spacing w:after="0" w:line="149" w:lineRule="exact"/>
              <w:rPr>
                <w:sz w:val="20"/>
                <w:szCs w:val="20"/>
                <w:color w:val="auto"/>
              </w:rPr>
            </w:pPr>
            <w:r>
              <w:rPr>
                <w:rFonts w:ascii="Arial" w:cs="Arial" w:eastAsia="Arial" w:hAnsi="Arial"/>
                <w:sz w:val="14"/>
                <w:szCs w:val="14"/>
                <w:b w:val="1"/>
                <w:bCs w:val="1"/>
                <w:color w:val="auto"/>
              </w:rPr>
              <w:t>—</w:t>
            </w:r>
          </w:p>
        </w:tc>
        <w:tc>
          <w:tcPr>
            <w:tcW w:w="8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$ 24,855.2</w:t>
            </w:r>
          </w:p>
        </w:tc>
        <w:tc>
          <w:tcPr>
            <w:tcW w:w="14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w w:val="93"/>
              </w:rPr>
              <w:t>$ 41,401.6</w:t>
            </w:r>
          </w:p>
        </w:tc>
        <w:tc>
          <w:tcPr>
            <w:tcW w:w="260" w:type="dxa"/>
            <w:vAlign w:val="bottom"/>
            <w:gridSpan w:val="2"/>
          </w:tcPr>
          <w:p>
            <w:pPr>
              <w:ind w:left="160"/>
              <w:spacing w:after="0" w:line="149" w:lineRule="exact"/>
              <w:rPr>
                <w:sz w:val="20"/>
                <w:szCs w:val="20"/>
                <w:color w:val="auto"/>
              </w:rPr>
            </w:pPr>
            <w:r>
              <w:rPr>
                <w:rFonts w:ascii="Arial" w:cs="Arial" w:eastAsia="Arial" w:hAnsi="Arial"/>
                <w:sz w:val="14"/>
                <w:szCs w:val="14"/>
                <w:color w:val="auto"/>
              </w:rPr>
              <w:t>$</w:t>
            </w: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w w:val="98"/>
              </w:rPr>
              <w:t>4,000.6</w:t>
            </w:r>
          </w:p>
        </w:tc>
        <w:tc>
          <w:tcPr>
            <w:tcW w:w="140" w:type="dxa"/>
            <w:vAlign w:val="bottom"/>
          </w:tcPr>
          <w:p>
            <w:pPr>
              <w:spacing w:after="0"/>
              <w:rPr>
                <w:sz w:val="12"/>
                <w:szCs w:val="12"/>
                <w:color w:val="auto"/>
              </w:rPr>
            </w:pPr>
          </w:p>
        </w:tc>
        <w:tc>
          <w:tcPr>
            <w:tcW w:w="12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179.3</w:t>
            </w:r>
          </w:p>
        </w:tc>
        <w:tc>
          <w:tcPr>
            <w:tcW w:w="140" w:type="dxa"/>
            <w:vAlign w:val="bottom"/>
          </w:tcPr>
          <w:p>
            <w:pPr>
              <w:spacing w:after="0"/>
              <w:rPr>
                <w:sz w:val="12"/>
                <w:szCs w:val="12"/>
                <w:color w:val="auto"/>
              </w:rPr>
            </w:pPr>
          </w:p>
        </w:tc>
        <w:tc>
          <w:tcPr>
            <w:tcW w:w="160" w:type="dxa"/>
            <w:vAlign w:val="bottom"/>
          </w:tcPr>
          <w:p>
            <w:pPr>
              <w:spacing w:after="0" w:line="149" w:lineRule="exact"/>
              <w:rPr>
                <w:sz w:val="20"/>
                <w:szCs w:val="20"/>
                <w:color w:val="auto"/>
              </w:rPr>
            </w:pPr>
            <w:r>
              <w:rPr>
                <w:rFonts w:ascii="Arial" w:cs="Arial" w:eastAsia="Arial" w:hAnsi="Arial"/>
                <w:sz w:val="14"/>
                <w:szCs w:val="14"/>
                <w:color w:val="auto"/>
              </w:rPr>
              <w:t>$</w:t>
            </w:r>
          </w:p>
        </w:tc>
        <w:tc>
          <w:tcPr>
            <w:tcW w:w="480" w:type="dxa"/>
            <w:vAlign w:val="bottom"/>
          </w:tcPr>
          <w:p>
            <w:pPr>
              <w:jc w:val="right"/>
              <w:spacing w:after="0" w:line="149" w:lineRule="exact"/>
              <w:rPr>
                <w:sz w:val="20"/>
                <w:szCs w:val="20"/>
                <w:color w:val="auto"/>
              </w:rPr>
            </w:pPr>
            <w:r>
              <w:rPr>
                <w:rFonts w:ascii="Arial" w:cs="Arial" w:eastAsia="Arial" w:hAnsi="Arial"/>
                <w:sz w:val="14"/>
                <w:szCs w:val="14"/>
                <w:color w:val="auto"/>
              </w:rPr>
              <w:t>0.2</w:t>
            </w:r>
          </w:p>
        </w:tc>
        <w:tc>
          <w:tcPr>
            <w:tcW w:w="2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600" w:type="dxa"/>
            <w:vAlign w:val="bottom"/>
          </w:tcPr>
          <w:p>
            <w:pPr>
              <w:jc w:val="right"/>
              <w:spacing w:after="0" w:line="149" w:lineRule="exact"/>
              <w:rPr>
                <w:sz w:val="20"/>
                <w:szCs w:val="20"/>
                <w:color w:val="auto"/>
              </w:rPr>
            </w:pPr>
            <w:r>
              <w:rPr>
                <w:rFonts w:ascii="Arial" w:cs="Arial" w:eastAsia="Arial" w:hAnsi="Arial"/>
                <w:sz w:val="14"/>
                <w:szCs w:val="14"/>
                <w:color w:val="auto"/>
                <w:w w:val="95"/>
              </w:rPr>
              <w:t>45,222.7</w:t>
            </w:r>
          </w:p>
        </w:tc>
        <w:tc>
          <w:tcPr>
            <w:tcW w:w="0" w:type="dxa"/>
            <w:vAlign w:val="bottom"/>
          </w:tcPr>
          <w:p>
            <w:pPr>
              <w:spacing w:after="0"/>
              <w:rPr>
                <w:sz w:val="1"/>
                <w:szCs w:val="1"/>
                <w:color w:val="auto"/>
              </w:rPr>
            </w:pPr>
          </w:p>
        </w:tc>
      </w:tr>
      <w:tr>
        <w:trPr>
          <w:trHeight w:val="148"/>
        </w:trPr>
        <w:tc>
          <w:tcPr>
            <w:tcW w:w="170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Private</w:t>
            </w:r>
          </w:p>
        </w:tc>
        <w:tc>
          <w:tcPr>
            <w:tcW w:w="9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18,765.3</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99.8</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w w:val="98"/>
              </w:rPr>
              <w:t>1,474.0</w:t>
            </w:r>
          </w:p>
        </w:tc>
        <w:tc>
          <w:tcPr>
            <w:tcW w:w="1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00" w:type="dxa"/>
            <w:vAlign w:val="bottom"/>
            <w:shd w:val="clear" w:color="auto" w:fill="CCEEFF"/>
          </w:tcPr>
          <w:p>
            <w:pPr>
              <w:ind w:left="300"/>
              <w:spacing w:after="0" w:line="149" w:lineRule="exact"/>
              <w:rPr>
                <w:sz w:val="20"/>
                <w:szCs w:val="20"/>
                <w:color w:val="auto"/>
              </w:rPr>
            </w:pPr>
            <w:r>
              <w:rPr>
                <w:rFonts w:ascii="Arial" w:cs="Arial" w:eastAsia="Arial" w:hAnsi="Arial"/>
                <w:sz w:val="14"/>
                <w:szCs w:val="14"/>
                <w:b w:val="1"/>
                <w:bCs w:val="1"/>
                <w:color w:val="auto"/>
              </w:rPr>
              <w:t>—</w:t>
            </w:r>
          </w:p>
        </w:tc>
        <w:tc>
          <w:tcPr>
            <w:tcW w:w="8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17,391.1</w:t>
            </w:r>
          </w:p>
        </w:tc>
        <w:tc>
          <w:tcPr>
            <w:tcW w:w="14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24,557.3</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8"/>
              </w:rPr>
              <w:t>1,276.7</w:t>
            </w:r>
          </w:p>
        </w:tc>
        <w:tc>
          <w:tcPr>
            <w:tcW w:w="1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94.8</w:t>
            </w:r>
          </w:p>
        </w:tc>
        <w:tc>
          <w:tcPr>
            <w:tcW w:w="1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5"/>
              </w:rPr>
              <w:t>25,739.2</w:t>
            </w:r>
          </w:p>
        </w:tc>
        <w:tc>
          <w:tcPr>
            <w:tcW w:w="0" w:type="dxa"/>
            <w:vAlign w:val="bottom"/>
          </w:tcPr>
          <w:p>
            <w:pPr>
              <w:spacing w:after="0"/>
              <w:rPr>
                <w:sz w:val="1"/>
                <w:szCs w:val="1"/>
                <w:color w:val="auto"/>
              </w:rPr>
            </w:pPr>
          </w:p>
        </w:tc>
      </w:tr>
      <w:tr>
        <w:trPr>
          <w:trHeight w:val="149"/>
        </w:trPr>
        <w:tc>
          <w:tcPr>
            <w:tcW w:w="1700" w:type="dxa"/>
            <w:vAlign w:val="bottom"/>
          </w:tcPr>
          <w:p>
            <w:pPr>
              <w:spacing w:after="0" w:line="149" w:lineRule="exact"/>
              <w:rPr>
                <w:sz w:val="20"/>
                <w:szCs w:val="20"/>
                <w:color w:val="auto"/>
              </w:rPr>
            </w:pPr>
            <w:r>
              <w:rPr>
                <w:rFonts w:ascii="Arial" w:cs="Arial" w:eastAsia="Arial" w:hAnsi="Arial"/>
                <w:sz w:val="14"/>
                <w:szCs w:val="14"/>
                <w:color w:val="auto"/>
              </w:rPr>
              <w:t>Below investment grade:</w:t>
            </w:r>
          </w:p>
        </w:tc>
        <w:tc>
          <w:tcPr>
            <w:tcW w:w="2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170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Public</w:t>
            </w:r>
          </w:p>
        </w:tc>
        <w:tc>
          <w:tcPr>
            <w:tcW w:w="9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808.6</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11.2</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89.8</w:t>
            </w:r>
          </w:p>
        </w:tc>
        <w:tc>
          <w:tcPr>
            <w:tcW w:w="1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00" w:type="dxa"/>
            <w:vAlign w:val="bottom"/>
            <w:shd w:val="clear" w:color="auto" w:fill="CCEEFF"/>
          </w:tcPr>
          <w:p>
            <w:pPr>
              <w:ind w:left="300"/>
              <w:spacing w:after="0" w:line="149" w:lineRule="exact"/>
              <w:rPr>
                <w:sz w:val="20"/>
                <w:szCs w:val="20"/>
                <w:color w:val="auto"/>
              </w:rPr>
            </w:pPr>
            <w:r>
              <w:rPr>
                <w:rFonts w:ascii="Arial" w:cs="Arial" w:eastAsia="Arial" w:hAnsi="Arial"/>
                <w:sz w:val="14"/>
                <w:szCs w:val="14"/>
                <w:b w:val="1"/>
                <w:bCs w:val="1"/>
                <w:color w:val="auto"/>
              </w:rPr>
              <w:t>—</w:t>
            </w:r>
          </w:p>
        </w:tc>
        <w:tc>
          <w:tcPr>
            <w:tcW w:w="8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730.0</w:t>
            </w:r>
          </w:p>
        </w:tc>
        <w:tc>
          <w:tcPr>
            <w:tcW w:w="14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1,428.4</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90.8</w:t>
            </w:r>
          </w:p>
        </w:tc>
        <w:tc>
          <w:tcPr>
            <w:tcW w:w="1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8.9</w:t>
            </w:r>
          </w:p>
        </w:tc>
        <w:tc>
          <w:tcPr>
            <w:tcW w:w="1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1,510.3</w:t>
            </w:r>
          </w:p>
        </w:tc>
        <w:tc>
          <w:tcPr>
            <w:tcW w:w="0" w:type="dxa"/>
            <w:vAlign w:val="bottom"/>
          </w:tcPr>
          <w:p>
            <w:pPr>
              <w:spacing w:after="0"/>
              <w:rPr>
                <w:sz w:val="1"/>
                <w:szCs w:val="1"/>
                <w:color w:val="auto"/>
              </w:rPr>
            </w:pPr>
          </w:p>
        </w:tc>
      </w:tr>
      <w:tr>
        <w:trPr>
          <w:trHeight w:val="148"/>
        </w:trPr>
        <w:tc>
          <w:tcPr>
            <w:tcW w:w="1700" w:type="dxa"/>
            <w:vAlign w:val="bottom"/>
            <w:tcBorders>
              <w:bottom w:val="single" w:sz="8" w:color="CCEEFF"/>
            </w:tcBorders>
          </w:tcPr>
          <w:p>
            <w:pPr>
              <w:ind w:left="120"/>
              <w:spacing w:after="0" w:line="149" w:lineRule="exact"/>
              <w:rPr>
                <w:sz w:val="20"/>
                <w:szCs w:val="20"/>
                <w:color w:val="auto"/>
              </w:rPr>
            </w:pPr>
            <w:r>
              <w:rPr>
                <w:rFonts w:ascii="Arial" w:cs="Arial" w:eastAsia="Arial" w:hAnsi="Arial"/>
                <w:sz w:val="14"/>
                <w:szCs w:val="14"/>
                <w:color w:val="auto"/>
              </w:rPr>
              <w:t>Private</w:t>
            </w:r>
          </w:p>
        </w:tc>
        <w:tc>
          <w:tcPr>
            <w:tcW w:w="260" w:type="dxa"/>
            <w:vAlign w:val="bottom"/>
            <w:tcBorders>
              <w:bottom w:val="single" w:sz="8" w:color="CCEEFF"/>
            </w:tcBorders>
          </w:tcPr>
          <w:p>
            <w:pPr>
              <w:spacing w:after="0"/>
              <w:rPr>
                <w:sz w:val="12"/>
                <w:szCs w:val="12"/>
                <w:color w:val="auto"/>
              </w:rPr>
            </w:pPr>
          </w:p>
        </w:tc>
        <w:tc>
          <w:tcPr>
            <w:tcW w:w="6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2,306.0</w:t>
            </w:r>
          </w:p>
        </w:tc>
        <w:tc>
          <w:tcPr>
            <w:tcW w:w="16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3.1</w:t>
            </w:r>
          </w:p>
        </w:tc>
        <w:tc>
          <w:tcPr>
            <w:tcW w:w="16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203.2</w:t>
            </w:r>
          </w:p>
        </w:tc>
        <w:tc>
          <w:tcPr>
            <w:tcW w:w="140" w:type="dxa"/>
            <w:vAlign w:val="bottom"/>
            <w:tcBorders>
              <w:bottom w:val="single" w:sz="8" w:color="CCEEFF"/>
            </w:tcBorders>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ind w:left="300"/>
              <w:spacing w:after="0" w:line="149" w:lineRule="exact"/>
              <w:rPr>
                <w:sz w:val="20"/>
                <w:szCs w:val="20"/>
                <w:color w:val="auto"/>
              </w:rPr>
            </w:pPr>
            <w:r>
              <w:rPr>
                <w:rFonts w:ascii="Arial" w:cs="Arial" w:eastAsia="Arial" w:hAnsi="Arial"/>
                <w:sz w:val="14"/>
                <w:szCs w:val="14"/>
                <w:b w:val="1"/>
                <w:bCs w:val="1"/>
                <w:color w:val="auto"/>
              </w:rPr>
              <w:t>—</w:t>
            </w:r>
          </w:p>
        </w:tc>
        <w:tc>
          <w:tcPr>
            <w:tcW w:w="140" w:type="dxa"/>
            <w:vAlign w:val="bottom"/>
            <w:tcBorders>
              <w:bottom w:val="single" w:sz="8" w:color="CCEEFF"/>
            </w:tcBorders>
          </w:tcPr>
          <w:p>
            <w:pPr>
              <w:spacing w:after="0"/>
              <w:rPr>
                <w:sz w:val="12"/>
                <w:szCs w:val="12"/>
                <w:color w:val="auto"/>
              </w:rPr>
            </w:pPr>
          </w:p>
        </w:tc>
        <w:tc>
          <w:tcPr>
            <w:tcW w:w="6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2,105.9</w:t>
            </w:r>
          </w:p>
        </w:tc>
        <w:tc>
          <w:tcPr>
            <w:tcW w:w="140" w:type="dxa"/>
            <w:vAlign w:val="bottom"/>
            <w:tcBorders>
              <w:bottom w:val="single" w:sz="8" w:color="CCEEFF"/>
            </w:tcBorders>
          </w:tcPr>
          <w:p>
            <w:pPr>
              <w:spacing w:after="0"/>
              <w:rPr>
                <w:sz w:val="12"/>
                <w:szCs w:val="12"/>
                <w:color w:val="auto"/>
              </w:rPr>
            </w:pPr>
          </w:p>
        </w:tc>
        <w:tc>
          <w:tcPr>
            <w:tcW w:w="6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2,719.3</w:t>
            </w:r>
          </w:p>
        </w:tc>
        <w:tc>
          <w:tcPr>
            <w:tcW w:w="16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48.6</w:t>
            </w:r>
          </w:p>
        </w:tc>
        <w:tc>
          <w:tcPr>
            <w:tcW w:w="140" w:type="dxa"/>
            <w:vAlign w:val="bottom"/>
            <w:tcBorders>
              <w:bottom w:val="single" w:sz="8" w:color="CCEEFF"/>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26.3</w:t>
            </w:r>
          </w:p>
        </w:tc>
        <w:tc>
          <w:tcPr>
            <w:tcW w:w="140" w:type="dxa"/>
            <w:vAlign w:val="bottom"/>
            <w:tcBorders>
              <w:bottom w:val="single" w:sz="8" w:color="CCEEFF"/>
            </w:tcBorders>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4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4.7</w:t>
            </w:r>
          </w:p>
        </w:tc>
        <w:tc>
          <w:tcPr>
            <w:tcW w:w="16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2,736.9</w:t>
            </w:r>
          </w:p>
        </w:tc>
        <w:tc>
          <w:tcPr>
            <w:tcW w:w="0" w:type="dxa"/>
            <w:vAlign w:val="bottom"/>
          </w:tcPr>
          <w:p>
            <w:pPr>
              <w:spacing w:after="0"/>
              <w:rPr>
                <w:sz w:val="1"/>
                <w:szCs w:val="1"/>
                <w:color w:val="auto"/>
              </w:rPr>
            </w:pPr>
          </w:p>
        </w:tc>
      </w:tr>
      <w:tr>
        <w:trPr>
          <w:trHeight w:val="110"/>
        </w:trPr>
        <w:tc>
          <w:tcPr>
            <w:tcW w:w="1700" w:type="dxa"/>
            <w:vAlign w:val="bottom"/>
            <w:shd w:val="clear" w:color="auto" w:fill="CCEEFF"/>
          </w:tcPr>
          <w:p>
            <w:pPr>
              <w:spacing w:after="0" w:line="110" w:lineRule="exact"/>
              <w:rPr>
                <w:sz w:val="20"/>
                <w:szCs w:val="20"/>
                <w:color w:val="auto"/>
              </w:rPr>
            </w:pPr>
            <w:r>
              <w:rPr>
                <w:rFonts w:ascii="Arial" w:cs="Arial" w:eastAsia="Arial" w:hAnsi="Arial"/>
                <w:sz w:val="12"/>
                <w:szCs w:val="12"/>
                <w:color w:val="auto"/>
              </w:rPr>
              <w:t>Total fixed maturities,</w:t>
            </w:r>
          </w:p>
        </w:tc>
        <w:tc>
          <w:tcPr>
            <w:tcW w:w="920" w:type="dxa"/>
            <w:vAlign w:val="bottom"/>
            <w:gridSpan w:val="2"/>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$ 48,342.8</w:t>
            </w:r>
          </w:p>
        </w:tc>
        <w:tc>
          <w:tcPr>
            <w:tcW w:w="160" w:type="dxa"/>
            <w:vAlign w:val="bottom"/>
            <w:shd w:val="clear" w:color="auto" w:fill="CCEEFF"/>
          </w:tcPr>
          <w:p>
            <w:pPr>
              <w:spacing w:after="0"/>
              <w:rPr>
                <w:sz w:val="9"/>
                <w:szCs w:val="9"/>
                <w:color w:val="auto"/>
              </w:rPr>
            </w:pPr>
          </w:p>
        </w:tc>
        <w:tc>
          <w:tcPr>
            <w:tcW w:w="100" w:type="dxa"/>
            <w:vAlign w:val="bottom"/>
            <w:vMerge w:val="restart"/>
            <w:shd w:val="clear" w:color="auto" w:fill="CCEEFF"/>
          </w:tcPr>
          <w:p>
            <w:pPr>
              <w:spacing w:after="0"/>
              <w:rPr>
                <w:sz w:val="20"/>
                <w:szCs w:val="20"/>
                <w:color w:val="auto"/>
              </w:rPr>
            </w:pPr>
            <w:r>
              <w:rPr>
                <w:rFonts w:ascii="Arial" w:cs="Arial" w:eastAsia="Arial" w:hAnsi="Arial"/>
                <w:sz w:val="14"/>
                <w:szCs w:val="14"/>
                <w:b w:val="1"/>
                <w:bCs w:val="1"/>
                <w:color w:val="auto"/>
              </w:rPr>
              <w:t>$</w:t>
            </w:r>
          </w:p>
        </w:tc>
        <w:tc>
          <w:tcPr>
            <w:tcW w:w="54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490.6</w:t>
            </w:r>
          </w:p>
        </w:tc>
        <w:tc>
          <w:tcPr>
            <w:tcW w:w="260" w:type="dxa"/>
            <w:vAlign w:val="bottom"/>
            <w:gridSpan w:val="2"/>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54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w w:val="98"/>
              </w:rPr>
              <w:t>3,751.2</w:t>
            </w:r>
          </w:p>
        </w:tc>
        <w:tc>
          <w:tcPr>
            <w:tcW w:w="140" w:type="dxa"/>
            <w:vAlign w:val="bottom"/>
            <w:shd w:val="clear" w:color="auto" w:fill="CCEEFF"/>
          </w:tcPr>
          <w:p>
            <w:pPr>
              <w:spacing w:after="0"/>
              <w:rPr>
                <w:sz w:val="9"/>
                <w:szCs w:val="9"/>
                <w:color w:val="auto"/>
              </w:rPr>
            </w:pPr>
          </w:p>
        </w:tc>
        <w:tc>
          <w:tcPr>
            <w:tcW w:w="160" w:type="dxa"/>
            <w:vAlign w:val="bottom"/>
            <w:vMerge w:val="restart"/>
            <w:shd w:val="clear" w:color="auto" w:fill="CCEEFF"/>
          </w:tcPr>
          <w:p>
            <w:pPr>
              <w:ind w:left="20"/>
              <w:spacing w:after="0"/>
              <w:rPr>
                <w:sz w:val="20"/>
                <w:szCs w:val="20"/>
                <w:color w:val="auto"/>
              </w:rPr>
            </w:pPr>
            <w:r>
              <w:rPr>
                <w:rFonts w:ascii="Arial" w:cs="Arial" w:eastAsia="Arial" w:hAnsi="Arial"/>
                <w:sz w:val="14"/>
                <w:szCs w:val="14"/>
                <w:b w:val="1"/>
                <w:bCs w:val="1"/>
                <w:color w:val="auto"/>
              </w:rPr>
              <w:t>$</w:t>
            </w:r>
          </w:p>
        </w:tc>
        <w:tc>
          <w:tcPr>
            <w:tcW w:w="500" w:type="dxa"/>
            <w:vAlign w:val="bottom"/>
            <w:vMerge w:val="restart"/>
            <w:shd w:val="clear" w:color="auto" w:fill="CCEEFF"/>
          </w:tcPr>
          <w:p>
            <w:pPr>
              <w:ind w:left="300"/>
              <w:spacing w:after="0"/>
              <w:rPr>
                <w:sz w:val="20"/>
                <w:szCs w:val="20"/>
                <w:color w:val="auto"/>
              </w:rPr>
            </w:pPr>
            <w:r>
              <w:rPr>
                <w:rFonts w:ascii="Arial" w:cs="Arial" w:eastAsia="Arial" w:hAnsi="Arial"/>
                <w:sz w:val="14"/>
                <w:szCs w:val="14"/>
                <w:b w:val="1"/>
                <w:bCs w:val="1"/>
                <w:color w:val="auto"/>
              </w:rPr>
              <w:t>—</w:t>
            </w:r>
          </w:p>
        </w:tc>
        <w:tc>
          <w:tcPr>
            <w:tcW w:w="820" w:type="dxa"/>
            <w:vAlign w:val="bottom"/>
            <w:gridSpan w:val="2"/>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$ 45,082.2</w:t>
            </w:r>
          </w:p>
        </w:tc>
        <w:tc>
          <w:tcPr>
            <w:tcW w:w="140" w:type="dxa"/>
            <w:vAlign w:val="bottom"/>
            <w:shd w:val="clear" w:color="auto" w:fill="CCEEFF"/>
          </w:tcPr>
          <w:p>
            <w:pPr>
              <w:spacing w:after="0"/>
              <w:rPr>
                <w:sz w:val="9"/>
                <w:szCs w:val="9"/>
                <w:color w:val="auto"/>
              </w:rPr>
            </w:pPr>
          </w:p>
        </w:tc>
        <w:tc>
          <w:tcPr>
            <w:tcW w:w="6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w w:val="93"/>
              </w:rPr>
              <w:t>$ 70,106.6</w:t>
            </w:r>
          </w:p>
        </w:tc>
        <w:tc>
          <w:tcPr>
            <w:tcW w:w="260" w:type="dxa"/>
            <w:vAlign w:val="bottom"/>
            <w:gridSpan w:val="2"/>
            <w:vMerge w:val="restart"/>
            <w:shd w:val="clear" w:color="auto" w:fill="CCEEFF"/>
          </w:tcPr>
          <w:p>
            <w:pPr>
              <w:ind w:left="160"/>
              <w:spacing w:after="0"/>
              <w:rPr>
                <w:sz w:val="20"/>
                <w:szCs w:val="20"/>
                <w:color w:val="auto"/>
              </w:rPr>
            </w:pPr>
            <w:r>
              <w:rPr>
                <w:rFonts w:ascii="Arial" w:cs="Arial" w:eastAsia="Arial" w:hAnsi="Arial"/>
                <w:sz w:val="14"/>
                <w:szCs w:val="14"/>
                <w:color w:val="auto"/>
              </w:rPr>
              <w:t>$</w:t>
            </w:r>
          </w:p>
        </w:tc>
        <w:tc>
          <w:tcPr>
            <w:tcW w:w="5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w w:val="98"/>
              </w:rPr>
              <w:t>5,416.7</w:t>
            </w:r>
          </w:p>
        </w:tc>
        <w:tc>
          <w:tcPr>
            <w:tcW w:w="140" w:type="dxa"/>
            <w:vAlign w:val="bottom"/>
            <w:shd w:val="clear" w:color="auto" w:fill="CCEEFF"/>
          </w:tcPr>
          <w:p>
            <w:pPr>
              <w:spacing w:after="0"/>
              <w:rPr>
                <w:sz w:val="9"/>
                <w:szCs w:val="9"/>
                <w:color w:val="auto"/>
              </w:rPr>
            </w:pP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5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309.3</w:t>
            </w:r>
          </w:p>
        </w:tc>
        <w:tc>
          <w:tcPr>
            <w:tcW w:w="140" w:type="dxa"/>
            <w:vAlign w:val="bottom"/>
            <w:shd w:val="clear" w:color="auto" w:fill="CCEEFF"/>
          </w:tcPr>
          <w:p>
            <w:pPr>
              <w:spacing w:after="0"/>
              <w:rPr>
                <w:sz w:val="9"/>
                <w:szCs w:val="9"/>
                <w:color w:val="auto"/>
              </w:rPr>
            </w:pPr>
          </w:p>
        </w:tc>
        <w:tc>
          <w:tcPr>
            <w:tcW w:w="160" w:type="dxa"/>
            <w:vAlign w:val="bottom"/>
            <w:vMerge w:val="restart"/>
            <w:shd w:val="clear" w:color="auto" w:fill="CCEEFF"/>
          </w:tcPr>
          <w:p>
            <w:pPr>
              <w:spacing w:after="0"/>
              <w:rPr>
                <w:sz w:val="20"/>
                <w:szCs w:val="20"/>
                <w:color w:val="auto"/>
              </w:rPr>
            </w:pPr>
            <w:r>
              <w:rPr>
                <w:rFonts w:ascii="Arial" w:cs="Arial" w:eastAsia="Arial" w:hAnsi="Arial"/>
                <w:sz w:val="14"/>
                <w:szCs w:val="14"/>
                <w:color w:val="auto"/>
              </w:rPr>
              <w:t>$</w:t>
            </w:r>
          </w:p>
        </w:tc>
        <w:tc>
          <w:tcPr>
            <w:tcW w:w="4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4.9</w:t>
            </w:r>
          </w:p>
        </w:tc>
        <w:tc>
          <w:tcPr>
            <w:tcW w:w="260" w:type="dxa"/>
            <w:vAlign w:val="bottom"/>
            <w:gridSpan w:val="2"/>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w w:val="95"/>
              </w:rPr>
              <w:t>75,209.1</w:t>
            </w:r>
          </w:p>
        </w:tc>
        <w:tc>
          <w:tcPr>
            <w:tcW w:w="0" w:type="dxa"/>
            <w:vAlign w:val="bottom"/>
          </w:tcPr>
          <w:p>
            <w:pPr>
              <w:spacing w:after="0"/>
              <w:rPr>
                <w:sz w:val="1"/>
                <w:szCs w:val="1"/>
                <w:color w:val="auto"/>
              </w:rPr>
            </w:pPr>
          </w:p>
        </w:tc>
      </w:tr>
      <w:tr>
        <w:trPr>
          <w:trHeight w:val="154"/>
        </w:trPr>
        <w:tc>
          <w:tcPr>
            <w:tcW w:w="1700" w:type="dxa"/>
            <w:vAlign w:val="bottom"/>
            <w:shd w:val="clear" w:color="auto" w:fill="CCEEFF"/>
          </w:tcPr>
          <w:p>
            <w:pPr>
              <w:ind w:left="140"/>
              <w:spacing w:after="0" w:line="154" w:lineRule="exact"/>
              <w:rPr>
                <w:sz w:val="20"/>
                <w:szCs w:val="20"/>
                <w:color w:val="auto"/>
              </w:rPr>
            </w:pPr>
            <w:r>
              <w:rPr>
                <w:rFonts w:ascii="Arial" w:cs="Arial" w:eastAsia="Arial" w:hAnsi="Arial"/>
                <w:sz w:val="14"/>
                <w:szCs w:val="14"/>
                <w:color w:val="auto"/>
              </w:rPr>
              <w:t>available-for-sale</w:t>
            </w:r>
          </w:p>
        </w:tc>
        <w:tc>
          <w:tcPr>
            <w:tcW w:w="920" w:type="dxa"/>
            <w:vAlign w:val="bottom"/>
            <w:gridSpan w:val="2"/>
            <w:vMerge w:val="continue"/>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100" w:type="dxa"/>
            <w:vAlign w:val="bottom"/>
            <w:vMerge w:val="continue"/>
            <w:shd w:val="clear" w:color="auto" w:fill="CCEEFF"/>
          </w:tcPr>
          <w:p>
            <w:pPr>
              <w:spacing w:after="0"/>
              <w:rPr>
                <w:sz w:val="13"/>
                <w:szCs w:val="13"/>
                <w:color w:val="auto"/>
              </w:rPr>
            </w:pPr>
          </w:p>
        </w:tc>
        <w:tc>
          <w:tcPr>
            <w:tcW w:w="540" w:type="dxa"/>
            <w:vAlign w:val="bottom"/>
            <w:vMerge w:val="continue"/>
            <w:shd w:val="clear" w:color="auto" w:fill="CCEEFF"/>
          </w:tcPr>
          <w:p>
            <w:pPr>
              <w:spacing w:after="0"/>
              <w:rPr>
                <w:sz w:val="13"/>
                <w:szCs w:val="13"/>
                <w:color w:val="auto"/>
              </w:rPr>
            </w:pPr>
          </w:p>
        </w:tc>
        <w:tc>
          <w:tcPr>
            <w:tcW w:w="260" w:type="dxa"/>
            <w:vAlign w:val="bottom"/>
            <w:gridSpan w:val="2"/>
            <w:vMerge w:val="continue"/>
            <w:shd w:val="clear" w:color="auto" w:fill="CCEEFF"/>
          </w:tcPr>
          <w:p>
            <w:pPr>
              <w:spacing w:after="0"/>
              <w:rPr>
                <w:sz w:val="13"/>
                <w:szCs w:val="13"/>
                <w:color w:val="auto"/>
              </w:rPr>
            </w:pPr>
          </w:p>
        </w:tc>
        <w:tc>
          <w:tcPr>
            <w:tcW w:w="540" w:type="dxa"/>
            <w:vAlign w:val="bottom"/>
            <w:vMerge w:val="continue"/>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60" w:type="dxa"/>
            <w:vAlign w:val="bottom"/>
            <w:vMerge w:val="continue"/>
            <w:shd w:val="clear" w:color="auto" w:fill="CCEEFF"/>
          </w:tcPr>
          <w:p>
            <w:pPr>
              <w:spacing w:after="0"/>
              <w:rPr>
                <w:sz w:val="13"/>
                <w:szCs w:val="13"/>
                <w:color w:val="auto"/>
              </w:rPr>
            </w:pPr>
          </w:p>
        </w:tc>
        <w:tc>
          <w:tcPr>
            <w:tcW w:w="500" w:type="dxa"/>
            <w:vAlign w:val="bottom"/>
            <w:vMerge w:val="continue"/>
            <w:shd w:val="clear" w:color="auto" w:fill="CCEEFF"/>
          </w:tcPr>
          <w:p>
            <w:pPr>
              <w:spacing w:after="0"/>
              <w:rPr>
                <w:sz w:val="13"/>
                <w:szCs w:val="13"/>
                <w:color w:val="auto"/>
              </w:rPr>
            </w:pPr>
          </w:p>
        </w:tc>
        <w:tc>
          <w:tcPr>
            <w:tcW w:w="820" w:type="dxa"/>
            <w:vAlign w:val="bottom"/>
            <w:gridSpan w:val="2"/>
            <w:vMerge w:val="continue"/>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680" w:type="dxa"/>
            <w:vAlign w:val="bottom"/>
            <w:vMerge w:val="continue"/>
            <w:shd w:val="clear" w:color="auto" w:fill="CCEEFF"/>
          </w:tcPr>
          <w:p>
            <w:pPr>
              <w:spacing w:after="0"/>
              <w:rPr>
                <w:sz w:val="13"/>
                <w:szCs w:val="13"/>
                <w:color w:val="auto"/>
              </w:rPr>
            </w:pPr>
          </w:p>
        </w:tc>
        <w:tc>
          <w:tcPr>
            <w:tcW w:w="260" w:type="dxa"/>
            <w:vAlign w:val="bottom"/>
            <w:gridSpan w:val="2"/>
            <w:vMerge w:val="continue"/>
            <w:shd w:val="clear" w:color="auto" w:fill="CCEEFF"/>
          </w:tcPr>
          <w:p>
            <w:pPr>
              <w:spacing w:after="0"/>
              <w:rPr>
                <w:sz w:val="13"/>
                <w:szCs w:val="13"/>
                <w:color w:val="auto"/>
              </w:rPr>
            </w:pPr>
          </w:p>
        </w:tc>
        <w:tc>
          <w:tcPr>
            <w:tcW w:w="540" w:type="dxa"/>
            <w:vAlign w:val="bottom"/>
            <w:vMerge w:val="continue"/>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20" w:type="dxa"/>
            <w:vAlign w:val="bottom"/>
            <w:vMerge w:val="continue"/>
            <w:shd w:val="clear" w:color="auto" w:fill="CCEEFF"/>
          </w:tcPr>
          <w:p>
            <w:pPr>
              <w:spacing w:after="0"/>
              <w:rPr>
                <w:sz w:val="13"/>
                <w:szCs w:val="13"/>
                <w:color w:val="auto"/>
              </w:rPr>
            </w:pPr>
          </w:p>
        </w:tc>
        <w:tc>
          <w:tcPr>
            <w:tcW w:w="560" w:type="dxa"/>
            <w:vAlign w:val="bottom"/>
            <w:vMerge w:val="continue"/>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60" w:type="dxa"/>
            <w:vAlign w:val="bottom"/>
            <w:vMerge w:val="continue"/>
            <w:shd w:val="clear" w:color="auto" w:fill="CCEEFF"/>
          </w:tcPr>
          <w:p>
            <w:pPr>
              <w:spacing w:after="0"/>
              <w:rPr>
                <w:sz w:val="13"/>
                <w:szCs w:val="13"/>
                <w:color w:val="auto"/>
              </w:rPr>
            </w:pPr>
          </w:p>
        </w:tc>
        <w:tc>
          <w:tcPr>
            <w:tcW w:w="480" w:type="dxa"/>
            <w:vAlign w:val="bottom"/>
            <w:vMerge w:val="continue"/>
            <w:shd w:val="clear" w:color="auto" w:fill="CCEEFF"/>
          </w:tcPr>
          <w:p>
            <w:pPr>
              <w:spacing w:after="0"/>
              <w:rPr>
                <w:sz w:val="13"/>
                <w:szCs w:val="13"/>
                <w:color w:val="auto"/>
              </w:rPr>
            </w:pPr>
          </w:p>
        </w:tc>
        <w:tc>
          <w:tcPr>
            <w:tcW w:w="260" w:type="dxa"/>
            <w:vAlign w:val="bottom"/>
            <w:gridSpan w:val="2"/>
            <w:vMerge w:val="continue"/>
            <w:shd w:val="clear" w:color="auto" w:fill="CCEEFF"/>
          </w:tcPr>
          <w:p>
            <w:pPr>
              <w:spacing w:after="0"/>
              <w:rPr>
                <w:sz w:val="13"/>
                <w:szCs w:val="13"/>
                <w:color w:val="auto"/>
              </w:rPr>
            </w:pPr>
          </w:p>
        </w:tc>
        <w:tc>
          <w:tcPr>
            <w:tcW w:w="600" w:type="dxa"/>
            <w:vAlign w:val="bottom"/>
            <w:vMerge w:val="continue"/>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17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firstLine="648"/>
        <w:spacing w:after="0" w:line="263" w:lineRule="auto"/>
        <w:rPr>
          <w:sz w:val="20"/>
          <w:szCs w:val="20"/>
          <w:color w:val="auto"/>
        </w:rPr>
      </w:pPr>
      <w:r>
        <w:rPr>
          <w:rFonts w:ascii="Arial" w:cs="Arial" w:eastAsia="Arial" w:hAnsi="Arial"/>
          <w:sz w:val="18"/>
          <w:szCs w:val="18"/>
          <w:color w:val="auto"/>
        </w:rPr>
        <w:t>The following tables present the fair value and the gross unrealized losses on our fixed maturities available-for-sale for which an allowance for credit loss has not been recorded by investment category and length of time that individual securities have been in a continuous unrealized loss position as of June 30, 2022 and December 31, 2021, respectively.</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48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860" w:type="dxa"/>
            <w:vAlign w:val="bottom"/>
            <w:tcBorders>
              <w:bottom w:val="single" w:sz="8" w:color="auto"/>
            </w:tcBorders>
            <w:gridSpan w:val="5"/>
          </w:tcPr>
          <w:p>
            <w:pPr>
              <w:jc w:val="center"/>
              <w:ind w:right="340"/>
              <w:spacing w:after="0"/>
              <w:rPr>
                <w:sz w:val="20"/>
                <w:szCs w:val="20"/>
                <w:color w:val="auto"/>
              </w:rPr>
            </w:pPr>
            <w:r>
              <w:rPr>
                <w:rFonts w:ascii="Arial" w:cs="Arial" w:eastAsia="Arial" w:hAnsi="Arial"/>
                <w:sz w:val="14"/>
                <w:szCs w:val="14"/>
                <w:b w:val="1"/>
                <w:bCs w:val="1"/>
                <w:color w:val="auto"/>
                <w:w w:val="92"/>
              </w:rPr>
              <w:t>June 30, 2022</w:t>
            </w:r>
          </w:p>
        </w:tc>
        <w:tc>
          <w:tcPr>
            <w:tcW w:w="14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480" w:type="dxa"/>
            <w:vAlign w:val="bottom"/>
          </w:tcPr>
          <w:p>
            <w:pPr>
              <w:spacing w:after="0"/>
              <w:rPr>
                <w:sz w:val="10"/>
                <w:szCs w:val="10"/>
                <w:color w:val="auto"/>
              </w:rPr>
            </w:pPr>
          </w:p>
        </w:tc>
        <w:tc>
          <w:tcPr>
            <w:tcW w:w="14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920" w:type="dxa"/>
            <w:vAlign w:val="bottom"/>
            <w:gridSpan w:val="5"/>
          </w:tcPr>
          <w:p>
            <w:pPr>
              <w:jc w:val="center"/>
              <w:ind w:right="320"/>
              <w:spacing w:after="0" w:line="119" w:lineRule="exact"/>
              <w:rPr>
                <w:sz w:val="20"/>
                <w:szCs w:val="20"/>
                <w:color w:val="auto"/>
              </w:rPr>
            </w:pPr>
            <w:r>
              <w:rPr>
                <w:rFonts w:ascii="Arial" w:cs="Arial" w:eastAsia="Arial" w:hAnsi="Arial"/>
                <w:sz w:val="13"/>
                <w:szCs w:val="13"/>
                <w:b w:val="1"/>
                <w:bCs w:val="1"/>
                <w:color w:val="auto"/>
                <w:w w:val="98"/>
              </w:rPr>
              <w:t>Less than</w:t>
            </w:r>
          </w:p>
        </w:tc>
        <w:tc>
          <w:tcPr>
            <w:tcW w:w="160" w:type="dxa"/>
            <w:vAlign w:val="bottom"/>
          </w:tcPr>
          <w:p>
            <w:pPr>
              <w:spacing w:after="0"/>
              <w:rPr>
                <w:sz w:val="10"/>
                <w:szCs w:val="10"/>
                <w:color w:val="auto"/>
              </w:rPr>
            </w:pPr>
          </w:p>
        </w:tc>
        <w:tc>
          <w:tcPr>
            <w:tcW w:w="1860" w:type="dxa"/>
            <w:vAlign w:val="bottom"/>
            <w:gridSpan w:val="5"/>
          </w:tcPr>
          <w:p>
            <w:pPr>
              <w:jc w:val="center"/>
              <w:ind w:right="340"/>
              <w:spacing w:after="0" w:line="119" w:lineRule="exact"/>
              <w:rPr>
                <w:sz w:val="20"/>
                <w:szCs w:val="20"/>
                <w:color w:val="auto"/>
              </w:rPr>
            </w:pPr>
            <w:r>
              <w:rPr>
                <w:rFonts w:ascii="Arial" w:cs="Arial" w:eastAsia="Arial" w:hAnsi="Arial"/>
                <w:sz w:val="13"/>
                <w:szCs w:val="13"/>
                <w:b w:val="1"/>
                <w:bCs w:val="1"/>
                <w:color w:val="auto"/>
              </w:rPr>
              <w:t>Greater than or</w:t>
            </w:r>
          </w:p>
        </w:tc>
        <w:tc>
          <w:tcPr>
            <w:tcW w:w="140" w:type="dxa"/>
            <w:vAlign w:val="bottom"/>
          </w:tcPr>
          <w:p>
            <w:pPr>
              <w:spacing w:after="0"/>
              <w:rPr>
                <w:sz w:val="10"/>
                <w:szCs w:val="10"/>
                <w:color w:val="auto"/>
              </w:rPr>
            </w:pPr>
          </w:p>
        </w:tc>
        <w:tc>
          <w:tcPr>
            <w:tcW w:w="1000" w:type="dxa"/>
            <w:vAlign w:val="bottom"/>
            <w:gridSpan w:val="4"/>
            <w:vMerge w:val="restart"/>
          </w:tcPr>
          <w:p>
            <w:pPr>
              <w:jc w:val="right"/>
              <w:spacing w:after="0"/>
              <w:rPr>
                <w:sz w:val="20"/>
                <w:szCs w:val="20"/>
                <w:color w:val="auto"/>
              </w:rPr>
            </w:pPr>
            <w:r>
              <w:rPr>
                <w:rFonts w:ascii="Arial" w:cs="Arial" w:eastAsia="Arial" w:hAnsi="Arial"/>
                <w:sz w:val="14"/>
                <w:szCs w:val="14"/>
                <w:b w:val="1"/>
                <w:bCs w:val="1"/>
                <w:color w:val="auto"/>
              </w:rPr>
              <w:t>Total</w:t>
            </w:r>
          </w:p>
        </w:tc>
        <w:tc>
          <w:tcPr>
            <w:tcW w:w="7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248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920" w:type="dxa"/>
            <w:vAlign w:val="bottom"/>
            <w:gridSpan w:val="5"/>
          </w:tcPr>
          <w:p>
            <w:pPr>
              <w:jc w:val="center"/>
              <w:ind w:right="320"/>
              <w:spacing w:after="0"/>
              <w:rPr>
                <w:sz w:val="20"/>
                <w:szCs w:val="20"/>
                <w:color w:val="auto"/>
              </w:rPr>
            </w:pPr>
            <w:r>
              <w:rPr>
                <w:rFonts w:ascii="Arial" w:cs="Arial" w:eastAsia="Arial" w:hAnsi="Arial"/>
                <w:sz w:val="14"/>
                <w:szCs w:val="14"/>
                <w:b w:val="1"/>
                <w:bCs w:val="1"/>
                <w:color w:val="auto"/>
                <w:w w:val="90"/>
              </w:rPr>
              <w:t>twelve months</w:t>
            </w:r>
          </w:p>
        </w:tc>
        <w:tc>
          <w:tcPr>
            <w:tcW w:w="160" w:type="dxa"/>
            <w:vAlign w:val="bottom"/>
          </w:tcPr>
          <w:p>
            <w:pPr>
              <w:spacing w:after="0"/>
              <w:rPr>
                <w:sz w:val="14"/>
                <w:szCs w:val="14"/>
                <w:color w:val="auto"/>
              </w:rPr>
            </w:pPr>
          </w:p>
        </w:tc>
        <w:tc>
          <w:tcPr>
            <w:tcW w:w="1860" w:type="dxa"/>
            <w:vAlign w:val="bottom"/>
            <w:gridSpan w:val="5"/>
          </w:tcPr>
          <w:p>
            <w:pPr>
              <w:jc w:val="center"/>
              <w:ind w:right="340"/>
              <w:spacing w:after="0"/>
              <w:rPr>
                <w:sz w:val="20"/>
                <w:szCs w:val="20"/>
                <w:color w:val="auto"/>
              </w:rPr>
            </w:pPr>
            <w:r>
              <w:rPr>
                <w:rFonts w:ascii="Arial" w:cs="Arial" w:eastAsia="Arial" w:hAnsi="Arial"/>
                <w:sz w:val="14"/>
                <w:szCs w:val="14"/>
                <w:b w:val="1"/>
                <w:bCs w:val="1"/>
                <w:color w:val="auto"/>
                <w:w w:val="90"/>
              </w:rPr>
              <w:t>equal to twelve months</w:t>
            </w:r>
          </w:p>
        </w:tc>
        <w:tc>
          <w:tcPr>
            <w:tcW w:w="140" w:type="dxa"/>
            <w:vAlign w:val="bottom"/>
          </w:tcPr>
          <w:p>
            <w:pPr>
              <w:spacing w:after="0"/>
              <w:rPr>
                <w:sz w:val="14"/>
                <w:szCs w:val="14"/>
                <w:color w:val="auto"/>
              </w:rPr>
            </w:pPr>
          </w:p>
        </w:tc>
        <w:tc>
          <w:tcPr>
            <w:tcW w:w="1000" w:type="dxa"/>
            <w:vAlign w:val="bottom"/>
            <w:gridSpan w:val="4"/>
            <w:vMerge w:val="continue"/>
          </w:tcPr>
          <w:p>
            <w:pPr>
              <w:spacing w:after="0"/>
              <w:rPr>
                <w:sz w:val="14"/>
                <w:szCs w:val="14"/>
                <w:color w:val="auto"/>
              </w:rPr>
            </w:pPr>
          </w:p>
        </w:tc>
        <w:tc>
          <w:tcPr>
            <w:tcW w:w="7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480" w:type="dxa"/>
            <w:vAlign w:val="bottom"/>
          </w:tcPr>
          <w:p>
            <w:pPr>
              <w:spacing w:after="0"/>
              <w:rPr>
                <w:sz w:val="10"/>
                <w:szCs w:val="10"/>
                <w:color w:val="auto"/>
              </w:rPr>
            </w:pPr>
          </w:p>
        </w:tc>
        <w:tc>
          <w:tcPr>
            <w:tcW w:w="1480" w:type="dxa"/>
            <w:vAlign w:val="bottom"/>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720" w:type="dxa"/>
            <w:vAlign w:val="bottom"/>
            <w:tcBorders>
              <w:top w:val="single" w:sz="8" w:color="auto"/>
            </w:tcBorders>
            <w:vMerge w:val="restart"/>
          </w:tcPr>
          <w:p>
            <w:pPr>
              <w:jc w:val="right"/>
              <w:ind w:right="216"/>
              <w:spacing w:after="0"/>
              <w:rPr>
                <w:sz w:val="20"/>
                <w:szCs w:val="20"/>
                <w:color w:val="auto"/>
              </w:rPr>
            </w:pPr>
            <w:r>
              <w:rPr>
                <w:rFonts w:ascii="Arial" w:cs="Arial" w:eastAsia="Arial" w:hAnsi="Arial"/>
                <w:sz w:val="14"/>
                <w:szCs w:val="14"/>
                <w:b w:val="1"/>
                <w:bCs w:val="1"/>
                <w:color w:val="auto"/>
              </w:rPr>
              <w:t>Fair</w:t>
            </w:r>
          </w:p>
        </w:tc>
        <w:tc>
          <w:tcPr>
            <w:tcW w:w="18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740" w:type="dxa"/>
            <w:vAlign w:val="bottom"/>
            <w:tcBorders>
              <w:top w:val="single" w:sz="8" w:color="auto"/>
            </w:tcBorders>
          </w:tcPr>
          <w:p>
            <w:pPr>
              <w:jc w:val="center"/>
              <w:ind w:right="15"/>
              <w:spacing w:after="0" w:line="119" w:lineRule="exact"/>
              <w:rPr>
                <w:sz w:val="20"/>
                <w:szCs w:val="20"/>
                <w:color w:val="auto"/>
              </w:rPr>
            </w:pPr>
            <w:r>
              <w:rPr>
                <w:rFonts w:ascii="Arial" w:cs="Arial" w:eastAsia="Arial" w:hAnsi="Arial"/>
                <w:sz w:val="13"/>
                <w:szCs w:val="13"/>
                <w:b w:val="1"/>
                <w:bCs w:val="1"/>
                <w:color w:val="auto"/>
                <w:w w:val="95"/>
              </w:rPr>
              <w:t>Gross</w:t>
            </w:r>
          </w:p>
        </w:tc>
        <w:tc>
          <w:tcPr>
            <w:tcW w:w="180" w:type="dxa"/>
            <w:vAlign w:val="bottom"/>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680" w:type="dxa"/>
            <w:vAlign w:val="bottom"/>
            <w:tcBorders>
              <w:top w:val="single" w:sz="8" w:color="auto"/>
            </w:tcBorders>
            <w:vMerge w:val="restart"/>
          </w:tcPr>
          <w:p>
            <w:pPr>
              <w:jc w:val="right"/>
              <w:ind w:right="218"/>
              <w:spacing w:after="0"/>
              <w:rPr>
                <w:sz w:val="20"/>
                <w:szCs w:val="20"/>
                <w:color w:val="auto"/>
              </w:rPr>
            </w:pPr>
            <w:r>
              <w:rPr>
                <w:rFonts w:ascii="Arial" w:cs="Arial" w:eastAsia="Arial" w:hAnsi="Arial"/>
                <w:sz w:val="14"/>
                <w:szCs w:val="14"/>
                <w:b w:val="1"/>
                <w:bCs w:val="1"/>
                <w:color w:val="auto"/>
              </w:rPr>
              <w:t>Fair</w:t>
            </w:r>
          </w:p>
        </w:tc>
        <w:tc>
          <w:tcPr>
            <w:tcW w:w="16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740" w:type="dxa"/>
            <w:vAlign w:val="bottom"/>
            <w:tcBorders>
              <w:top w:val="single" w:sz="8" w:color="auto"/>
            </w:tcBorders>
          </w:tcPr>
          <w:p>
            <w:pPr>
              <w:jc w:val="center"/>
              <w:ind w:right="15"/>
              <w:spacing w:after="0" w:line="119" w:lineRule="exact"/>
              <w:rPr>
                <w:sz w:val="20"/>
                <w:szCs w:val="20"/>
                <w:color w:val="auto"/>
              </w:rPr>
            </w:pPr>
            <w:r>
              <w:rPr>
                <w:rFonts w:ascii="Arial" w:cs="Arial" w:eastAsia="Arial" w:hAnsi="Arial"/>
                <w:sz w:val="13"/>
                <w:szCs w:val="13"/>
                <w:b w:val="1"/>
                <w:bCs w:val="1"/>
                <w:color w:val="auto"/>
                <w:w w:val="95"/>
              </w:rPr>
              <w:t>Gross</w:t>
            </w:r>
          </w:p>
        </w:tc>
        <w:tc>
          <w:tcPr>
            <w:tcW w:w="180" w:type="dxa"/>
            <w:vAlign w:val="bottom"/>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900" w:type="dxa"/>
            <w:vAlign w:val="bottom"/>
            <w:tcBorders>
              <w:top w:val="single" w:sz="8" w:color="auto"/>
            </w:tcBorders>
            <w:gridSpan w:val="2"/>
            <w:vMerge w:val="restart"/>
          </w:tcPr>
          <w:p>
            <w:pPr>
              <w:ind w:left="160"/>
              <w:spacing w:after="0"/>
              <w:rPr>
                <w:sz w:val="20"/>
                <w:szCs w:val="20"/>
                <w:color w:val="auto"/>
              </w:rPr>
            </w:pPr>
            <w:r>
              <w:rPr>
                <w:rFonts w:ascii="Arial" w:cs="Arial" w:eastAsia="Arial" w:hAnsi="Arial"/>
                <w:sz w:val="14"/>
                <w:szCs w:val="14"/>
                <w:b w:val="1"/>
                <w:bCs w:val="1"/>
                <w:color w:val="auto"/>
              </w:rPr>
              <w:t>Fair</w:t>
            </w:r>
          </w:p>
        </w:tc>
        <w:tc>
          <w:tcPr>
            <w:tcW w:w="20" w:type="dxa"/>
            <w:vAlign w:val="bottom"/>
            <w:tcBorders>
              <w:top w:val="single" w:sz="8" w:color="auto"/>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740" w:type="dxa"/>
            <w:vAlign w:val="bottom"/>
            <w:tcBorders>
              <w:top w:val="single" w:sz="8" w:color="auto"/>
            </w:tcBorders>
          </w:tcPr>
          <w:p>
            <w:pPr>
              <w:jc w:val="center"/>
              <w:ind w:right="15"/>
              <w:spacing w:after="0" w:line="119" w:lineRule="exact"/>
              <w:rPr>
                <w:sz w:val="20"/>
                <w:szCs w:val="20"/>
                <w:color w:val="auto"/>
              </w:rPr>
            </w:pPr>
            <w:r>
              <w:rPr>
                <w:rFonts w:ascii="Arial" w:cs="Arial" w:eastAsia="Arial" w:hAnsi="Arial"/>
                <w:sz w:val="13"/>
                <w:szCs w:val="13"/>
                <w:b w:val="1"/>
                <w:bCs w:val="1"/>
                <w:color w:val="auto"/>
                <w:w w:val="95"/>
              </w:rPr>
              <w:t>Gross</w:t>
            </w:r>
          </w:p>
        </w:tc>
        <w:tc>
          <w:tcPr>
            <w:tcW w:w="0" w:type="dxa"/>
            <w:vAlign w:val="bottom"/>
          </w:tcPr>
          <w:p>
            <w:pPr>
              <w:spacing w:after="0"/>
              <w:rPr>
                <w:sz w:val="1"/>
                <w:szCs w:val="1"/>
                <w:color w:val="auto"/>
              </w:rPr>
            </w:pPr>
          </w:p>
        </w:tc>
      </w:tr>
      <w:tr>
        <w:trPr>
          <w:trHeight w:val="148"/>
        </w:trPr>
        <w:tc>
          <w:tcPr>
            <w:tcW w:w="2480" w:type="dxa"/>
            <w:vAlign w:val="bottom"/>
          </w:tcPr>
          <w:p>
            <w:pPr>
              <w:spacing w:after="0"/>
              <w:rPr>
                <w:sz w:val="12"/>
                <w:szCs w:val="12"/>
                <w:color w:val="auto"/>
              </w:rPr>
            </w:pPr>
          </w:p>
        </w:tc>
        <w:tc>
          <w:tcPr>
            <w:tcW w:w="14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vMerge w:val="continue"/>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2"/>
              </w:rPr>
              <w:t>unrealized</w:t>
            </w:r>
          </w:p>
        </w:tc>
        <w:tc>
          <w:tcPr>
            <w:tcW w:w="160" w:type="dxa"/>
            <w:vAlign w:val="bottom"/>
          </w:tcPr>
          <w:p>
            <w:pPr>
              <w:spacing w:after="0"/>
              <w:rPr>
                <w:sz w:val="12"/>
                <w:szCs w:val="12"/>
                <w:color w:val="auto"/>
              </w:rPr>
            </w:pPr>
          </w:p>
        </w:tc>
        <w:tc>
          <w:tcPr>
            <w:tcW w:w="680" w:type="dxa"/>
            <w:vAlign w:val="bottom"/>
            <w:vMerge w:val="continue"/>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5"/>
              </w:rPr>
              <w:t>unrealized</w:t>
            </w:r>
          </w:p>
        </w:tc>
        <w:tc>
          <w:tcPr>
            <w:tcW w:w="140" w:type="dxa"/>
            <w:vAlign w:val="bottom"/>
          </w:tcPr>
          <w:p>
            <w:pPr>
              <w:spacing w:after="0"/>
              <w:rPr>
                <w:sz w:val="12"/>
                <w:szCs w:val="12"/>
                <w:color w:val="auto"/>
              </w:rPr>
            </w:pPr>
          </w:p>
        </w:tc>
        <w:tc>
          <w:tcPr>
            <w:tcW w:w="900" w:type="dxa"/>
            <w:vAlign w:val="bottom"/>
            <w:gridSpan w:val="2"/>
            <w:vMerge w:val="continue"/>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tcPr>
          <w:p>
            <w:pPr>
              <w:jc w:val="center"/>
              <w:ind w:right="15"/>
              <w:spacing w:after="0" w:line="149" w:lineRule="exact"/>
              <w:rPr>
                <w:sz w:val="20"/>
                <w:szCs w:val="20"/>
                <w:color w:val="auto"/>
              </w:rPr>
            </w:pPr>
            <w:r>
              <w:rPr>
                <w:rFonts w:ascii="Arial" w:cs="Arial" w:eastAsia="Arial" w:hAnsi="Arial"/>
                <w:sz w:val="14"/>
                <w:szCs w:val="14"/>
                <w:b w:val="1"/>
                <w:bCs w:val="1"/>
                <w:color w:val="auto"/>
                <w:w w:val="92"/>
              </w:rPr>
              <w:t>unrealized</w:t>
            </w:r>
          </w:p>
        </w:tc>
        <w:tc>
          <w:tcPr>
            <w:tcW w:w="0" w:type="dxa"/>
            <w:vAlign w:val="bottom"/>
          </w:tcPr>
          <w:p>
            <w:pPr>
              <w:spacing w:after="0"/>
              <w:rPr>
                <w:sz w:val="1"/>
                <w:szCs w:val="1"/>
                <w:color w:val="auto"/>
              </w:rPr>
            </w:pPr>
          </w:p>
        </w:tc>
      </w:tr>
      <w:tr>
        <w:trPr>
          <w:trHeight w:val="171"/>
        </w:trPr>
        <w:tc>
          <w:tcPr>
            <w:tcW w:w="248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176"/>
              <w:spacing w:after="0"/>
              <w:rPr>
                <w:sz w:val="20"/>
                <w:szCs w:val="20"/>
                <w:color w:val="auto"/>
              </w:rPr>
            </w:pPr>
            <w:r>
              <w:rPr>
                <w:rFonts w:ascii="Arial" w:cs="Arial" w:eastAsia="Arial" w:hAnsi="Arial"/>
                <w:sz w:val="14"/>
                <w:szCs w:val="14"/>
                <w:b w:val="1"/>
                <w:bCs w:val="1"/>
                <w:color w:val="auto"/>
              </w:rPr>
              <w:t>value</w:t>
            </w:r>
          </w:p>
        </w:tc>
        <w:tc>
          <w:tcPr>
            <w:tcW w:w="1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77"/>
              </w:rPr>
              <w:t>losses</w:t>
            </w:r>
          </w:p>
        </w:tc>
        <w:tc>
          <w:tcPr>
            <w:tcW w:w="18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right"/>
              <w:ind w:right="178"/>
              <w:spacing w:after="0"/>
              <w:rPr>
                <w:sz w:val="20"/>
                <w:szCs w:val="20"/>
                <w:color w:val="auto"/>
              </w:rPr>
            </w:pPr>
            <w:r>
              <w:rPr>
                <w:rFonts w:ascii="Arial" w:cs="Arial" w:eastAsia="Arial" w:hAnsi="Arial"/>
                <w:sz w:val="14"/>
                <w:szCs w:val="14"/>
                <w:b w:val="1"/>
                <w:bCs w:val="1"/>
                <w:color w:val="auto"/>
              </w:rPr>
              <w:t>value</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77"/>
              </w:rPr>
              <w:t>losses</w:t>
            </w:r>
          </w:p>
        </w:tc>
        <w:tc>
          <w:tcPr>
            <w:tcW w:w="1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175"/>
              <w:spacing w:after="0"/>
              <w:rPr>
                <w:sz w:val="20"/>
                <w:szCs w:val="20"/>
                <w:color w:val="auto"/>
              </w:rPr>
            </w:pPr>
            <w:r>
              <w:rPr>
                <w:rFonts w:ascii="Arial" w:cs="Arial" w:eastAsia="Arial" w:hAnsi="Arial"/>
                <w:sz w:val="14"/>
                <w:szCs w:val="14"/>
                <w:b w:val="1"/>
                <w:bCs w:val="1"/>
                <w:color w:val="auto"/>
              </w:rPr>
              <w:t>value</w:t>
            </w:r>
          </w:p>
        </w:tc>
        <w:tc>
          <w:tcPr>
            <w:tcW w:w="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center"/>
              <w:ind w:right="15"/>
              <w:spacing w:after="0"/>
              <w:rPr>
                <w:sz w:val="20"/>
                <w:szCs w:val="20"/>
                <w:color w:val="auto"/>
              </w:rPr>
            </w:pPr>
            <w:r>
              <w:rPr>
                <w:rFonts w:ascii="Arial" w:cs="Arial" w:eastAsia="Arial" w:hAnsi="Arial"/>
                <w:sz w:val="14"/>
                <w:szCs w:val="14"/>
                <w:b w:val="1"/>
                <w:bCs w:val="1"/>
                <w:color w:val="auto"/>
                <w:w w:val="82"/>
              </w:rPr>
              <w:t>losses</w:t>
            </w:r>
          </w:p>
        </w:tc>
        <w:tc>
          <w:tcPr>
            <w:tcW w:w="0" w:type="dxa"/>
            <w:vAlign w:val="bottom"/>
          </w:tcPr>
          <w:p>
            <w:pPr>
              <w:spacing w:after="0"/>
              <w:rPr>
                <w:sz w:val="1"/>
                <w:szCs w:val="1"/>
                <w:color w:val="auto"/>
              </w:rPr>
            </w:pPr>
          </w:p>
        </w:tc>
      </w:tr>
      <w:tr>
        <w:trPr>
          <w:trHeight w:val="128"/>
        </w:trPr>
        <w:tc>
          <w:tcPr>
            <w:tcW w:w="2480" w:type="dxa"/>
            <w:vAlign w:val="bottom"/>
          </w:tcPr>
          <w:p>
            <w:pPr>
              <w:spacing w:after="0"/>
              <w:rPr>
                <w:sz w:val="11"/>
                <w:szCs w:val="11"/>
                <w:color w:val="auto"/>
              </w:rPr>
            </w:pPr>
          </w:p>
        </w:tc>
        <w:tc>
          <w:tcPr>
            <w:tcW w:w="14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80" w:type="dxa"/>
            <w:vAlign w:val="bottom"/>
            <w:gridSpan w:val="4"/>
          </w:tcPr>
          <w:p>
            <w:pPr>
              <w:jc w:val="center"/>
              <w:ind w:right="75"/>
              <w:spacing w:after="0" w:line="129" w:lineRule="exact"/>
              <w:rPr>
                <w:sz w:val="20"/>
                <w:szCs w:val="20"/>
                <w:color w:val="auto"/>
              </w:rPr>
            </w:pPr>
            <w:r>
              <w:rPr>
                <w:rFonts w:ascii="Arial" w:cs="Arial" w:eastAsia="Arial" w:hAnsi="Arial"/>
                <w:sz w:val="14"/>
                <w:szCs w:val="14"/>
                <w:i w:val="1"/>
                <w:iCs w:val="1"/>
                <w:color w:val="auto"/>
              </w:rPr>
              <w:t>(in millions)</w:t>
            </w: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39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Fixed maturities, available-for-sale (1):</w:t>
            </w: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960" w:type="dxa"/>
            <w:vAlign w:val="bottom"/>
            <w:gridSpan w:val="2"/>
          </w:tcPr>
          <w:p>
            <w:pPr>
              <w:ind w:left="120"/>
              <w:spacing w:after="0"/>
              <w:rPr>
                <w:sz w:val="20"/>
                <w:szCs w:val="20"/>
                <w:color w:val="auto"/>
              </w:rPr>
            </w:pPr>
            <w:r>
              <w:rPr>
                <w:rFonts w:ascii="Arial" w:cs="Arial" w:eastAsia="Arial" w:hAnsi="Arial"/>
                <w:sz w:val="18"/>
                <w:szCs w:val="18"/>
                <w:color w:val="auto"/>
              </w:rPr>
              <w:t>U.S. government and agencies</w:t>
            </w:r>
          </w:p>
        </w:tc>
        <w:tc>
          <w:tcPr>
            <w:tcW w:w="14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rPr>
              <w:t>1,003.1</w:t>
            </w:r>
          </w:p>
        </w:tc>
        <w:tc>
          <w:tcPr>
            <w:tcW w:w="28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740" w:type="dxa"/>
            <w:vAlign w:val="bottom"/>
          </w:tcPr>
          <w:p>
            <w:pPr>
              <w:jc w:val="right"/>
              <w:spacing w:after="0"/>
              <w:rPr>
                <w:sz w:val="20"/>
                <w:szCs w:val="20"/>
                <w:color w:val="auto"/>
              </w:rPr>
            </w:pPr>
            <w:r>
              <w:rPr>
                <w:rFonts w:ascii="Arial" w:cs="Arial" w:eastAsia="Arial" w:hAnsi="Arial"/>
                <w:sz w:val="18"/>
                <w:szCs w:val="18"/>
                <w:b w:val="1"/>
                <w:bCs w:val="1"/>
                <w:color w:val="auto"/>
              </w:rPr>
              <w:t>20.9</w:t>
            </w:r>
          </w:p>
        </w:tc>
        <w:tc>
          <w:tcPr>
            <w:tcW w:w="180" w:type="dxa"/>
            <w:vAlign w:val="bottom"/>
          </w:tcPr>
          <w:p>
            <w:pPr>
              <w:spacing w:after="0"/>
              <w:rPr>
                <w:sz w:val="18"/>
                <w:szCs w:val="18"/>
                <w:color w:val="auto"/>
              </w:rPr>
            </w:pPr>
          </w:p>
        </w:tc>
        <w:tc>
          <w:tcPr>
            <w:tcW w:w="160" w:type="dxa"/>
            <w:vAlign w:val="bottom"/>
          </w:tcPr>
          <w:p>
            <w:pPr>
              <w:jc w:val="right"/>
              <w:ind w:right="7"/>
              <w:spacing w:after="0"/>
              <w:rPr>
                <w:sz w:val="20"/>
                <w:szCs w:val="20"/>
                <w:color w:val="auto"/>
              </w:rPr>
            </w:pPr>
            <w:r>
              <w:rPr>
                <w:rFonts w:ascii="Arial" w:cs="Arial" w:eastAsia="Arial" w:hAnsi="Arial"/>
                <w:sz w:val="15"/>
                <w:szCs w:val="15"/>
                <w:b w:val="1"/>
                <w:bCs w:val="1"/>
                <w:color w:val="auto"/>
                <w:w w:val="71"/>
              </w:rPr>
              <w:t>$</w:t>
            </w:r>
          </w:p>
        </w:tc>
        <w:tc>
          <w:tcPr>
            <w:tcW w:w="680" w:type="dxa"/>
            <w:vAlign w:val="bottom"/>
          </w:tcPr>
          <w:p>
            <w:pPr>
              <w:jc w:val="right"/>
              <w:spacing w:after="0"/>
              <w:rPr>
                <w:sz w:val="20"/>
                <w:szCs w:val="20"/>
                <w:color w:val="auto"/>
              </w:rPr>
            </w:pPr>
            <w:r>
              <w:rPr>
                <w:rFonts w:ascii="Arial" w:cs="Arial" w:eastAsia="Arial" w:hAnsi="Arial"/>
                <w:sz w:val="18"/>
                <w:szCs w:val="18"/>
                <w:b w:val="1"/>
                <w:bCs w:val="1"/>
                <w:color w:val="auto"/>
              </w:rPr>
              <w:t>122.6</w:t>
            </w:r>
          </w:p>
        </w:tc>
        <w:tc>
          <w:tcPr>
            <w:tcW w:w="26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740" w:type="dxa"/>
            <w:vAlign w:val="bottom"/>
          </w:tcPr>
          <w:p>
            <w:pPr>
              <w:jc w:val="right"/>
              <w:spacing w:after="0"/>
              <w:rPr>
                <w:sz w:val="20"/>
                <w:szCs w:val="20"/>
                <w:color w:val="auto"/>
              </w:rPr>
            </w:pPr>
            <w:r>
              <w:rPr>
                <w:rFonts w:ascii="Arial" w:cs="Arial" w:eastAsia="Arial" w:hAnsi="Arial"/>
                <w:sz w:val="18"/>
                <w:szCs w:val="18"/>
                <w:b w:val="1"/>
                <w:bCs w:val="1"/>
                <w:color w:val="auto"/>
              </w:rPr>
              <w:t>29.9</w:t>
            </w:r>
          </w:p>
        </w:tc>
        <w:tc>
          <w:tcPr>
            <w:tcW w:w="18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rPr>
              <w:t>1,125.7</w:t>
            </w:r>
          </w:p>
        </w:tc>
        <w:tc>
          <w:tcPr>
            <w:tcW w:w="180" w:type="dxa"/>
            <w:vAlign w:val="bottom"/>
          </w:tcPr>
          <w:p>
            <w:pPr>
              <w:spacing w:after="0"/>
              <w:rPr>
                <w:sz w:val="18"/>
                <w:szCs w:val="18"/>
                <w:color w:val="auto"/>
              </w:rPr>
            </w:pPr>
          </w:p>
        </w:tc>
        <w:tc>
          <w:tcPr>
            <w:tcW w:w="100" w:type="dxa"/>
            <w:vAlign w:val="bottom"/>
            <w:gridSpan w:val="2"/>
          </w:tcPr>
          <w:p>
            <w:pPr>
              <w:jc w:val="right"/>
              <w:spacing w:after="0"/>
              <w:rPr>
                <w:sz w:val="20"/>
                <w:szCs w:val="20"/>
                <w:color w:val="auto"/>
              </w:rPr>
            </w:pPr>
            <w:r>
              <w:rPr>
                <w:rFonts w:ascii="Arial" w:cs="Arial" w:eastAsia="Arial" w:hAnsi="Arial"/>
                <w:sz w:val="18"/>
                <w:szCs w:val="18"/>
                <w:b w:val="1"/>
                <w:bCs w:val="1"/>
                <w:color w:val="auto"/>
                <w:w w:val="79"/>
              </w:rPr>
              <w:t>$</w:t>
            </w:r>
          </w:p>
        </w:tc>
        <w:tc>
          <w:tcPr>
            <w:tcW w:w="740" w:type="dxa"/>
            <w:vAlign w:val="bottom"/>
          </w:tcPr>
          <w:p>
            <w:pPr>
              <w:jc w:val="right"/>
              <w:spacing w:after="0"/>
              <w:rPr>
                <w:sz w:val="20"/>
                <w:szCs w:val="20"/>
                <w:color w:val="auto"/>
              </w:rPr>
            </w:pPr>
            <w:r>
              <w:rPr>
                <w:rFonts w:ascii="Arial" w:cs="Arial" w:eastAsia="Arial" w:hAnsi="Arial"/>
                <w:sz w:val="18"/>
                <w:szCs w:val="18"/>
                <w:b w:val="1"/>
                <w:bCs w:val="1"/>
                <w:color w:val="auto"/>
              </w:rPr>
              <w:t>50.8</w:t>
            </w:r>
          </w:p>
        </w:tc>
        <w:tc>
          <w:tcPr>
            <w:tcW w:w="0" w:type="dxa"/>
            <w:vAlign w:val="bottom"/>
          </w:tcPr>
          <w:p>
            <w:pPr>
              <w:spacing w:after="0"/>
              <w:rPr>
                <w:sz w:val="1"/>
                <w:szCs w:val="1"/>
                <w:color w:val="auto"/>
              </w:rPr>
            </w:pPr>
          </w:p>
        </w:tc>
      </w:tr>
      <w:tr>
        <w:trPr>
          <w:trHeight w:val="216"/>
        </w:trPr>
        <w:tc>
          <w:tcPr>
            <w:tcW w:w="39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Non-U.S. governments</w:t>
            </w: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246.6</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33.4</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2.7</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1.1</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249.3</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34.5</w:t>
            </w:r>
          </w:p>
        </w:tc>
        <w:tc>
          <w:tcPr>
            <w:tcW w:w="0" w:type="dxa"/>
            <w:vAlign w:val="bottom"/>
          </w:tcPr>
          <w:p>
            <w:pPr>
              <w:spacing w:after="0"/>
              <w:rPr>
                <w:sz w:val="1"/>
                <w:szCs w:val="1"/>
                <w:color w:val="auto"/>
              </w:rPr>
            </w:pPr>
          </w:p>
        </w:tc>
      </w:tr>
      <w:tr>
        <w:trPr>
          <w:trHeight w:val="216"/>
        </w:trPr>
        <w:tc>
          <w:tcPr>
            <w:tcW w:w="3960" w:type="dxa"/>
            <w:vAlign w:val="bottom"/>
            <w:gridSpan w:val="2"/>
          </w:tcPr>
          <w:p>
            <w:pPr>
              <w:ind w:left="120"/>
              <w:spacing w:after="0"/>
              <w:rPr>
                <w:sz w:val="20"/>
                <w:szCs w:val="20"/>
                <w:color w:val="auto"/>
              </w:rPr>
            </w:pPr>
            <w:r>
              <w:rPr>
                <w:rFonts w:ascii="Arial" w:cs="Arial" w:eastAsia="Arial" w:hAnsi="Arial"/>
                <w:sz w:val="18"/>
                <w:szCs w:val="18"/>
                <w:color w:val="auto"/>
              </w:rPr>
              <w:t>States and political subdivisions</w:t>
            </w:r>
          </w:p>
        </w:tc>
        <w:tc>
          <w:tcPr>
            <w:tcW w:w="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rPr>
              <w:t>3,728.7</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b w:val="1"/>
                <w:bCs w:val="1"/>
                <w:color w:val="auto"/>
              </w:rPr>
              <w:t>444.6</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b w:val="1"/>
                <w:bCs w:val="1"/>
                <w:color w:val="auto"/>
              </w:rPr>
              <w:t>109.6</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b w:val="1"/>
                <w:bCs w:val="1"/>
                <w:color w:val="auto"/>
              </w:rPr>
              <w:t>25.4</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rPr>
              <w:t>3,838.3</w:t>
            </w: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b w:val="1"/>
                <w:bCs w:val="1"/>
                <w:color w:val="auto"/>
              </w:rPr>
              <w:t>470.0</w:t>
            </w:r>
          </w:p>
        </w:tc>
        <w:tc>
          <w:tcPr>
            <w:tcW w:w="0" w:type="dxa"/>
            <w:vAlign w:val="bottom"/>
          </w:tcPr>
          <w:p>
            <w:pPr>
              <w:spacing w:after="0"/>
              <w:rPr>
                <w:sz w:val="1"/>
                <w:szCs w:val="1"/>
                <w:color w:val="auto"/>
              </w:rPr>
            </w:pPr>
          </w:p>
        </w:tc>
      </w:tr>
      <w:tr>
        <w:trPr>
          <w:trHeight w:val="216"/>
        </w:trPr>
        <w:tc>
          <w:tcPr>
            <w:tcW w:w="39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Corporate</w:t>
            </w: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4"/>
              </w:rPr>
              <w:t>18,972.7</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2,019.9</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886.1</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213.2</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4"/>
              </w:rPr>
              <w:t>19,858.8</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2,233.1</w:t>
            </w:r>
          </w:p>
        </w:tc>
        <w:tc>
          <w:tcPr>
            <w:tcW w:w="0" w:type="dxa"/>
            <w:vAlign w:val="bottom"/>
          </w:tcPr>
          <w:p>
            <w:pPr>
              <w:spacing w:after="0"/>
              <w:rPr>
                <w:sz w:val="1"/>
                <w:szCs w:val="1"/>
                <w:color w:val="auto"/>
              </w:rPr>
            </w:pPr>
          </w:p>
        </w:tc>
      </w:tr>
      <w:tr>
        <w:trPr>
          <w:trHeight w:val="202"/>
        </w:trPr>
        <w:tc>
          <w:tcPr>
            <w:tcW w:w="3960" w:type="dxa"/>
            <w:vAlign w:val="bottom"/>
            <w:gridSpan w:val="2"/>
          </w:tcPr>
          <w:p>
            <w:pPr>
              <w:ind w:left="120"/>
              <w:spacing w:after="0" w:line="201" w:lineRule="exact"/>
              <w:rPr>
                <w:sz w:val="20"/>
                <w:szCs w:val="20"/>
                <w:color w:val="auto"/>
              </w:rPr>
            </w:pPr>
            <w:r>
              <w:rPr>
                <w:rFonts w:ascii="Arial" w:cs="Arial" w:eastAsia="Arial" w:hAnsi="Arial"/>
                <w:sz w:val="18"/>
                <w:szCs w:val="18"/>
                <w:color w:val="auto"/>
              </w:rPr>
              <w:t>Residential mortgage-backed pass-through</w:t>
            </w:r>
          </w:p>
        </w:tc>
        <w:tc>
          <w:tcPr>
            <w:tcW w:w="140" w:type="dxa"/>
            <w:vAlign w:val="bottom"/>
          </w:tcPr>
          <w:p>
            <w:pPr>
              <w:spacing w:after="0"/>
              <w:rPr>
                <w:sz w:val="17"/>
                <w:szCs w:val="17"/>
                <w:color w:val="auto"/>
              </w:rPr>
            </w:pPr>
          </w:p>
        </w:tc>
        <w:tc>
          <w:tcPr>
            <w:tcW w:w="72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1,482.7</w:t>
            </w: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112.9</w:t>
            </w:r>
          </w:p>
        </w:tc>
        <w:tc>
          <w:tcPr>
            <w:tcW w:w="1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8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112.8</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19.1</w:t>
            </w: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2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1,595.5</w:t>
            </w: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132.0</w:t>
            </w:r>
          </w:p>
        </w:tc>
        <w:tc>
          <w:tcPr>
            <w:tcW w:w="0" w:type="dxa"/>
            <w:vAlign w:val="bottom"/>
          </w:tcPr>
          <w:p>
            <w:pPr>
              <w:spacing w:after="0"/>
              <w:rPr>
                <w:sz w:val="1"/>
                <w:szCs w:val="1"/>
                <w:color w:val="auto"/>
              </w:rPr>
            </w:pPr>
          </w:p>
        </w:tc>
      </w:tr>
      <w:tr>
        <w:trPr>
          <w:trHeight w:val="230"/>
        </w:trPr>
        <w:tc>
          <w:tcPr>
            <w:tcW w:w="3960" w:type="dxa"/>
            <w:vAlign w:val="bottom"/>
            <w:gridSpan w:val="2"/>
          </w:tcPr>
          <w:p>
            <w:pPr>
              <w:ind w:left="240"/>
              <w:spacing w:after="0"/>
              <w:rPr>
                <w:sz w:val="20"/>
                <w:szCs w:val="20"/>
                <w:color w:val="auto"/>
              </w:rPr>
            </w:pPr>
            <w:r>
              <w:rPr>
                <w:rFonts w:ascii="Arial" w:cs="Arial" w:eastAsia="Arial" w:hAnsi="Arial"/>
                <w:sz w:val="18"/>
                <w:szCs w:val="18"/>
                <w:color w:val="auto"/>
              </w:rPr>
              <w:t>securities</w:t>
            </w:r>
          </w:p>
        </w:tc>
        <w:tc>
          <w:tcPr>
            <w:tcW w:w="140" w:type="dxa"/>
            <w:vAlign w:val="bottom"/>
          </w:tcPr>
          <w:p>
            <w:pPr>
              <w:spacing w:after="0"/>
              <w:rPr>
                <w:sz w:val="20"/>
                <w:szCs w:val="20"/>
                <w:color w:val="auto"/>
              </w:rPr>
            </w:pPr>
          </w:p>
        </w:tc>
        <w:tc>
          <w:tcPr>
            <w:tcW w:w="720" w:type="dxa"/>
            <w:vAlign w:val="bottom"/>
            <w:vMerge w:val="continue"/>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40" w:type="dxa"/>
            <w:vAlign w:val="bottom"/>
            <w:vMerge w:val="continue"/>
          </w:tcPr>
          <w:p>
            <w:pPr>
              <w:spacing w:after="0"/>
              <w:rPr>
                <w:sz w:val="20"/>
                <w:szCs w:val="20"/>
                <w:color w:val="auto"/>
              </w:rPr>
            </w:pPr>
          </w:p>
        </w:tc>
        <w:tc>
          <w:tcPr>
            <w:tcW w:w="1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80" w:type="dxa"/>
            <w:vAlign w:val="bottom"/>
            <w:vMerge w:val="continue"/>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40" w:type="dxa"/>
            <w:vAlign w:val="bottom"/>
            <w:vMerge w:val="continue"/>
          </w:tcPr>
          <w:p>
            <w:pPr>
              <w:spacing w:after="0"/>
              <w:rPr>
                <w:sz w:val="20"/>
                <w:szCs w:val="20"/>
                <w:color w:val="auto"/>
              </w:rPr>
            </w:pP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20" w:type="dxa"/>
            <w:vAlign w:val="bottom"/>
            <w:vMerge w:val="continue"/>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4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39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Commercial mortgage-backed securities</w:t>
            </w: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3,682.8</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324.6</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224.4</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31.0</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3,907.2</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355.6</w:t>
            </w:r>
          </w:p>
        </w:tc>
        <w:tc>
          <w:tcPr>
            <w:tcW w:w="0" w:type="dxa"/>
            <w:vAlign w:val="bottom"/>
          </w:tcPr>
          <w:p>
            <w:pPr>
              <w:spacing w:after="0"/>
              <w:rPr>
                <w:sz w:val="1"/>
                <w:szCs w:val="1"/>
                <w:color w:val="auto"/>
              </w:rPr>
            </w:pPr>
          </w:p>
        </w:tc>
      </w:tr>
      <w:tr>
        <w:trPr>
          <w:trHeight w:val="216"/>
        </w:trPr>
        <w:tc>
          <w:tcPr>
            <w:tcW w:w="3960" w:type="dxa"/>
            <w:vAlign w:val="bottom"/>
            <w:gridSpan w:val="2"/>
          </w:tcPr>
          <w:p>
            <w:pPr>
              <w:ind w:left="120"/>
              <w:spacing w:after="0"/>
              <w:rPr>
                <w:sz w:val="20"/>
                <w:szCs w:val="20"/>
                <w:color w:val="auto"/>
              </w:rPr>
            </w:pPr>
            <w:r>
              <w:rPr>
                <w:rFonts w:ascii="Arial" w:cs="Arial" w:eastAsia="Arial" w:hAnsi="Arial"/>
                <w:sz w:val="18"/>
                <w:szCs w:val="18"/>
                <w:color w:val="auto"/>
              </w:rPr>
              <w:t>Collateralized debt obligations (2)</w:t>
            </w:r>
          </w:p>
        </w:tc>
        <w:tc>
          <w:tcPr>
            <w:tcW w:w="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rPr>
              <w:t>2,380.1</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b w:val="1"/>
                <w:bCs w:val="1"/>
                <w:color w:val="auto"/>
              </w:rPr>
              <w:t>76.2</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b w:val="1"/>
                <w:bCs w:val="1"/>
                <w:color w:val="auto"/>
              </w:rPr>
              <w:t>519.5</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b w:val="1"/>
                <w:bCs w:val="1"/>
                <w:color w:val="auto"/>
              </w:rPr>
              <w:t>18.6</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rPr>
              <w:t>2,899.6</w:t>
            </w: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b w:val="1"/>
                <w:bCs w:val="1"/>
                <w:color w:val="auto"/>
              </w:rPr>
              <w:t>94.8</w:t>
            </w:r>
          </w:p>
        </w:tc>
        <w:tc>
          <w:tcPr>
            <w:tcW w:w="0" w:type="dxa"/>
            <w:vAlign w:val="bottom"/>
          </w:tcPr>
          <w:p>
            <w:pPr>
              <w:spacing w:after="0"/>
              <w:rPr>
                <w:sz w:val="1"/>
                <w:szCs w:val="1"/>
                <w:color w:val="auto"/>
              </w:rPr>
            </w:pPr>
          </w:p>
        </w:tc>
      </w:tr>
      <w:tr>
        <w:trPr>
          <w:trHeight w:val="216"/>
        </w:trPr>
        <w:tc>
          <w:tcPr>
            <w:tcW w:w="39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Other debt obligations</w:t>
            </w:r>
          </w:p>
        </w:tc>
        <w:tc>
          <w:tcPr>
            <w:tcW w:w="14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3,648.9</w:t>
            </w:r>
          </w:p>
        </w:tc>
        <w:tc>
          <w:tcPr>
            <w:tcW w:w="1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328.2</w:t>
            </w:r>
          </w:p>
        </w:tc>
        <w:tc>
          <w:tcPr>
            <w:tcW w:w="18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311.5</w:t>
            </w:r>
          </w:p>
        </w:tc>
        <w:tc>
          <w:tcPr>
            <w:tcW w:w="16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52.1</w:t>
            </w:r>
          </w:p>
        </w:tc>
        <w:tc>
          <w:tcPr>
            <w:tcW w:w="18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3,960.4</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380.3</w:t>
            </w:r>
          </w:p>
        </w:tc>
        <w:tc>
          <w:tcPr>
            <w:tcW w:w="0" w:type="dxa"/>
            <w:vAlign w:val="bottom"/>
          </w:tcPr>
          <w:p>
            <w:pPr>
              <w:spacing w:after="0"/>
              <w:rPr>
                <w:sz w:val="1"/>
                <w:szCs w:val="1"/>
                <w:color w:val="auto"/>
              </w:rPr>
            </w:pPr>
          </w:p>
        </w:tc>
      </w:tr>
      <w:tr>
        <w:trPr>
          <w:trHeight w:val="210"/>
        </w:trPr>
        <w:tc>
          <w:tcPr>
            <w:tcW w:w="3960" w:type="dxa"/>
            <w:vAlign w:val="bottom"/>
            <w:gridSpan w:val="2"/>
          </w:tcPr>
          <w:p>
            <w:pPr>
              <w:spacing w:after="0"/>
              <w:rPr>
                <w:sz w:val="20"/>
                <w:szCs w:val="20"/>
                <w:color w:val="auto"/>
              </w:rPr>
            </w:pPr>
            <w:r>
              <w:rPr>
                <w:rFonts w:ascii="Arial" w:cs="Arial" w:eastAsia="Arial" w:hAnsi="Arial"/>
                <w:sz w:val="18"/>
                <w:szCs w:val="18"/>
                <w:color w:val="auto"/>
              </w:rPr>
              <w:t>Total fixed maturities, available-for-sale</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94"/>
              </w:rPr>
              <w:t>35,145.6</w:t>
            </w:r>
          </w:p>
        </w:tc>
        <w:tc>
          <w:tcPr>
            <w:tcW w:w="180" w:type="dxa"/>
            <w:vAlign w:val="bottom"/>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3,360.7</w:t>
            </w:r>
          </w:p>
        </w:tc>
        <w:tc>
          <w:tcPr>
            <w:tcW w:w="180" w:type="dxa"/>
            <w:vAlign w:val="bottom"/>
          </w:tcPr>
          <w:p>
            <w:pPr>
              <w:spacing w:after="0"/>
              <w:rPr>
                <w:sz w:val="18"/>
                <w:szCs w:val="18"/>
                <w:color w:val="auto"/>
              </w:rPr>
            </w:pPr>
          </w:p>
        </w:tc>
        <w:tc>
          <w:tcPr>
            <w:tcW w:w="160" w:type="dxa"/>
            <w:vAlign w:val="bottom"/>
            <w:tcBorders>
              <w:bottom w:val="single" w:sz="8" w:color="auto"/>
            </w:tcBorders>
          </w:tcPr>
          <w:p>
            <w:pPr>
              <w:jc w:val="right"/>
              <w:ind w:right="7"/>
              <w:spacing w:after="0"/>
              <w:rPr>
                <w:sz w:val="20"/>
                <w:szCs w:val="20"/>
                <w:color w:val="auto"/>
              </w:rPr>
            </w:pPr>
            <w:r>
              <w:rPr>
                <w:rFonts w:ascii="Arial" w:cs="Arial" w:eastAsia="Arial" w:hAnsi="Arial"/>
                <w:sz w:val="15"/>
                <w:szCs w:val="15"/>
                <w:b w:val="1"/>
                <w:bCs w:val="1"/>
                <w:color w:val="auto"/>
                <w:w w:val="71"/>
              </w:rPr>
              <w:t>$</w:t>
            </w: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99"/>
              </w:rPr>
              <w:t>2,289.2</w:t>
            </w:r>
          </w:p>
        </w:tc>
        <w:tc>
          <w:tcPr>
            <w:tcW w:w="160" w:type="dxa"/>
            <w:vAlign w:val="bottom"/>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390.</w:t>
            </w:r>
            <w:r>
              <w:rPr>
                <w:rFonts w:ascii="Arial" w:cs="Arial" w:eastAsia="Arial" w:hAnsi="Arial"/>
                <w:sz w:val="18"/>
                <w:szCs w:val="18"/>
                <w:b w:val="1"/>
                <w:bCs w:val="1"/>
                <w:u w:val="single" w:color="auto"/>
                <w:color w:val="auto"/>
              </w:rPr>
              <w:t>4</w:t>
            </w:r>
          </w:p>
        </w:tc>
        <w:tc>
          <w:tcPr>
            <w:tcW w:w="18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94"/>
              </w:rPr>
              <w:t>37,434.8</w:t>
            </w:r>
          </w:p>
        </w:tc>
        <w:tc>
          <w:tcPr>
            <w:tcW w:w="18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3,751.1</w:t>
            </w:r>
          </w:p>
        </w:tc>
        <w:tc>
          <w:tcPr>
            <w:tcW w:w="0" w:type="dxa"/>
            <w:vAlign w:val="bottom"/>
          </w:tcPr>
          <w:p>
            <w:pPr>
              <w:spacing w:after="0"/>
              <w:rPr>
                <w:sz w:val="1"/>
                <w:szCs w:val="1"/>
                <w:color w:val="auto"/>
              </w:rPr>
            </w:pPr>
          </w:p>
        </w:tc>
      </w:tr>
      <w:tr>
        <w:trPr>
          <w:trHeight w:val="20"/>
        </w:trPr>
        <w:tc>
          <w:tcPr>
            <w:tcW w:w="2480" w:type="dxa"/>
            <w:vAlign w:val="bottom"/>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8"/>
        </w:trPr>
        <w:tc>
          <w:tcPr>
            <w:tcW w:w="2480" w:type="dxa"/>
            <w:vAlign w:val="bottom"/>
            <w:tcBorders>
              <w:bottom w:val="single" w:sz="8" w:color="auto"/>
            </w:tcBorders>
          </w:tcPr>
          <w:p>
            <w:pPr>
              <w:spacing w:after="0"/>
              <w:rPr>
                <w:sz w:val="7"/>
                <w:szCs w:val="7"/>
                <w:color w:val="auto"/>
              </w:rPr>
            </w:pPr>
          </w:p>
        </w:tc>
        <w:tc>
          <w:tcPr>
            <w:tcW w:w="1480" w:type="dxa"/>
            <w:vAlign w:val="bottom"/>
          </w:tcPr>
          <w:p>
            <w:pPr>
              <w:spacing w:after="0"/>
              <w:rPr>
                <w:sz w:val="7"/>
                <w:szCs w:val="7"/>
                <w:color w:val="auto"/>
              </w:rPr>
            </w:pPr>
          </w:p>
        </w:tc>
        <w:tc>
          <w:tcPr>
            <w:tcW w:w="140" w:type="dxa"/>
            <w:vAlign w:val="bottom"/>
          </w:tcPr>
          <w:p>
            <w:pPr>
              <w:spacing w:after="0"/>
              <w:rPr>
                <w:sz w:val="7"/>
                <w:szCs w:val="7"/>
                <w:color w:val="auto"/>
              </w:rPr>
            </w:pPr>
          </w:p>
        </w:tc>
        <w:tc>
          <w:tcPr>
            <w:tcW w:w="720" w:type="dxa"/>
            <w:vAlign w:val="bottom"/>
          </w:tcPr>
          <w:p>
            <w:pPr>
              <w:spacing w:after="0"/>
              <w:rPr>
                <w:sz w:val="7"/>
                <w:szCs w:val="7"/>
                <w:color w:val="auto"/>
              </w:rPr>
            </w:pPr>
          </w:p>
        </w:tc>
        <w:tc>
          <w:tcPr>
            <w:tcW w:w="180" w:type="dxa"/>
            <w:vAlign w:val="bottom"/>
          </w:tcPr>
          <w:p>
            <w:pPr>
              <w:spacing w:after="0"/>
              <w:rPr>
                <w:sz w:val="7"/>
                <w:szCs w:val="7"/>
                <w:color w:val="auto"/>
              </w:rPr>
            </w:pPr>
          </w:p>
        </w:tc>
        <w:tc>
          <w:tcPr>
            <w:tcW w:w="100" w:type="dxa"/>
            <w:vAlign w:val="bottom"/>
          </w:tcPr>
          <w:p>
            <w:pPr>
              <w:spacing w:after="0"/>
              <w:rPr>
                <w:sz w:val="7"/>
                <w:szCs w:val="7"/>
                <w:color w:val="auto"/>
              </w:rPr>
            </w:pPr>
          </w:p>
        </w:tc>
        <w:tc>
          <w:tcPr>
            <w:tcW w:w="740" w:type="dxa"/>
            <w:vAlign w:val="bottom"/>
          </w:tcPr>
          <w:p>
            <w:pPr>
              <w:spacing w:after="0"/>
              <w:rPr>
                <w:sz w:val="7"/>
                <w:szCs w:val="7"/>
                <w:color w:val="auto"/>
              </w:rPr>
            </w:pPr>
          </w:p>
        </w:tc>
        <w:tc>
          <w:tcPr>
            <w:tcW w:w="180" w:type="dxa"/>
            <w:vAlign w:val="bottom"/>
          </w:tcPr>
          <w:p>
            <w:pPr>
              <w:spacing w:after="0"/>
              <w:rPr>
                <w:sz w:val="7"/>
                <w:szCs w:val="7"/>
                <w:color w:val="auto"/>
              </w:rPr>
            </w:pPr>
          </w:p>
        </w:tc>
        <w:tc>
          <w:tcPr>
            <w:tcW w:w="160" w:type="dxa"/>
            <w:vAlign w:val="bottom"/>
          </w:tcPr>
          <w:p>
            <w:pPr>
              <w:spacing w:after="0"/>
              <w:rPr>
                <w:sz w:val="7"/>
                <w:szCs w:val="7"/>
                <w:color w:val="auto"/>
              </w:rPr>
            </w:pPr>
          </w:p>
        </w:tc>
        <w:tc>
          <w:tcPr>
            <w:tcW w:w="68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0" w:type="dxa"/>
            <w:vAlign w:val="bottom"/>
          </w:tcPr>
          <w:p>
            <w:pPr>
              <w:spacing w:after="0"/>
              <w:rPr>
                <w:sz w:val="7"/>
                <w:szCs w:val="7"/>
                <w:color w:val="auto"/>
              </w:rPr>
            </w:pPr>
          </w:p>
        </w:tc>
        <w:tc>
          <w:tcPr>
            <w:tcW w:w="740" w:type="dxa"/>
            <w:vAlign w:val="bottom"/>
          </w:tcPr>
          <w:p>
            <w:pPr>
              <w:spacing w:after="0"/>
              <w:rPr>
                <w:sz w:val="7"/>
                <w:szCs w:val="7"/>
                <w:color w:val="auto"/>
              </w:rPr>
            </w:pPr>
          </w:p>
        </w:tc>
        <w:tc>
          <w:tcPr>
            <w:tcW w:w="180" w:type="dxa"/>
            <w:vAlign w:val="bottom"/>
          </w:tcPr>
          <w:p>
            <w:pPr>
              <w:spacing w:after="0"/>
              <w:rPr>
                <w:sz w:val="7"/>
                <w:szCs w:val="7"/>
                <w:color w:val="auto"/>
              </w:rPr>
            </w:pPr>
          </w:p>
        </w:tc>
        <w:tc>
          <w:tcPr>
            <w:tcW w:w="140" w:type="dxa"/>
            <w:vAlign w:val="bottom"/>
          </w:tcPr>
          <w:p>
            <w:pPr>
              <w:spacing w:after="0"/>
              <w:rPr>
                <w:sz w:val="7"/>
                <w:szCs w:val="7"/>
                <w:color w:val="auto"/>
              </w:rPr>
            </w:pPr>
          </w:p>
        </w:tc>
        <w:tc>
          <w:tcPr>
            <w:tcW w:w="720" w:type="dxa"/>
            <w:vAlign w:val="bottom"/>
          </w:tcPr>
          <w:p>
            <w:pPr>
              <w:spacing w:after="0"/>
              <w:rPr>
                <w:sz w:val="7"/>
                <w:szCs w:val="7"/>
                <w:color w:val="auto"/>
              </w:rPr>
            </w:pPr>
          </w:p>
        </w:tc>
        <w:tc>
          <w:tcPr>
            <w:tcW w:w="18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74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80" w:lineRule="exact"/>
        <w:rPr>
          <w:sz w:val="20"/>
          <w:szCs w:val="20"/>
          <w:color w:val="auto"/>
        </w:rPr>
      </w:pPr>
    </w:p>
    <w:p>
      <w:pPr>
        <w:ind w:left="340" w:right="200" w:hanging="332"/>
        <w:spacing w:after="0" w:line="258" w:lineRule="auto"/>
        <w:tabs>
          <w:tab w:leader="none" w:pos="340" w:val="left"/>
        </w:tabs>
        <w:numPr>
          <w:ilvl w:val="0"/>
          <w:numId w:val="55"/>
        </w:numPr>
        <w:rPr>
          <w:rFonts w:ascii="Arial" w:cs="Arial" w:eastAsia="Arial" w:hAnsi="Arial"/>
          <w:sz w:val="18"/>
          <w:szCs w:val="18"/>
          <w:color w:val="auto"/>
        </w:rPr>
      </w:pPr>
      <w:r>
        <w:rPr>
          <w:rFonts w:ascii="Arial" w:cs="Arial" w:eastAsia="Arial" w:hAnsi="Arial"/>
          <w:sz w:val="18"/>
          <w:szCs w:val="18"/>
          <w:color w:val="auto"/>
        </w:rPr>
        <w:t>Fair value and gross unrealized losses are excluded for available-for-sale securities for which an allowance for credit loss has been recorded.</w:t>
      </w:r>
    </w:p>
    <w:p>
      <w:pPr>
        <w:spacing w:after="0" w:line="1" w:lineRule="exact"/>
        <w:rPr>
          <w:rFonts w:ascii="Arial" w:cs="Arial" w:eastAsia="Arial" w:hAnsi="Arial"/>
          <w:sz w:val="18"/>
          <w:szCs w:val="18"/>
          <w:color w:val="auto"/>
        </w:rPr>
      </w:pPr>
    </w:p>
    <w:p>
      <w:pPr>
        <w:ind w:left="340" w:hanging="332"/>
        <w:spacing w:after="0"/>
        <w:tabs>
          <w:tab w:leader="none" w:pos="340" w:val="left"/>
        </w:tabs>
        <w:numPr>
          <w:ilvl w:val="0"/>
          <w:numId w:val="55"/>
        </w:numPr>
        <w:rPr>
          <w:rFonts w:ascii="Arial" w:cs="Arial" w:eastAsia="Arial" w:hAnsi="Arial"/>
          <w:sz w:val="18"/>
          <w:szCs w:val="18"/>
          <w:color w:val="auto"/>
        </w:rPr>
      </w:pPr>
      <w:r>
        <w:rPr>
          <w:rFonts w:ascii="Arial" w:cs="Arial" w:eastAsia="Arial" w:hAnsi="Arial"/>
          <w:sz w:val="18"/>
          <w:szCs w:val="18"/>
          <w:color w:val="auto"/>
        </w:rPr>
        <w:t>Primarily consists of collateralized loan obligations backed by secured corporate loans.</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603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121" w:name="page122"/>
    <w:bookmarkEnd w:id="121"/>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54"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48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860" w:type="dxa"/>
            <w:vAlign w:val="bottom"/>
            <w:tcBorders>
              <w:bottom w:val="single" w:sz="8" w:color="auto"/>
            </w:tcBorders>
            <w:gridSpan w:val="5"/>
          </w:tcPr>
          <w:p>
            <w:pPr>
              <w:jc w:val="center"/>
              <w:ind w:right="340"/>
              <w:spacing w:after="0"/>
              <w:rPr>
                <w:sz w:val="20"/>
                <w:szCs w:val="20"/>
                <w:color w:val="auto"/>
              </w:rPr>
            </w:pPr>
            <w:r>
              <w:rPr>
                <w:rFonts w:ascii="Arial" w:cs="Arial" w:eastAsia="Arial" w:hAnsi="Arial"/>
                <w:sz w:val="14"/>
                <w:szCs w:val="14"/>
                <w:b w:val="1"/>
                <w:bCs w:val="1"/>
                <w:color w:val="auto"/>
                <w:w w:val="91"/>
              </w:rPr>
              <w:t>December 31, 2021</w:t>
            </w:r>
          </w:p>
        </w:tc>
        <w:tc>
          <w:tcPr>
            <w:tcW w:w="14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480" w:type="dxa"/>
            <w:vAlign w:val="bottom"/>
          </w:tcPr>
          <w:p>
            <w:pPr>
              <w:spacing w:after="0"/>
              <w:rPr>
                <w:sz w:val="10"/>
                <w:szCs w:val="10"/>
                <w:color w:val="auto"/>
              </w:rPr>
            </w:pPr>
          </w:p>
        </w:tc>
        <w:tc>
          <w:tcPr>
            <w:tcW w:w="14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920" w:type="dxa"/>
            <w:vAlign w:val="bottom"/>
            <w:gridSpan w:val="5"/>
          </w:tcPr>
          <w:p>
            <w:pPr>
              <w:jc w:val="center"/>
              <w:ind w:right="320"/>
              <w:spacing w:after="0" w:line="119" w:lineRule="exact"/>
              <w:rPr>
                <w:sz w:val="20"/>
                <w:szCs w:val="20"/>
                <w:color w:val="auto"/>
              </w:rPr>
            </w:pPr>
            <w:r>
              <w:rPr>
                <w:rFonts w:ascii="Arial" w:cs="Arial" w:eastAsia="Arial" w:hAnsi="Arial"/>
                <w:sz w:val="13"/>
                <w:szCs w:val="13"/>
                <w:b w:val="1"/>
                <w:bCs w:val="1"/>
                <w:color w:val="auto"/>
                <w:w w:val="98"/>
              </w:rPr>
              <w:t>Less than</w:t>
            </w:r>
          </w:p>
        </w:tc>
        <w:tc>
          <w:tcPr>
            <w:tcW w:w="160" w:type="dxa"/>
            <w:vAlign w:val="bottom"/>
          </w:tcPr>
          <w:p>
            <w:pPr>
              <w:spacing w:after="0"/>
              <w:rPr>
                <w:sz w:val="10"/>
                <w:szCs w:val="10"/>
                <w:color w:val="auto"/>
              </w:rPr>
            </w:pPr>
          </w:p>
        </w:tc>
        <w:tc>
          <w:tcPr>
            <w:tcW w:w="1860" w:type="dxa"/>
            <w:vAlign w:val="bottom"/>
            <w:gridSpan w:val="5"/>
          </w:tcPr>
          <w:p>
            <w:pPr>
              <w:jc w:val="center"/>
              <w:ind w:right="340"/>
              <w:spacing w:after="0" w:line="119" w:lineRule="exact"/>
              <w:rPr>
                <w:sz w:val="20"/>
                <w:szCs w:val="20"/>
                <w:color w:val="auto"/>
              </w:rPr>
            </w:pPr>
            <w:r>
              <w:rPr>
                <w:rFonts w:ascii="Arial" w:cs="Arial" w:eastAsia="Arial" w:hAnsi="Arial"/>
                <w:sz w:val="13"/>
                <w:szCs w:val="13"/>
                <w:b w:val="1"/>
                <w:bCs w:val="1"/>
                <w:color w:val="auto"/>
              </w:rPr>
              <w:t>Greater than or</w:t>
            </w:r>
          </w:p>
        </w:tc>
        <w:tc>
          <w:tcPr>
            <w:tcW w:w="140" w:type="dxa"/>
            <w:vAlign w:val="bottom"/>
          </w:tcPr>
          <w:p>
            <w:pPr>
              <w:spacing w:after="0"/>
              <w:rPr>
                <w:sz w:val="10"/>
                <w:szCs w:val="10"/>
                <w:color w:val="auto"/>
              </w:rPr>
            </w:pPr>
          </w:p>
        </w:tc>
        <w:tc>
          <w:tcPr>
            <w:tcW w:w="1000" w:type="dxa"/>
            <w:vAlign w:val="bottom"/>
            <w:gridSpan w:val="4"/>
            <w:vMerge w:val="restart"/>
          </w:tcPr>
          <w:p>
            <w:pPr>
              <w:jc w:val="right"/>
              <w:spacing w:after="0"/>
              <w:rPr>
                <w:sz w:val="20"/>
                <w:szCs w:val="20"/>
                <w:color w:val="auto"/>
              </w:rPr>
            </w:pPr>
            <w:r>
              <w:rPr>
                <w:rFonts w:ascii="Arial" w:cs="Arial" w:eastAsia="Arial" w:hAnsi="Arial"/>
                <w:sz w:val="14"/>
                <w:szCs w:val="14"/>
                <w:b w:val="1"/>
                <w:bCs w:val="1"/>
                <w:color w:val="auto"/>
              </w:rPr>
              <w:t>Total</w:t>
            </w:r>
          </w:p>
        </w:tc>
        <w:tc>
          <w:tcPr>
            <w:tcW w:w="7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248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920" w:type="dxa"/>
            <w:vAlign w:val="bottom"/>
            <w:gridSpan w:val="5"/>
          </w:tcPr>
          <w:p>
            <w:pPr>
              <w:jc w:val="center"/>
              <w:ind w:right="320"/>
              <w:spacing w:after="0"/>
              <w:rPr>
                <w:sz w:val="20"/>
                <w:szCs w:val="20"/>
                <w:color w:val="auto"/>
              </w:rPr>
            </w:pPr>
            <w:r>
              <w:rPr>
                <w:rFonts w:ascii="Arial" w:cs="Arial" w:eastAsia="Arial" w:hAnsi="Arial"/>
                <w:sz w:val="14"/>
                <w:szCs w:val="14"/>
                <w:b w:val="1"/>
                <w:bCs w:val="1"/>
                <w:color w:val="auto"/>
                <w:w w:val="90"/>
              </w:rPr>
              <w:t>twelve months</w:t>
            </w:r>
          </w:p>
        </w:tc>
        <w:tc>
          <w:tcPr>
            <w:tcW w:w="160" w:type="dxa"/>
            <w:vAlign w:val="bottom"/>
          </w:tcPr>
          <w:p>
            <w:pPr>
              <w:spacing w:after="0"/>
              <w:rPr>
                <w:sz w:val="14"/>
                <w:szCs w:val="14"/>
                <w:color w:val="auto"/>
              </w:rPr>
            </w:pPr>
          </w:p>
        </w:tc>
        <w:tc>
          <w:tcPr>
            <w:tcW w:w="1860" w:type="dxa"/>
            <w:vAlign w:val="bottom"/>
            <w:gridSpan w:val="5"/>
          </w:tcPr>
          <w:p>
            <w:pPr>
              <w:jc w:val="center"/>
              <w:ind w:right="340"/>
              <w:spacing w:after="0"/>
              <w:rPr>
                <w:sz w:val="20"/>
                <w:szCs w:val="20"/>
                <w:color w:val="auto"/>
              </w:rPr>
            </w:pPr>
            <w:r>
              <w:rPr>
                <w:rFonts w:ascii="Arial" w:cs="Arial" w:eastAsia="Arial" w:hAnsi="Arial"/>
                <w:sz w:val="14"/>
                <w:szCs w:val="14"/>
                <w:b w:val="1"/>
                <w:bCs w:val="1"/>
                <w:color w:val="auto"/>
                <w:w w:val="90"/>
              </w:rPr>
              <w:t>equal to twelve months</w:t>
            </w:r>
          </w:p>
        </w:tc>
        <w:tc>
          <w:tcPr>
            <w:tcW w:w="140" w:type="dxa"/>
            <w:vAlign w:val="bottom"/>
          </w:tcPr>
          <w:p>
            <w:pPr>
              <w:spacing w:after="0"/>
              <w:rPr>
                <w:sz w:val="14"/>
                <w:szCs w:val="14"/>
                <w:color w:val="auto"/>
              </w:rPr>
            </w:pPr>
          </w:p>
        </w:tc>
        <w:tc>
          <w:tcPr>
            <w:tcW w:w="1000" w:type="dxa"/>
            <w:vAlign w:val="bottom"/>
            <w:gridSpan w:val="4"/>
            <w:vMerge w:val="continue"/>
          </w:tcPr>
          <w:p>
            <w:pPr>
              <w:spacing w:after="0"/>
              <w:rPr>
                <w:sz w:val="14"/>
                <w:szCs w:val="14"/>
                <w:color w:val="auto"/>
              </w:rPr>
            </w:pPr>
          </w:p>
        </w:tc>
        <w:tc>
          <w:tcPr>
            <w:tcW w:w="7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480" w:type="dxa"/>
            <w:vAlign w:val="bottom"/>
          </w:tcPr>
          <w:p>
            <w:pPr>
              <w:spacing w:after="0"/>
              <w:rPr>
                <w:sz w:val="10"/>
                <w:szCs w:val="10"/>
                <w:color w:val="auto"/>
              </w:rPr>
            </w:pPr>
          </w:p>
        </w:tc>
        <w:tc>
          <w:tcPr>
            <w:tcW w:w="1480" w:type="dxa"/>
            <w:vAlign w:val="bottom"/>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720" w:type="dxa"/>
            <w:vAlign w:val="bottom"/>
            <w:tcBorders>
              <w:top w:val="single" w:sz="8" w:color="auto"/>
            </w:tcBorders>
            <w:vMerge w:val="restart"/>
          </w:tcPr>
          <w:p>
            <w:pPr>
              <w:jc w:val="right"/>
              <w:ind w:right="216"/>
              <w:spacing w:after="0"/>
              <w:rPr>
                <w:sz w:val="20"/>
                <w:szCs w:val="20"/>
                <w:color w:val="auto"/>
              </w:rPr>
            </w:pPr>
            <w:r>
              <w:rPr>
                <w:rFonts w:ascii="Arial" w:cs="Arial" w:eastAsia="Arial" w:hAnsi="Arial"/>
                <w:sz w:val="14"/>
                <w:szCs w:val="14"/>
                <w:b w:val="1"/>
                <w:bCs w:val="1"/>
                <w:color w:val="auto"/>
              </w:rPr>
              <w:t>Fair</w:t>
            </w:r>
          </w:p>
        </w:tc>
        <w:tc>
          <w:tcPr>
            <w:tcW w:w="18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740" w:type="dxa"/>
            <w:vAlign w:val="bottom"/>
            <w:tcBorders>
              <w:top w:val="single" w:sz="8" w:color="auto"/>
            </w:tcBorders>
          </w:tcPr>
          <w:p>
            <w:pPr>
              <w:jc w:val="center"/>
              <w:ind w:right="15"/>
              <w:spacing w:after="0" w:line="119" w:lineRule="exact"/>
              <w:rPr>
                <w:sz w:val="20"/>
                <w:szCs w:val="20"/>
                <w:color w:val="auto"/>
              </w:rPr>
            </w:pPr>
            <w:r>
              <w:rPr>
                <w:rFonts w:ascii="Arial" w:cs="Arial" w:eastAsia="Arial" w:hAnsi="Arial"/>
                <w:sz w:val="13"/>
                <w:szCs w:val="13"/>
                <w:b w:val="1"/>
                <w:bCs w:val="1"/>
                <w:color w:val="auto"/>
                <w:w w:val="95"/>
              </w:rPr>
              <w:t>Gross</w:t>
            </w:r>
          </w:p>
        </w:tc>
        <w:tc>
          <w:tcPr>
            <w:tcW w:w="180" w:type="dxa"/>
            <w:vAlign w:val="bottom"/>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680" w:type="dxa"/>
            <w:vAlign w:val="bottom"/>
            <w:tcBorders>
              <w:top w:val="single" w:sz="8" w:color="auto"/>
            </w:tcBorders>
            <w:vMerge w:val="restart"/>
          </w:tcPr>
          <w:p>
            <w:pPr>
              <w:jc w:val="right"/>
              <w:ind w:right="218"/>
              <w:spacing w:after="0"/>
              <w:rPr>
                <w:sz w:val="20"/>
                <w:szCs w:val="20"/>
                <w:color w:val="auto"/>
              </w:rPr>
            </w:pPr>
            <w:r>
              <w:rPr>
                <w:rFonts w:ascii="Arial" w:cs="Arial" w:eastAsia="Arial" w:hAnsi="Arial"/>
                <w:sz w:val="14"/>
                <w:szCs w:val="14"/>
                <w:b w:val="1"/>
                <w:bCs w:val="1"/>
                <w:color w:val="auto"/>
              </w:rPr>
              <w:t>Fair</w:t>
            </w:r>
          </w:p>
        </w:tc>
        <w:tc>
          <w:tcPr>
            <w:tcW w:w="16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740" w:type="dxa"/>
            <w:vAlign w:val="bottom"/>
            <w:tcBorders>
              <w:top w:val="single" w:sz="8" w:color="auto"/>
            </w:tcBorders>
          </w:tcPr>
          <w:p>
            <w:pPr>
              <w:jc w:val="center"/>
              <w:ind w:right="15"/>
              <w:spacing w:after="0" w:line="119" w:lineRule="exact"/>
              <w:rPr>
                <w:sz w:val="20"/>
                <w:szCs w:val="20"/>
                <w:color w:val="auto"/>
              </w:rPr>
            </w:pPr>
            <w:r>
              <w:rPr>
                <w:rFonts w:ascii="Arial" w:cs="Arial" w:eastAsia="Arial" w:hAnsi="Arial"/>
                <w:sz w:val="13"/>
                <w:szCs w:val="13"/>
                <w:b w:val="1"/>
                <w:bCs w:val="1"/>
                <w:color w:val="auto"/>
                <w:w w:val="95"/>
              </w:rPr>
              <w:t>Gross</w:t>
            </w:r>
          </w:p>
        </w:tc>
        <w:tc>
          <w:tcPr>
            <w:tcW w:w="180" w:type="dxa"/>
            <w:vAlign w:val="bottom"/>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900" w:type="dxa"/>
            <w:vAlign w:val="bottom"/>
            <w:tcBorders>
              <w:top w:val="single" w:sz="8" w:color="auto"/>
            </w:tcBorders>
            <w:gridSpan w:val="2"/>
            <w:vMerge w:val="restart"/>
          </w:tcPr>
          <w:p>
            <w:pPr>
              <w:ind w:left="160"/>
              <w:spacing w:after="0"/>
              <w:rPr>
                <w:sz w:val="20"/>
                <w:szCs w:val="20"/>
                <w:color w:val="auto"/>
              </w:rPr>
            </w:pPr>
            <w:r>
              <w:rPr>
                <w:rFonts w:ascii="Arial" w:cs="Arial" w:eastAsia="Arial" w:hAnsi="Arial"/>
                <w:sz w:val="14"/>
                <w:szCs w:val="14"/>
                <w:b w:val="1"/>
                <w:bCs w:val="1"/>
                <w:color w:val="auto"/>
              </w:rPr>
              <w:t>Fair</w:t>
            </w:r>
          </w:p>
        </w:tc>
        <w:tc>
          <w:tcPr>
            <w:tcW w:w="20" w:type="dxa"/>
            <w:vAlign w:val="bottom"/>
            <w:tcBorders>
              <w:top w:val="single" w:sz="8" w:color="auto"/>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740" w:type="dxa"/>
            <w:vAlign w:val="bottom"/>
            <w:tcBorders>
              <w:top w:val="single" w:sz="8" w:color="auto"/>
            </w:tcBorders>
          </w:tcPr>
          <w:p>
            <w:pPr>
              <w:jc w:val="center"/>
              <w:ind w:right="15"/>
              <w:spacing w:after="0" w:line="119" w:lineRule="exact"/>
              <w:rPr>
                <w:sz w:val="20"/>
                <w:szCs w:val="20"/>
                <w:color w:val="auto"/>
              </w:rPr>
            </w:pPr>
            <w:r>
              <w:rPr>
                <w:rFonts w:ascii="Arial" w:cs="Arial" w:eastAsia="Arial" w:hAnsi="Arial"/>
                <w:sz w:val="13"/>
                <w:szCs w:val="13"/>
                <w:b w:val="1"/>
                <w:bCs w:val="1"/>
                <w:color w:val="auto"/>
                <w:w w:val="95"/>
              </w:rPr>
              <w:t>Gross</w:t>
            </w:r>
          </w:p>
        </w:tc>
        <w:tc>
          <w:tcPr>
            <w:tcW w:w="0" w:type="dxa"/>
            <w:vAlign w:val="bottom"/>
          </w:tcPr>
          <w:p>
            <w:pPr>
              <w:spacing w:after="0"/>
              <w:rPr>
                <w:sz w:val="1"/>
                <w:szCs w:val="1"/>
                <w:color w:val="auto"/>
              </w:rPr>
            </w:pPr>
          </w:p>
        </w:tc>
      </w:tr>
      <w:tr>
        <w:trPr>
          <w:trHeight w:val="148"/>
        </w:trPr>
        <w:tc>
          <w:tcPr>
            <w:tcW w:w="2480" w:type="dxa"/>
            <w:vAlign w:val="bottom"/>
          </w:tcPr>
          <w:p>
            <w:pPr>
              <w:spacing w:after="0"/>
              <w:rPr>
                <w:sz w:val="12"/>
                <w:szCs w:val="12"/>
                <w:color w:val="auto"/>
              </w:rPr>
            </w:pPr>
          </w:p>
        </w:tc>
        <w:tc>
          <w:tcPr>
            <w:tcW w:w="14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vMerge w:val="continue"/>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2"/>
              </w:rPr>
              <w:t>unrealized</w:t>
            </w:r>
          </w:p>
        </w:tc>
        <w:tc>
          <w:tcPr>
            <w:tcW w:w="160" w:type="dxa"/>
            <w:vAlign w:val="bottom"/>
          </w:tcPr>
          <w:p>
            <w:pPr>
              <w:spacing w:after="0"/>
              <w:rPr>
                <w:sz w:val="12"/>
                <w:szCs w:val="12"/>
                <w:color w:val="auto"/>
              </w:rPr>
            </w:pPr>
          </w:p>
        </w:tc>
        <w:tc>
          <w:tcPr>
            <w:tcW w:w="680" w:type="dxa"/>
            <w:vAlign w:val="bottom"/>
            <w:vMerge w:val="continue"/>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5"/>
              </w:rPr>
              <w:t>unrealized</w:t>
            </w:r>
          </w:p>
        </w:tc>
        <w:tc>
          <w:tcPr>
            <w:tcW w:w="140" w:type="dxa"/>
            <w:vAlign w:val="bottom"/>
          </w:tcPr>
          <w:p>
            <w:pPr>
              <w:spacing w:after="0"/>
              <w:rPr>
                <w:sz w:val="12"/>
                <w:szCs w:val="12"/>
                <w:color w:val="auto"/>
              </w:rPr>
            </w:pPr>
          </w:p>
        </w:tc>
        <w:tc>
          <w:tcPr>
            <w:tcW w:w="900" w:type="dxa"/>
            <w:vAlign w:val="bottom"/>
            <w:gridSpan w:val="2"/>
            <w:vMerge w:val="continue"/>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tcPr>
          <w:p>
            <w:pPr>
              <w:jc w:val="center"/>
              <w:ind w:right="15"/>
              <w:spacing w:after="0" w:line="149" w:lineRule="exact"/>
              <w:rPr>
                <w:sz w:val="20"/>
                <w:szCs w:val="20"/>
                <w:color w:val="auto"/>
              </w:rPr>
            </w:pPr>
            <w:r>
              <w:rPr>
                <w:rFonts w:ascii="Arial" w:cs="Arial" w:eastAsia="Arial" w:hAnsi="Arial"/>
                <w:sz w:val="14"/>
                <w:szCs w:val="14"/>
                <w:b w:val="1"/>
                <w:bCs w:val="1"/>
                <w:color w:val="auto"/>
                <w:w w:val="92"/>
              </w:rPr>
              <w:t>unrealized</w:t>
            </w:r>
          </w:p>
        </w:tc>
        <w:tc>
          <w:tcPr>
            <w:tcW w:w="0" w:type="dxa"/>
            <w:vAlign w:val="bottom"/>
          </w:tcPr>
          <w:p>
            <w:pPr>
              <w:spacing w:after="0"/>
              <w:rPr>
                <w:sz w:val="1"/>
                <w:szCs w:val="1"/>
                <w:color w:val="auto"/>
              </w:rPr>
            </w:pPr>
          </w:p>
        </w:tc>
      </w:tr>
      <w:tr>
        <w:trPr>
          <w:trHeight w:val="171"/>
        </w:trPr>
        <w:tc>
          <w:tcPr>
            <w:tcW w:w="248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176"/>
              <w:spacing w:after="0"/>
              <w:rPr>
                <w:sz w:val="20"/>
                <w:szCs w:val="20"/>
                <w:color w:val="auto"/>
              </w:rPr>
            </w:pPr>
            <w:r>
              <w:rPr>
                <w:rFonts w:ascii="Arial" w:cs="Arial" w:eastAsia="Arial" w:hAnsi="Arial"/>
                <w:sz w:val="14"/>
                <w:szCs w:val="14"/>
                <w:b w:val="1"/>
                <w:bCs w:val="1"/>
                <w:color w:val="auto"/>
              </w:rPr>
              <w:t>value</w:t>
            </w:r>
          </w:p>
        </w:tc>
        <w:tc>
          <w:tcPr>
            <w:tcW w:w="1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77"/>
              </w:rPr>
              <w:t>losses</w:t>
            </w:r>
          </w:p>
        </w:tc>
        <w:tc>
          <w:tcPr>
            <w:tcW w:w="18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right"/>
              <w:ind w:right="178"/>
              <w:spacing w:after="0"/>
              <w:rPr>
                <w:sz w:val="20"/>
                <w:szCs w:val="20"/>
                <w:color w:val="auto"/>
              </w:rPr>
            </w:pPr>
            <w:r>
              <w:rPr>
                <w:rFonts w:ascii="Arial" w:cs="Arial" w:eastAsia="Arial" w:hAnsi="Arial"/>
                <w:sz w:val="14"/>
                <w:szCs w:val="14"/>
                <w:b w:val="1"/>
                <w:bCs w:val="1"/>
                <w:color w:val="auto"/>
              </w:rPr>
              <w:t>value</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77"/>
              </w:rPr>
              <w:t>losses</w:t>
            </w:r>
          </w:p>
        </w:tc>
        <w:tc>
          <w:tcPr>
            <w:tcW w:w="1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175"/>
              <w:spacing w:after="0"/>
              <w:rPr>
                <w:sz w:val="20"/>
                <w:szCs w:val="20"/>
                <w:color w:val="auto"/>
              </w:rPr>
            </w:pPr>
            <w:r>
              <w:rPr>
                <w:rFonts w:ascii="Arial" w:cs="Arial" w:eastAsia="Arial" w:hAnsi="Arial"/>
                <w:sz w:val="14"/>
                <w:szCs w:val="14"/>
                <w:b w:val="1"/>
                <w:bCs w:val="1"/>
                <w:color w:val="auto"/>
              </w:rPr>
              <w:t>value</w:t>
            </w:r>
          </w:p>
        </w:tc>
        <w:tc>
          <w:tcPr>
            <w:tcW w:w="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center"/>
              <w:ind w:right="15"/>
              <w:spacing w:after="0"/>
              <w:rPr>
                <w:sz w:val="20"/>
                <w:szCs w:val="20"/>
                <w:color w:val="auto"/>
              </w:rPr>
            </w:pPr>
            <w:r>
              <w:rPr>
                <w:rFonts w:ascii="Arial" w:cs="Arial" w:eastAsia="Arial" w:hAnsi="Arial"/>
                <w:sz w:val="14"/>
                <w:szCs w:val="14"/>
                <w:b w:val="1"/>
                <w:bCs w:val="1"/>
                <w:color w:val="auto"/>
                <w:w w:val="82"/>
              </w:rPr>
              <w:t>losses</w:t>
            </w:r>
          </w:p>
        </w:tc>
        <w:tc>
          <w:tcPr>
            <w:tcW w:w="0" w:type="dxa"/>
            <w:vAlign w:val="bottom"/>
          </w:tcPr>
          <w:p>
            <w:pPr>
              <w:spacing w:after="0"/>
              <w:rPr>
                <w:sz w:val="1"/>
                <w:szCs w:val="1"/>
                <w:color w:val="auto"/>
              </w:rPr>
            </w:pPr>
          </w:p>
        </w:tc>
      </w:tr>
      <w:tr>
        <w:trPr>
          <w:trHeight w:val="128"/>
        </w:trPr>
        <w:tc>
          <w:tcPr>
            <w:tcW w:w="2480" w:type="dxa"/>
            <w:vAlign w:val="bottom"/>
          </w:tcPr>
          <w:p>
            <w:pPr>
              <w:spacing w:after="0"/>
              <w:rPr>
                <w:sz w:val="11"/>
                <w:szCs w:val="11"/>
                <w:color w:val="auto"/>
              </w:rPr>
            </w:pPr>
          </w:p>
        </w:tc>
        <w:tc>
          <w:tcPr>
            <w:tcW w:w="14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80" w:type="dxa"/>
            <w:vAlign w:val="bottom"/>
            <w:gridSpan w:val="4"/>
          </w:tcPr>
          <w:p>
            <w:pPr>
              <w:jc w:val="center"/>
              <w:ind w:right="75"/>
              <w:spacing w:after="0" w:line="129" w:lineRule="exact"/>
              <w:rPr>
                <w:sz w:val="20"/>
                <w:szCs w:val="20"/>
                <w:color w:val="auto"/>
              </w:rPr>
            </w:pPr>
            <w:r>
              <w:rPr>
                <w:rFonts w:ascii="Arial" w:cs="Arial" w:eastAsia="Arial" w:hAnsi="Arial"/>
                <w:sz w:val="14"/>
                <w:szCs w:val="14"/>
                <w:i w:val="1"/>
                <w:iCs w:val="1"/>
                <w:color w:val="auto"/>
              </w:rPr>
              <w:t>(in millions)</w:t>
            </w: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39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Fixed maturities, available-for-sale (1):</w:t>
            </w: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960" w:type="dxa"/>
            <w:vAlign w:val="bottom"/>
            <w:gridSpan w:val="2"/>
          </w:tcPr>
          <w:p>
            <w:pPr>
              <w:ind w:left="120"/>
              <w:spacing w:after="0"/>
              <w:rPr>
                <w:sz w:val="20"/>
                <w:szCs w:val="20"/>
                <w:color w:val="auto"/>
              </w:rPr>
            </w:pPr>
            <w:r>
              <w:rPr>
                <w:rFonts w:ascii="Arial" w:cs="Arial" w:eastAsia="Arial" w:hAnsi="Arial"/>
                <w:sz w:val="18"/>
                <w:szCs w:val="18"/>
                <w:color w:val="auto"/>
              </w:rPr>
              <w:t>U.S. government and agencies</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129.3</w:t>
            </w:r>
          </w:p>
        </w:tc>
        <w:tc>
          <w:tcPr>
            <w:tcW w:w="2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3.4</w:t>
            </w:r>
          </w:p>
        </w:tc>
        <w:tc>
          <w:tcPr>
            <w:tcW w:w="180" w:type="dxa"/>
            <w:vAlign w:val="bottom"/>
          </w:tcPr>
          <w:p>
            <w:pPr>
              <w:spacing w:after="0"/>
              <w:rPr>
                <w:sz w:val="18"/>
                <w:szCs w:val="18"/>
                <w:color w:val="auto"/>
              </w:rPr>
            </w:pPr>
          </w:p>
        </w:tc>
        <w:tc>
          <w:tcPr>
            <w:tcW w:w="160" w:type="dxa"/>
            <w:vAlign w:val="bottom"/>
          </w:tcPr>
          <w:p>
            <w:pPr>
              <w:jc w:val="right"/>
              <w:ind w:right="7"/>
              <w:spacing w:after="0"/>
              <w:rPr>
                <w:sz w:val="20"/>
                <w:szCs w:val="20"/>
                <w:color w:val="auto"/>
              </w:rPr>
            </w:pPr>
            <w:r>
              <w:rPr>
                <w:rFonts w:ascii="Arial" w:cs="Arial" w:eastAsia="Arial" w:hAnsi="Arial"/>
                <w:sz w:val="15"/>
                <w:szCs w:val="15"/>
                <w:color w:val="auto"/>
                <w:w w:val="71"/>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482.9</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34.0</w:t>
            </w:r>
          </w:p>
        </w:tc>
        <w:tc>
          <w:tcPr>
            <w:tcW w:w="18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612.2</w:t>
            </w:r>
          </w:p>
        </w:tc>
        <w:tc>
          <w:tcPr>
            <w:tcW w:w="180" w:type="dxa"/>
            <w:vAlign w:val="bottom"/>
          </w:tcPr>
          <w:p>
            <w:pPr>
              <w:spacing w:after="0"/>
              <w:rPr>
                <w:sz w:val="18"/>
                <w:szCs w:val="18"/>
                <w:color w:val="auto"/>
              </w:rPr>
            </w:pPr>
          </w:p>
        </w:tc>
        <w:tc>
          <w:tcPr>
            <w:tcW w:w="10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37.4</w:t>
            </w:r>
          </w:p>
        </w:tc>
        <w:tc>
          <w:tcPr>
            <w:tcW w:w="0" w:type="dxa"/>
            <w:vAlign w:val="bottom"/>
          </w:tcPr>
          <w:p>
            <w:pPr>
              <w:spacing w:after="0"/>
              <w:rPr>
                <w:sz w:val="1"/>
                <w:szCs w:val="1"/>
                <w:color w:val="auto"/>
              </w:rPr>
            </w:pPr>
          </w:p>
        </w:tc>
      </w:tr>
      <w:tr>
        <w:trPr>
          <w:trHeight w:val="216"/>
        </w:trPr>
        <w:tc>
          <w:tcPr>
            <w:tcW w:w="39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Non-U.S. governments</w:t>
            </w: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57.5</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57.5</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16"/>
        </w:trPr>
        <w:tc>
          <w:tcPr>
            <w:tcW w:w="3960" w:type="dxa"/>
            <w:vAlign w:val="bottom"/>
            <w:gridSpan w:val="2"/>
          </w:tcPr>
          <w:p>
            <w:pPr>
              <w:ind w:left="120"/>
              <w:spacing w:after="0"/>
              <w:rPr>
                <w:sz w:val="20"/>
                <w:szCs w:val="20"/>
                <w:color w:val="auto"/>
              </w:rPr>
            </w:pPr>
            <w:r>
              <w:rPr>
                <w:rFonts w:ascii="Arial" w:cs="Arial" w:eastAsia="Arial" w:hAnsi="Arial"/>
                <w:sz w:val="18"/>
                <w:szCs w:val="18"/>
                <w:color w:val="auto"/>
              </w:rPr>
              <w:t>States and political subdivisions</w:t>
            </w:r>
          </w:p>
        </w:tc>
        <w:tc>
          <w:tcPr>
            <w:tcW w:w="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687.8</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10.5</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102.3</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6.1</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790.1</w:t>
            </w: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16.6</w:t>
            </w:r>
          </w:p>
        </w:tc>
        <w:tc>
          <w:tcPr>
            <w:tcW w:w="0" w:type="dxa"/>
            <w:vAlign w:val="bottom"/>
          </w:tcPr>
          <w:p>
            <w:pPr>
              <w:spacing w:after="0"/>
              <w:rPr>
                <w:sz w:val="1"/>
                <w:szCs w:val="1"/>
                <w:color w:val="auto"/>
              </w:rPr>
            </w:pPr>
          </w:p>
        </w:tc>
      </w:tr>
      <w:tr>
        <w:trPr>
          <w:trHeight w:val="216"/>
        </w:trPr>
        <w:tc>
          <w:tcPr>
            <w:tcW w:w="39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Corporate</w:t>
            </w: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4,557.7</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59.3</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1,262.9</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67.8</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5,820.6</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127.1</w:t>
            </w:r>
          </w:p>
        </w:tc>
        <w:tc>
          <w:tcPr>
            <w:tcW w:w="0" w:type="dxa"/>
            <w:vAlign w:val="bottom"/>
          </w:tcPr>
          <w:p>
            <w:pPr>
              <w:spacing w:after="0"/>
              <w:rPr>
                <w:sz w:val="1"/>
                <w:szCs w:val="1"/>
                <w:color w:val="auto"/>
              </w:rPr>
            </w:pPr>
          </w:p>
        </w:tc>
      </w:tr>
      <w:tr>
        <w:trPr>
          <w:trHeight w:val="202"/>
        </w:trPr>
        <w:tc>
          <w:tcPr>
            <w:tcW w:w="3960" w:type="dxa"/>
            <w:vAlign w:val="bottom"/>
            <w:gridSpan w:val="2"/>
          </w:tcPr>
          <w:p>
            <w:pPr>
              <w:ind w:left="120"/>
              <w:spacing w:after="0" w:line="201" w:lineRule="exact"/>
              <w:rPr>
                <w:sz w:val="20"/>
                <w:szCs w:val="20"/>
                <w:color w:val="auto"/>
              </w:rPr>
            </w:pPr>
            <w:r>
              <w:rPr>
                <w:rFonts w:ascii="Arial" w:cs="Arial" w:eastAsia="Arial" w:hAnsi="Arial"/>
                <w:sz w:val="18"/>
                <w:szCs w:val="18"/>
                <w:color w:val="auto"/>
              </w:rPr>
              <w:t>Residential mortgage-backed pass-through</w:t>
            </w:r>
          </w:p>
        </w:tc>
        <w:tc>
          <w:tcPr>
            <w:tcW w:w="1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960" w:type="dxa"/>
            <w:vAlign w:val="bottom"/>
            <w:gridSpan w:val="2"/>
          </w:tcPr>
          <w:p>
            <w:pPr>
              <w:ind w:left="240"/>
              <w:spacing w:after="0"/>
              <w:rPr>
                <w:sz w:val="20"/>
                <w:szCs w:val="20"/>
                <w:color w:val="auto"/>
              </w:rPr>
            </w:pPr>
            <w:r>
              <w:rPr>
                <w:rFonts w:ascii="Arial" w:cs="Arial" w:eastAsia="Arial" w:hAnsi="Arial"/>
                <w:sz w:val="18"/>
                <w:szCs w:val="18"/>
                <w:color w:val="auto"/>
              </w:rPr>
              <w:t>securities</w:t>
            </w:r>
          </w:p>
        </w:tc>
        <w:tc>
          <w:tcPr>
            <w:tcW w:w="140" w:type="dxa"/>
            <w:vAlign w:val="bottom"/>
          </w:tcPr>
          <w:p>
            <w:pPr>
              <w:spacing w:after="0"/>
              <w:rPr>
                <w:sz w:val="20"/>
                <w:szCs w:val="20"/>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1,562.6</w:t>
            </w: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20.6</w:t>
            </w:r>
          </w:p>
        </w:tc>
        <w:tc>
          <w:tcPr>
            <w:tcW w:w="1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194.9</w:t>
            </w: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6.3</w:t>
            </w: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1,757.5</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26.9</w:t>
            </w:r>
          </w:p>
        </w:tc>
        <w:tc>
          <w:tcPr>
            <w:tcW w:w="0" w:type="dxa"/>
            <w:vAlign w:val="bottom"/>
          </w:tcPr>
          <w:p>
            <w:pPr>
              <w:spacing w:after="0"/>
              <w:rPr>
                <w:sz w:val="1"/>
                <w:szCs w:val="1"/>
                <w:color w:val="auto"/>
              </w:rPr>
            </w:pPr>
          </w:p>
        </w:tc>
      </w:tr>
      <w:tr>
        <w:trPr>
          <w:trHeight w:val="216"/>
        </w:trPr>
        <w:tc>
          <w:tcPr>
            <w:tcW w:w="39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Commercial mortgage-backed securities</w:t>
            </w: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1,293.3</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15.5</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289.8</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15.3</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1,583.1</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30.8</w:t>
            </w:r>
          </w:p>
        </w:tc>
        <w:tc>
          <w:tcPr>
            <w:tcW w:w="0" w:type="dxa"/>
            <w:vAlign w:val="bottom"/>
          </w:tcPr>
          <w:p>
            <w:pPr>
              <w:spacing w:after="0"/>
              <w:rPr>
                <w:sz w:val="1"/>
                <w:szCs w:val="1"/>
                <w:color w:val="auto"/>
              </w:rPr>
            </w:pPr>
          </w:p>
        </w:tc>
      </w:tr>
      <w:tr>
        <w:trPr>
          <w:trHeight w:val="216"/>
        </w:trPr>
        <w:tc>
          <w:tcPr>
            <w:tcW w:w="3960" w:type="dxa"/>
            <w:vAlign w:val="bottom"/>
            <w:gridSpan w:val="2"/>
          </w:tcPr>
          <w:p>
            <w:pPr>
              <w:ind w:left="120"/>
              <w:spacing w:after="0"/>
              <w:rPr>
                <w:sz w:val="20"/>
                <w:szCs w:val="20"/>
                <w:color w:val="auto"/>
              </w:rPr>
            </w:pPr>
            <w:r>
              <w:rPr>
                <w:rFonts w:ascii="Arial" w:cs="Arial" w:eastAsia="Arial" w:hAnsi="Arial"/>
                <w:sz w:val="18"/>
                <w:szCs w:val="18"/>
                <w:color w:val="auto"/>
              </w:rPr>
              <w:t>Collateralized debt obligations (2)</w:t>
            </w:r>
          </w:p>
        </w:tc>
        <w:tc>
          <w:tcPr>
            <w:tcW w:w="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1,592.5</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2.8</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424.4</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6.7</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2,016.9</w:t>
            </w: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9.5</w:t>
            </w:r>
          </w:p>
        </w:tc>
        <w:tc>
          <w:tcPr>
            <w:tcW w:w="0" w:type="dxa"/>
            <w:vAlign w:val="bottom"/>
          </w:tcPr>
          <w:p>
            <w:pPr>
              <w:spacing w:after="0"/>
              <w:rPr>
                <w:sz w:val="1"/>
                <w:szCs w:val="1"/>
                <w:color w:val="auto"/>
              </w:rPr>
            </w:pPr>
          </w:p>
        </w:tc>
      </w:tr>
      <w:tr>
        <w:trPr>
          <w:trHeight w:val="216"/>
        </w:trPr>
        <w:tc>
          <w:tcPr>
            <w:tcW w:w="39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Other debt obligations</w:t>
            </w:r>
          </w:p>
        </w:tc>
        <w:tc>
          <w:tcPr>
            <w:tcW w:w="14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3,949.9</w:t>
            </w:r>
          </w:p>
        </w:tc>
        <w:tc>
          <w:tcPr>
            <w:tcW w:w="1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49.4</w:t>
            </w:r>
          </w:p>
        </w:tc>
        <w:tc>
          <w:tcPr>
            <w:tcW w:w="18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211.0</w:t>
            </w:r>
          </w:p>
        </w:tc>
        <w:tc>
          <w:tcPr>
            <w:tcW w:w="16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9.0</w:t>
            </w:r>
          </w:p>
        </w:tc>
        <w:tc>
          <w:tcPr>
            <w:tcW w:w="18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4,160.9</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58.4</w:t>
            </w:r>
          </w:p>
        </w:tc>
        <w:tc>
          <w:tcPr>
            <w:tcW w:w="0" w:type="dxa"/>
            <w:vAlign w:val="bottom"/>
          </w:tcPr>
          <w:p>
            <w:pPr>
              <w:spacing w:after="0"/>
              <w:rPr>
                <w:sz w:val="1"/>
                <w:szCs w:val="1"/>
                <w:color w:val="auto"/>
              </w:rPr>
            </w:pPr>
          </w:p>
        </w:tc>
      </w:tr>
      <w:tr>
        <w:trPr>
          <w:trHeight w:val="209"/>
        </w:trPr>
        <w:tc>
          <w:tcPr>
            <w:tcW w:w="3960" w:type="dxa"/>
            <w:vAlign w:val="bottom"/>
            <w:gridSpan w:val="2"/>
          </w:tcPr>
          <w:p>
            <w:pPr>
              <w:spacing w:after="0"/>
              <w:rPr>
                <w:sz w:val="20"/>
                <w:szCs w:val="20"/>
                <w:color w:val="auto"/>
              </w:rPr>
            </w:pPr>
            <w:r>
              <w:rPr>
                <w:rFonts w:ascii="Arial" w:cs="Arial" w:eastAsia="Arial" w:hAnsi="Arial"/>
                <w:sz w:val="18"/>
                <w:szCs w:val="18"/>
                <w:color w:val="auto"/>
              </w:rPr>
              <w:t>Total fixed maturities, available-for-sale</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4"/>
              </w:rPr>
              <w:t>13,830.6</w:t>
            </w:r>
          </w:p>
        </w:tc>
        <w:tc>
          <w:tcPr>
            <w:tcW w:w="180" w:type="dxa"/>
            <w:vAlign w:val="bottom"/>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163.</w:t>
            </w:r>
            <w:r>
              <w:rPr>
                <w:rFonts w:ascii="Arial" w:cs="Arial" w:eastAsia="Arial" w:hAnsi="Arial"/>
                <w:sz w:val="18"/>
                <w:szCs w:val="18"/>
                <w:u w:val="single" w:color="auto"/>
                <w:color w:val="auto"/>
              </w:rPr>
              <w:t>5</w:t>
            </w:r>
          </w:p>
        </w:tc>
        <w:tc>
          <w:tcPr>
            <w:tcW w:w="180" w:type="dxa"/>
            <w:vAlign w:val="bottom"/>
          </w:tcPr>
          <w:p>
            <w:pPr>
              <w:spacing w:after="0"/>
              <w:rPr>
                <w:sz w:val="18"/>
                <w:szCs w:val="18"/>
                <w:color w:val="auto"/>
              </w:rPr>
            </w:pPr>
          </w:p>
        </w:tc>
        <w:tc>
          <w:tcPr>
            <w:tcW w:w="160" w:type="dxa"/>
            <w:vAlign w:val="bottom"/>
            <w:tcBorders>
              <w:bottom w:val="single" w:sz="8" w:color="auto"/>
            </w:tcBorders>
          </w:tcPr>
          <w:p>
            <w:pPr>
              <w:jc w:val="right"/>
              <w:ind w:right="7"/>
              <w:spacing w:after="0"/>
              <w:rPr>
                <w:sz w:val="20"/>
                <w:szCs w:val="20"/>
                <w:color w:val="auto"/>
              </w:rPr>
            </w:pPr>
            <w:r>
              <w:rPr>
                <w:rFonts w:ascii="Arial" w:cs="Arial" w:eastAsia="Arial" w:hAnsi="Arial"/>
                <w:sz w:val="15"/>
                <w:szCs w:val="15"/>
                <w:color w:val="auto"/>
                <w:w w:val="71"/>
              </w:rPr>
              <w:t>$</w:t>
            </w: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2,968.2</w:t>
            </w:r>
          </w:p>
        </w:tc>
        <w:tc>
          <w:tcPr>
            <w:tcW w:w="160" w:type="dxa"/>
            <w:vAlign w:val="bottom"/>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145.</w:t>
            </w:r>
            <w:r>
              <w:rPr>
                <w:rFonts w:ascii="Arial" w:cs="Arial" w:eastAsia="Arial" w:hAnsi="Arial"/>
                <w:sz w:val="18"/>
                <w:szCs w:val="18"/>
                <w:u w:val="single" w:color="auto"/>
                <w:color w:val="auto"/>
              </w:rPr>
              <w:t>2</w:t>
            </w:r>
          </w:p>
        </w:tc>
        <w:tc>
          <w:tcPr>
            <w:tcW w:w="18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4"/>
              </w:rPr>
              <w:t>16,798.8</w:t>
            </w:r>
          </w:p>
        </w:tc>
        <w:tc>
          <w:tcPr>
            <w:tcW w:w="18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308.</w:t>
            </w:r>
            <w:r>
              <w:rPr>
                <w:rFonts w:ascii="Arial" w:cs="Arial" w:eastAsia="Arial" w:hAnsi="Arial"/>
                <w:sz w:val="18"/>
                <w:szCs w:val="18"/>
                <w:u w:val="single" w:color="auto"/>
                <w:color w:val="auto"/>
              </w:rPr>
              <w:t>7</w:t>
            </w:r>
          </w:p>
        </w:tc>
        <w:tc>
          <w:tcPr>
            <w:tcW w:w="0" w:type="dxa"/>
            <w:vAlign w:val="bottom"/>
          </w:tcPr>
          <w:p>
            <w:pPr>
              <w:spacing w:after="0"/>
              <w:rPr>
                <w:sz w:val="1"/>
                <w:szCs w:val="1"/>
                <w:color w:val="auto"/>
              </w:rPr>
            </w:pPr>
          </w:p>
        </w:tc>
      </w:tr>
      <w:tr>
        <w:trPr>
          <w:trHeight w:val="20"/>
        </w:trPr>
        <w:tc>
          <w:tcPr>
            <w:tcW w:w="2480" w:type="dxa"/>
            <w:vAlign w:val="bottom"/>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8"/>
        </w:trPr>
        <w:tc>
          <w:tcPr>
            <w:tcW w:w="2480" w:type="dxa"/>
            <w:vAlign w:val="bottom"/>
            <w:tcBorders>
              <w:bottom w:val="single" w:sz="8" w:color="auto"/>
            </w:tcBorders>
          </w:tcPr>
          <w:p>
            <w:pPr>
              <w:spacing w:after="0"/>
              <w:rPr>
                <w:sz w:val="7"/>
                <w:szCs w:val="7"/>
                <w:color w:val="auto"/>
              </w:rPr>
            </w:pPr>
          </w:p>
        </w:tc>
        <w:tc>
          <w:tcPr>
            <w:tcW w:w="1480" w:type="dxa"/>
            <w:vAlign w:val="bottom"/>
          </w:tcPr>
          <w:p>
            <w:pPr>
              <w:spacing w:after="0"/>
              <w:rPr>
                <w:sz w:val="7"/>
                <w:szCs w:val="7"/>
                <w:color w:val="auto"/>
              </w:rPr>
            </w:pPr>
          </w:p>
        </w:tc>
        <w:tc>
          <w:tcPr>
            <w:tcW w:w="140" w:type="dxa"/>
            <w:vAlign w:val="bottom"/>
          </w:tcPr>
          <w:p>
            <w:pPr>
              <w:spacing w:after="0"/>
              <w:rPr>
                <w:sz w:val="7"/>
                <w:szCs w:val="7"/>
                <w:color w:val="auto"/>
              </w:rPr>
            </w:pPr>
          </w:p>
        </w:tc>
        <w:tc>
          <w:tcPr>
            <w:tcW w:w="720" w:type="dxa"/>
            <w:vAlign w:val="bottom"/>
          </w:tcPr>
          <w:p>
            <w:pPr>
              <w:spacing w:after="0"/>
              <w:rPr>
                <w:sz w:val="7"/>
                <w:szCs w:val="7"/>
                <w:color w:val="auto"/>
              </w:rPr>
            </w:pPr>
          </w:p>
        </w:tc>
        <w:tc>
          <w:tcPr>
            <w:tcW w:w="180" w:type="dxa"/>
            <w:vAlign w:val="bottom"/>
          </w:tcPr>
          <w:p>
            <w:pPr>
              <w:spacing w:after="0"/>
              <w:rPr>
                <w:sz w:val="7"/>
                <w:szCs w:val="7"/>
                <w:color w:val="auto"/>
              </w:rPr>
            </w:pPr>
          </w:p>
        </w:tc>
        <w:tc>
          <w:tcPr>
            <w:tcW w:w="100" w:type="dxa"/>
            <w:vAlign w:val="bottom"/>
          </w:tcPr>
          <w:p>
            <w:pPr>
              <w:spacing w:after="0"/>
              <w:rPr>
                <w:sz w:val="7"/>
                <w:szCs w:val="7"/>
                <w:color w:val="auto"/>
              </w:rPr>
            </w:pPr>
          </w:p>
        </w:tc>
        <w:tc>
          <w:tcPr>
            <w:tcW w:w="740" w:type="dxa"/>
            <w:vAlign w:val="bottom"/>
          </w:tcPr>
          <w:p>
            <w:pPr>
              <w:spacing w:after="0"/>
              <w:rPr>
                <w:sz w:val="7"/>
                <w:szCs w:val="7"/>
                <w:color w:val="auto"/>
              </w:rPr>
            </w:pPr>
          </w:p>
        </w:tc>
        <w:tc>
          <w:tcPr>
            <w:tcW w:w="180" w:type="dxa"/>
            <w:vAlign w:val="bottom"/>
          </w:tcPr>
          <w:p>
            <w:pPr>
              <w:spacing w:after="0"/>
              <w:rPr>
                <w:sz w:val="7"/>
                <w:szCs w:val="7"/>
                <w:color w:val="auto"/>
              </w:rPr>
            </w:pPr>
          </w:p>
        </w:tc>
        <w:tc>
          <w:tcPr>
            <w:tcW w:w="160" w:type="dxa"/>
            <w:vAlign w:val="bottom"/>
          </w:tcPr>
          <w:p>
            <w:pPr>
              <w:spacing w:after="0"/>
              <w:rPr>
                <w:sz w:val="7"/>
                <w:szCs w:val="7"/>
                <w:color w:val="auto"/>
              </w:rPr>
            </w:pPr>
          </w:p>
        </w:tc>
        <w:tc>
          <w:tcPr>
            <w:tcW w:w="68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0" w:type="dxa"/>
            <w:vAlign w:val="bottom"/>
          </w:tcPr>
          <w:p>
            <w:pPr>
              <w:spacing w:after="0"/>
              <w:rPr>
                <w:sz w:val="7"/>
                <w:szCs w:val="7"/>
                <w:color w:val="auto"/>
              </w:rPr>
            </w:pPr>
          </w:p>
        </w:tc>
        <w:tc>
          <w:tcPr>
            <w:tcW w:w="740" w:type="dxa"/>
            <w:vAlign w:val="bottom"/>
          </w:tcPr>
          <w:p>
            <w:pPr>
              <w:spacing w:after="0"/>
              <w:rPr>
                <w:sz w:val="7"/>
                <w:szCs w:val="7"/>
                <w:color w:val="auto"/>
              </w:rPr>
            </w:pPr>
          </w:p>
        </w:tc>
        <w:tc>
          <w:tcPr>
            <w:tcW w:w="180" w:type="dxa"/>
            <w:vAlign w:val="bottom"/>
          </w:tcPr>
          <w:p>
            <w:pPr>
              <w:spacing w:after="0"/>
              <w:rPr>
                <w:sz w:val="7"/>
                <w:szCs w:val="7"/>
                <w:color w:val="auto"/>
              </w:rPr>
            </w:pPr>
          </w:p>
        </w:tc>
        <w:tc>
          <w:tcPr>
            <w:tcW w:w="140" w:type="dxa"/>
            <w:vAlign w:val="bottom"/>
          </w:tcPr>
          <w:p>
            <w:pPr>
              <w:spacing w:after="0"/>
              <w:rPr>
                <w:sz w:val="7"/>
                <w:szCs w:val="7"/>
                <w:color w:val="auto"/>
              </w:rPr>
            </w:pPr>
          </w:p>
        </w:tc>
        <w:tc>
          <w:tcPr>
            <w:tcW w:w="720" w:type="dxa"/>
            <w:vAlign w:val="bottom"/>
          </w:tcPr>
          <w:p>
            <w:pPr>
              <w:spacing w:after="0"/>
              <w:rPr>
                <w:sz w:val="7"/>
                <w:szCs w:val="7"/>
                <w:color w:val="auto"/>
              </w:rPr>
            </w:pPr>
          </w:p>
        </w:tc>
        <w:tc>
          <w:tcPr>
            <w:tcW w:w="18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74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80" w:lineRule="exact"/>
        <w:rPr>
          <w:sz w:val="20"/>
          <w:szCs w:val="20"/>
          <w:color w:val="auto"/>
        </w:rPr>
      </w:pPr>
    </w:p>
    <w:p>
      <w:pPr>
        <w:ind w:left="340" w:right="200" w:hanging="332"/>
        <w:spacing w:after="0" w:line="258" w:lineRule="auto"/>
        <w:tabs>
          <w:tab w:leader="none" w:pos="340" w:val="left"/>
        </w:tabs>
        <w:numPr>
          <w:ilvl w:val="0"/>
          <w:numId w:val="56"/>
        </w:numPr>
        <w:rPr>
          <w:rFonts w:ascii="Arial" w:cs="Arial" w:eastAsia="Arial" w:hAnsi="Arial"/>
          <w:sz w:val="18"/>
          <w:szCs w:val="18"/>
          <w:color w:val="auto"/>
        </w:rPr>
      </w:pPr>
      <w:r>
        <w:rPr>
          <w:rFonts w:ascii="Arial" w:cs="Arial" w:eastAsia="Arial" w:hAnsi="Arial"/>
          <w:sz w:val="18"/>
          <w:szCs w:val="18"/>
          <w:color w:val="auto"/>
        </w:rPr>
        <w:t>Fair value and gross unrealized losses are excluded for available-for-sale securities for which an allowance for credit loss has been recorded.</w:t>
      </w:r>
    </w:p>
    <w:p>
      <w:pPr>
        <w:spacing w:after="0" w:line="1" w:lineRule="exact"/>
        <w:rPr>
          <w:rFonts w:ascii="Arial" w:cs="Arial" w:eastAsia="Arial" w:hAnsi="Arial"/>
          <w:sz w:val="18"/>
          <w:szCs w:val="18"/>
          <w:color w:val="auto"/>
        </w:rPr>
      </w:pPr>
    </w:p>
    <w:p>
      <w:pPr>
        <w:ind w:left="340" w:hanging="332"/>
        <w:spacing w:after="0"/>
        <w:tabs>
          <w:tab w:leader="none" w:pos="340" w:val="left"/>
        </w:tabs>
        <w:numPr>
          <w:ilvl w:val="0"/>
          <w:numId w:val="56"/>
        </w:numPr>
        <w:rPr>
          <w:rFonts w:ascii="Arial" w:cs="Arial" w:eastAsia="Arial" w:hAnsi="Arial"/>
          <w:sz w:val="18"/>
          <w:szCs w:val="18"/>
          <w:color w:val="auto"/>
        </w:rPr>
      </w:pPr>
      <w:r>
        <w:rPr>
          <w:rFonts w:ascii="Arial" w:cs="Arial" w:eastAsia="Arial" w:hAnsi="Arial"/>
          <w:sz w:val="18"/>
          <w:szCs w:val="18"/>
          <w:color w:val="auto"/>
        </w:rPr>
        <w:t>Primarily consists of collateralized loan obligations backed by secured corporate loans.</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Mortgage Loans</w:t>
      </w:r>
    </w:p>
    <w:p>
      <w:pPr>
        <w:spacing w:after="0" w:line="225" w:lineRule="exact"/>
        <w:rPr>
          <w:sz w:val="20"/>
          <w:szCs w:val="20"/>
          <w:color w:val="auto"/>
        </w:rPr>
      </w:pPr>
    </w:p>
    <w:p>
      <w:pPr>
        <w:ind w:right="20" w:firstLine="648"/>
        <w:spacing w:after="0" w:line="263" w:lineRule="auto"/>
        <w:rPr>
          <w:sz w:val="20"/>
          <w:szCs w:val="20"/>
          <w:color w:val="auto"/>
        </w:rPr>
      </w:pPr>
      <w:r>
        <w:rPr>
          <w:rFonts w:ascii="Arial" w:cs="Arial" w:eastAsia="Arial" w:hAnsi="Arial"/>
          <w:sz w:val="18"/>
          <w:szCs w:val="18"/>
          <w:color w:val="auto"/>
        </w:rPr>
        <w:t>Mortgage loans consist of commercial mortgage loans on real estate and residential mortgage loans. For further details about residential mortgage loans, see Item 1. “Financial Statements, Notes to Unaudited Condensed Consolidated Financial Statements, Note 3, Investments” under the caption, “Financing Receivables.”</w:t>
      </w:r>
    </w:p>
    <w:p>
      <w:pPr>
        <w:spacing w:after="0" w:line="184" w:lineRule="exact"/>
        <w:rPr>
          <w:sz w:val="20"/>
          <w:szCs w:val="20"/>
          <w:color w:val="auto"/>
        </w:rPr>
      </w:pPr>
    </w:p>
    <w:p>
      <w:pPr>
        <w:ind w:right="160" w:firstLine="648"/>
        <w:spacing w:after="0" w:line="308" w:lineRule="auto"/>
        <w:rPr>
          <w:sz w:val="20"/>
          <w:szCs w:val="20"/>
          <w:color w:val="auto"/>
        </w:rPr>
      </w:pPr>
      <w:r>
        <w:rPr>
          <w:rFonts w:ascii="Arial" w:cs="Arial" w:eastAsia="Arial" w:hAnsi="Arial"/>
          <w:sz w:val="17"/>
          <w:szCs w:val="17"/>
          <w:b w:val="1"/>
          <w:bCs w:val="1"/>
          <w:i w:val="1"/>
          <w:iCs w:val="1"/>
          <w:color w:val="auto"/>
        </w:rPr>
        <w:t xml:space="preserve">Commercial Mortgage Loans. </w:t>
      </w:r>
      <w:r>
        <w:rPr>
          <w:rFonts w:ascii="Arial" w:cs="Arial" w:eastAsia="Arial" w:hAnsi="Arial"/>
          <w:sz w:val="17"/>
          <w:szCs w:val="17"/>
          <w:color w:val="auto"/>
        </w:rPr>
        <w:t>We generally report commercial mortgage loans on real estate at cost adjusted for amortization</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of premiums and accrual of discounts, computed using the interest method and net of valuation allowances.</w:t>
      </w:r>
    </w:p>
    <w:p>
      <w:pPr>
        <w:spacing w:after="0" w:line="14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Commercial mortgage loans play an important role in our investment strategy by:</w:t>
      </w:r>
    </w:p>
    <w:p>
      <w:pPr>
        <w:spacing w:after="0" w:line="225" w:lineRule="exact"/>
        <w:rPr>
          <w:sz w:val="20"/>
          <w:szCs w:val="20"/>
          <w:color w:val="auto"/>
        </w:rPr>
      </w:pPr>
    </w:p>
    <w:p>
      <w:pPr>
        <w:ind w:left="1000" w:hanging="317"/>
        <w:spacing w:after="0"/>
        <w:tabs>
          <w:tab w:leader="none" w:pos="1000" w:val="left"/>
        </w:tabs>
        <w:numPr>
          <w:ilvl w:val="0"/>
          <w:numId w:val="57"/>
        </w:numPr>
        <w:rPr>
          <w:rFonts w:ascii="Arial" w:cs="Arial" w:eastAsia="Arial" w:hAnsi="Arial"/>
          <w:sz w:val="18"/>
          <w:szCs w:val="18"/>
          <w:color w:val="auto"/>
        </w:rPr>
      </w:pPr>
      <w:r>
        <w:rPr>
          <w:rFonts w:ascii="Arial" w:cs="Arial" w:eastAsia="Arial" w:hAnsi="Arial"/>
          <w:sz w:val="18"/>
          <w:szCs w:val="18"/>
          <w:color w:val="auto"/>
        </w:rPr>
        <w:t>providing strong risk-adjusted relative value in comparison to other investment alternatives;</w:t>
      </w:r>
    </w:p>
    <w:p>
      <w:pPr>
        <w:spacing w:after="0" w:line="23" w:lineRule="exact"/>
        <w:rPr>
          <w:rFonts w:ascii="Arial" w:cs="Arial" w:eastAsia="Arial" w:hAnsi="Arial"/>
          <w:sz w:val="18"/>
          <w:szCs w:val="18"/>
          <w:color w:val="auto"/>
        </w:rPr>
      </w:pPr>
    </w:p>
    <w:p>
      <w:pPr>
        <w:ind w:left="1000" w:hanging="317"/>
        <w:spacing w:after="0"/>
        <w:tabs>
          <w:tab w:leader="none" w:pos="1000" w:val="left"/>
        </w:tabs>
        <w:numPr>
          <w:ilvl w:val="0"/>
          <w:numId w:val="57"/>
        </w:numPr>
        <w:rPr>
          <w:rFonts w:ascii="Arial" w:cs="Arial" w:eastAsia="Arial" w:hAnsi="Arial"/>
          <w:sz w:val="18"/>
          <w:szCs w:val="18"/>
          <w:color w:val="auto"/>
        </w:rPr>
      </w:pPr>
      <w:r>
        <w:rPr>
          <w:rFonts w:ascii="Arial" w:cs="Arial" w:eastAsia="Arial" w:hAnsi="Arial"/>
          <w:sz w:val="18"/>
          <w:szCs w:val="18"/>
          <w:color w:val="auto"/>
        </w:rPr>
        <w:t>enhancing total returns and</w:t>
      </w:r>
    </w:p>
    <w:p>
      <w:pPr>
        <w:spacing w:after="0" w:line="9" w:lineRule="exact"/>
        <w:rPr>
          <w:rFonts w:ascii="Arial" w:cs="Arial" w:eastAsia="Arial" w:hAnsi="Arial"/>
          <w:sz w:val="18"/>
          <w:szCs w:val="18"/>
          <w:color w:val="auto"/>
        </w:rPr>
      </w:pPr>
    </w:p>
    <w:p>
      <w:pPr>
        <w:ind w:left="1000" w:hanging="317"/>
        <w:spacing w:after="0"/>
        <w:tabs>
          <w:tab w:leader="none" w:pos="1000" w:val="left"/>
        </w:tabs>
        <w:numPr>
          <w:ilvl w:val="0"/>
          <w:numId w:val="57"/>
        </w:numPr>
        <w:rPr>
          <w:rFonts w:ascii="Arial" w:cs="Arial" w:eastAsia="Arial" w:hAnsi="Arial"/>
          <w:sz w:val="18"/>
          <w:szCs w:val="18"/>
          <w:color w:val="auto"/>
        </w:rPr>
      </w:pPr>
      <w:r>
        <w:rPr>
          <w:rFonts w:ascii="Arial" w:cs="Arial" w:eastAsia="Arial" w:hAnsi="Arial"/>
          <w:sz w:val="18"/>
          <w:szCs w:val="18"/>
          <w:color w:val="auto"/>
        </w:rPr>
        <w:t>providing strategic portfolio diversification.</w:t>
      </w:r>
    </w:p>
    <w:p>
      <w:pPr>
        <w:spacing w:after="0" w:line="211" w:lineRule="exact"/>
        <w:rPr>
          <w:sz w:val="20"/>
          <w:szCs w:val="20"/>
          <w:color w:val="auto"/>
        </w:rPr>
      </w:pPr>
    </w:p>
    <w:p>
      <w:pPr>
        <w:jc w:val="both"/>
        <w:ind w:right="440" w:firstLine="648"/>
        <w:spacing w:after="0" w:line="263" w:lineRule="auto"/>
        <w:rPr>
          <w:sz w:val="20"/>
          <w:szCs w:val="20"/>
          <w:color w:val="auto"/>
        </w:rPr>
      </w:pPr>
      <w:r>
        <w:rPr>
          <w:rFonts w:ascii="Arial" w:cs="Arial" w:eastAsia="Arial" w:hAnsi="Arial"/>
          <w:sz w:val="18"/>
          <w:szCs w:val="18"/>
          <w:color w:val="auto"/>
        </w:rPr>
        <w:t>As a result, we have focused on constructing a high quality portfolio of mortgages. Our portfolio is generally comprised of mortgages originated with conservative loan-to-value ratios, high debt service coverages and general purpose property types with a strong credit tenancy.</w:t>
      </w:r>
    </w:p>
    <w:p>
      <w:pPr>
        <w:spacing w:after="0" w:line="184" w:lineRule="exact"/>
        <w:rPr>
          <w:sz w:val="20"/>
          <w:szCs w:val="20"/>
          <w:color w:val="auto"/>
        </w:rPr>
      </w:pPr>
    </w:p>
    <w:p>
      <w:pPr>
        <w:jc w:val="both"/>
        <w:ind w:right="220" w:firstLine="648"/>
        <w:spacing w:after="0" w:line="263" w:lineRule="auto"/>
        <w:rPr>
          <w:sz w:val="20"/>
          <w:szCs w:val="20"/>
          <w:color w:val="auto"/>
        </w:rPr>
      </w:pPr>
      <w:r>
        <w:rPr>
          <w:rFonts w:ascii="Arial" w:cs="Arial" w:eastAsia="Arial" w:hAnsi="Arial"/>
          <w:sz w:val="18"/>
          <w:szCs w:val="18"/>
          <w:color w:val="auto"/>
        </w:rPr>
        <w:t>Our commercial mortgage loan portfolio consists primarily of non-recourse, fixed rate mortgages on fully or near fully leased properties. The mortgage portfolio is comprised primarily of office properties, apartments, well anchored retail properties and general-purpose industrial properties.</w:t>
      </w:r>
    </w:p>
    <w:p>
      <w:pPr>
        <w:spacing w:after="0" w:line="184" w:lineRule="exact"/>
        <w:rPr>
          <w:sz w:val="20"/>
          <w:szCs w:val="20"/>
          <w:color w:val="auto"/>
        </w:rPr>
      </w:pPr>
    </w:p>
    <w:p>
      <w:pPr>
        <w:ind w:right="40" w:firstLine="648"/>
        <w:spacing w:after="0" w:line="270" w:lineRule="auto"/>
        <w:rPr>
          <w:sz w:val="20"/>
          <w:szCs w:val="20"/>
          <w:color w:val="auto"/>
        </w:rPr>
      </w:pPr>
      <w:r>
        <w:rPr>
          <w:rFonts w:ascii="Arial" w:cs="Arial" w:eastAsia="Arial" w:hAnsi="Arial"/>
          <w:sz w:val="17"/>
          <w:szCs w:val="17"/>
          <w:color w:val="auto"/>
        </w:rPr>
        <w:t>Our commercial mortgage loan portfolio is diversified by geography and specific collateral property type. Commercial mortgage lending in the state of California accounted for 26% and 23% of our commercial mortgage loan portfolio before valuation allowance as of June 30, 2022 and December 31, 2021, respectively. We are, therefore, exposed to potential losses resulting from the risk of catastrophes, such as earthquakes, that may affect the region. Like other lenders, we generally do not require earthquake insurance for properties on which we make commercial mortgage loans. With respect to California properties, however, we obtain an engineering report specific to each property. The report assesses the building’s design specifications, whether it has been upgraded to meet seismic building codes and the maximum loss that is likely to result from a variety of different seismic events. We also obtain a report that assesses, by building and geographic fault lines, the amount of loss our commercial mortgage loan portfolio might suffer under a variety of seismic events.</w:t>
      </w:r>
    </w:p>
    <w:p>
      <w:pPr>
        <w:sectPr>
          <w:pgSz w:w="11900" w:h="16838" w:orient="portrait"/>
          <w:cols w:equalWidth="0" w:num="1">
            <w:col w:w="9920"/>
          </w:cols>
          <w:pgMar w:left="980" w:top="665" w:right="999" w:bottom="1440" w:gutter="0" w:footer="0" w:header="0"/>
        </w:sectPr>
      </w:pPr>
    </w:p>
    <w:p>
      <w:pPr>
        <w:spacing w:after="0" w:line="39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372110</wp:posOffset>
            </wp:positionV>
            <wp:extent cx="6292215" cy="26035"/>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type w:val="continuous"/>
        </w:sectPr>
      </w:pPr>
    </w:p>
    <w:bookmarkStart w:id="122" w:name="page123"/>
    <w:bookmarkEnd w:id="122"/>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9" w:lineRule="exact"/>
        <w:rPr>
          <w:sz w:val="20"/>
          <w:szCs w:val="20"/>
          <w:color w:val="auto"/>
        </w:rPr>
      </w:pPr>
    </w:p>
    <w:p>
      <w:pPr>
        <w:ind w:firstLine="648"/>
        <w:spacing w:after="0" w:line="301" w:lineRule="auto"/>
        <w:rPr>
          <w:sz w:val="20"/>
          <w:szCs w:val="20"/>
          <w:color w:val="auto"/>
        </w:rPr>
      </w:pPr>
      <w:r>
        <w:rPr>
          <w:rFonts w:ascii="Arial" w:cs="Arial" w:eastAsia="Arial" w:hAnsi="Arial"/>
          <w:sz w:val="16"/>
          <w:szCs w:val="16"/>
          <w:color w:val="auto"/>
        </w:rPr>
        <w:t>The typical borrower in our commercial mortgage loan portfolio is a single purpose entity or single asset entity. As of June 30, 2022 and December 31, 2021, the total number of commercial mortgage loans outstanding were 615 and 750, of which 72% and 41% were for loans with principal balances less than $10.0 million as of June 30, 2022 and December 31, 2021, respectively. The average loan size of our commercial mortgage portfolio was $22.2 million and $21.3 million as of June 30, 2022 and December 31, 2021, respectively.</w:t>
      </w:r>
    </w:p>
    <w:p>
      <w:pPr>
        <w:spacing w:after="0" w:line="157" w:lineRule="exact"/>
        <w:rPr>
          <w:sz w:val="20"/>
          <w:szCs w:val="20"/>
          <w:color w:val="auto"/>
        </w:rPr>
      </w:pPr>
    </w:p>
    <w:p>
      <w:pPr>
        <w:ind w:right="660" w:firstLine="648"/>
        <w:spacing w:after="0" w:line="286" w:lineRule="auto"/>
        <w:rPr>
          <w:sz w:val="20"/>
          <w:szCs w:val="20"/>
          <w:color w:val="auto"/>
        </w:rPr>
      </w:pPr>
      <w:r>
        <w:rPr>
          <w:rFonts w:ascii="Arial" w:cs="Arial" w:eastAsia="Arial" w:hAnsi="Arial"/>
          <w:sz w:val="17"/>
          <w:szCs w:val="17"/>
          <w:b w:val="1"/>
          <w:bCs w:val="1"/>
          <w:i w:val="1"/>
          <w:iCs w:val="1"/>
          <w:color w:val="auto"/>
        </w:rPr>
        <w:t xml:space="preserve">Commercial Mortgage Loan Credit Monitoring. </w:t>
      </w:r>
      <w:r>
        <w:rPr>
          <w:rFonts w:ascii="Arial" w:cs="Arial" w:eastAsia="Arial" w:hAnsi="Arial"/>
          <w:sz w:val="17"/>
          <w:szCs w:val="17"/>
          <w:color w:val="auto"/>
        </w:rPr>
        <w:t>For further details on monitoring and management of our commercial</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mortgage loan portfolio, see Item 1. “Financial Statements, Notes to Unaudited Condensed Consolidated Financial Statements, Note 3, Investments” under the caption, “Financing Receivables Credit Monitoring.”</w:t>
      </w:r>
    </w:p>
    <w:p>
      <w:pPr>
        <w:spacing w:after="0" w:line="165" w:lineRule="exact"/>
        <w:rPr>
          <w:sz w:val="20"/>
          <w:szCs w:val="20"/>
          <w:color w:val="auto"/>
        </w:rPr>
      </w:pPr>
    </w:p>
    <w:p>
      <w:pPr>
        <w:ind w:right="60" w:firstLine="648"/>
        <w:spacing w:after="0" w:line="291" w:lineRule="auto"/>
        <w:rPr>
          <w:sz w:val="20"/>
          <w:szCs w:val="20"/>
          <w:color w:val="auto"/>
        </w:rPr>
      </w:pPr>
      <w:r>
        <w:rPr>
          <w:rFonts w:ascii="Arial" w:cs="Arial" w:eastAsia="Arial" w:hAnsi="Arial"/>
          <w:sz w:val="16"/>
          <w:szCs w:val="16"/>
          <w:color w:val="auto"/>
        </w:rPr>
        <w:t>We categorize loans that are 60 days or more delinquent, loans in process of foreclosure and loans with borrowers or credit tenants in bankruptcy that are delinquent as “problem” loans. We categorize loans that are delinquent less than 60 days where the default is expected to be cured and loans with borrowers or credit tenants in bankruptcy that are current as “potential problem” loans. The decision whether to classify a loan delinquent less than 60 days as a potential problem involves significant subjective judgments by management as to the likely future economic conditions and developments with respect to the borrower. We categorize loans for which the original note rate has been reduced below market and loans for which the principal has been reduced as “restructured” loans. We also consider loans that are refinanced more than one year beyond the original maturity or call date at below market rates as restructured.</w:t>
      </w:r>
    </w:p>
    <w:p>
      <w:pPr>
        <w:spacing w:after="0" w:line="166" w:lineRule="exact"/>
        <w:rPr>
          <w:sz w:val="20"/>
          <w:szCs w:val="20"/>
          <w:color w:val="auto"/>
        </w:rPr>
      </w:pPr>
    </w:p>
    <w:p>
      <w:pPr>
        <w:ind w:right="380" w:firstLine="648"/>
        <w:spacing w:after="0" w:line="263" w:lineRule="auto"/>
        <w:rPr>
          <w:sz w:val="20"/>
          <w:szCs w:val="20"/>
          <w:color w:val="auto"/>
        </w:rPr>
      </w:pPr>
      <w:r>
        <w:rPr>
          <w:rFonts w:ascii="Arial" w:cs="Arial" w:eastAsia="Arial" w:hAnsi="Arial"/>
          <w:sz w:val="18"/>
          <w:szCs w:val="18"/>
          <w:color w:val="auto"/>
        </w:rPr>
        <w:t>We had two problem commercial mortgage loans with a carrying amount of $43.0 million for which we had a valuation allowance of $28.6 million as of June 30, 2022. We also had one problem commercial mortgage loan with a carrying amount of $8.8 million for which we also had a valuation allowance of $8.8 million as of December 31, 2021.</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67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tcPr>
          <w:p>
            <w:pPr>
              <w:jc w:val="right"/>
              <w:ind w:right="136"/>
              <w:spacing w:after="0"/>
              <w:rPr>
                <w:sz w:val="20"/>
                <w:szCs w:val="20"/>
                <w:color w:val="auto"/>
              </w:rPr>
            </w:pPr>
            <w:r>
              <w:rPr>
                <w:rFonts w:ascii="Arial" w:cs="Arial" w:eastAsia="Arial" w:hAnsi="Arial"/>
                <w:sz w:val="14"/>
                <w:szCs w:val="14"/>
                <w:b w:val="1"/>
                <w:bCs w:val="1"/>
                <w:color w:val="auto"/>
                <w:w w:val="96"/>
              </w:rPr>
              <w:t>June 30, 2022</w:t>
            </w:r>
          </w:p>
        </w:tc>
        <w:tc>
          <w:tcPr>
            <w:tcW w:w="2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8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5"/>
              </w:rPr>
              <w:t>December 31, 2021</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67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780" w:type="dxa"/>
            <w:vAlign w:val="bottom"/>
            <w:gridSpan w:val="4"/>
          </w:tcPr>
          <w:p>
            <w:pPr>
              <w:jc w:val="right"/>
              <w:ind w:right="96"/>
              <w:spacing w:after="0"/>
              <w:rPr>
                <w:sz w:val="20"/>
                <w:szCs w:val="20"/>
                <w:color w:val="auto"/>
              </w:rPr>
            </w:pPr>
            <w:r>
              <w:rPr>
                <w:rFonts w:ascii="Arial" w:cs="Arial" w:eastAsia="Arial" w:hAnsi="Arial"/>
                <w:sz w:val="14"/>
                <w:szCs w:val="14"/>
                <w:i w:val="1"/>
                <w:iCs w:val="1"/>
                <w:color w:val="auto"/>
              </w:rPr>
              <w:t>(in millions)</w:t>
            </w:r>
          </w:p>
        </w:tc>
        <w:tc>
          <w:tcPr>
            <w:tcW w:w="8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1"/>
        </w:trPr>
        <w:tc>
          <w:tcPr>
            <w:tcW w:w="20" w:type="dxa"/>
            <w:vAlign w:val="bottom"/>
            <w:vMerge w:val="restart"/>
          </w:tcPr>
          <w:p>
            <w:pPr>
              <w:spacing w:after="0"/>
              <w:rPr>
                <w:sz w:val="8"/>
                <w:szCs w:val="8"/>
                <w:color w:val="auto"/>
              </w:rPr>
            </w:pPr>
          </w:p>
        </w:tc>
        <w:tc>
          <w:tcPr>
            <w:tcW w:w="6780" w:type="dxa"/>
            <w:vAlign w:val="bottom"/>
          </w:tcPr>
          <w:p>
            <w:pPr>
              <w:spacing w:after="0"/>
              <w:rPr>
                <w:sz w:val="8"/>
                <w:szCs w:val="8"/>
                <w:color w:val="auto"/>
              </w:rPr>
            </w:pPr>
          </w:p>
        </w:tc>
        <w:tc>
          <w:tcPr>
            <w:tcW w:w="140" w:type="dxa"/>
            <w:vAlign w:val="bottom"/>
          </w:tcPr>
          <w:p>
            <w:pPr>
              <w:spacing w:after="0"/>
              <w:rPr>
                <w:sz w:val="8"/>
                <w:szCs w:val="8"/>
                <w:color w:val="auto"/>
              </w:rPr>
            </w:pPr>
          </w:p>
        </w:tc>
        <w:tc>
          <w:tcPr>
            <w:tcW w:w="1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220" w:type="dxa"/>
            <w:vAlign w:val="bottom"/>
          </w:tcPr>
          <w:p>
            <w:pPr>
              <w:spacing w:after="0"/>
              <w:rPr>
                <w:sz w:val="8"/>
                <w:szCs w:val="8"/>
                <w:color w:val="auto"/>
              </w:rPr>
            </w:pPr>
          </w:p>
        </w:tc>
        <w:tc>
          <w:tcPr>
            <w:tcW w:w="40" w:type="dxa"/>
            <w:vAlign w:val="bottom"/>
          </w:tcPr>
          <w:p>
            <w:pPr>
              <w:spacing w:after="0"/>
              <w:rPr>
                <w:sz w:val="8"/>
                <w:szCs w:val="8"/>
                <w:color w:val="auto"/>
              </w:rPr>
            </w:pPr>
          </w:p>
        </w:tc>
        <w:tc>
          <w:tcPr>
            <w:tcW w:w="400" w:type="dxa"/>
            <w:vAlign w:val="bottom"/>
          </w:tcPr>
          <w:p>
            <w:pPr>
              <w:spacing w:after="0"/>
              <w:rPr>
                <w:sz w:val="8"/>
                <w:szCs w:val="8"/>
                <w:color w:val="auto"/>
              </w:rPr>
            </w:pPr>
          </w:p>
        </w:tc>
        <w:tc>
          <w:tcPr>
            <w:tcW w:w="880" w:type="dxa"/>
            <w:vAlign w:val="bottom"/>
          </w:tcPr>
          <w:p>
            <w:pPr>
              <w:spacing w:after="0"/>
              <w:rPr>
                <w:sz w:val="8"/>
                <w:szCs w:val="8"/>
                <w:color w:val="auto"/>
              </w:rPr>
            </w:pPr>
          </w:p>
        </w:tc>
        <w:tc>
          <w:tcPr>
            <w:tcW w:w="1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7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commercial mortgage loans</w:t>
            </w:r>
          </w:p>
        </w:tc>
        <w:tc>
          <w:tcPr>
            <w:tcW w:w="14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16,088.3</w:t>
            </w:r>
          </w:p>
        </w:tc>
        <w:tc>
          <w:tcPr>
            <w:tcW w:w="220" w:type="dxa"/>
            <w:vAlign w:val="bottom"/>
            <w:tcBorders>
              <w:bottom w:val="single" w:sz="8" w:color="CCEEFF"/>
            </w:tcBorders>
            <w:shd w:val="clear" w:color="auto" w:fill="CCEEFF"/>
          </w:tcPr>
          <w:p>
            <w:pPr>
              <w:spacing w:after="0"/>
              <w:rPr>
                <w:sz w:val="18"/>
                <w:szCs w:val="18"/>
                <w:color w:val="auto"/>
              </w:rPr>
            </w:pPr>
          </w:p>
        </w:tc>
        <w:tc>
          <w:tcPr>
            <w:tcW w:w="40" w:type="dxa"/>
            <w:vAlign w:val="bottom"/>
            <w:tcBorders>
              <w:bottom w:val="single" w:sz="8" w:color="CCEEFF"/>
            </w:tcBorders>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jc w:val="right"/>
              <w:ind w:right="216"/>
              <w:spacing w:after="0"/>
              <w:rPr>
                <w:sz w:val="20"/>
                <w:szCs w:val="20"/>
                <w:color w:val="auto"/>
              </w:rPr>
            </w:pPr>
            <w:r>
              <w:rPr>
                <w:rFonts w:ascii="Arial" w:cs="Arial" w:eastAsia="Arial" w:hAnsi="Arial"/>
                <w:sz w:val="18"/>
                <w:szCs w:val="18"/>
                <w:color w:val="auto"/>
                <w:w w:val="79"/>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15,920.1</w:t>
            </w:r>
          </w:p>
        </w:tc>
        <w:tc>
          <w:tcPr>
            <w:tcW w:w="16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800" w:type="dxa"/>
            <w:vAlign w:val="bottom"/>
            <w:gridSpan w:val="2"/>
            <w:vMerge w:val="restart"/>
          </w:tcPr>
          <w:p>
            <w:pPr>
              <w:spacing w:after="0"/>
              <w:rPr>
                <w:sz w:val="20"/>
                <w:szCs w:val="20"/>
                <w:color w:val="auto"/>
              </w:rPr>
            </w:pPr>
            <w:r>
              <w:rPr>
                <w:rFonts w:ascii="Arial" w:cs="Arial" w:eastAsia="Arial" w:hAnsi="Arial"/>
                <w:sz w:val="18"/>
                <w:szCs w:val="18"/>
                <w:color w:val="auto"/>
              </w:rPr>
              <w:t>Restructured problem commercial mortgage loans</w:t>
            </w:r>
          </w:p>
        </w:tc>
        <w:tc>
          <w:tcPr>
            <w:tcW w:w="1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6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6800" w:type="dxa"/>
            <w:vAlign w:val="bottom"/>
            <w:gridSpan w:val="2"/>
            <w:vMerge w:val="continue"/>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20" w:type="dxa"/>
            <w:vAlign w:val="bottom"/>
          </w:tcPr>
          <w:p>
            <w:pPr>
              <w:jc w:val="right"/>
              <w:spacing w:after="0" w:line="196" w:lineRule="exact"/>
              <w:rPr>
                <w:sz w:val="20"/>
                <w:szCs w:val="20"/>
                <w:color w:val="auto"/>
              </w:rPr>
            </w:pPr>
            <w:r>
              <w:rPr>
                <w:rFonts w:ascii="Arial" w:cs="Arial" w:eastAsia="Arial" w:hAnsi="Arial"/>
                <w:sz w:val="18"/>
                <w:szCs w:val="18"/>
                <w:b w:val="1"/>
                <w:bCs w:val="1"/>
                <w:color w:val="auto"/>
              </w:rPr>
              <w:t>14.4</w:t>
            </w:r>
          </w:p>
        </w:tc>
        <w:tc>
          <w:tcPr>
            <w:tcW w:w="2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880" w:type="dxa"/>
            <w:vAlign w:val="bottom"/>
          </w:tcPr>
          <w:p>
            <w:pPr>
              <w:jc w:val="right"/>
              <w:spacing w:after="0" w:line="196" w:lineRule="exact"/>
              <w:rPr>
                <w:sz w:val="20"/>
                <w:szCs w:val="20"/>
                <w:color w:val="auto"/>
              </w:rPr>
            </w:pPr>
            <w:r>
              <w:rPr>
                <w:rFonts w:ascii="Arial" w:cs="Arial" w:eastAsia="Arial" w:hAnsi="Arial"/>
                <w:sz w:val="18"/>
                <w:szCs w:val="18"/>
                <w:color w:val="auto"/>
              </w:rPr>
              <w:t>—</w:t>
            </w:r>
          </w:p>
        </w:tc>
        <w:tc>
          <w:tcPr>
            <w:tcW w:w="16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780" w:type="dxa"/>
            <w:vAlign w:val="bottom"/>
            <w:tcBorders>
              <w:top w:val="single" w:sz="8" w:color="CCEEFF"/>
              <w:bottom w:val="single" w:sz="8" w:color="CCEEFF"/>
            </w:tcBorders>
            <w:shd w:val="clear" w:color="auto" w:fill="CCEEFF"/>
          </w:tcPr>
          <w:p>
            <w:pPr>
              <w:ind w:left="100"/>
              <w:spacing w:after="0"/>
              <w:rPr>
                <w:sz w:val="20"/>
                <w:szCs w:val="20"/>
                <w:color w:val="auto"/>
              </w:rPr>
            </w:pPr>
            <w:r>
              <w:rPr>
                <w:rFonts w:ascii="Arial" w:cs="Arial" w:eastAsia="Arial" w:hAnsi="Arial"/>
                <w:sz w:val="18"/>
                <w:szCs w:val="18"/>
                <w:color w:val="auto"/>
              </w:rPr>
              <w:t>Total problem, potential problem and restructured commercial mortgage loans</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14.4</w:t>
            </w:r>
          </w:p>
        </w:tc>
        <w:tc>
          <w:tcPr>
            <w:tcW w:w="220" w:type="dxa"/>
            <w:vAlign w:val="bottom"/>
            <w:tcBorders>
              <w:top w:val="single" w:sz="8" w:color="CCEEFF"/>
              <w:bottom w:val="single" w:sz="8" w:color="CCEEFF"/>
            </w:tcBorders>
            <w:shd w:val="clear" w:color="auto" w:fill="CCEEFF"/>
          </w:tcPr>
          <w:p>
            <w:pPr>
              <w:spacing w:after="0"/>
              <w:rPr>
                <w:sz w:val="18"/>
                <w:szCs w:val="18"/>
                <w:color w:val="auto"/>
              </w:rPr>
            </w:pPr>
          </w:p>
        </w:tc>
        <w:tc>
          <w:tcPr>
            <w:tcW w:w="40" w:type="dxa"/>
            <w:vAlign w:val="bottom"/>
            <w:tcBorders>
              <w:top w:val="single" w:sz="8" w:color="CCEEFF"/>
              <w:bottom w:val="single" w:sz="8" w:color="CCEEFF"/>
            </w:tcBorders>
            <w:shd w:val="clear" w:color="auto" w:fill="CCEEFF"/>
          </w:tcPr>
          <w:p>
            <w:pPr>
              <w:spacing w:after="0"/>
              <w:rPr>
                <w:sz w:val="18"/>
                <w:szCs w:val="18"/>
                <w:color w:val="auto"/>
              </w:rPr>
            </w:pPr>
          </w:p>
        </w:tc>
        <w:tc>
          <w:tcPr>
            <w:tcW w:w="400" w:type="dxa"/>
            <w:vAlign w:val="bottom"/>
            <w:tcBorders>
              <w:top w:val="single" w:sz="8" w:color="auto"/>
              <w:bottom w:val="single" w:sz="8" w:color="auto"/>
            </w:tcBorders>
            <w:shd w:val="clear" w:color="auto" w:fill="CCEEFF"/>
          </w:tcPr>
          <w:p>
            <w:pPr>
              <w:jc w:val="right"/>
              <w:ind w:right="216"/>
              <w:spacing w:after="0"/>
              <w:rPr>
                <w:sz w:val="20"/>
                <w:szCs w:val="20"/>
                <w:color w:val="auto"/>
              </w:rPr>
            </w:pPr>
            <w:r>
              <w:rPr>
                <w:rFonts w:ascii="Arial" w:cs="Arial" w:eastAsia="Arial" w:hAnsi="Arial"/>
                <w:sz w:val="18"/>
                <w:szCs w:val="18"/>
                <w:color w:val="auto"/>
                <w:w w:val="79"/>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780" w:type="dxa"/>
            <w:vAlign w:val="bottom"/>
            <w:vMerge w:val="restart"/>
          </w:tcPr>
          <w:p>
            <w:pPr>
              <w:ind w:left="100"/>
              <w:spacing w:after="0" w:line="195" w:lineRule="exact"/>
              <w:rPr>
                <w:sz w:val="20"/>
                <w:szCs w:val="20"/>
                <w:color w:val="auto"/>
              </w:rPr>
            </w:pPr>
            <w:r>
              <w:rPr>
                <w:rFonts w:ascii="Arial" w:cs="Arial" w:eastAsia="Arial" w:hAnsi="Arial"/>
                <w:sz w:val="18"/>
                <w:szCs w:val="18"/>
                <w:color w:val="auto"/>
                <w:w w:val="91"/>
              </w:rPr>
              <w:t>Total problem, potential problem and restructured commercial mortgage loans as a percent</w:t>
            </w:r>
          </w:p>
        </w:tc>
        <w:tc>
          <w:tcPr>
            <w:tcW w:w="1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5"/>
        </w:trPr>
        <w:tc>
          <w:tcPr>
            <w:tcW w:w="20" w:type="dxa"/>
            <w:vAlign w:val="bottom"/>
          </w:tcPr>
          <w:p>
            <w:pPr>
              <w:spacing w:after="0"/>
              <w:rPr>
                <w:sz w:val="13"/>
                <w:szCs w:val="13"/>
                <w:color w:val="auto"/>
              </w:rPr>
            </w:pPr>
          </w:p>
        </w:tc>
        <w:tc>
          <w:tcPr>
            <w:tcW w:w="6780" w:type="dxa"/>
            <w:vAlign w:val="bottom"/>
            <w:vMerge w:val="continue"/>
          </w:tcPr>
          <w:p>
            <w:pPr>
              <w:spacing w:after="0"/>
              <w:rPr>
                <w:sz w:val="13"/>
                <w:szCs w:val="13"/>
                <w:color w:val="auto"/>
              </w:rPr>
            </w:pPr>
          </w:p>
        </w:tc>
        <w:tc>
          <w:tcPr>
            <w:tcW w:w="1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340" w:type="dxa"/>
            <w:vAlign w:val="bottom"/>
            <w:gridSpan w:val="2"/>
            <w:vMerge w:val="restart"/>
          </w:tcPr>
          <w:p>
            <w:pPr>
              <w:jc w:val="right"/>
              <w:ind w:right="40"/>
              <w:spacing w:after="0"/>
              <w:rPr>
                <w:sz w:val="20"/>
                <w:szCs w:val="20"/>
                <w:color w:val="auto"/>
              </w:rPr>
            </w:pPr>
            <w:r>
              <w:rPr>
                <w:rFonts w:ascii="Arial" w:cs="Arial" w:eastAsia="Arial" w:hAnsi="Arial"/>
                <w:sz w:val="18"/>
                <w:szCs w:val="18"/>
                <w:b w:val="1"/>
                <w:bCs w:val="1"/>
                <w:color w:val="auto"/>
              </w:rPr>
              <w:t>0.09 %</w:t>
            </w:r>
          </w:p>
        </w:tc>
        <w:tc>
          <w:tcPr>
            <w:tcW w:w="4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6780" w:type="dxa"/>
            <w:vAlign w:val="bottom"/>
          </w:tcPr>
          <w:p>
            <w:pPr>
              <w:ind w:left="220"/>
              <w:spacing w:after="0"/>
              <w:rPr>
                <w:sz w:val="20"/>
                <w:szCs w:val="20"/>
                <w:color w:val="auto"/>
              </w:rPr>
            </w:pPr>
            <w:r>
              <w:rPr>
                <w:rFonts w:ascii="Arial" w:cs="Arial" w:eastAsia="Arial" w:hAnsi="Arial"/>
                <w:sz w:val="18"/>
                <w:szCs w:val="18"/>
                <w:color w:val="auto"/>
              </w:rPr>
              <w:t>of total commercial mortgage loans</w:t>
            </w: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40" w:type="dxa"/>
            <w:vAlign w:val="bottom"/>
            <w:gridSpan w:val="2"/>
            <w:vMerge w:val="continue"/>
          </w:tcPr>
          <w:p>
            <w:pPr>
              <w:spacing w:after="0"/>
              <w:rPr>
                <w:sz w:val="20"/>
                <w:szCs w:val="20"/>
                <w:color w:val="auto"/>
              </w:rPr>
            </w:pPr>
          </w:p>
        </w:tc>
        <w:tc>
          <w:tcPr>
            <w:tcW w:w="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040" w:type="dxa"/>
            <w:vAlign w:val="bottom"/>
            <w:gridSpan w:val="2"/>
          </w:tcPr>
          <w:p>
            <w:pPr>
              <w:ind w:left="640"/>
              <w:spacing w:after="0"/>
              <w:rPr>
                <w:sz w:val="20"/>
                <w:szCs w:val="20"/>
                <w:color w:val="auto"/>
              </w:rPr>
            </w:pPr>
            <w:r>
              <w:rPr>
                <w:rFonts w:ascii="Arial" w:cs="Arial" w:eastAsia="Arial" w:hAnsi="Arial"/>
                <w:sz w:val="18"/>
                <w:szCs w:val="18"/>
                <w:color w:val="auto"/>
                <w:w w:val="97"/>
              </w:rPr>
              <w:t>— %</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right="100" w:firstLine="648"/>
        <w:spacing w:after="0" w:line="259" w:lineRule="auto"/>
        <w:rPr>
          <w:sz w:val="20"/>
          <w:szCs w:val="20"/>
          <w:color w:val="auto"/>
        </w:rPr>
      </w:pPr>
      <w:r>
        <w:rPr>
          <w:rFonts w:ascii="Arial" w:cs="Arial" w:eastAsia="Arial" w:hAnsi="Arial"/>
          <w:sz w:val="18"/>
          <w:szCs w:val="18"/>
          <w:b w:val="1"/>
          <w:bCs w:val="1"/>
          <w:i w:val="1"/>
          <w:iCs w:val="1"/>
          <w:color w:val="auto"/>
        </w:rPr>
        <w:t xml:space="preserve">Commercial Mortgage Loan Valuation Allowance. </w:t>
      </w:r>
      <w:r>
        <w:rPr>
          <w:rFonts w:ascii="Arial" w:cs="Arial" w:eastAsia="Arial" w:hAnsi="Arial"/>
          <w:sz w:val="18"/>
          <w:szCs w:val="18"/>
          <w:color w:val="auto"/>
        </w:rPr>
        <w:t>We establish the commercial mortgage loan valuation allowance at levels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considered adequate to absorb estimated expected credit losses within the portfolio. For further details on the commercial mortgage loan valuation allowance, see Item 1. “Financial Statements, Notes to Unaudited Condensed Consolidated Financial Statements, Note 3, Investments” under the caption, “Financing Receivables Valuation Allowance.”</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Real Estate</w:t>
      </w:r>
    </w:p>
    <w:p>
      <w:pPr>
        <w:spacing w:after="0" w:line="225" w:lineRule="exact"/>
        <w:rPr>
          <w:sz w:val="20"/>
          <w:szCs w:val="20"/>
          <w:color w:val="auto"/>
        </w:rPr>
      </w:pPr>
    </w:p>
    <w:p>
      <w:pPr>
        <w:ind w:right="40" w:firstLine="648"/>
        <w:spacing w:after="0" w:line="259" w:lineRule="auto"/>
        <w:rPr>
          <w:sz w:val="20"/>
          <w:szCs w:val="20"/>
          <w:color w:val="auto"/>
        </w:rPr>
      </w:pPr>
      <w:r>
        <w:rPr>
          <w:rFonts w:ascii="Arial" w:cs="Arial" w:eastAsia="Arial" w:hAnsi="Arial"/>
          <w:sz w:val="18"/>
          <w:szCs w:val="18"/>
          <w:color w:val="auto"/>
        </w:rPr>
        <w:t>Real estate consists primarily of commercial equity real estate. As of June 30, 2022 and December 31, 2021, the carrying amount of our equity real estate investment was $2,059.3 million and $2,060.6 million, respectively. Our commercial equity real estate is held in the form of wholly owned real estate, real estate acquired upon foreclosure of commercial mortgage loans and majority owned interests in real estate joint ventures.</w:t>
      </w:r>
    </w:p>
    <w:p>
      <w:pPr>
        <w:spacing w:after="0" w:line="187" w:lineRule="exact"/>
        <w:rPr>
          <w:sz w:val="20"/>
          <w:szCs w:val="20"/>
          <w:color w:val="auto"/>
        </w:rPr>
      </w:pPr>
    </w:p>
    <w:p>
      <w:pPr>
        <w:ind w:right="20" w:firstLine="648"/>
        <w:spacing w:after="0" w:line="257" w:lineRule="auto"/>
        <w:rPr>
          <w:sz w:val="20"/>
          <w:szCs w:val="20"/>
          <w:color w:val="auto"/>
        </w:rPr>
      </w:pPr>
      <w:r>
        <w:rPr>
          <w:rFonts w:ascii="Arial" w:cs="Arial" w:eastAsia="Arial" w:hAnsi="Arial"/>
          <w:sz w:val="18"/>
          <w:szCs w:val="18"/>
          <w:color w:val="auto"/>
        </w:rPr>
        <w:t>Equity real estate is categorized as either “real estate held for investment” or “real estate held for sale. The carrying value of real estate held for investment is generally adjusted for impairments whenever events or changes in circumstances indicate the carrying amount of the asset may not be recoverable. Such impairment adjustments are recorded as net realized capital losses in our consolidated results of operations. No such impairment adjustments were recorded for the six months ended June 30, 2022 or for the year ended December 31, 2021.</w:t>
      </w:r>
    </w:p>
    <w:p>
      <w:pPr>
        <w:spacing w:after="0" w:line="188" w:lineRule="exact"/>
        <w:rPr>
          <w:sz w:val="20"/>
          <w:szCs w:val="20"/>
          <w:color w:val="auto"/>
        </w:rPr>
      </w:pPr>
    </w:p>
    <w:p>
      <w:pPr>
        <w:ind w:right="100" w:firstLine="648"/>
        <w:spacing w:after="0" w:line="259" w:lineRule="auto"/>
        <w:rPr>
          <w:sz w:val="20"/>
          <w:szCs w:val="20"/>
          <w:color w:val="auto"/>
        </w:rPr>
      </w:pPr>
      <w:r>
        <w:rPr>
          <w:rFonts w:ascii="Arial" w:cs="Arial" w:eastAsia="Arial" w:hAnsi="Arial"/>
          <w:sz w:val="18"/>
          <w:szCs w:val="18"/>
          <w:color w:val="auto"/>
        </w:rPr>
        <w:t>Once we identify a real estate property to be sold and it is probable that it will be sold, we classify the property as held for sale. We establish a valuation allowance subject to periodic revisions, if necessary, to adjust the carrying value of the property to reflect the lower of its current carrying value or the fair value, less associated selling costs. The valuation allowance did not change for the six months ended June 30, 2022 or for the year ended December 31, 2021.</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603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123" w:name="page124"/>
    <w:bookmarkEnd w:id="123"/>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9" w:lineRule="exact"/>
        <w:rPr>
          <w:sz w:val="20"/>
          <w:szCs w:val="20"/>
          <w:color w:val="auto"/>
        </w:rPr>
      </w:pPr>
    </w:p>
    <w:p>
      <w:pPr>
        <w:jc w:val="both"/>
        <w:ind w:right="240" w:firstLine="648"/>
        <w:spacing w:after="0" w:line="263" w:lineRule="auto"/>
        <w:rPr>
          <w:sz w:val="20"/>
          <w:szCs w:val="20"/>
          <w:color w:val="auto"/>
        </w:rPr>
      </w:pPr>
      <w:r>
        <w:rPr>
          <w:rFonts w:ascii="Arial" w:cs="Arial" w:eastAsia="Arial" w:hAnsi="Arial"/>
          <w:sz w:val="18"/>
          <w:szCs w:val="18"/>
          <w:color w:val="auto"/>
        </w:rPr>
        <w:t>We use research, both internal and external, to recommend appropriate product and geographic allocations and changes to the equity real estate portfolio. We monitor product, geographic and industry diversification separately and together to determine the most appropriate mix.</w:t>
      </w:r>
    </w:p>
    <w:p>
      <w:pPr>
        <w:spacing w:after="0" w:line="170" w:lineRule="exact"/>
        <w:rPr>
          <w:sz w:val="20"/>
          <w:szCs w:val="20"/>
          <w:color w:val="auto"/>
        </w:rPr>
      </w:pPr>
    </w:p>
    <w:p>
      <w:pPr>
        <w:ind w:right="420" w:firstLine="648"/>
        <w:spacing w:after="0" w:line="263" w:lineRule="auto"/>
        <w:rPr>
          <w:sz w:val="20"/>
          <w:szCs w:val="20"/>
          <w:color w:val="auto"/>
        </w:rPr>
      </w:pPr>
      <w:r>
        <w:rPr>
          <w:rFonts w:ascii="Arial" w:cs="Arial" w:eastAsia="Arial" w:hAnsi="Arial"/>
          <w:sz w:val="18"/>
          <w:szCs w:val="18"/>
          <w:color w:val="auto"/>
        </w:rPr>
        <w:t>Equity real estate is distributed across geographic regions of the country. As of June 30, 2022, our largest equity real estate portfolio concentration was in the Pacific (41%) region of the United States. By property type, our largest concentrations were in Apartments (34%) and Industrial (28%) as of June 30, 2022.</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Investments</w:t>
      </w:r>
    </w:p>
    <w:p>
      <w:pPr>
        <w:spacing w:after="0" w:line="212" w:lineRule="exact"/>
        <w:rPr>
          <w:sz w:val="20"/>
          <w:szCs w:val="20"/>
          <w:color w:val="auto"/>
        </w:rPr>
      </w:pPr>
    </w:p>
    <w:p>
      <w:pPr>
        <w:jc w:val="both"/>
        <w:ind w:right="240" w:firstLine="648"/>
        <w:spacing w:after="0" w:line="259" w:lineRule="auto"/>
        <w:rPr>
          <w:sz w:val="20"/>
          <w:szCs w:val="20"/>
          <w:color w:val="auto"/>
        </w:rPr>
      </w:pPr>
      <w:r>
        <w:rPr>
          <w:rFonts w:ascii="Arial" w:cs="Arial" w:eastAsia="Arial" w:hAnsi="Arial"/>
          <w:sz w:val="18"/>
          <w:szCs w:val="18"/>
          <w:color w:val="auto"/>
        </w:rPr>
        <w:t>Our other investments totaled $3,620.5 million as of June 30, 2022, compared to $3,671.7 million as of December 31, 2021. Other investments include interests in unconsolidated entities, which include real estate properties owned jointly with venture partners and operated by the partners; sponsored investment funds; the cash surrender value of company owned and trust owned life insurance; derivative assets and other investments.</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International Investment Operations</w:t>
      </w:r>
    </w:p>
    <w:p>
      <w:pPr>
        <w:spacing w:after="0" w:line="202" w:lineRule="exact"/>
        <w:rPr>
          <w:sz w:val="20"/>
          <w:szCs w:val="20"/>
          <w:color w:val="auto"/>
        </w:rPr>
      </w:pPr>
    </w:p>
    <w:p>
      <w:pPr>
        <w:ind w:right="300" w:firstLine="648"/>
        <w:spacing w:after="0" w:line="259" w:lineRule="auto"/>
        <w:rPr>
          <w:sz w:val="20"/>
          <w:szCs w:val="20"/>
          <w:color w:val="auto"/>
        </w:rPr>
      </w:pPr>
      <w:r>
        <w:rPr>
          <w:rFonts w:ascii="Arial" w:cs="Arial" w:eastAsia="Arial" w:hAnsi="Arial"/>
          <w:sz w:val="18"/>
          <w:szCs w:val="18"/>
          <w:color w:val="auto"/>
        </w:rPr>
        <w:t>Of our invested assets, $6,629.3 million were held by our Principal International segment as of June 30, 2022. The assets are primarily managed by the local Principal International affiliate. Due to the regulatory constraints in each location, each company maintains its own investment policies. As shown in the following table, the major category of international invested assets is fixed maturities. The following table excludes invested assets of the separate accounts.</w:t>
      </w:r>
    </w:p>
    <w:p>
      <w:pPr>
        <w:spacing w:after="0" w:line="192"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62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2140" w:type="dxa"/>
            <w:vAlign w:val="bottom"/>
            <w:gridSpan w:val="4"/>
          </w:tcPr>
          <w:p>
            <w:pPr>
              <w:jc w:val="right"/>
              <w:ind w:right="690"/>
              <w:spacing w:after="0"/>
              <w:rPr>
                <w:sz w:val="20"/>
                <w:szCs w:val="20"/>
                <w:color w:val="auto"/>
              </w:rPr>
            </w:pPr>
            <w:r>
              <w:rPr>
                <w:rFonts w:ascii="Arial" w:cs="Arial" w:eastAsia="Arial" w:hAnsi="Arial"/>
                <w:sz w:val="14"/>
                <w:szCs w:val="14"/>
                <w:b w:val="1"/>
                <w:bCs w:val="1"/>
                <w:color w:val="auto"/>
              </w:rPr>
              <w:t>June 30, 2022</w:t>
            </w:r>
          </w:p>
        </w:tc>
        <w:tc>
          <w:tcPr>
            <w:tcW w:w="20" w:type="dxa"/>
            <w:vAlign w:val="bottom"/>
          </w:tcPr>
          <w:p>
            <w:pPr>
              <w:spacing w:after="0"/>
              <w:rPr>
                <w:sz w:val="14"/>
                <w:szCs w:val="14"/>
                <w:color w:val="auto"/>
              </w:rPr>
            </w:pPr>
          </w:p>
        </w:tc>
        <w:tc>
          <w:tcPr>
            <w:tcW w:w="2060" w:type="dxa"/>
            <w:vAlign w:val="bottom"/>
            <w:gridSpan w:val="4"/>
          </w:tcPr>
          <w:p>
            <w:pPr>
              <w:jc w:val="right"/>
              <w:ind w:right="450"/>
              <w:spacing w:after="0"/>
              <w:rPr>
                <w:sz w:val="20"/>
                <w:szCs w:val="20"/>
                <w:color w:val="auto"/>
              </w:rPr>
            </w:pPr>
            <w:r>
              <w:rPr>
                <w:rFonts w:ascii="Arial" w:cs="Arial" w:eastAsia="Arial" w:hAnsi="Arial"/>
                <w:sz w:val="14"/>
                <w:szCs w:val="14"/>
                <w:b w:val="1"/>
                <w:bCs w:val="1"/>
                <w:color w:val="auto"/>
              </w:rPr>
              <w:t>December 31, 2021</w:t>
            </w:r>
          </w:p>
        </w:tc>
      </w:tr>
      <w:tr>
        <w:trPr>
          <w:trHeight w:val="119"/>
        </w:trPr>
        <w:tc>
          <w:tcPr>
            <w:tcW w:w="462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900" w:type="dxa"/>
            <w:vAlign w:val="bottom"/>
            <w:tcBorders>
              <w:top w:val="single" w:sz="8" w:color="auto"/>
            </w:tcBorders>
          </w:tcPr>
          <w:p>
            <w:pPr>
              <w:jc w:val="right"/>
              <w:ind w:right="82"/>
              <w:spacing w:after="0" w:line="119" w:lineRule="exact"/>
              <w:rPr>
                <w:sz w:val="20"/>
                <w:szCs w:val="20"/>
                <w:color w:val="auto"/>
              </w:rPr>
            </w:pPr>
            <w:r>
              <w:rPr>
                <w:rFonts w:ascii="Arial" w:cs="Arial" w:eastAsia="Arial" w:hAnsi="Arial"/>
                <w:sz w:val="13"/>
                <w:szCs w:val="13"/>
                <w:b w:val="1"/>
                <w:bCs w:val="1"/>
                <w:color w:val="auto"/>
              </w:rPr>
              <w:t>Carrying</w:t>
            </w:r>
          </w:p>
        </w:tc>
        <w:tc>
          <w:tcPr>
            <w:tcW w:w="220" w:type="dxa"/>
            <w:vAlign w:val="bottom"/>
            <w:tcBorders>
              <w:top w:val="single" w:sz="8" w:color="auto"/>
            </w:tcBorders>
          </w:tcPr>
          <w:p>
            <w:pPr>
              <w:spacing w:after="0"/>
              <w:rPr>
                <w:sz w:val="10"/>
                <w:szCs w:val="10"/>
                <w:color w:val="auto"/>
              </w:rPr>
            </w:pPr>
          </w:p>
        </w:tc>
        <w:tc>
          <w:tcPr>
            <w:tcW w:w="740" w:type="dxa"/>
            <w:vAlign w:val="bottom"/>
            <w:tcBorders>
              <w:top w:val="single" w:sz="8" w:color="auto"/>
            </w:tcBorders>
          </w:tcPr>
          <w:p>
            <w:pPr>
              <w:jc w:val="right"/>
              <w:ind w:right="60"/>
              <w:spacing w:after="0" w:line="119" w:lineRule="exact"/>
              <w:rPr>
                <w:sz w:val="20"/>
                <w:szCs w:val="20"/>
                <w:color w:val="auto"/>
              </w:rPr>
            </w:pPr>
            <w:r>
              <w:rPr>
                <w:rFonts w:ascii="Arial" w:cs="Arial" w:eastAsia="Arial" w:hAnsi="Arial"/>
                <w:sz w:val="13"/>
                <w:szCs w:val="13"/>
                <w:b w:val="1"/>
                <w:bCs w:val="1"/>
                <w:color w:val="auto"/>
              </w:rPr>
              <w:t>Percent</w:t>
            </w:r>
          </w:p>
        </w:tc>
        <w:tc>
          <w:tcPr>
            <w:tcW w:w="2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80" w:type="dxa"/>
            <w:vAlign w:val="bottom"/>
            <w:tcBorders>
              <w:top w:val="single" w:sz="8" w:color="auto"/>
            </w:tcBorders>
          </w:tcPr>
          <w:p>
            <w:pPr>
              <w:jc w:val="right"/>
              <w:ind w:right="82"/>
              <w:spacing w:after="0" w:line="119" w:lineRule="exact"/>
              <w:rPr>
                <w:sz w:val="20"/>
                <w:szCs w:val="20"/>
                <w:color w:val="auto"/>
              </w:rPr>
            </w:pPr>
            <w:r>
              <w:rPr>
                <w:rFonts w:ascii="Arial" w:cs="Arial" w:eastAsia="Arial" w:hAnsi="Arial"/>
                <w:sz w:val="13"/>
                <w:szCs w:val="13"/>
                <w:b w:val="1"/>
                <w:bCs w:val="1"/>
                <w:color w:val="auto"/>
              </w:rPr>
              <w:t>Carrying</w:t>
            </w:r>
          </w:p>
        </w:tc>
        <w:tc>
          <w:tcPr>
            <w:tcW w:w="240" w:type="dxa"/>
            <w:vAlign w:val="bottom"/>
            <w:tcBorders>
              <w:top w:val="single" w:sz="8" w:color="auto"/>
            </w:tcBorders>
          </w:tcPr>
          <w:p>
            <w:pPr>
              <w:spacing w:after="0"/>
              <w:rPr>
                <w:sz w:val="10"/>
                <w:szCs w:val="10"/>
                <w:color w:val="auto"/>
              </w:rPr>
            </w:pPr>
          </w:p>
        </w:tc>
        <w:tc>
          <w:tcPr>
            <w:tcW w:w="780" w:type="dxa"/>
            <w:vAlign w:val="bottom"/>
            <w:tcBorders>
              <w:top w:val="single" w:sz="8" w:color="auto"/>
            </w:tcBorders>
          </w:tcPr>
          <w:p>
            <w:pPr>
              <w:jc w:val="right"/>
              <w:ind w:right="78"/>
              <w:spacing w:after="0" w:line="119" w:lineRule="exact"/>
              <w:rPr>
                <w:sz w:val="20"/>
                <w:szCs w:val="20"/>
                <w:color w:val="auto"/>
              </w:rPr>
            </w:pPr>
            <w:r>
              <w:rPr>
                <w:rFonts w:ascii="Arial" w:cs="Arial" w:eastAsia="Arial" w:hAnsi="Arial"/>
                <w:sz w:val="13"/>
                <w:szCs w:val="13"/>
                <w:b w:val="1"/>
                <w:bCs w:val="1"/>
                <w:color w:val="auto"/>
              </w:rPr>
              <w:t>Percent</w:t>
            </w:r>
          </w:p>
        </w:tc>
        <w:tc>
          <w:tcPr>
            <w:tcW w:w="160" w:type="dxa"/>
            <w:vAlign w:val="bottom"/>
          </w:tcPr>
          <w:p>
            <w:pPr>
              <w:spacing w:after="0"/>
              <w:rPr>
                <w:sz w:val="10"/>
                <w:szCs w:val="10"/>
                <w:color w:val="auto"/>
              </w:rPr>
            </w:pPr>
          </w:p>
        </w:tc>
      </w:tr>
      <w:tr>
        <w:trPr>
          <w:trHeight w:val="171"/>
        </w:trPr>
        <w:tc>
          <w:tcPr>
            <w:tcW w:w="462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900" w:type="dxa"/>
            <w:vAlign w:val="bottom"/>
            <w:tcBorders>
              <w:bottom w:val="single" w:sz="8" w:color="auto"/>
            </w:tcBorders>
          </w:tcPr>
          <w:p>
            <w:pPr>
              <w:jc w:val="right"/>
              <w:ind w:right="142"/>
              <w:spacing w:after="0"/>
              <w:rPr>
                <w:sz w:val="20"/>
                <w:szCs w:val="20"/>
                <w:color w:val="auto"/>
              </w:rPr>
            </w:pPr>
            <w:r>
              <w:rPr>
                <w:rFonts w:ascii="Arial" w:cs="Arial" w:eastAsia="Arial" w:hAnsi="Arial"/>
                <w:sz w:val="14"/>
                <w:szCs w:val="14"/>
                <w:b w:val="1"/>
                <w:bCs w:val="1"/>
                <w:color w:val="auto"/>
              </w:rPr>
              <w:t>amount</w:t>
            </w:r>
          </w:p>
        </w:tc>
        <w:tc>
          <w:tcPr>
            <w:tcW w:w="220" w:type="dxa"/>
            <w:vAlign w:val="bottom"/>
          </w:tcPr>
          <w:p>
            <w:pPr>
              <w:spacing w:after="0"/>
              <w:rPr>
                <w:sz w:val="14"/>
                <w:szCs w:val="14"/>
                <w:color w:val="auto"/>
              </w:rPr>
            </w:pPr>
          </w:p>
        </w:tc>
        <w:tc>
          <w:tcPr>
            <w:tcW w:w="740" w:type="dxa"/>
            <w:vAlign w:val="bottom"/>
            <w:tcBorders>
              <w:bottom w:val="single" w:sz="8" w:color="auto"/>
            </w:tcBorders>
          </w:tcPr>
          <w:p>
            <w:pPr>
              <w:jc w:val="right"/>
              <w:ind w:right="80"/>
              <w:spacing w:after="0"/>
              <w:rPr>
                <w:sz w:val="20"/>
                <w:szCs w:val="20"/>
                <w:color w:val="auto"/>
              </w:rPr>
            </w:pPr>
            <w:r>
              <w:rPr>
                <w:rFonts w:ascii="Arial" w:cs="Arial" w:eastAsia="Arial" w:hAnsi="Arial"/>
                <w:sz w:val="14"/>
                <w:szCs w:val="14"/>
                <w:b w:val="1"/>
                <w:bCs w:val="1"/>
                <w:color w:val="auto"/>
              </w:rPr>
              <w:t>of total</w:t>
            </w:r>
          </w:p>
        </w:tc>
        <w:tc>
          <w:tcPr>
            <w:tcW w:w="2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80" w:type="dxa"/>
            <w:vAlign w:val="bottom"/>
            <w:tcBorders>
              <w:bottom w:val="single" w:sz="8" w:color="auto"/>
            </w:tcBorders>
          </w:tcPr>
          <w:p>
            <w:pPr>
              <w:jc w:val="right"/>
              <w:ind w:right="142"/>
              <w:spacing w:after="0"/>
              <w:rPr>
                <w:sz w:val="20"/>
                <w:szCs w:val="20"/>
                <w:color w:val="auto"/>
              </w:rPr>
            </w:pPr>
            <w:r>
              <w:rPr>
                <w:rFonts w:ascii="Arial" w:cs="Arial" w:eastAsia="Arial" w:hAnsi="Arial"/>
                <w:sz w:val="14"/>
                <w:szCs w:val="14"/>
                <w:b w:val="1"/>
                <w:bCs w:val="1"/>
                <w:color w:val="auto"/>
              </w:rPr>
              <w:t>amount</w:t>
            </w:r>
          </w:p>
        </w:tc>
        <w:tc>
          <w:tcPr>
            <w:tcW w:w="240" w:type="dxa"/>
            <w:vAlign w:val="bottom"/>
          </w:tcPr>
          <w:p>
            <w:pPr>
              <w:spacing w:after="0"/>
              <w:rPr>
                <w:sz w:val="14"/>
                <w:szCs w:val="14"/>
                <w:color w:val="auto"/>
              </w:rPr>
            </w:pPr>
          </w:p>
        </w:tc>
        <w:tc>
          <w:tcPr>
            <w:tcW w:w="780" w:type="dxa"/>
            <w:vAlign w:val="bottom"/>
            <w:tcBorders>
              <w:bottom w:val="single" w:sz="8" w:color="auto"/>
            </w:tcBorders>
          </w:tcPr>
          <w:p>
            <w:pPr>
              <w:jc w:val="right"/>
              <w:ind w:right="98"/>
              <w:spacing w:after="0"/>
              <w:rPr>
                <w:sz w:val="20"/>
                <w:szCs w:val="20"/>
                <w:color w:val="auto"/>
              </w:rPr>
            </w:pPr>
            <w:r>
              <w:rPr>
                <w:rFonts w:ascii="Arial" w:cs="Arial" w:eastAsia="Arial" w:hAnsi="Arial"/>
                <w:sz w:val="14"/>
                <w:szCs w:val="14"/>
                <w:b w:val="1"/>
                <w:bCs w:val="1"/>
                <w:color w:val="auto"/>
              </w:rPr>
              <w:t>of total</w:t>
            </w:r>
          </w:p>
        </w:tc>
        <w:tc>
          <w:tcPr>
            <w:tcW w:w="160" w:type="dxa"/>
            <w:vAlign w:val="bottom"/>
          </w:tcPr>
          <w:p>
            <w:pPr>
              <w:spacing w:after="0"/>
              <w:rPr>
                <w:sz w:val="14"/>
                <w:szCs w:val="14"/>
                <w:color w:val="auto"/>
              </w:rPr>
            </w:pPr>
          </w:p>
        </w:tc>
      </w:tr>
      <w:tr>
        <w:trPr>
          <w:trHeight w:val="128"/>
        </w:trPr>
        <w:tc>
          <w:tcPr>
            <w:tcW w:w="46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920" w:type="dxa"/>
            <w:vAlign w:val="bottom"/>
            <w:gridSpan w:val="4"/>
          </w:tcPr>
          <w:p>
            <w:pPr>
              <w:jc w:val="right"/>
              <w:ind w:right="582"/>
              <w:spacing w:after="0" w:line="129" w:lineRule="exact"/>
              <w:rPr>
                <w:sz w:val="20"/>
                <w:szCs w:val="20"/>
                <w:color w:val="auto"/>
              </w:rPr>
            </w:pPr>
            <w:r>
              <w:rPr>
                <w:rFonts w:ascii="Arial" w:cs="Arial" w:eastAsia="Arial" w:hAnsi="Arial"/>
                <w:sz w:val="14"/>
                <w:szCs w:val="14"/>
                <w:i w:val="1"/>
                <w:iCs w:val="1"/>
                <w:color w:val="auto"/>
              </w:rPr>
              <w:t>(in millions)</w:t>
            </w:r>
          </w:p>
        </w:tc>
        <w:tc>
          <w:tcPr>
            <w:tcW w:w="2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60" w:type="dxa"/>
            <w:vAlign w:val="bottom"/>
          </w:tcPr>
          <w:p>
            <w:pPr>
              <w:spacing w:after="0"/>
              <w:rPr>
                <w:sz w:val="11"/>
                <w:szCs w:val="11"/>
                <w:color w:val="auto"/>
              </w:rPr>
            </w:pP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Fixed maturities</w:t>
            </w:r>
          </w:p>
        </w:tc>
        <w:tc>
          <w:tcPr>
            <w:tcW w:w="19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2,828.9</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43</w:t>
            </w:r>
          </w:p>
        </w:tc>
        <w:tc>
          <w:tcPr>
            <w:tcW w:w="28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3,023.3</w:t>
            </w:r>
          </w:p>
        </w:tc>
        <w:tc>
          <w:tcPr>
            <w:tcW w:w="10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43</w:t>
            </w:r>
          </w:p>
        </w:tc>
        <w:tc>
          <w:tcPr>
            <w:tcW w:w="160" w:type="dxa"/>
            <w:vAlign w:val="bottom"/>
            <w:shd w:val="clear" w:color="auto" w:fill="CCEEFF"/>
          </w:tcPr>
          <w:p>
            <w:pPr>
              <w:spacing w:after="0"/>
              <w:rPr>
                <w:sz w:val="18"/>
                <w:szCs w:val="18"/>
                <w:color w:val="auto"/>
              </w:rPr>
            </w:pP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Equity securities</w:t>
            </w:r>
          </w:p>
        </w:tc>
        <w:tc>
          <w:tcPr>
            <w:tcW w:w="1980" w:type="dxa"/>
            <w:vAlign w:val="bottom"/>
            <w:gridSpan w:val="2"/>
          </w:tcPr>
          <w:p>
            <w:pPr>
              <w:jc w:val="right"/>
              <w:spacing w:after="0"/>
              <w:rPr>
                <w:sz w:val="20"/>
                <w:szCs w:val="20"/>
                <w:color w:val="auto"/>
              </w:rPr>
            </w:pPr>
            <w:r>
              <w:rPr>
                <w:rFonts w:ascii="Arial" w:cs="Arial" w:eastAsia="Arial" w:hAnsi="Arial"/>
                <w:sz w:val="18"/>
                <w:szCs w:val="18"/>
                <w:b w:val="1"/>
                <w:bCs w:val="1"/>
                <w:color w:val="auto"/>
              </w:rPr>
              <w:t>1,142.5</w:t>
            </w:r>
          </w:p>
        </w:tc>
        <w:tc>
          <w:tcPr>
            <w:tcW w:w="960" w:type="dxa"/>
            <w:vAlign w:val="bottom"/>
            <w:gridSpan w:val="2"/>
          </w:tcPr>
          <w:p>
            <w:pPr>
              <w:jc w:val="right"/>
              <w:spacing w:after="0"/>
              <w:rPr>
                <w:sz w:val="20"/>
                <w:szCs w:val="20"/>
                <w:color w:val="auto"/>
              </w:rPr>
            </w:pPr>
            <w:r>
              <w:rPr>
                <w:rFonts w:ascii="Arial" w:cs="Arial" w:eastAsia="Arial" w:hAnsi="Arial"/>
                <w:sz w:val="18"/>
                <w:szCs w:val="18"/>
                <w:b w:val="1"/>
                <w:bCs w:val="1"/>
                <w:color w:val="auto"/>
              </w:rPr>
              <w:t>17</w:t>
            </w:r>
          </w:p>
        </w:tc>
        <w:tc>
          <w:tcPr>
            <w:tcW w:w="280" w:type="dxa"/>
            <w:vAlign w:val="bottom"/>
          </w:tcPr>
          <w:p>
            <w:pPr>
              <w:spacing w:after="0"/>
              <w:rPr>
                <w:sz w:val="18"/>
                <w:szCs w:val="18"/>
                <w:color w:val="auto"/>
              </w:rPr>
            </w:pPr>
          </w:p>
        </w:tc>
        <w:tc>
          <w:tcPr>
            <w:tcW w:w="900" w:type="dxa"/>
            <w:vAlign w:val="bottom"/>
            <w:gridSpan w:val="2"/>
          </w:tcPr>
          <w:p>
            <w:pPr>
              <w:jc w:val="right"/>
              <w:spacing w:after="0"/>
              <w:rPr>
                <w:sz w:val="20"/>
                <w:szCs w:val="20"/>
                <w:color w:val="auto"/>
              </w:rPr>
            </w:pPr>
            <w:r>
              <w:rPr>
                <w:rFonts w:ascii="Arial" w:cs="Arial" w:eastAsia="Arial" w:hAnsi="Arial"/>
                <w:sz w:val="18"/>
                <w:szCs w:val="18"/>
                <w:color w:val="auto"/>
              </w:rPr>
              <w:t>1,295.7</w:t>
            </w:r>
          </w:p>
        </w:tc>
        <w:tc>
          <w:tcPr>
            <w:tcW w:w="1020" w:type="dxa"/>
            <w:vAlign w:val="bottom"/>
            <w:gridSpan w:val="2"/>
          </w:tcPr>
          <w:p>
            <w:pPr>
              <w:jc w:val="right"/>
              <w:spacing w:after="0"/>
              <w:rPr>
                <w:sz w:val="20"/>
                <w:szCs w:val="20"/>
                <w:color w:val="auto"/>
              </w:rPr>
            </w:pPr>
            <w:r>
              <w:rPr>
                <w:rFonts w:ascii="Arial" w:cs="Arial" w:eastAsia="Arial" w:hAnsi="Arial"/>
                <w:sz w:val="18"/>
                <w:szCs w:val="18"/>
                <w:color w:val="auto"/>
              </w:rPr>
              <w:t>20</w:t>
            </w:r>
          </w:p>
        </w:tc>
        <w:tc>
          <w:tcPr>
            <w:tcW w:w="160" w:type="dxa"/>
            <w:vAlign w:val="bottom"/>
          </w:tcPr>
          <w:p>
            <w:pPr>
              <w:spacing w:after="0"/>
              <w:rPr>
                <w:sz w:val="18"/>
                <w:szCs w:val="18"/>
                <w:color w:val="auto"/>
              </w:rPr>
            </w:pP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Mortgage loans</w:t>
            </w:r>
          </w:p>
        </w:tc>
        <w:tc>
          <w:tcPr>
            <w:tcW w:w="19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825.3</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13</w:t>
            </w:r>
          </w:p>
        </w:tc>
        <w:tc>
          <w:tcPr>
            <w:tcW w:w="28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806.0</w:t>
            </w:r>
          </w:p>
        </w:tc>
        <w:tc>
          <w:tcPr>
            <w:tcW w:w="10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11</w:t>
            </w:r>
          </w:p>
        </w:tc>
        <w:tc>
          <w:tcPr>
            <w:tcW w:w="160" w:type="dxa"/>
            <w:vAlign w:val="bottom"/>
            <w:shd w:val="clear" w:color="auto" w:fill="CCEEFF"/>
          </w:tcPr>
          <w:p>
            <w:pPr>
              <w:spacing w:after="0"/>
              <w:rPr>
                <w:sz w:val="18"/>
                <w:szCs w:val="18"/>
                <w:color w:val="auto"/>
              </w:rPr>
            </w:pP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Real estate</w:t>
            </w:r>
          </w:p>
        </w:tc>
        <w:tc>
          <w:tcPr>
            <w:tcW w:w="1980" w:type="dxa"/>
            <w:vAlign w:val="bottom"/>
            <w:gridSpan w:val="2"/>
          </w:tcPr>
          <w:p>
            <w:pPr>
              <w:jc w:val="right"/>
              <w:spacing w:after="0"/>
              <w:rPr>
                <w:sz w:val="20"/>
                <w:szCs w:val="20"/>
                <w:color w:val="auto"/>
              </w:rPr>
            </w:pPr>
            <w:r>
              <w:rPr>
                <w:rFonts w:ascii="Arial" w:cs="Arial" w:eastAsia="Arial" w:hAnsi="Arial"/>
                <w:sz w:val="18"/>
                <w:szCs w:val="18"/>
                <w:b w:val="1"/>
                <w:bCs w:val="1"/>
                <w:color w:val="auto"/>
              </w:rPr>
              <w:t>14.3</w:t>
            </w:r>
          </w:p>
        </w:tc>
        <w:tc>
          <w:tcPr>
            <w:tcW w:w="220" w:type="dxa"/>
            <w:vAlign w:val="bottom"/>
          </w:tcPr>
          <w:p>
            <w:pPr>
              <w:spacing w:after="0"/>
              <w:rPr>
                <w:sz w:val="18"/>
                <w:szCs w:val="18"/>
                <w:color w:val="auto"/>
              </w:rPr>
            </w:pPr>
          </w:p>
        </w:tc>
        <w:tc>
          <w:tcPr>
            <w:tcW w:w="1020" w:type="dxa"/>
            <w:vAlign w:val="bottom"/>
            <w:gridSpan w:val="2"/>
          </w:tcPr>
          <w:p>
            <w:pPr>
              <w:jc w:val="right"/>
              <w:ind w:right="230"/>
              <w:spacing w:after="0"/>
              <w:rPr>
                <w:sz w:val="20"/>
                <w:szCs w:val="20"/>
                <w:color w:val="auto"/>
              </w:rPr>
            </w:pPr>
            <w:r>
              <w:rPr>
                <w:rFonts w:ascii="Arial" w:cs="Arial" w:eastAsia="Arial" w:hAnsi="Arial"/>
                <w:sz w:val="18"/>
                <w:szCs w:val="18"/>
                <w:b w:val="1"/>
                <w:bCs w:val="1"/>
                <w:color w:val="auto"/>
              </w:rPr>
              <w:t>—</w:t>
            </w:r>
          </w:p>
        </w:tc>
        <w:tc>
          <w:tcPr>
            <w:tcW w:w="900" w:type="dxa"/>
            <w:vAlign w:val="bottom"/>
            <w:gridSpan w:val="2"/>
          </w:tcPr>
          <w:p>
            <w:pPr>
              <w:jc w:val="right"/>
              <w:spacing w:after="0"/>
              <w:rPr>
                <w:sz w:val="20"/>
                <w:szCs w:val="20"/>
                <w:color w:val="auto"/>
              </w:rPr>
            </w:pPr>
            <w:r>
              <w:rPr>
                <w:rFonts w:ascii="Arial" w:cs="Arial" w:eastAsia="Arial" w:hAnsi="Arial"/>
                <w:sz w:val="18"/>
                <w:szCs w:val="18"/>
                <w:color w:val="auto"/>
              </w:rPr>
              <w:t>14.8</w:t>
            </w:r>
          </w:p>
        </w:tc>
        <w:tc>
          <w:tcPr>
            <w:tcW w:w="240" w:type="dxa"/>
            <w:vAlign w:val="bottom"/>
          </w:tcPr>
          <w:p>
            <w:pPr>
              <w:spacing w:after="0"/>
              <w:rPr>
                <w:sz w:val="18"/>
                <w:szCs w:val="18"/>
                <w:color w:val="auto"/>
              </w:rPr>
            </w:pPr>
          </w:p>
        </w:tc>
        <w:tc>
          <w:tcPr>
            <w:tcW w:w="940" w:type="dxa"/>
            <w:vAlign w:val="bottom"/>
            <w:gridSpan w:val="2"/>
          </w:tcPr>
          <w:p>
            <w:pPr>
              <w:jc w:val="right"/>
              <w:ind w:right="130"/>
              <w:spacing w:after="0"/>
              <w:rPr>
                <w:sz w:val="20"/>
                <w:szCs w:val="20"/>
                <w:color w:val="auto"/>
              </w:rPr>
            </w:pPr>
            <w:r>
              <w:rPr>
                <w:rFonts w:ascii="Arial" w:cs="Arial" w:eastAsia="Arial" w:hAnsi="Arial"/>
                <w:sz w:val="18"/>
                <w:szCs w:val="18"/>
                <w:color w:val="auto"/>
              </w:rPr>
              <w:t>—</w:t>
            </w: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Policy loans</w:t>
            </w:r>
          </w:p>
        </w:tc>
        <w:tc>
          <w:tcPr>
            <w:tcW w:w="19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13.0</w:t>
            </w:r>
          </w:p>
        </w:tc>
        <w:tc>
          <w:tcPr>
            <w:tcW w:w="2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30"/>
              <w:spacing w:after="0"/>
              <w:rPr>
                <w:sz w:val="20"/>
                <w:szCs w:val="20"/>
                <w:color w:val="auto"/>
              </w:rPr>
            </w:pPr>
            <w:r>
              <w:rPr>
                <w:rFonts w:ascii="Arial" w:cs="Arial" w:eastAsia="Arial" w:hAnsi="Arial"/>
                <w:sz w:val="18"/>
                <w:szCs w:val="18"/>
                <w:b w:val="1"/>
                <w:bCs w:val="1"/>
                <w:color w:val="auto"/>
              </w:rPr>
              <w:t>—</w:t>
            </w:r>
          </w:p>
        </w:tc>
        <w:tc>
          <w:tcPr>
            <w:tcW w:w="9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13.9</w:t>
            </w:r>
          </w:p>
        </w:tc>
        <w:tc>
          <w:tcPr>
            <w:tcW w:w="2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Other investments:</w:t>
            </w:r>
          </w:p>
        </w:tc>
        <w:tc>
          <w:tcPr>
            <w:tcW w:w="10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4620" w:type="dxa"/>
            <w:vAlign w:val="bottom"/>
            <w:shd w:val="clear" w:color="auto" w:fill="CCEEFF"/>
          </w:tcPr>
          <w:p>
            <w:pPr>
              <w:ind w:left="120"/>
              <w:spacing w:after="0"/>
              <w:rPr>
                <w:sz w:val="20"/>
                <w:szCs w:val="20"/>
                <w:color w:val="auto"/>
              </w:rPr>
            </w:pPr>
            <w:r>
              <w:rPr>
                <w:rFonts w:ascii="Arial" w:cs="Arial" w:eastAsia="Arial" w:hAnsi="Arial"/>
                <w:sz w:val="18"/>
                <w:szCs w:val="18"/>
                <w:color w:val="auto"/>
              </w:rPr>
              <w:t>Direct financing leases</w:t>
            </w:r>
          </w:p>
        </w:tc>
        <w:tc>
          <w:tcPr>
            <w:tcW w:w="19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581.6</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9</w:t>
            </w:r>
          </w:p>
        </w:tc>
        <w:tc>
          <w:tcPr>
            <w:tcW w:w="28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609.5</w:t>
            </w:r>
          </w:p>
        </w:tc>
        <w:tc>
          <w:tcPr>
            <w:tcW w:w="10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w:t>
            </w:r>
          </w:p>
        </w:tc>
        <w:tc>
          <w:tcPr>
            <w:tcW w:w="160" w:type="dxa"/>
            <w:vAlign w:val="bottom"/>
            <w:shd w:val="clear" w:color="auto" w:fill="CCEEFF"/>
          </w:tcPr>
          <w:p>
            <w:pPr>
              <w:spacing w:after="0"/>
              <w:rPr>
                <w:sz w:val="18"/>
                <w:szCs w:val="18"/>
                <w:color w:val="auto"/>
              </w:rPr>
            </w:pPr>
          </w:p>
        </w:tc>
      </w:tr>
      <w:tr>
        <w:trPr>
          <w:trHeight w:val="216"/>
        </w:trPr>
        <w:tc>
          <w:tcPr>
            <w:tcW w:w="4620" w:type="dxa"/>
            <w:vAlign w:val="bottom"/>
          </w:tcPr>
          <w:p>
            <w:pPr>
              <w:ind w:left="120"/>
              <w:spacing w:after="0"/>
              <w:rPr>
                <w:sz w:val="20"/>
                <w:szCs w:val="20"/>
                <w:color w:val="auto"/>
              </w:rPr>
            </w:pPr>
            <w:r>
              <w:rPr>
                <w:rFonts w:ascii="Arial" w:cs="Arial" w:eastAsia="Arial" w:hAnsi="Arial"/>
                <w:sz w:val="18"/>
                <w:szCs w:val="18"/>
                <w:color w:val="auto"/>
              </w:rPr>
              <w:t>Investment in unconsolidated operating entities</w:t>
            </w:r>
          </w:p>
        </w:tc>
        <w:tc>
          <w:tcPr>
            <w:tcW w:w="1980" w:type="dxa"/>
            <w:vAlign w:val="bottom"/>
            <w:gridSpan w:val="2"/>
          </w:tcPr>
          <w:p>
            <w:pPr>
              <w:jc w:val="right"/>
              <w:spacing w:after="0"/>
              <w:rPr>
                <w:sz w:val="20"/>
                <w:szCs w:val="20"/>
                <w:color w:val="auto"/>
              </w:rPr>
            </w:pPr>
            <w:r>
              <w:rPr>
                <w:rFonts w:ascii="Arial" w:cs="Arial" w:eastAsia="Arial" w:hAnsi="Arial"/>
                <w:sz w:val="18"/>
                <w:szCs w:val="18"/>
                <w:b w:val="1"/>
                <w:bCs w:val="1"/>
                <w:color w:val="auto"/>
              </w:rPr>
              <w:t>880.2</w:t>
            </w:r>
          </w:p>
        </w:tc>
        <w:tc>
          <w:tcPr>
            <w:tcW w:w="960" w:type="dxa"/>
            <w:vAlign w:val="bottom"/>
            <w:gridSpan w:val="2"/>
          </w:tcPr>
          <w:p>
            <w:pPr>
              <w:jc w:val="right"/>
              <w:spacing w:after="0"/>
              <w:rPr>
                <w:sz w:val="20"/>
                <w:szCs w:val="20"/>
                <w:color w:val="auto"/>
              </w:rPr>
            </w:pPr>
            <w:r>
              <w:rPr>
                <w:rFonts w:ascii="Arial" w:cs="Arial" w:eastAsia="Arial" w:hAnsi="Arial"/>
                <w:sz w:val="18"/>
                <w:szCs w:val="18"/>
                <w:b w:val="1"/>
                <w:bCs w:val="1"/>
                <w:color w:val="auto"/>
              </w:rPr>
              <w:t>13</w:t>
            </w:r>
          </w:p>
        </w:tc>
        <w:tc>
          <w:tcPr>
            <w:tcW w:w="280" w:type="dxa"/>
            <w:vAlign w:val="bottom"/>
          </w:tcPr>
          <w:p>
            <w:pPr>
              <w:spacing w:after="0"/>
              <w:rPr>
                <w:sz w:val="18"/>
                <w:szCs w:val="18"/>
                <w:color w:val="auto"/>
              </w:rPr>
            </w:pPr>
          </w:p>
        </w:tc>
        <w:tc>
          <w:tcPr>
            <w:tcW w:w="900" w:type="dxa"/>
            <w:vAlign w:val="bottom"/>
            <w:gridSpan w:val="2"/>
          </w:tcPr>
          <w:p>
            <w:pPr>
              <w:jc w:val="right"/>
              <w:spacing w:after="0"/>
              <w:rPr>
                <w:sz w:val="20"/>
                <w:szCs w:val="20"/>
                <w:color w:val="auto"/>
              </w:rPr>
            </w:pPr>
            <w:r>
              <w:rPr>
                <w:rFonts w:ascii="Arial" w:cs="Arial" w:eastAsia="Arial" w:hAnsi="Arial"/>
                <w:sz w:val="18"/>
                <w:szCs w:val="18"/>
                <w:color w:val="auto"/>
              </w:rPr>
              <w:t>849.9</w:t>
            </w:r>
          </w:p>
        </w:tc>
        <w:tc>
          <w:tcPr>
            <w:tcW w:w="1020" w:type="dxa"/>
            <w:vAlign w:val="bottom"/>
            <w:gridSpan w:val="2"/>
          </w:tcPr>
          <w:p>
            <w:pPr>
              <w:jc w:val="right"/>
              <w:spacing w:after="0"/>
              <w:rPr>
                <w:sz w:val="20"/>
                <w:szCs w:val="20"/>
                <w:color w:val="auto"/>
              </w:rPr>
            </w:pPr>
            <w:r>
              <w:rPr>
                <w:rFonts w:ascii="Arial" w:cs="Arial" w:eastAsia="Arial" w:hAnsi="Arial"/>
                <w:sz w:val="18"/>
                <w:szCs w:val="18"/>
                <w:color w:val="auto"/>
              </w:rPr>
              <w:t>12</w:t>
            </w:r>
          </w:p>
        </w:tc>
        <w:tc>
          <w:tcPr>
            <w:tcW w:w="160" w:type="dxa"/>
            <w:vAlign w:val="bottom"/>
          </w:tcPr>
          <w:p>
            <w:pPr>
              <w:spacing w:after="0"/>
              <w:rPr>
                <w:sz w:val="18"/>
                <w:szCs w:val="18"/>
                <w:color w:val="auto"/>
              </w:rPr>
            </w:pPr>
          </w:p>
        </w:tc>
      </w:tr>
      <w:tr>
        <w:trPr>
          <w:trHeight w:val="216"/>
        </w:trPr>
        <w:tc>
          <w:tcPr>
            <w:tcW w:w="4620" w:type="dxa"/>
            <w:vAlign w:val="bottom"/>
            <w:shd w:val="clear" w:color="auto" w:fill="CCEEFF"/>
          </w:tcPr>
          <w:p>
            <w:pPr>
              <w:ind w:left="120"/>
              <w:spacing w:after="0"/>
              <w:rPr>
                <w:sz w:val="20"/>
                <w:szCs w:val="20"/>
                <w:color w:val="auto"/>
              </w:rPr>
            </w:pPr>
            <w:r>
              <w:rPr>
                <w:rFonts w:ascii="Arial" w:cs="Arial" w:eastAsia="Arial" w:hAnsi="Arial"/>
                <w:sz w:val="18"/>
                <w:szCs w:val="18"/>
                <w:color w:val="auto"/>
              </w:rPr>
              <w:t>Derivative assets and other investments</w:t>
            </w:r>
          </w:p>
        </w:tc>
        <w:tc>
          <w:tcPr>
            <w:tcW w:w="19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343.5</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5</w:t>
            </w:r>
          </w:p>
        </w:tc>
        <w:tc>
          <w:tcPr>
            <w:tcW w:w="28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347.2</w:t>
            </w:r>
          </w:p>
        </w:tc>
        <w:tc>
          <w:tcPr>
            <w:tcW w:w="10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160" w:type="dxa"/>
            <w:vAlign w:val="bottom"/>
            <w:shd w:val="clear" w:color="auto" w:fill="CCEEFF"/>
          </w:tcPr>
          <w:p>
            <w:pPr>
              <w:spacing w:after="0"/>
              <w:rPr>
                <w:sz w:val="18"/>
                <w:szCs w:val="18"/>
                <w:color w:val="auto"/>
              </w:rPr>
            </w:pPr>
          </w:p>
        </w:tc>
      </w:tr>
      <w:tr>
        <w:trPr>
          <w:trHeight w:val="250"/>
        </w:trPr>
        <w:tc>
          <w:tcPr>
            <w:tcW w:w="4620" w:type="dxa"/>
            <w:vAlign w:val="bottom"/>
            <w:tcBorders>
              <w:bottom w:val="single" w:sz="8" w:color="CCEEFF"/>
            </w:tcBorders>
          </w:tcPr>
          <w:p>
            <w:pPr>
              <w:ind w:left="340"/>
              <w:spacing w:after="0"/>
              <w:rPr>
                <w:sz w:val="20"/>
                <w:szCs w:val="20"/>
                <w:color w:val="auto"/>
              </w:rPr>
            </w:pPr>
            <w:r>
              <w:rPr>
                <w:rFonts w:ascii="Arial" w:cs="Arial" w:eastAsia="Arial" w:hAnsi="Arial"/>
                <w:sz w:val="18"/>
                <w:szCs w:val="18"/>
                <w:color w:val="auto"/>
              </w:rPr>
              <w:t>Total invested assets</w:t>
            </w:r>
          </w:p>
        </w:tc>
        <w:tc>
          <w:tcPr>
            <w:tcW w:w="1080" w:type="dxa"/>
            <w:vAlign w:val="bottom"/>
            <w:tcBorders>
              <w:bottom w:val="single" w:sz="8" w:color="CCEEFF"/>
            </w:tcBorders>
          </w:tcPr>
          <w:p>
            <w:pPr>
              <w:spacing w:after="0"/>
              <w:rPr>
                <w:sz w:val="21"/>
                <w:szCs w:val="21"/>
                <w:color w:val="auto"/>
              </w:rPr>
            </w:pPr>
          </w:p>
        </w:tc>
        <w:tc>
          <w:tcPr>
            <w:tcW w:w="900" w:type="dxa"/>
            <w:vAlign w:val="bottom"/>
            <w:tcBorders>
              <w:top w:val="single" w:sz="8" w:color="auto"/>
              <w:bottom w:val="single" w:sz="8" w:color="CCEEFF"/>
            </w:tcBorders>
          </w:tcPr>
          <w:p>
            <w:pPr>
              <w:jc w:val="right"/>
              <w:spacing w:after="0"/>
              <w:rPr>
                <w:sz w:val="20"/>
                <w:szCs w:val="20"/>
                <w:color w:val="auto"/>
              </w:rPr>
            </w:pPr>
            <w:r>
              <w:rPr>
                <w:rFonts w:ascii="Arial" w:cs="Arial" w:eastAsia="Arial" w:hAnsi="Arial"/>
                <w:sz w:val="18"/>
                <w:szCs w:val="18"/>
                <w:b w:val="1"/>
                <w:bCs w:val="1"/>
                <w:color w:val="auto"/>
              </w:rPr>
              <w:t>6,629.3</w:t>
            </w:r>
          </w:p>
        </w:tc>
        <w:tc>
          <w:tcPr>
            <w:tcW w:w="220" w:type="dxa"/>
            <w:vAlign w:val="bottom"/>
            <w:tcBorders>
              <w:bottom w:val="single" w:sz="8" w:color="CCEEFF"/>
            </w:tcBorders>
          </w:tcPr>
          <w:p>
            <w:pPr>
              <w:spacing w:after="0"/>
              <w:rPr>
                <w:sz w:val="21"/>
                <w:szCs w:val="21"/>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100</w:t>
            </w:r>
          </w:p>
        </w:tc>
        <w:tc>
          <w:tcPr>
            <w:tcW w:w="280" w:type="dxa"/>
            <w:vAlign w:val="bottom"/>
            <w:tcBorders>
              <w:bottom w:val="single" w:sz="8" w:color="CCEEFF"/>
            </w:tcBorders>
          </w:tcPr>
          <w:p>
            <w:pPr>
              <w:jc w:val="right"/>
              <w:ind w:right="10"/>
              <w:spacing w:after="0"/>
              <w:rPr>
                <w:sz w:val="20"/>
                <w:szCs w:val="20"/>
                <w:color w:val="auto"/>
              </w:rPr>
            </w:pPr>
            <w:r>
              <w:rPr>
                <w:rFonts w:ascii="Arial" w:cs="Arial" w:eastAsia="Arial" w:hAnsi="Arial"/>
                <w:sz w:val="18"/>
                <w:szCs w:val="18"/>
                <w:b w:val="1"/>
                <w:bCs w:val="1"/>
                <w:color w:val="auto"/>
                <w:w w:val="99"/>
              </w:rPr>
              <w:t>%</w:t>
            </w:r>
          </w:p>
        </w:tc>
        <w:tc>
          <w:tcPr>
            <w:tcW w:w="20" w:type="dxa"/>
            <w:vAlign w:val="bottom"/>
            <w:tcBorders>
              <w:bottom w:val="single" w:sz="8" w:color="CCEEFF"/>
            </w:tcBorders>
          </w:tcPr>
          <w:p>
            <w:pPr>
              <w:spacing w:after="0"/>
              <w:rPr>
                <w:sz w:val="21"/>
                <w:szCs w:val="21"/>
                <w:color w:val="auto"/>
              </w:rPr>
            </w:pPr>
          </w:p>
        </w:tc>
        <w:tc>
          <w:tcPr>
            <w:tcW w:w="880" w:type="dxa"/>
            <w:vAlign w:val="bottom"/>
            <w:tcBorders>
              <w:top w:val="single" w:sz="8" w:color="auto"/>
              <w:bottom w:val="single" w:sz="8" w:color="CCEEFF"/>
            </w:tcBorders>
          </w:tcPr>
          <w:p>
            <w:pPr>
              <w:jc w:val="right"/>
              <w:spacing w:after="0"/>
              <w:rPr>
                <w:sz w:val="20"/>
                <w:szCs w:val="20"/>
                <w:color w:val="auto"/>
              </w:rPr>
            </w:pPr>
            <w:r>
              <w:rPr>
                <w:rFonts w:ascii="Arial" w:cs="Arial" w:eastAsia="Arial" w:hAnsi="Arial"/>
                <w:sz w:val="18"/>
                <w:szCs w:val="18"/>
                <w:color w:val="auto"/>
              </w:rPr>
              <w:t>6,960.3</w:t>
            </w:r>
          </w:p>
        </w:tc>
        <w:tc>
          <w:tcPr>
            <w:tcW w:w="240" w:type="dxa"/>
            <w:vAlign w:val="bottom"/>
            <w:tcBorders>
              <w:bottom w:val="single" w:sz="8" w:color="CCEEFF"/>
            </w:tcBorders>
          </w:tcPr>
          <w:p>
            <w:pPr>
              <w:spacing w:after="0"/>
              <w:rPr>
                <w:sz w:val="21"/>
                <w:szCs w:val="21"/>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100</w:t>
            </w:r>
          </w:p>
        </w:tc>
        <w:tc>
          <w:tcPr>
            <w:tcW w:w="160" w:type="dxa"/>
            <w:vAlign w:val="bottom"/>
            <w:tcBorders>
              <w:bottom w:val="single" w:sz="8" w:color="CCEEFF"/>
            </w:tcBorders>
          </w:tcPr>
          <w:p>
            <w:pPr>
              <w:jc w:val="right"/>
              <w:spacing w:after="0"/>
              <w:rPr>
                <w:sz w:val="20"/>
                <w:szCs w:val="20"/>
                <w:color w:val="auto"/>
              </w:rPr>
            </w:pPr>
            <w:r>
              <w:rPr>
                <w:rFonts w:ascii="Arial" w:cs="Arial" w:eastAsia="Arial" w:hAnsi="Arial"/>
                <w:sz w:val="18"/>
                <w:szCs w:val="18"/>
                <w:color w:val="auto"/>
                <w:w w:val="74"/>
              </w:rPr>
              <w:t>%</w:t>
            </w:r>
          </w:p>
        </w:tc>
      </w:tr>
      <w:tr>
        <w:trPr>
          <w:trHeight w:val="196"/>
        </w:trPr>
        <w:tc>
          <w:tcPr>
            <w:tcW w:w="462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Cash and cash equivalents</w:t>
            </w:r>
          </w:p>
        </w:tc>
        <w:tc>
          <w:tcPr>
            <w:tcW w:w="1980" w:type="dxa"/>
            <w:vAlign w:val="bottom"/>
            <w:gridSpan w:val="2"/>
            <w:shd w:val="clear" w:color="auto" w:fill="CCEEFF"/>
          </w:tcPr>
          <w:p>
            <w:pPr>
              <w:jc w:val="right"/>
              <w:spacing w:after="0" w:line="196" w:lineRule="exact"/>
              <w:rPr>
                <w:sz w:val="20"/>
                <w:szCs w:val="20"/>
                <w:color w:val="auto"/>
              </w:rPr>
            </w:pPr>
            <w:r>
              <w:rPr>
                <w:rFonts w:ascii="Arial" w:cs="Arial" w:eastAsia="Arial" w:hAnsi="Arial"/>
                <w:sz w:val="18"/>
                <w:szCs w:val="18"/>
                <w:b w:val="1"/>
                <w:bCs w:val="1"/>
                <w:color w:val="auto"/>
              </w:rPr>
              <w:t>192.9</w:t>
            </w:r>
          </w:p>
        </w:tc>
        <w:tc>
          <w:tcPr>
            <w:tcW w:w="22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00" w:type="dxa"/>
            <w:vAlign w:val="bottom"/>
            <w:gridSpan w:val="2"/>
            <w:shd w:val="clear" w:color="auto" w:fill="CCEEFF"/>
          </w:tcPr>
          <w:p>
            <w:pPr>
              <w:jc w:val="right"/>
              <w:spacing w:after="0" w:line="196" w:lineRule="exact"/>
              <w:rPr>
                <w:sz w:val="20"/>
                <w:szCs w:val="20"/>
                <w:color w:val="auto"/>
              </w:rPr>
            </w:pPr>
            <w:r>
              <w:rPr>
                <w:rFonts w:ascii="Arial" w:cs="Arial" w:eastAsia="Arial" w:hAnsi="Arial"/>
                <w:sz w:val="18"/>
                <w:szCs w:val="18"/>
                <w:color w:val="auto"/>
              </w:rPr>
              <w:t>257.2</w:t>
            </w:r>
          </w:p>
        </w:tc>
        <w:tc>
          <w:tcPr>
            <w:tcW w:w="24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r>
      <w:tr>
        <w:trPr>
          <w:trHeight w:val="210"/>
        </w:trPr>
        <w:tc>
          <w:tcPr>
            <w:tcW w:w="4620" w:type="dxa"/>
            <w:vAlign w:val="bottom"/>
          </w:tcPr>
          <w:p>
            <w:pPr>
              <w:ind w:left="120"/>
              <w:spacing w:after="0"/>
              <w:rPr>
                <w:sz w:val="20"/>
                <w:szCs w:val="20"/>
                <w:color w:val="auto"/>
              </w:rPr>
            </w:pPr>
            <w:r>
              <w:rPr>
                <w:rFonts w:ascii="Arial" w:cs="Arial" w:eastAsia="Arial" w:hAnsi="Arial"/>
                <w:sz w:val="18"/>
                <w:szCs w:val="18"/>
                <w:color w:val="auto"/>
              </w:rPr>
              <w:t>Total invested assets and cash</w:t>
            </w:r>
          </w:p>
        </w:tc>
        <w:tc>
          <w:tcPr>
            <w:tcW w:w="1080" w:type="dxa"/>
            <w:vAlign w:val="bottom"/>
          </w:tcPr>
          <w:p>
            <w:pPr>
              <w:spacing w:after="0"/>
              <w:rPr>
                <w:sz w:val="18"/>
                <w:szCs w:val="18"/>
                <w:color w:val="auto"/>
              </w:rPr>
            </w:pP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  6,822.2</w:t>
            </w: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6"/>
              </w:rPr>
              <w:t>$   7,217.5</w:t>
            </w:r>
          </w:p>
        </w:tc>
        <w:tc>
          <w:tcPr>
            <w:tcW w:w="2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0"/>
        </w:trPr>
        <w:tc>
          <w:tcPr>
            <w:tcW w:w="462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2" w:lineRule="exact"/>
        <w:rPr>
          <w:sz w:val="20"/>
          <w:szCs w:val="20"/>
          <w:color w:val="auto"/>
        </w:rPr>
      </w:pPr>
    </w:p>
    <w:p>
      <w:pPr>
        <w:ind w:firstLine="648"/>
        <w:spacing w:after="0" w:line="286" w:lineRule="auto"/>
        <w:rPr>
          <w:sz w:val="20"/>
          <w:szCs w:val="20"/>
          <w:color w:val="auto"/>
        </w:rPr>
      </w:pPr>
      <w:r>
        <w:rPr>
          <w:rFonts w:ascii="Arial" w:cs="Arial" w:eastAsia="Arial" w:hAnsi="Arial"/>
          <w:sz w:val="17"/>
          <w:szCs w:val="17"/>
          <w:color w:val="auto"/>
        </w:rPr>
        <w:t>Regulations in certain locations require investment in the funds we manage. These required regulatory investments are classified as equity securities within our consolidated statements of financial position, with all mark-to-market changes reflected in net investment income. Our investment is primarily dictated by client activity and all investment performance is retained by us.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Quantitative and Qualitative Disclosures About Market Risk</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Market Risk Exposures and Risk Management</w:t>
      </w:r>
    </w:p>
    <w:p>
      <w:pPr>
        <w:spacing w:after="0" w:line="229" w:lineRule="exact"/>
        <w:rPr>
          <w:sz w:val="20"/>
          <w:szCs w:val="20"/>
          <w:color w:val="auto"/>
        </w:rPr>
      </w:pPr>
    </w:p>
    <w:p>
      <w:pPr>
        <w:ind w:right="140" w:firstLine="648"/>
        <w:spacing w:after="0" w:line="259" w:lineRule="auto"/>
        <w:rPr>
          <w:sz w:val="20"/>
          <w:szCs w:val="20"/>
          <w:color w:val="auto"/>
        </w:rPr>
      </w:pPr>
      <w:r>
        <w:rPr>
          <w:rFonts w:ascii="Arial" w:cs="Arial" w:eastAsia="Arial" w:hAnsi="Arial"/>
          <w:sz w:val="18"/>
          <w:szCs w:val="18"/>
          <w:color w:val="auto"/>
        </w:rPr>
        <w:t>Market risk is the risk we will incur losses due to adverse fluctuations in market rates and prices. Our primary market risk exposures are to interest rates, equity markets and foreign currency exchange rates. The active management of market risk is an integral part of our operations. We manage our overall market risk exposure within established risk tolerance ranges using several approaches, including:</w:t>
      </w:r>
    </w:p>
    <w:p>
      <w:pPr>
        <w:spacing w:after="0" w:line="187" w:lineRule="exact"/>
        <w:rPr>
          <w:sz w:val="20"/>
          <w:szCs w:val="20"/>
          <w:color w:val="auto"/>
        </w:rPr>
      </w:pPr>
    </w:p>
    <w:p>
      <w:pPr>
        <w:ind w:left="1000" w:hanging="317"/>
        <w:spacing w:after="0"/>
        <w:tabs>
          <w:tab w:leader="none" w:pos="1000" w:val="left"/>
        </w:tabs>
        <w:numPr>
          <w:ilvl w:val="0"/>
          <w:numId w:val="58"/>
        </w:numPr>
        <w:rPr>
          <w:rFonts w:ascii="Arial" w:cs="Arial" w:eastAsia="Arial" w:hAnsi="Arial"/>
          <w:sz w:val="18"/>
          <w:szCs w:val="18"/>
          <w:color w:val="auto"/>
        </w:rPr>
      </w:pPr>
      <w:r>
        <w:rPr>
          <w:rFonts w:ascii="Arial" w:cs="Arial" w:eastAsia="Arial" w:hAnsi="Arial"/>
          <w:sz w:val="18"/>
          <w:szCs w:val="18"/>
          <w:color w:val="auto"/>
        </w:rPr>
        <w:t>rebalancing our existing asset or liability portfolios;</w:t>
      </w:r>
    </w:p>
    <w:p>
      <w:pPr>
        <w:spacing w:after="0" w:line="23" w:lineRule="exact"/>
        <w:rPr>
          <w:rFonts w:ascii="Arial" w:cs="Arial" w:eastAsia="Arial" w:hAnsi="Arial"/>
          <w:sz w:val="18"/>
          <w:szCs w:val="18"/>
          <w:color w:val="auto"/>
        </w:rPr>
      </w:pPr>
    </w:p>
    <w:p>
      <w:pPr>
        <w:ind w:left="1000" w:hanging="317"/>
        <w:spacing w:after="0"/>
        <w:tabs>
          <w:tab w:leader="none" w:pos="1000" w:val="left"/>
        </w:tabs>
        <w:numPr>
          <w:ilvl w:val="0"/>
          <w:numId w:val="58"/>
        </w:numPr>
        <w:rPr>
          <w:rFonts w:ascii="Arial" w:cs="Arial" w:eastAsia="Arial" w:hAnsi="Arial"/>
          <w:sz w:val="18"/>
          <w:szCs w:val="18"/>
          <w:color w:val="auto"/>
        </w:rPr>
      </w:pPr>
      <w:r>
        <w:rPr>
          <w:rFonts w:ascii="Arial" w:cs="Arial" w:eastAsia="Arial" w:hAnsi="Arial"/>
          <w:sz w:val="18"/>
          <w:szCs w:val="18"/>
          <w:color w:val="auto"/>
        </w:rPr>
        <w:t>controlling the risk structure of newly acquired assets and liabilities and</w:t>
      </w:r>
    </w:p>
    <w:p>
      <w:pPr>
        <w:spacing w:after="0" w:line="9" w:lineRule="exact"/>
        <w:rPr>
          <w:rFonts w:ascii="Arial" w:cs="Arial" w:eastAsia="Arial" w:hAnsi="Arial"/>
          <w:sz w:val="18"/>
          <w:szCs w:val="18"/>
          <w:color w:val="auto"/>
        </w:rPr>
      </w:pPr>
    </w:p>
    <w:p>
      <w:pPr>
        <w:ind w:left="1000" w:right="220" w:hanging="317"/>
        <w:spacing w:after="0" w:line="260" w:lineRule="auto"/>
        <w:tabs>
          <w:tab w:leader="none" w:pos="1000" w:val="left"/>
        </w:tabs>
        <w:numPr>
          <w:ilvl w:val="0"/>
          <w:numId w:val="58"/>
        </w:numPr>
        <w:rPr>
          <w:rFonts w:ascii="Arial" w:cs="Arial" w:eastAsia="Arial" w:hAnsi="Arial"/>
          <w:sz w:val="18"/>
          <w:szCs w:val="18"/>
          <w:color w:val="auto"/>
        </w:rPr>
      </w:pPr>
      <w:r>
        <w:rPr>
          <w:rFonts w:ascii="Arial" w:cs="Arial" w:eastAsia="Arial" w:hAnsi="Arial"/>
          <w:sz w:val="18"/>
          <w:szCs w:val="18"/>
          <w:color w:val="auto"/>
        </w:rPr>
        <w:t>using derivative instruments to modify the market risk characteristics of existing assets or liabilities or assets expected to be purchased.</w:t>
      </w:r>
    </w:p>
    <w:p>
      <w:pPr>
        <w:sectPr>
          <w:pgSz w:w="11900" w:h="16838" w:orient="portrait"/>
          <w:cols w:equalWidth="0" w:num="1">
            <w:col w:w="9920"/>
          </w:cols>
          <w:pgMar w:left="980" w:top="665" w:right="999" w:bottom="1440" w:gutter="0" w:footer="0" w:header="0"/>
        </w:sectPr>
      </w:pP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372110</wp:posOffset>
            </wp:positionV>
            <wp:extent cx="6292215" cy="2603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type w:val="continuous"/>
        </w:sectPr>
      </w:pPr>
    </w:p>
    <w:bookmarkStart w:id="124" w:name="page125"/>
    <w:bookmarkEnd w:id="124"/>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Interest Rate Risk</w:t>
      </w:r>
    </w:p>
    <w:p>
      <w:pPr>
        <w:spacing w:after="0" w:line="229" w:lineRule="exact"/>
        <w:rPr>
          <w:sz w:val="20"/>
          <w:szCs w:val="20"/>
          <w:color w:val="auto"/>
        </w:rPr>
      </w:pPr>
    </w:p>
    <w:p>
      <w:pPr>
        <w:ind w:right="20" w:firstLine="648"/>
        <w:spacing w:after="0" w:line="263" w:lineRule="auto"/>
        <w:rPr>
          <w:sz w:val="20"/>
          <w:szCs w:val="20"/>
          <w:color w:val="auto"/>
        </w:rPr>
      </w:pPr>
      <w:r>
        <w:rPr>
          <w:rFonts w:ascii="Arial" w:cs="Arial" w:eastAsia="Arial" w:hAnsi="Arial"/>
          <w:sz w:val="18"/>
          <w:szCs w:val="18"/>
          <w:color w:val="auto"/>
        </w:rPr>
        <w:t>Interest rate risk is the risk of economic losses due to adverse changes in interest rates. Interest rate risk arises primarily from our holdings in interest sensitive assets and liabilities. Changes in interest rates impact numerous aspects of our operations, including but not limited to:</w:t>
      </w:r>
    </w:p>
    <w:p>
      <w:pPr>
        <w:spacing w:after="0" w:line="184" w:lineRule="exact"/>
        <w:rPr>
          <w:sz w:val="20"/>
          <w:szCs w:val="20"/>
          <w:color w:val="auto"/>
        </w:rPr>
      </w:pPr>
    </w:p>
    <w:p>
      <w:pPr>
        <w:ind w:left="1000" w:hanging="317"/>
        <w:spacing w:after="0"/>
        <w:tabs>
          <w:tab w:leader="none" w:pos="1000" w:val="left"/>
        </w:tabs>
        <w:numPr>
          <w:ilvl w:val="0"/>
          <w:numId w:val="59"/>
        </w:numPr>
        <w:rPr>
          <w:rFonts w:ascii="Arial" w:cs="Arial" w:eastAsia="Arial" w:hAnsi="Arial"/>
          <w:sz w:val="18"/>
          <w:szCs w:val="18"/>
          <w:color w:val="auto"/>
        </w:rPr>
      </w:pPr>
      <w:r>
        <w:rPr>
          <w:rFonts w:ascii="Arial" w:cs="Arial" w:eastAsia="Arial" w:hAnsi="Arial"/>
          <w:sz w:val="18"/>
          <w:szCs w:val="18"/>
          <w:color w:val="auto"/>
        </w:rPr>
        <w:t>yield on our invested assets;</w:t>
      </w:r>
    </w:p>
    <w:p>
      <w:pPr>
        <w:spacing w:after="0" w:line="23" w:lineRule="exact"/>
        <w:rPr>
          <w:rFonts w:ascii="Arial" w:cs="Arial" w:eastAsia="Arial" w:hAnsi="Arial"/>
          <w:sz w:val="18"/>
          <w:szCs w:val="18"/>
          <w:color w:val="auto"/>
        </w:rPr>
      </w:pPr>
    </w:p>
    <w:p>
      <w:pPr>
        <w:ind w:left="1000" w:hanging="317"/>
        <w:spacing w:after="0"/>
        <w:tabs>
          <w:tab w:leader="none" w:pos="1000" w:val="left"/>
        </w:tabs>
        <w:numPr>
          <w:ilvl w:val="0"/>
          <w:numId w:val="59"/>
        </w:numPr>
        <w:rPr>
          <w:rFonts w:ascii="Arial" w:cs="Arial" w:eastAsia="Arial" w:hAnsi="Arial"/>
          <w:sz w:val="18"/>
          <w:szCs w:val="18"/>
          <w:color w:val="auto"/>
        </w:rPr>
      </w:pPr>
      <w:r>
        <w:rPr>
          <w:rFonts w:ascii="Arial" w:cs="Arial" w:eastAsia="Arial" w:hAnsi="Arial"/>
          <w:sz w:val="18"/>
          <w:szCs w:val="18"/>
          <w:color w:val="auto"/>
        </w:rPr>
        <w:t>rate of interest we credit to contractholder account balances;</w:t>
      </w:r>
    </w:p>
    <w:p>
      <w:pPr>
        <w:spacing w:after="0" w:line="9" w:lineRule="exact"/>
        <w:rPr>
          <w:rFonts w:ascii="Arial" w:cs="Arial" w:eastAsia="Arial" w:hAnsi="Arial"/>
          <w:sz w:val="18"/>
          <w:szCs w:val="18"/>
          <w:color w:val="auto"/>
        </w:rPr>
      </w:pPr>
    </w:p>
    <w:p>
      <w:pPr>
        <w:ind w:left="1000" w:hanging="317"/>
        <w:spacing w:after="0"/>
        <w:tabs>
          <w:tab w:leader="none" w:pos="1000" w:val="left"/>
        </w:tabs>
        <w:numPr>
          <w:ilvl w:val="0"/>
          <w:numId w:val="59"/>
        </w:numPr>
        <w:rPr>
          <w:rFonts w:ascii="Arial" w:cs="Arial" w:eastAsia="Arial" w:hAnsi="Arial"/>
          <w:sz w:val="18"/>
          <w:szCs w:val="18"/>
          <w:color w:val="auto"/>
        </w:rPr>
      </w:pPr>
      <w:r>
        <w:rPr>
          <w:rFonts w:ascii="Arial" w:cs="Arial" w:eastAsia="Arial" w:hAnsi="Arial"/>
          <w:sz w:val="18"/>
          <w:szCs w:val="18"/>
          <w:color w:val="auto"/>
        </w:rPr>
        <w:t>timing of cash flows on assets and liabilities containing embedded prepayment options;</w:t>
      </w:r>
    </w:p>
    <w:p>
      <w:pPr>
        <w:spacing w:after="0" w:line="9" w:lineRule="exact"/>
        <w:rPr>
          <w:rFonts w:ascii="Arial" w:cs="Arial" w:eastAsia="Arial" w:hAnsi="Arial"/>
          <w:sz w:val="18"/>
          <w:szCs w:val="18"/>
          <w:color w:val="auto"/>
        </w:rPr>
      </w:pPr>
    </w:p>
    <w:p>
      <w:pPr>
        <w:ind w:left="1000" w:hanging="317"/>
        <w:spacing w:after="0"/>
        <w:tabs>
          <w:tab w:leader="none" w:pos="1000" w:val="left"/>
        </w:tabs>
        <w:numPr>
          <w:ilvl w:val="0"/>
          <w:numId w:val="59"/>
        </w:numPr>
        <w:rPr>
          <w:rFonts w:ascii="Arial" w:cs="Arial" w:eastAsia="Arial" w:hAnsi="Arial"/>
          <w:sz w:val="18"/>
          <w:szCs w:val="18"/>
          <w:color w:val="auto"/>
        </w:rPr>
      </w:pPr>
      <w:r>
        <w:rPr>
          <w:rFonts w:ascii="Arial" w:cs="Arial" w:eastAsia="Arial" w:hAnsi="Arial"/>
          <w:sz w:val="18"/>
          <w:szCs w:val="18"/>
          <w:color w:val="auto"/>
        </w:rPr>
        <w:t>cost of hedging our GMWB rider;</w:t>
      </w:r>
    </w:p>
    <w:p>
      <w:pPr>
        <w:spacing w:after="0" w:line="9" w:lineRule="exact"/>
        <w:rPr>
          <w:rFonts w:ascii="Arial" w:cs="Arial" w:eastAsia="Arial" w:hAnsi="Arial"/>
          <w:sz w:val="18"/>
          <w:szCs w:val="18"/>
          <w:color w:val="auto"/>
        </w:rPr>
      </w:pPr>
    </w:p>
    <w:p>
      <w:pPr>
        <w:ind w:left="1000" w:hanging="317"/>
        <w:spacing w:after="0"/>
        <w:tabs>
          <w:tab w:leader="none" w:pos="1000" w:val="left"/>
        </w:tabs>
        <w:numPr>
          <w:ilvl w:val="0"/>
          <w:numId w:val="59"/>
        </w:numPr>
        <w:rPr>
          <w:rFonts w:ascii="Arial" w:cs="Arial" w:eastAsia="Arial" w:hAnsi="Arial"/>
          <w:sz w:val="18"/>
          <w:szCs w:val="18"/>
          <w:color w:val="auto"/>
        </w:rPr>
      </w:pPr>
      <w:r>
        <w:rPr>
          <w:rFonts w:ascii="Arial" w:cs="Arial" w:eastAsia="Arial" w:hAnsi="Arial"/>
          <w:sz w:val="18"/>
          <w:szCs w:val="18"/>
          <w:color w:val="auto"/>
        </w:rPr>
        <w:t>discount rate used in valuing our pension and OPEB obligations;</w:t>
      </w:r>
    </w:p>
    <w:p>
      <w:pPr>
        <w:spacing w:after="0" w:line="9" w:lineRule="exact"/>
        <w:rPr>
          <w:rFonts w:ascii="Arial" w:cs="Arial" w:eastAsia="Arial" w:hAnsi="Arial"/>
          <w:sz w:val="18"/>
          <w:szCs w:val="18"/>
          <w:color w:val="auto"/>
        </w:rPr>
      </w:pPr>
    </w:p>
    <w:p>
      <w:pPr>
        <w:ind w:left="1000" w:hanging="317"/>
        <w:spacing w:after="0"/>
        <w:tabs>
          <w:tab w:leader="none" w:pos="1000" w:val="left"/>
        </w:tabs>
        <w:numPr>
          <w:ilvl w:val="0"/>
          <w:numId w:val="59"/>
        </w:numPr>
        <w:rPr>
          <w:rFonts w:ascii="Arial" w:cs="Arial" w:eastAsia="Arial" w:hAnsi="Arial"/>
          <w:sz w:val="18"/>
          <w:szCs w:val="18"/>
          <w:color w:val="auto"/>
        </w:rPr>
      </w:pPr>
      <w:r>
        <w:rPr>
          <w:rFonts w:ascii="Arial" w:cs="Arial" w:eastAsia="Arial" w:hAnsi="Arial"/>
          <w:sz w:val="18"/>
          <w:szCs w:val="18"/>
          <w:color w:val="auto"/>
        </w:rPr>
        <w:t>estimated gross profits and the amortization of our DAC asset and related actuarial balances;</w:t>
      </w:r>
    </w:p>
    <w:p>
      <w:pPr>
        <w:spacing w:after="0" w:line="9" w:lineRule="exact"/>
        <w:rPr>
          <w:rFonts w:ascii="Arial" w:cs="Arial" w:eastAsia="Arial" w:hAnsi="Arial"/>
          <w:sz w:val="18"/>
          <w:szCs w:val="18"/>
          <w:color w:val="auto"/>
        </w:rPr>
      </w:pPr>
    </w:p>
    <w:p>
      <w:pPr>
        <w:ind w:left="1000" w:hanging="317"/>
        <w:spacing w:after="0"/>
        <w:tabs>
          <w:tab w:leader="none" w:pos="1000" w:val="left"/>
        </w:tabs>
        <w:numPr>
          <w:ilvl w:val="0"/>
          <w:numId w:val="59"/>
        </w:numPr>
        <w:rPr>
          <w:rFonts w:ascii="Arial" w:cs="Arial" w:eastAsia="Arial" w:hAnsi="Arial"/>
          <w:sz w:val="18"/>
          <w:szCs w:val="18"/>
          <w:color w:val="auto"/>
        </w:rPr>
      </w:pPr>
      <w:r>
        <w:rPr>
          <w:rFonts w:ascii="Arial" w:cs="Arial" w:eastAsia="Arial" w:hAnsi="Arial"/>
          <w:sz w:val="18"/>
          <w:szCs w:val="18"/>
          <w:color w:val="auto"/>
        </w:rPr>
        <w:t>statutory reserve and capital requirements;</w:t>
      </w:r>
    </w:p>
    <w:p>
      <w:pPr>
        <w:spacing w:after="0" w:line="9" w:lineRule="exact"/>
        <w:rPr>
          <w:rFonts w:ascii="Arial" w:cs="Arial" w:eastAsia="Arial" w:hAnsi="Arial"/>
          <w:sz w:val="18"/>
          <w:szCs w:val="18"/>
          <w:color w:val="auto"/>
        </w:rPr>
      </w:pPr>
    </w:p>
    <w:p>
      <w:pPr>
        <w:ind w:left="1000" w:hanging="317"/>
        <w:spacing w:after="0"/>
        <w:tabs>
          <w:tab w:leader="none" w:pos="1000" w:val="left"/>
        </w:tabs>
        <w:numPr>
          <w:ilvl w:val="0"/>
          <w:numId w:val="59"/>
        </w:numPr>
        <w:rPr>
          <w:rFonts w:ascii="Arial" w:cs="Arial" w:eastAsia="Arial" w:hAnsi="Arial"/>
          <w:sz w:val="18"/>
          <w:szCs w:val="18"/>
          <w:color w:val="auto"/>
        </w:rPr>
      </w:pPr>
      <w:r>
        <w:rPr>
          <w:rFonts w:ascii="Arial" w:cs="Arial" w:eastAsia="Arial" w:hAnsi="Arial"/>
          <w:sz w:val="18"/>
          <w:szCs w:val="18"/>
          <w:color w:val="auto"/>
        </w:rPr>
        <w:t>asset-based fees earned on the fixed income assets we manage;</w:t>
      </w:r>
    </w:p>
    <w:p>
      <w:pPr>
        <w:spacing w:after="0" w:line="9" w:lineRule="exact"/>
        <w:rPr>
          <w:rFonts w:ascii="Arial" w:cs="Arial" w:eastAsia="Arial" w:hAnsi="Arial"/>
          <w:sz w:val="18"/>
          <w:szCs w:val="18"/>
          <w:color w:val="auto"/>
        </w:rPr>
      </w:pPr>
    </w:p>
    <w:p>
      <w:pPr>
        <w:ind w:left="1000" w:hanging="317"/>
        <w:spacing w:after="0"/>
        <w:tabs>
          <w:tab w:leader="none" w:pos="1000" w:val="left"/>
        </w:tabs>
        <w:numPr>
          <w:ilvl w:val="0"/>
          <w:numId w:val="59"/>
        </w:numPr>
        <w:rPr>
          <w:rFonts w:ascii="Arial" w:cs="Arial" w:eastAsia="Arial" w:hAnsi="Arial"/>
          <w:sz w:val="18"/>
          <w:szCs w:val="18"/>
          <w:color w:val="auto"/>
        </w:rPr>
      </w:pPr>
      <w:r>
        <w:rPr>
          <w:rFonts w:ascii="Arial" w:cs="Arial" w:eastAsia="Arial" w:hAnsi="Arial"/>
          <w:sz w:val="18"/>
          <w:szCs w:val="18"/>
          <w:color w:val="auto"/>
        </w:rPr>
        <w:t>interest expense on our long-term borrowings;</w:t>
      </w:r>
    </w:p>
    <w:p>
      <w:pPr>
        <w:spacing w:after="0" w:line="9" w:lineRule="exact"/>
        <w:rPr>
          <w:rFonts w:ascii="Arial" w:cs="Arial" w:eastAsia="Arial" w:hAnsi="Arial"/>
          <w:sz w:val="18"/>
          <w:szCs w:val="18"/>
          <w:color w:val="auto"/>
        </w:rPr>
      </w:pPr>
    </w:p>
    <w:p>
      <w:pPr>
        <w:ind w:left="1000" w:hanging="317"/>
        <w:spacing w:after="0"/>
        <w:tabs>
          <w:tab w:leader="none" w:pos="1000" w:val="left"/>
        </w:tabs>
        <w:numPr>
          <w:ilvl w:val="0"/>
          <w:numId w:val="59"/>
        </w:numPr>
        <w:rPr>
          <w:rFonts w:ascii="Arial" w:cs="Arial" w:eastAsia="Arial" w:hAnsi="Arial"/>
          <w:sz w:val="18"/>
          <w:szCs w:val="18"/>
          <w:color w:val="auto"/>
        </w:rPr>
      </w:pPr>
      <w:r>
        <w:rPr>
          <w:rFonts w:ascii="Arial" w:cs="Arial" w:eastAsia="Arial" w:hAnsi="Arial"/>
          <w:sz w:val="18"/>
          <w:szCs w:val="18"/>
          <w:color w:val="auto"/>
        </w:rPr>
        <w:t>fair value of intangible assets in our reporting units and</w:t>
      </w:r>
    </w:p>
    <w:p>
      <w:pPr>
        <w:spacing w:after="0" w:line="9" w:lineRule="exact"/>
        <w:rPr>
          <w:rFonts w:ascii="Arial" w:cs="Arial" w:eastAsia="Arial" w:hAnsi="Arial"/>
          <w:sz w:val="18"/>
          <w:szCs w:val="18"/>
          <w:color w:val="auto"/>
        </w:rPr>
      </w:pPr>
    </w:p>
    <w:p>
      <w:pPr>
        <w:ind w:left="1000" w:hanging="317"/>
        <w:spacing w:after="0"/>
        <w:tabs>
          <w:tab w:leader="none" w:pos="1000" w:val="left"/>
        </w:tabs>
        <w:numPr>
          <w:ilvl w:val="0"/>
          <w:numId w:val="59"/>
        </w:numPr>
        <w:rPr>
          <w:rFonts w:ascii="Arial" w:cs="Arial" w:eastAsia="Arial" w:hAnsi="Arial"/>
          <w:sz w:val="18"/>
          <w:szCs w:val="18"/>
          <w:color w:val="auto"/>
        </w:rPr>
      </w:pPr>
      <w:r>
        <w:rPr>
          <w:rFonts w:ascii="Arial" w:cs="Arial" w:eastAsia="Arial" w:hAnsi="Arial"/>
          <w:sz w:val="18"/>
          <w:szCs w:val="18"/>
          <w:color w:val="auto"/>
        </w:rPr>
        <w:t>fair value of financial assets and liabilities held at fair value on our consolidated statements of financial position.</w:t>
      </w:r>
    </w:p>
    <w:p>
      <w:pPr>
        <w:spacing w:after="0" w:line="211" w:lineRule="exact"/>
        <w:rPr>
          <w:sz w:val="20"/>
          <w:szCs w:val="20"/>
          <w:color w:val="auto"/>
        </w:rPr>
      </w:pPr>
    </w:p>
    <w:p>
      <w:pPr>
        <w:ind w:right="140" w:firstLine="648"/>
        <w:spacing w:after="0" w:line="263" w:lineRule="auto"/>
        <w:rPr>
          <w:sz w:val="20"/>
          <w:szCs w:val="20"/>
          <w:color w:val="auto"/>
        </w:rPr>
      </w:pPr>
      <w:r>
        <w:rPr>
          <w:rFonts w:ascii="Arial" w:cs="Arial" w:eastAsia="Arial" w:hAnsi="Arial"/>
          <w:sz w:val="18"/>
          <w:szCs w:val="18"/>
          <w:color w:val="auto"/>
        </w:rPr>
        <w:t>Lower interest rates generally result in lower profitability in the long-term. Conversely, higher interest rates generally result in higher profitability in the long-term. However, an increase in market interest rates may cause a decline in the value of financial assets held at fair value on our consolidated statements of financial position.</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Impact of Changes in Long-Term Interest Rate Assumptions</w:t>
      </w:r>
    </w:p>
    <w:p>
      <w:pPr>
        <w:spacing w:after="0" w:line="225" w:lineRule="exact"/>
        <w:rPr>
          <w:sz w:val="20"/>
          <w:szCs w:val="20"/>
          <w:color w:val="auto"/>
        </w:rPr>
      </w:pPr>
    </w:p>
    <w:p>
      <w:pPr>
        <w:ind w:right="60" w:firstLine="648"/>
        <w:spacing w:after="0" w:line="275" w:lineRule="auto"/>
        <w:rPr>
          <w:sz w:val="20"/>
          <w:szCs w:val="20"/>
          <w:color w:val="auto"/>
        </w:rPr>
      </w:pPr>
      <w:r>
        <w:rPr>
          <w:rFonts w:ascii="Arial" w:cs="Arial" w:eastAsia="Arial" w:hAnsi="Arial"/>
          <w:sz w:val="17"/>
          <w:szCs w:val="17"/>
          <w:color w:val="auto"/>
        </w:rPr>
        <w:t>We use long-term interest rate assumptions to calculate reserves, DAC, other actuarial balances and benefit plan obligations in accordance with U.S. GAAP. In setting these assumptions, we consider a variety of factors, including historical experience, emerging trends and future expectations. We evaluate our assumptions on at least an annual basis. Due to the long-term nature of our assumptions, we generally do not revise our assumptions in response to short-term fluctuations in market interest rates. However, we will consider revising our assumptions if a significant change occurs in the factors noted above.</w:t>
      </w:r>
    </w:p>
    <w:p>
      <w:pPr>
        <w:spacing w:after="0" w:line="176" w:lineRule="exact"/>
        <w:rPr>
          <w:sz w:val="20"/>
          <w:szCs w:val="20"/>
          <w:color w:val="auto"/>
        </w:rPr>
      </w:pPr>
    </w:p>
    <w:p>
      <w:pPr>
        <w:ind w:right="180" w:firstLine="648"/>
        <w:spacing w:after="0" w:line="279" w:lineRule="auto"/>
        <w:rPr>
          <w:sz w:val="20"/>
          <w:szCs w:val="20"/>
          <w:color w:val="auto"/>
        </w:rPr>
      </w:pPr>
      <w:r>
        <w:rPr>
          <w:rFonts w:ascii="Arial" w:cs="Arial" w:eastAsia="Arial" w:hAnsi="Arial"/>
          <w:sz w:val="17"/>
          <w:szCs w:val="17"/>
          <w:color w:val="auto"/>
        </w:rPr>
        <w:t>A reduction in our long-term interest rate assumptions may result in increases in our reserves and/or unlocking of our DAC asset and other actuarial balances. For additional information, see Item 7. “Management’s Discussion and Analysis of Financial Condition and Results of Operations — Critical Accounting Policies and Estimates — Deferred Acquisition Costs and Other Actuarial Balances” in our Annual Report on Form 10-K for the year ended December 31, 2021.</w:t>
      </w:r>
    </w:p>
    <w:p>
      <w:pPr>
        <w:spacing w:after="0" w:line="171" w:lineRule="exact"/>
        <w:rPr>
          <w:sz w:val="20"/>
          <w:szCs w:val="20"/>
          <w:color w:val="auto"/>
        </w:rPr>
      </w:pPr>
    </w:p>
    <w:p>
      <w:pPr>
        <w:ind w:firstLine="648"/>
        <w:spacing w:after="0" w:line="270" w:lineRule="auto"/>
        <w:rPr>
          <w:sz w:val="20"/>
          <w:szCs w:val="20"/>
          <w:color w:val="auto"/>
        </w:rPr>
      </w:pPr>
      <w:r>
        <w:rPr>
          <w:rFonts w:ascii="Arial" w:cs="Arial" w:eastAsia="Arial" w:hAnsi="Arial"/>
          <w:sz w:val="17"/>
          <w:szCs w:val="17"/>
          <w:color w:val="auto"/>
        </w:rPr>
        <w:t>In addition, we have implemented reinsurance transactions utilizing affiliated reinsurers and highly rated third parties to finance a portion of the statutory reserves for our term life insurance policies and universal life insurance policies with secondary guarantees. We calculate an economic reserve, which represents an estimate of our liability associated with these contracts. The excess of the required statutory reserve over the economic reserve is secured by financing provided by highly rated third parties. The long-term interest rate assumption is a key input in the calculation of the economic reserve. A reduction in our long-term interest rate assumption would reduce the portion of the statutory reserve that can be financed through affiliated reinsurers, thus increasing the amount of invested assets we must maintain to support statutory reserves. For additional information, see Item 8. “Financial Statements and Supplementary Data, Notes to Consolidated Financial Statements, Note 15, Statutory Insurance Financial Information” in our Annual Report on Form 10-K for the year ended December 31, 2021.</w:t>
      </w: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540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880"/>
          </w:cols>
          <w:pgMar w:left="980" w:top="665" w:right="1039" w:bottom="1440" w:gutter="0" w:footer="0" w:header="0"/>
        </w:sectPr>
      </w:pPr>
    </w:p>
    <w:bookmarkStart w:id="125" w:name="page126"/>
    <w:bookmarkEnd w:id="125"/>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Impact of Changes in Interest Rates</w:t>
      </w:r>
    </w:p>
    <w:p>
      <w:pPr>
        <w:spacing w:after="0" w:line="225" w:lineRule="exact"/>
        <w:rPr>
          <w:sz w:val="20"/>
          <w:szCs w:val="20"/>
          <w:color w:val="auto"/>
        </w:rPr>
      </w:pPr>
    </w:p>
    <w:p>
      <w:pPr>
        <w:ind w:right="140" w:firstLine="648"/>
        <w:spacing w:after="0" w:line="277" w:lineRule="auto"/>
        <w:rPr>
          <w:sz w:val="20"/>
          <w:szCs w:val="20"/>
          <w:color w:val="auto"/>
        </w:rPr>
      </w:pPr>
      <w:r>
        <w:rPr>
          <w:rFonts w:ascii="Arial" w:cs="Arial" w:eastAsia="Arial" w:hAnsi="Arial"/>
          <w:sz w:val="18"/>
          <w:szCs w:val="18"/>
          <w:color w:val="auto"/>
        </w:rPr>
        <w:t>Changes in interest rates or a sustained low interest rate environment may result in the following impacts, which would impact our financial position and results of operations:</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940" w:type="dxa"/>
            <w:vAlign w:val="bottom"/>
          </w:tcPr>
          <w:p>
            <w:pPr>
              <w:ind w:left="100"/>
              <w:spacing w:after="0"/>
              <w:rPr>
                <w:sz w:val="20"/>
                <w:szCs w:val="20"/>
                <w:color w:val="auto"/>
              </w:rPr>
            </w:pPr>
            <w:r>
              <w:rPr>
                <w:rFonts w:ascii="Arial" w:cs="Arial" w:eastAsia="Arial" w:hAnsi="Arial"/>
                <w:sz w:val="18"/>
                <w:szCs w:val="18"/>
                <w:b w:val="1"/>
                <w:bCs w:val="1"/>
                <w:color w:val="auto"/>
                <w:w w:val="97"/>
              </w:rPr>
              <w:t>Impact of Falling Interest Rates or Sustained Low Interest</w:t>
            </w:r>
          </w:p>
        </w:tc>
        <w:tc>
          <w:tcPr>
            <w:tcW w:w="4980" w:type="dxa"/>
            <w:vAlign w:val="bottom"/>
          </w:tcPr>
          <w:p>
            <w:pPr>
              <w:ind w:left="120"/>
              <w:spacing w:after="0"/>
              <w:rPr>
                <w:sz w:val="20"/>
                <w:szCs w:val="20"/>
                <w:color w:val="auto"/>
              </w:rPr>
            </w:pPr>
            <w:r>
              <w:rPr>
                <w:rFonts w:ascii="Arial" w:cs="Arial" w:eastAsia="Arial" w:hAnsi="Arial"/>
                <w:sz w:val="18"/>
                <w:szCs w:val="18"/>
                <w:b w:val="1"/>
                <w:bCs w:val="1"/>
                <w:color w:val="auto"/>
              </w:rPr>
              <w:t>Impact of Rising Interest Rates</w:t>
            </w:r>
          </w:p>
        </w:tc>
      </w:tr>
      <w:tr>
        <w:trPr>
          <w:trHeight w:val="234"/>
        </w:trPr>
        <w:tc>
          <w:tcPr>
            <w:tcW w:w="4940" w:type="dxa"/>
            <w:vAlign w:val="bottom"/>
            <w:tcBorders>
              <w:bottom w:val="single" w:sz="8" w:color="auto"/>
            </w:tcBorders>
          </w:tcPr>
          <w:p>
            <w:pPr>
              <w:ind w:left="100"/>
              <w:spacing w:after="0"/>
              <w:rPr>
                <w:sz w:val="20"/>
                <w:szCs w:val="20"/>
                <w:color w:val="auto"/>
              </w:rPr>
            </w:pPr>
            <w:r>
              <w:rPr>
                <w:rFonts w:ascii="Arial" w:cs="Arial" w:eastAsia="Arial" w:hAnsi="Arial"/>
                <w:sz w:val="18"/>
                <w:szCs w:val="18"/>
                <w:b w:val="1"/>
                <w:bCs w:val="1"/>
                <w:color w:val="auto"/>
              </w:rPr>
              <w:t>Rates</w:t>
            </w:r>
          </w:p>
        </w:tc>
        <w:tc>
          <w:tcPr>
            <w:tcW w:w="4980" w:type="dxa"/>
            <w:vAlign w:val="bottom"/>
            <w:tcBorders>
              <w:bottom w:val="single" w:sz="8" w:color="auto"/>
            </w:tcBorders>
          </w:tcPr>
          <w:p>
            <w:pPr>
              <w:spacing w:after="0"/>
              <w:rPr>
                <w:sz w:val="20"/>
                <w:szCs w:val="20"/>
                <w:color w:val="auto"/>
              </w:rPr>
            </w:pPr>
          </w:p>
        </w:tc>
      </w:tr>
      <w:tr>
        <w:trPr>
          <w:trHeight w:val="209"/>
        </w:trPr>
        <w:tc>
          <w:tcPr>
            <w:tcW w:w="4940" w:type="dxa"/>
            <w:vAlign w:val="bottom"/>
            <w:tcBorders>
              <w:bottom w:val="single" w:sz="8" w:color="auto"/>
            </w:tcBorders>
          </w:tcPr>
          <w:p>
            <w:pPr>
              <w:ind w:left="100"/>
              <w:spacing w:after="0"/>
              <w:rPr>
                <w:sz w:val="20"/>
                <w:szCs w:val="20"/>
                <w:color w:val="auto"/>
              </w:rPr>
            </w:pPr>
            <w:r>
              <w:rPr>
                <w:rFonts w:ascii="Arial" w:cs="Arial" w:eastAsia="Arial" w:hAnsi="Arial"/>
                <w:sz w:val="18"/>
                <w:szCs w:val="18"/>
                <w:b w:val="1"/>
                <w:bCs w:val="1"/>
                <w:i w:val="1"/>
                <w:iCs w:val="1"/>
                <w:color w:val="auto"/>
              </w:rPr>
              <w:t>Adverse Impacts:</w:t>
            </w:r>
          </w:p>
        </w:tc>
        <w:tc>
          <w:tcPr>
            <w:tcW w:w="4980" w:type="dxa"/>
            <w:vAlign w:val="bottom"/>
            <w:tcBorders>
              <w:bottom w:val="single" w:sz="8" w:color="auto"/>
            </w:tcBorders>
          </w:tcPr>
          <w:p>
            <w:pPr>
              <w:ind w:left="120"/>
              <w:spacing w:after="0"/>
              <w:rPr>
                <w:sz w:val="20"/>
                <w:szCs w:val="20"/>
                <w:color w:val="auto"/>
              </w:rPr>
            </w:pPr>
            <w:r>
              <w:rPr>
                <w:rFonts w:ascii="Arial" w:cs="Arial" w:eastAsia="Arial" w:hAnsi="Arial"/>
                <w:sz w:val="18"/>
                <w:szCs w:val="18"/>
                <w:b w:val="1"/>
                <w:bCs w:val="1"/>
                <w:i w:val="1"/>
                <w:iCs w:val="1"/>
                <w:color w:val="auto"/>
              </w:rPr>
              <w:t>Positive Impacts:</w:t>
            </w:r>
          </w:p>
        </w:tc>
      </w:tr>
      <w:tr>
        <w:trPr>
          <w:trHeight w:val="195"/>
        </w:trPr>
        <w:tc>
          <w:tcPr>
            <w:tcW w:w="4940" w:type="dxa"/>
            <w:vAlign w:val="bottom"/>
          </w:tcPr>
          <w:p>
            <w:pPr>
              <w:ind w:left="100"/>
              <w:spacing w:after="0" w:line="195" w:lineRule="exact"/>
              <w:rPr>
                <w:sz w:val="20"/>
                <w:szCs w:val="20"/>
                <w:color w:val="auto"/>
              </w:rPr>
            </w:pPr>
            <w:r>
              <w:rPr>
                <w:rFonts w:ascii="Arial" w:cs="Arial" w:eastAsia="Arial" w:hAnsi="Arial"/>
                <w:sz w:val="18"/>
                <w:szCs w:val="18"/>
                <w:color w:val="auto"/>
                <w:w w:val="96"/>
              </w:rPr>
              <w:t>A reduction in investment income, which may be partially offset</w:t>
            </w:r>
          </w:p>
        </w:tc>
        <w:tc>
          <w:tcPr>
            <w:tcW w:w="4980" w:type="dxa"/>
            <w:vAlign w:val="bottom"/>
          </w:tcPr>
          <w:p>
            <w:pPr>
              <w:ind w:left="120"/>
              <w:spacing w:after="0" w:line="195" w:lineRule="exact"/>
              <w:rPr>
                <w:sz w:val="20"/>
                <w:szCs w:val="20"/>
                <w:color w:val="auto"/>
              </w:rPr>
            </w:pPr>
            <w:r>
              <w:rPr>
                <w:rFonts w:ascii="Arial" w:cs="Arial" w:eastAsia="Arial" w:hAnsi="Arial"/>
                <w:sz w:val="18"/>
                <w:szCs w:val="18"/>
                <w:color w:val="auto"/>
              </w:rPr>
              <w:t>An increase in investment income, which may be partially or</w:t>
            </w:r>
          </w:p>
        </w:tc>
      </w:tr>
      <w:tr>
        <w:trPr>
          <w:trHeight w:val="216"/>
        </w:trPr>
        <w:tc>
          <w:tcPr>
            <w:tcW w:w="4940" w:type="dxa"/>
            <w:vAlign w:val="bottom"/>
          </w:tcPr>
          <w:p>
            <w:pPr>
              <w:ind w:left="100"/>
              <w:spacing w:after="0"/>
              <w:rPr>
                <w:sz w:val="20"/>
                <w:szCs w:val="20"/>
                <w:color w:val="auto"/>
              </w:rPr>
            </w:pPr>
            <w:r>
              <w:rPr>
                <w:rFonts w:ascii="Arial" w:cs="Arial" w:eastAsia="Arial" w:hAnsi="Arial"/>
                <w:sz w:val="18"/>
                <w:szCs w:val="18"/>
                <w:color w:val="auto"/>
                <w:w w:val="93"/>
              </w:rPr>
              <w:t>by a reduction in the interest we credit on contractholder account</w:t>
            </w:r>
          </w:p>
        </w:tc>
        <w:tc>
          <w:tcPr>
            <w:tcW w:w="4980" w:type="dxa"/>
            <w:vAlign w:val="bottom"/>
          </w:tcPr>
          <w:p>
            <w:pPr>
              <w:ind w:left="120"/>
              <w:spacing w:after="0"/>
              <w:rPr>
                <w:sz w:val="20"/>
                <w:szCs w:val="20"/>
                <w:color w:val="auto"/>
              </w:rPr>
            </w:pPr>
            <w:r>
              <w:rPr>
                <w:rFonts w:ascii="Arial" w:cs="Arial" w:eastAsia="Arial" w:hAnsi="Arial"/>
                <w:sz w:val="18"/>
                <w:szCs w:val="18"/>
                <w:color w:val="auto"/>
              </w:rPr>
              <w:t>fully offset by an increase in the interest we credit on</w:t>
            </w:r>
          </w:p>
        </w:tc>
      </w:tr>
      <w:tr>
        <w:trPr>
          <w:trHeight w:val="216"/>
        </w:trPr>
        <w:tc>
          <w:tcPr>
            <w:tcW w:w="4940" w:type="dxa"/>
            <w:vAlign w:val="bottom"/>
          </w:tcPr>
          <w:p>
            <w:pPr>
              <w:ind w:left="100"/>
              <w:spacing w:after="0"/>
              <w:rPr>
                <w:sz w:val="20"/>
                <w:szCs w:val="20"/>
                <w:color w:val="auto"/>
              </w:rPr>
            </w:pPr>
            <w:r>
              <w:rPr>
                <w:rFonts w:ascii="Arial" w:cs="Arial" w:eastAsia="Arial" w:hAnsi="Arial"/>
                <w:sz w:val="18"/>
                <w:szCs w:val="18"/>
                <w:color w:val="auto"/>
                <w:w w:val="98"/>
              </w:rPr>
              <w:t>balances; however, our ability to lower crediting rates may be</w:t>
            </w:r>
          </w:p>
        </w:tc>
        <w:tc>
          <w:tcPr>
            <w:tcW w:w="4980" w:type="dxa"/>
            <w:vAlign w:val="bottom"/>
          </w:tcPr>
          <w:p>
            <w:pPr>
              <w:ind w:left="120"/>
              <w:spacing w:after="0"/>
              <w:rPr>
                <w:sz w:val="20"/>
                <w:szCs w:val="20"/>
                <w:color w:val="auto"/>
              </w:rPr>
            </w:pPr>
            <w:r>
              <w:rPr>
                <w:rFonts w:ascii="Arial" w:cs="Arial" w:eastAsia="Arial" w:hAnsi="Arial"/>
                <w:sz w:val="18"/>
                <w:szCs w:val="18"/>
                <w:color w:val="auto"/>
              </w:rPr>
              <w:t>contractholder account balances</w:t>
            </w:r>
          </w:p>
        </w:tc>
      </w:tr>
      <w:tr>
        <w:trPr>
          <w:trHeight w:val="216"/>
        </w:trPr>
        <w:tc>
          <w:tcPr>
            <w:tcW w:w="4940" w:type="dxa"/>
            <w:vAlign w:val="bottom"/>
          </w:tcPr>
          <w:p>
            <w:pPr>
              <w:ind w:left="100"/>
              <w:spacing w:after="0"/>
              <w:rPr>
                <w:sz w:val="20"/>
                <w:szCs w:val="20"/>
                <w:color w:val="auto"/>
              </w:rPr>
            </w:pPr>
            <w:r>
              <w:rPr>
                <w:rFonts w:ascii="Arial" w:cs="Arial" w:eastAsia="Arial" w:hAnsi="Arial"/>
                <w:sz w:val="18"/>
                <w:szCs w:val="18"/>
                <w:color w:val="auto"/>
              </w:rPr>
              <w:t>constrained by guaranteed minimum interest rates and</w:t>
            </w:r>
          </w:p>
        </w:tc>
        <w:tc>
          <w:tcPr>
            <w:tcW w:w="4980" w:type="dxa"/>
            <w:vAlign w:val="bottom"/>
          </w:tcPr>
          <w:p>
            <w:pPr>
              <w:spacing w:after="0"/>
              <w:rPr>
                <w:sz w:val="18"/>
                <w:szCs w:val="18"/>
                <w:color w:val="auto"/>
              </w:rPr>
            </w:pPr>
          </w:p>
        </w:tc>
      </w:tr>
      <w:tr>
        <w:trPr>
          <w:trHeight w:val="230"/>
        </w:trPr>
        <w:tc>
          <w:tcPr>
            <w:tcW w:w="494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competitive pressures</w:t>
            </w:r>
          </w:p>
        </w:tc>
        <w:tc>
          <w:tcPr>
            <w:tcW w:w="4980" w:type="dxa"/>
            <w:vAlign w:val="bottom"/>
            <w:tcBorders>
              <w:bottom w:val="single" w:sz="8" w:color="auto"/>
            </w:tcBorders>
          </w:tcPr>
          <w:p>
            <w:pPr>
              <w:spacing w:after="0"/>
              <w:rPr>
                <w:sz w:val="20"/>
                <w:szCs w:val="20"/>
                <w:color w:val="auto"/>
              </w:rPr>
            </w:pPr>
          </w:p>
        </w:tc>
      </w:tr>
      <w:tr>
        <w:trPr>
          <w:trHeight w:val="209"/>
        </w:trPr>
        <w:tc>
          <w:tcPr>
            <w:tcW w:w="494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An increase in the cost of hedging our GMWB rider</w:t>
            </w:r>
          </w:p>
        </w:tc>
        <w:tc>
          <w:tcPr>
            <w:tcW w:w="498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rPr>
              <w:t>A decrease in the cost of hedging our GMWB rider</w:t>
            </w:r>
          </w:p>
        </w:tc>
      </w:tr>
      <w:tr>
        <w:trPr>
          <w:trHeight w:val="195"/>
        </w:trPr>
        <w:tc>
          <w:tcPr>
            <w:tcW w:w="4940" w:type="dxa"/>
            <w:vAlign w:val="bottom"/>
          </w:tcPr>
          <w:p>
            <w:pPr>
              <w:ind w:left="100"/>
              <w:spacing w:after="0" w:line="195" w:lineRule="exact"/>
              <w:rPr>
                <w:sz w:val="20"/>
                <w:szCs w:val="20"/>
                <w:color w:val="auto"/>
              </w:rPr>
            </w:pPr>
            <w:r>
              <w:rPr>
                <w:rFonts w:ascii="Arial" w:cs="Arial" w:eastAsia="Arial" w:hAnsi="Arial"/>
                <w:sz w:val="18"/>
                <w:szCs w:val="18"/>
                <w:color w:val="auto"/>
              </w:rPr>
              <w:t>An increase in reserves and/or a true-up or unlocking of our</w:t>
            </w:r>
          </w:p>
        </w:tc>
        <w:tc>
          <w:tcPr>
            <w:tcW w:w="4980" w:type="dxa"/>
            <w:vAlign w:val="bottom"/>
          </w:tcPr>
          <w:p>
            <w:pPr>
              <w:ind w:left="120"/>
              <w:spacing w:after="0" w:line="195" w:lineRule="exact"/>
              <w:rPr>
                <w:sz w:val="20"/>
                <w:szCs w:val="20"/>
                <w:color w:val="auto"/>
              </w:rPr>
            </w:pPr>
            <w:r>
              <w:rPr>
                <w:rFonts w:ascii="Arial" w:cs="Arial" w:eastAsia="Arial" w:hAnsi="Arial"/>
                <w:sz w:val="18"/>
                <w:szCs w:val="18"/>
                <w:color w:val="auto"/>
              </w:rPr>
              <w:t>A true-up or unlocking of our DAC asset and other actuarial</w:t>
            </w:r>
          </w:p>
        </w:tc>
      </w:tr>
      <w:tr>
        <w:trPr>
          <w:trHeight w:val="230"/>
        </w:trPr>
        <w:tc>
          <w:tcPr>
            <w:tcW w:w="494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DAC asset and other actuarial balances</w:t>
            </w:r>
          </w:p>
        </w:tc>
        <w:tc>
          <w:tcPr>
            <w:tcW w:w="498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rPr>
              <w:t>balances</w:t>
            </w:r>
          </w:p>
        </w:tc>
      </w:tr>
      <w:tr>
        <w:trPr>
          <w:trHeight w:val="195"/>
        </w:trPr>
        <w:tc>
          <w:tcPr>
            <w:tcW w:w="4940" w:type="dxa"/>
            <w:vAlign w:val="bottom"/>
          </w:tcPr>
          <w:p>
            <w:pPr>
              <w:ind w:left="100"/>
              <w:spacing w:after="0" w:line="195" w:lineRule="exact"/>
              <w:rPr>
                <w:sz w:val="20"/>
                <w:szCs w:val="20"/>
                <w:color w:val="auto"/>
              </w:rPr>
            </w:pPr>
            <w:r>
              <w:rPr>
                <w:rFonts w:ascii="Arial" w:cs="Arial" w:eastAsia="Arial" w:hAnsi="Arial"/>
                <w:sz w:val="18"/>
                <w:szCs w:val="18"/>
                <w:color w:val="auto"/>
                <w:w w:val="95"/>
              </w:rPr>
              <w:t>A reduction in the discount rate used in valuing our pension and</w:t>
            </w:r>
          </w:p>
        </w:tc>
        <w:tc>
          <w:tcPr>
            <w:tcW w:w="4980" w:type="dxa"/>
            <w:vAlign w:val="bottom"/>
          </w:tcPr>
          <w:p>
            <w:pPr>
              <w:ind w:left="120"/>
              <w:spacing w:after="0" w:line="195" w:lineRule="exact"/>
              <w:rPr>
                <w:sz w:val="20"/>
                <w:szCs w:val="20"/>
                <w:color w:val="auto"/>
              </w:rPr>
            </w:pPr>
            <w:r>
              <w:rPr>
                <w:rFonts w:ascii="Arial" w:cs="Arial" w:eastAsia="Arial" w:hAnsi="Arial"/>
                <w:sz w:val="18"/>
                <w:szCs w:val="18"/>
                <w:color w:val="auto"/>
                <w:w w:val="94"/>
              </w:rPr>
              <w:t>An increase in the discount rate used in valuing our pension and</w:t>
            </w:r>
          </w:p>
        </w:tc>
      </w:tr>
      <w:tr>
        <w:trPr>
          <w:trHeight w:val="216"/>
        </w:trPr>
        <w:tc>
          <w:tcPr>
            <w:tcW w:w="4940" w:type="dxa"/>
            <w:vAlign w:val="bottom"/>
          </w:tcPr>
          <w:p>
            <w:pPr>
              <w:ind w:left="100"/>
              <w:spacing w:after="0"/>
              <w:rPr>
                <w:sz w:val="20"/>
                <w:szCs w:val="20"/>
                <w:color w:val="auto"/>
              </w:rPr>
            </w:pPr>
            <w:r>
              <w:rPr>
                <w:rFonts w:ascii="Arial" w:cs="Arial" w:eastAsia="Arial" w:hAnsi="Arial"/>
                <w:sz w:val="18"/>
                <w:szCs w:val="18"/>
                <w:color w:val="auto"/>
              </w:rPr>
              <w:t>OPEB obligations, leading to an increase in our Projected</w:t>
            </w:r>
          </w:p>
        </w:tc>
        <w:tc>
          <w:tcPr>
            <w:tcW w:w="4980" w:type="dxa"/>
            <w:vAlign w:val="bottom"/>
          </w:tcPr>
          <w:p>
            <w:pPr>
              <w:ind w:left="120"/>
              <w:spacing w:after="0"/>
              <w:rPr>
                <w:sz w:val="20"/>
                <w:szCs w:val="20"/>
                <w:color w:val="auto"/>
              </w:rPr>
            </w:pPr>
            <w:r>
              <w:rPr>
                <w:rFonts w:ascii="Arial" w:cs="Arial" w:eastAsia="Arial" w:hAnsi="Arial"/>
                <w:sz w:val="18"/>
                <w:szCs w:val="18"/>
                <w:color w:val="auto"/>
                <w:w w:val="93"/>
              </w:rPr>
              <w:t>OPEB obligations, leading to a decrease in our Projected Benefit</w:t>
            </w:r>
          </w:p>
        </w:tc>
      </w:tr>
      <w:tr>
        <w:trPr>
          <w:trHeight w:val="216"/>
        </w:trPr>
        <w:tc>
          <w:tcPr>
            <w:tcW w:w="4940" w:type="dxa"/>
            <w:vAlign w:val="bottom"/>
          </w:tcPr>
          <w:p>
            <w:pPr>
              <w:ind w:left="100"/>
              <w:spacing w:after="0"/>
              <w:rPr>
                <w:sz w:val="20"/>
                <w:szCs w:val="20"/>
                <w:color w:val="auto"/>
              </w:rPr>
            </w:pPr>
            <w:r>
              <w:rPr>
                <w:rFonts w:ascii="Arial" w:cs="Arial" w:eastAsia="Arial" w:hAnsi="Arial"/>
                <w:sz w:val="18"/>
                <w:szCs w:val="18"/>
                <w:color w:val="auto"/>
              </w:rPr>
              <w:t>Benefit Obligation, Net Periodic Pension Cost, Accumulated</w:t>
            </w:r>
          </w:p>
        </w:tc>
        <w:tc>
          <w:tcPr>
            <w:tcW w:w="4980" w:type="dxa"/>
            <w:vAlign w:val="bottom"/>
          </w:tcPr>
          <w:p>
            <w:pPr>
              <w:ind w:left="120"/>
              <w:spacing w:after="0"/>
              <w:rPr>
                <w:sz w:val="20"/>
                <w:szCs w:val="20"/>
                <w:color w:val="auto"/>
              </w:rPr>
            </w:pPr>
            <w:r>
              <w:rPr>
                <w:rFonts w:ascii="Arial" w:cs="Arial" w:eastAsia="Arial" w:hAnsi="Arial"/>
                <w:sz w:val="18"/>
                <w:szCs w:val="18"/>
                <w:color w:val="auto"/>
              </w:rPr>
              <w:t>Obligation, Net Periodic Pension Cost, Accumulated</w:t>
            </w:r>
          </w:p>
        </w:tc>
      </w:tr>
      <w:tr>
        <w:trPr>
          <w:trHeight w:val="230"/>
        </w:trPr>
        <w:tc>
          <w:tcPr>
            <w:tcW w:w="494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w w:val="95"/>
              </w:rPr>
              <w:t>Postretirement Benefit Obligation and Net Periodic Benefit Cost</w:t>
            </w:r>
          </w:p>
        </w:tc>
        <w:tc>
          <w:tcPr>
            <w:tcW w:w="498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w w:val="95"/>
              </w:rPr>
              <w:t>Postretirement Benefit Obligation and Net Periodic Benefit Cost</w:t>
            </w:r>
          </w:p>
        </w:tc>
      </w:tr>
      <w:tr>
        <w:trPr>
          <w:trHeight w:val="195"/>
        </w:trPr>
        <w:tc>
          <w:tcPr>
            <w:tcW w:w="4940" w:type="dxa"/>
            <w:vAlign w:val="bottom"/>
          </w:tcPr>
          <w:p>
            <w:pPr>
              <w:ind w:left="100"/>
              <w:spacing w:after="0" w:line="195" w:lineRule="exact"/>
              <w:rPr>
                <w:sz w:val="20"/>
                <w:szCs w:val="20"/>
                <w:color w:val="auto"/>
              </w:rPr>
            </w:pPr>
            <w:r>
              <w:rPr>
                <w:rFonts w:ascii="Arial" w:cs="Arial" w:eastAsia="Arial" w:hAnsi="Arial"/>
                <w:sz w:val="18"/>
                <w:szCs w:val="18"/>
                <w:color w:val="auto"/>
                <w:w w:val="93"/>
              </w:rPr>
              <w:t>An increase in statutory capital we are required to hold as well as</w:t>
            </w:r>
          </w:p>
        </w:tc>
        <w:tc>
          <w:tcPr>
            <w:tcW w:w="4980" w:type="dxa"/>
            <w:vAlign w:val="bottom"/>
          </w:tcPr>
          <w:p>
            <w:pPr>
              <w:ind w:left="120"/>
              <w:spacing w:after="0" w:line="195" w:lineRule="exact"/>
              <w:rPr>
                <w:sz w:val="20"/>
                <w:szCs w:val="20"/>
                <w:color w:val="auto"/>
              </w:rPr>
            </w:pPr>
            <w:r>
              <w:rPr>
                <w:rFonts w:ascii="Arial" w:cs="Arial" w:eastAsia="Arial" w:hAnsi="Arial"/>
                <w:sz w:val="18"/>
                <w:szCs w:val="18"/>
                <w:color w:val="auto"/>
                <w:w w:val="94"/>
              </w:rPr>
              <w:t>A decrease in statutory capital we are required to hold as well as</w:t>
            </w:r>
          </w:p>
        </w:tc>
      </w:tr>
      <w:tr>
        <w:trPr>
          <w:trHeight w:val="216"/>
        </w:trPr>
        <w:tc>
          <w:tcPr>
            <w:tcW w:w="4940" w:type="dxa"/>
            <w:vAlign w:val="bottom"/>
          </w:tcPr>
          <w:p>
            <w:pPr>
              <w:ind w:left="100"/>
              <w:spacing w:after="0"/>
              <w:rPr>
                <w:sz w:val="20"/>
                <w:szCs w:val="20"/>
                <w:color w:val="auto"/>
              </w:rPr>
            </w:pPr>
            <w:r>
              <w:rPr>
                <w:rFonts w:ascii="Arial" w:cs="Arial" w:eastAsia="Arial" w:hAnsi="Arial"/>
                <w:sz w:val="18"/>
                <w:szCs w:val="18"/>
                <w:color w:val="auto"/>
              </w:rPr>
              <w:t>the amount of assets we must maintain to support statutory</w:t>
            </w:r>
          </w:p>
        </w:tc>
        <w:tc>
          <w:tcPr>
            <w:tcW w:w="4980" w:type="dxa"/>
            <w:vAlign w:val="bottom"/>
          </w:tcPr>
          <w:p>
            <w:pPr>
              <w:ind w:left="120"/>
              <w:spacing w:after="0"/>
              <w:rPr>
                <w:sz w:val="20"/>
                <w:szCs w:val="20"/>
                <w:color w:val="auto"/>
              </w:rPr>
            </w:pPr>
            <w:r>
              <w:rPr>
                <w:rFonts w:ascii="Arial" w:cs="Arial" w:eastAsia="Arial" w:hAnsi="Arial"/>
                <w:sz w:val="18"/>
                <w:szCs w:val="18"/>
                <w:color w:val="auto"/>
              </w:rPr>
              <w:t>the amount of assets we must maintain to support statutory</w:t>
            </w:r>
          </w:p>
        </w:tc>
      </w:tr>
      <w:tr>
        <w:trPr>
          <w:trHeight w:val="230"/>
        </w:trPr>
        <w:tc>
          <w:tcPr>
            <w:tcW w:w="494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reserves</w:t>
            </w:r>
          </w:p>
        </w:tc>
        <w:tc>
          <w:tcPr>
            <w:tcW w:w="498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rPr>
              <w:t>reserves</w:t>
            </w:r>
          </w:p>
        </w:tc>
      </w:tr>
      <w:tr>
        <w:trPr>
          <w:trHeight w:val="195"/>
        </w:trPr>
        <w:tc>
          <w:tcPr>
            <w:tcW w:w="4940" w:type="dxa"/>
            <w:vAlign w:val="bottom"/>
          </w:tcPr>
          <w:p>
            <w:pPr>
              <w:ind w:left="100"/>
              <w:spacing w:after="0" w:line="195" w:lineRule="exact"/>
              <w:rPr>
                <w:sz w:val="20"/>
                <w:szCs w:val="20"/>
                <w:color w:val="auto"/>
              </w:rPr>
            </w:pPr>
            <w:r>
              <w:rPr>
                <w:rFonts w:ascii="Arial" w:cs="Arial" w:eastAsia="Arial" w:hAnsi="Arial"/>
                <w:sz w:val="18"/>
                <w:szCs w:val="18"/>
                <w:color w:val="auto"/>
                <w:w w:val="96"/>
              </w:rPr>
              <w:t>An increase in prepayments or redemptions on mortgages and</w:t>
            </w:r>
          </w:p>
        </w:tc>
        <w:tc>
          <w:tcPr>
            <w:tcW w:w="4980" w:type="dxa"/>
            <w:vAlign w:val="bottom"/>
          </w:tcPr>
          <w:p>
            <w:pPr>
              <w:ind w:left="120"/>
              <w:spacing w:after="0" w:line="195" w:lineRule="exact"/>
              <w:rPr>
                <w:sz w:val="20"/>
                <w:szCs w:val="20"/>
                <w:color w:val="auto"/>
              </w:rPr>
            </w:pPr>
            <w:r>
              <w:rPr>
                <w:rFonts w:ascii="Arial" w:cs="Arial" w:eastAsia="Arial" w:hAnsi="Arial"/>
                <w:sz w:val="18"/>
                <w:szCs w:val="18"/>
                <w:color w:val="auto"/>
                <w:w w:val="97"/>
              </w:rPr>
              <w:t>A decrease in prepayments or redemptions on mortgages and</w:t>
            </w:r>
          </w:p>
        </w:tc>
      </w:tr>
      <w:tr>
        <w:trPr>
          <w:trHeight w:val="216"/>
        </w:trPr>
        <w:tc>
          <w:tcPr>
            <w:tcW w:w="4940" w:type="dxa"/>
            <w:vAlign w:val="bottom"/>
          </w:tcPr>
          <w:p>
            <w:pPr>
              <w:ind w:left="100"/>
              <w:spacing w:after="0"/>
              <w:rPr>
                <w:sz w:val="20"/>
                <w:szCs w:val="20"/>
                <w:color w:val="auto"/>
              </w:rPr>
            </w:pPr>
            <w:r>
              <w:rPr>
                <w:rFonts w:ascii="Arial" w:cs="Arial" w:eastAsia="Arial" w:hAnsi="Arial"/>
                <w:sz w:val="18"/>
                <w:szCs w:val="18"/>
                <w:color w:val="auto"/>
                <w:w w:val="94"/>
              </w:rPr>
              <w:t>bonds we own, which would force us to reinvest the proceeds at</w:t>
            </w:r>
          </w:p>
        </w:tc>
        <w:tc>
          <w:tcPr>
            <w:tcW w:w="4980" w:type="dxa"/>
            <w:vAlign w:val="bottom"/>
          </w:tcPr>
          <w:p>
            <w:pPr>
              <w:ind w:left="120"/>
              <w:spacing w:after="0"/>
              <w:rPr>
                <w:sz w:val="20"/>
                <w:szCs w:val="20"/>
                <w:color w:val="auto"/>
              </w:rPr>
            </w:pPr>
            <w:r>
              <w:rPr>
                <w:rFonts w:ascii="Arial" w:cs="Arial" w:eastAsia="Arial" w:hAnsi="Arial"/>
                <w:sz w:val="18"/>
                <w:szCs w:val="18"/>
                <w:color w:val="auto"/>
                <w:w w:val="97"/>
              </w:rPr>
              <w:t>bonds we own, which would reduce our opportunity to reinvest</w:t>
            </w:r>
          </w:p>
        </w:tc>
      </w:tr>
      <w:tr>
        <w:trPr>
          <w:trHeight w:val="230"/>
        </w:trPr>
        <w:tc>
          <w:tcPr>
            <w:tcW w:w="4940" w:type="dxa"/>
            <w:vAlign w:val="bottom"/>
          </w:tcPr>
          <w:p>
            <w:pPr>
              <w:ind w:left="100"/>
              <w:spacing w:after="0"/>
              <w:rPr>
                <w:sz w:val="20"/>
                <w:szCs w:val="20"/>
                <w:color w:val="auto"/>
              </w:rPr>
            </w:pPr>
            <w:r>
              <w:rPr>
                <w:rFonts w:ascii="Arial" w:cs="Arial" w:eastAsia="Arial" w:hAnsi="Arial"/>
                <w:sz w:val="18"/>
                <w:szCs w:val="18"/>
                <w:color w:val="auto"/>
              </w:rPr>
              <w:t>lower interest rates</w:t>
            </w:r>
          </w:p>
        </w:tc>
        <w:tc>
          <w:tcPr>
            <w:tcW w:w="4980" w:type="dxa"/>
            <w:vAlign w:val="bottom"/>
          </w:tcPr>
          <w:p>
            <w:pPr>
              <w:ind w:left="120"/>
              <w:spacing w:after="0"/>
              <w:rPr>
                <w:sz w:val="20"/>
                <w:szCs w:val="20"/>
                <w:color w:val="auto"/>
              </w:rPr>
            </w:pPr>
            <w:r>
              <w:rPr>
                <w:rFonts w:ascii="Arial" w:cs="Arial" w:eastAsia="Arial" w:hAnsi="Arial"/>
                <w:sz w:val="18"/>
                <w:szCs w:val="18"/>
                <w:color w:val="auto"/>
              </w:rPr>
              <w:t>the proceeds at higher interest rates</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-2948305</wp:posOffset>
            </wp:positionV>
            <wp:extent cx="6292215" cy="479171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6292215" cy="4791710"/>
                    </a:xfrm>
                    <a:prstGeom prst="rect">
                      <a:avLst/>
                    </a:prstGeom>
                    <a:noFill/>
                  </pic:spPr>
                </pic:pic>
              </a:graphicData>
            </a:graphic>
          </wp:anchor>
        </w:drawing>
      </w:r>
    </w:p>
    <w:p>
      <w:pPr>
        <w:spacing w:after="0" w:line="20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900" w:type="dxa"/>
            <w:vAlign w:val="bottom"/>
            <w:tcBorders>
              <w:bottom w:val="single" w:sz="8" w:color="auto"/>
            </w:tcBorders>
          </w:tcPr>
          <w:p>
            <w:pPr>
              <w:ind w:left="100"/>
              <w:spacing w:after="0"/>
              <w:rPr>
                <w:sz w:val="20"/>
                <w:szCs w:val="20"/>
                <w:color w:val="auto"/>
              </w:rPr>
            </w:pPr>
            <w:r>
              <w:rPr>
                <w:rFonts w:ascii="Arial" w:cs="Arial" w:eastAsia="Arial" w:hAnsi="Arial"/>
                <w:sz w:val="18"/>
                <w:szCs w:val="18"/>
                <w:b w:val="1"/>
                <w:bCs w:val="1"/>
                <w:i w:val="1"/>
                <w:iCs w:val="1"/>
                <w:color w:val="auto"/>
              </w:rPr>
              <w:t>Positive Impacts:</w:t>
            </w:r>
          </w:p>
        </w:tc>
        <w:tc>
          <w:tcPr>
            <w:tcW w:w="5020" w:type="dxa"/>
            <w:vAlign w:val="bottom"/>
            <w:tcBorders>
              <w:bottom w:val="single" w:sz="8" w:color="auto"/>
            </w:tcBorders>
          </w:tcPr>
          <w:p>
            <w:pPr>
              <w:ind w:left="160"/>
              <w:spacing w:after="0"/>
              <w:rPr>
                <w:sz w:val="20"/>
                <w:szCs w:val="20"/>
                <w:color w:val="auto"/>
              </w:rPr>
            </w:pPr>
            <w:r>
              <w:rPr>
                <w:rFonts w:ascii="Arial" w:cs="Arial" w:eastAsia="Arial" w:hAnsi="Arial"/>
                <w:sz w:val="18"/>
                <w:szCs w:val="18"/>
                <w:b w:val="1"/>
                <w:bCs w:val="1"/>
                <w:i w:val="1"/>
                <w:iCs w:val="1"/>
                <w:color w:val="auto"/>
              </w:rPr>
              <w:t>Adverse Impacts:</w:t>
            </w:r>
          </w:p>
        </w:tc>
      </w:tr>
      <w:tr>
        <w:trPr>
          <w:trHeight w:val="195"/>
        </w:trPr>
        <w:tc>
          <w:tcPr>
            <w:tcW w:w="4900" w:type="dxa"/>
            <w:vAlign w:val="bottom"/>
          </w:tcPr>
          <w:p>
            <w:pPr>
              <w:ind w:left="100"/>
              <w:spacing w:after="0" w:line="195" w:lineRule="exact"/>
              <w:rPr>
                <w:sz w:val="20"/>
                <w:szCs w:val="20"/>
                <w:color w:val="auto"/>
              </w:rPr>
            </w:pPr>
            <w:r>
              <w:rPr>
                <w:rFonts w:ascii="Arial" w:cs="Arial" w:eastAsia="Arial" w:hAnsi="Arial"/>
                <w:sz w:val="18"/>
                <w:szCs w:val="18"/>
                <w:color w:val="auto"/>
                <w:w w:val="94"/>
              </w:rPr>
              <w:t>An increase in the value of the fixed income assets we manage,</w:t>
            </w:r>
          </w:p>
        </w:tc>
        <w:tc>
          <w:tcPr>
            <w:tcW w:w="5020" w:type="dxa"/>
            <w:vAlign w:val="bottom"/>
          </w:tcPr>
          <w:p>
            <w:pPr>
              <w:ind w:left="160"/>
              <w:spacing w:after="0" w:line="195" w:lineRule="exact"/>
              <w:rPr>
                <w:sz w:val="20"/>
                <w:szCs w:val="20"/>
                <w:color w:val="auto"/>
              </w:rPr>
            </w:pPr>
            <w:r>
              <w:rPr>
                <w:rFonts w:ascii="Arial" w:cs="Arial" w:eastAsia="Arial" w:hAnsi="Arial"/>
                <w:sz w:val="18"/>
                <w:szCs w:val="18"/>
                <w:color w:val="auto"/>
                <w:w w:val="95"/>
              </w:rPr>
              <w:t>A decrease in the value of the fixed income assets we manage,</w:t>
            </w:r>
          </w:p>
        </w:tc>
      </w:tr>
      <w:tr>
        <w:trPr>
          <w:trHeight w:val="230"/>
        </w:trPr>
        <w:tc>
          <w:tcPr>
            <w:tcW w:w="490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resulting in an increase in our fee revenue in the short-term</w:t>
            </w:r>
          </w:p>
        </w:tc>
        <w:tc>
          <w:tcPr>
            <w:tcW w:w="502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resulting in a decrease in our fee revenue in the short-term</w:t>
            </w:r>
          </w:p>
        </w:tc>
      </w:tr>
      <w:tr>
        <w:trPr>
          <w:trHeight w:val="195"/>
        </w:trPr>
        <w:tc>
          <w:tcPr>
            <w:tcW w:w="4900" w:type="dxa"/>
            <w:vAlign w:val="bottom"/>
          </w:tcPr>
          <w:p>
            <w:pPr>
              <w:ind w:left="100"/>
              <w:spacing w:after="0" w:line="195" w:lineRule="exact"/>
              <w:rPr>
                <w:sz w:val="20"/>
                <w:szCs w:val="20"/>
                <w:color w:val="auto"/>
              </w:rPr>
            </w:pPr>
            <w:r>
              <w:rPr>
                <w:rFonts w:ascii="Arial" w:cs="Arial" w:eastAsia="Arial" w:hAnsi="Arial"/>
                <w:sz w:val="18"/>
                <w:szCs w:val="18"/>
                <w:color w:val="auto"/>
                <w:w w:val="93"/>
              </w:rPr>
              <w:t>A decrease in the interest expense on our long-term borrowings,</w:t>
            </w:r>
          </w:p>
        </w:tc>
        <w:tc>
          <w:tcPr>
            <w:tcW w:w="5020" w:type="dxa"/>
            <w:vAlign w:val="bottom"/>
          </w:tcPr>
          <w:p>
            <w:pPr>
              <w:ind w:left="160"/>
              <w:spacing w:after="0" w:line="195" w:lineRule="exact"/>
              <w:rPr>
                <w:sz w:val="20"/>
                <w:szCs w:val="20"/>
                <w:color w:val="auto"/>
              </w:rPr>
            </w:pPr>
            <w:r>
              <w:rPr>
                <w:rFonts w:ascii="Arial" w:cs="Arial" w:eastAsia="Arial" w:hAnsi="Arial"/>
                <w:sz w:val="18"/>
                <w:szCs w:val="18"/>
                <w:color w:val="auto"/>
                <w:w w:val="93"/>
              </w:rPr>
              <w:t>An increase in the interest expense on our long-term borrowings,</w:t>
            </w:r>
          </w:p>
        </w:tc>
      </w:tr>
      <w:tr>
        <w:trPr>
          <w:trHeight w:val="216"/>
        </w:trPr>
        <w:tc>
          <w:tcPr>
            <w:tcW w:w="4900" w:type="dxa"/>
            <w:vAlign w:val="bottom"/>
          </w:tcPr>
          <w:p>
            <w:pPr>
              <w:ind w:left="100"/>
              <w:spacing w:after="0"/>
              <w:rPr>
                <w:sz w:val="20"/>
                <w:szCs w:val="20"/>
                <w:color w:val="auto"/>
              </w:rPr>
            </w:pPr>
            <w:r>
              <w:rPr>
                <w:rFonts w:ascii="Arial" w:cs="Arial" w:eastAsia="Arial" w:hAnsi="Arial"/>
                <w:sz w:val="18"/>
                <w:szCs w:val="18"/>
                <w:color w:val="auto"/>
                <w:w w:val="92"/>
              </w:rPr>
              <w:t>to the extent the borrowings have adjustable rates or we are able</w:t>
            </w:r>
          </w:p>
        </w:tc>
        <w:tc>
          <w:tcPr>
            <w:tcW w:w="5020" w:type="dxa"/>
            <w:vAlign w:val="bottom"/>
          </w:tcPr>
          <w:p>
            <w:pPr>
              <w:ind w:left="160"/>
              <w:spacing w:after="0"/>
              <w:rPr>
                <w:sz w:val="20"/>
                <w:szCs w:val="20"/>
                <w:color w:val="auto"/>
              </w:rPr>
            </w:pPr>
            <w:r>
              <w:rPr>
                <w:rFonts w:ascii="Arial" w:cs="Arial" w:eastAsia="Arial" w:hAnsi="Arial"/>
                <w:sz w:val="18"/>
                <w:szCs w:val="18"/>
                <w:color w:val="auto"/>
                <w:w w:val="91"/>
              </w:rPr>
              <w:t>to the extent the borrowings have adjustable rates or we refinance</w:t>
            </w:r>
          </w:p>
        </w:tc>
      </w:tr>
      <w:tr>
        <w:trPr>
          <w:trHeight w:val="230"/>
        </w:trPr>
        <w:tc>
          <w:tcPr>
            <w:tcW w:w="490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to refinance our obligations at lower interest rates</w:t>
            </w:r>
          </w:p>
        </w:tc>
        <w:tc>
          <w:tcPr>
            <w:tcW w:w="502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our obligations at higher interest rates</w:t>
            </w:r>
          </w:p>
        </w:tc>
      </w:tr>
      <w:tr>
        <w:trPr>
          <w:trHeight w:val="195"/>
        </w:trPr>
        <w:tc>
          <w:tcPr>
            <w:tcW w:w="4900" w:type="dxa"/>
            <w:vAlign w:val="bottom"/>
          </w:tcPr>
          <w:p>
            <w:pPr>
              <w:ind w:left="100"/>
              <w:spacing w:after="0" w:line="195" w:lineRule="exact"/>
              <w:rPr>
                <w:sz w:val="20"/>
                <w:szCs w:val="20"/>
                <w:color w:val="auto"/>
              </w:rPr>
            </w:pPr>
            <w:r>
              <w:rPr>
                <w:rFonts w:ascii="Arial" w:cs="Arial" w:eastAsia="Arial" w:hAnsi="Arial"/>
                <w:sz w:val="18"/>
                <w:szCs w:val="18"/>
                <w:color w:val="auto"/>
                <w:w w:val="97"/>
              </w:rPr>
              <w:t>An increase in the fair value of certain financial assets held at</w:t>
            </w:r>
          </w:p>
        </w:tc>
        <w:tc>
          <w:tcPr>
            <w:tcW w:w="5020" w:type="dxa"/>
            <w:vAlign w:val="bottom"/>
          </w:tcPr>
          <w:p>
            <w:pPr>
              <w:ind w:left="160"/>
              <w:spacing w:after="0" w:line="195" w:lineRule="exact"/>
              <w:rPr>
                <w:sz w:val="20"/>
                <w:szCs w:val="20"/>
                <w:color w:val="auto"/>
              </w:rPr>
            </w:pPr>
            <w:r>
              <w:rPr>
                <w:rFonts w:ascii="Arial" w:cs="Arial" w:eastAsia="Arial" w:hAnsi="Arial"/>
                <w:sz w:val="18"/>
                <w:szCs w:val="18"/>
                <w:color w:val="auto"/>
                <w:w w:val="94"/>
              </w:rPr>
              <w:t>A decrease in the fair value of certain financial assets held at fair</w:t>
            </w:r>
          </w:p>
        </w:tc>
      </w:tr>
      <w:tr>
        <w:trPr>
          <w:trHeight w:val="216"/>
        </w:trPr>
        <w:tc>
          <w:tcPr>
            <w:tcW w:w="4900" w:type="dxa"/>
            <w:vAlign w:val="bottom"/>
          </w:tcPr>
          <w:p>
            <w:pPr>
              <w:ind w:left="100"/>
              <w:spacing w:after="0"/>
              <w:rPr>
                <w:sz w:val="20"/>
                <w:szCs w:val="20"/>
                <w:color w:val="auto"/>
              </w:rPr>
            </w:pPr>
            <w:r>
              <w:rPr>
                <w:rFonts w:ascii="Arial" w:cs="Arial" w:eastAsia="Arial" w:hAnsi="Arial"/>
                <w:sz w:val="18"/>
                <w:szCs w:val="18"/>
                <w:color w:val="auto"/>
                <w:w w:val="98"/>
              </w:rPr>
              <w:t>fair value on our consolidated statements of financial position</w:t>
            </w:r>
          </w:p>
        </w:tc>
        <w:tc>
          <w:tcPr>
            <w:tcW w:w="5020" w:type="dxa"/>
            <w:vAlign w:val="bottom"/>
          </w:tcPr>
          <w:p>
            <w:pPr>
              <w:ind w:left="160"/>
              <w:spacing w:after="0"/>
              <w:rPr>
                <w:sz w:val="20"/>
                <w:szCs w:val="20"/>
                <w:color w:val="auto"/>
              </w:rPr>
            </w:pPr>
            <w:r>
              <w:rPr>
                <w:rFonts w:ascii="Arial" w:cs="Arial" w:eastAsia="Arial" w:hAnsi="Arial"/>
                <w:sz w:val="18"/>
                <w:szCs w:val="18"/>
                <w:color w:val="auto"/>
                <w:w w:val="99"/>
              </w:rPr>
              <w:t>value on our consolidated statements of financial position, as</w:t>
            </w:r>
          </w:p>
        </w:tc>
      </w:tr>
      <w:tr>
        <w:trPr>
          <w:trHeight w:val="230"/>
        </w:trPr>
        <w:tc>
          <w:tcPr>
            <w:tcW w:w="4900" w:type="dxa"/>
            <w:vAlign w:val="bottom"/>
            <w:tcBorders>
              <w:bottom w:val="single" w:sz="8" w:color="auto"/>
            </w:tcBorders>
          </w:tcPr>
          <w:p>
            <w:pPr>
              <w:spacing w:after="0"/>
              <w:rPr>
                <w:sz w:val="20"/>
                <w:szCs w:val="20"/>
                <w:color w:val="auto"/>
              </w:rPr>
            </w:pPr>
          </w:p>
        </w:tc>
        <w:tc>
          <w:tcPr>
            <w:tcW w:w="502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discussed below</w:t>
            </w:r>
          </w:p>
        </w:tc>
      </w:tr>
      <w:tr>
        <w:trPr>
          <w:trHeight w:val="195"/>
        </w:trPr>
        <w:tc>
          <w:tcPr>
            <w:tcW w:w="4900" w:type="dxa"/>
            <w:vAlign w:val="bottom"/>
          </w:tcPr>
          <w:p>
            <w:pPr>
              <w:spacing w:after="0"/>
              <w:rPr>
                <w:sz w:val="16"/>
                <w:szCs w:val="16"/>
                <w:color w:val="auto"/>
              </w:rPr>
            </w:pPr>
          </w:p>
        </w:tc>
        <w:tc>
          <w:tcPr>
            <w:tcW w:w="5020" w:type="dxa"/>
            <w:vAlign w:val="bottom"/>
          </w:tcPr>
          <w:p>
            <w:pPr>
              <w:ind w:left="160"/>
              <w:spacing w:after="0" w:line="195" w:lineRule="exact"/>
              <w:rPr>
                <w:sz w:val="20"/>
                <w:szCs w:val="20"/>
                <w:color w:val="auto"/>
              </w:rPr>
            </w:pPr>
            <w:r>
              <w:rPr>
                <w:rFonts w:ascii="Arial" w:cs="Arial" w:eastAsia="Arial" w:hAnsi="Arial"/>
                <w:sz w:val="18"/>
                <w:szCs w:val="18"/>
                <w:color w:val="auto"/>
                <w:w w:val="96"/>
              </w:rPr>
              <w:t>A reduction in the fair value of intangible assets in our reporting</w:t>
            </w:r>
          </w:p>
        </w:tc>
      </w:tr>
      <w:tr>
        <w:trPr>
          <w:trHeight w:val="216"/>
        </w:trPr>
        <w:tc>
          <w:tcPr>
            <w:tcW w:w="4900" w:type="dxa"/>
            <w:vAlign w:val="bottom"/>
          </w:tcPr>
          <w:p>
            <w:pPr>
              <w:spacing w:after="0"/>
              <w:rPr>
                <w:sz w:val="18"/>
                <w:szCs w:val="18"/>
                <w:color w:val="auto"/>
              </w:rPr>
            </w:pPr>
          </w:p>
        </w:tc>
        <w:tc>
          <w:tcPr>
            <w:tcW w:w="5020" w:type="dxa"/>
            <w:vAlign w:val="bottom"/>
          </w:tcPr>
          <w:p>
            <w:pPr>
              <w:ind w:left="160"/>
              <w:spacing w:after="0"/>
              <w:rPr>
                <w:sz w:val="20"/>
                <w:szCs w:val="20"/>
                <w:color w:val="auto"/>
              </w:rPr>
            </w:pPr>
            <w:r>
              <w:rPr>
                <w:rFonts w:ascii="Arial" w:cs="Arial" w:eastAsia="Arial" w:hAnsi="Arial"/>
                <w:sz w:val="18"/>
                <w:szCs w:val="18"/>
                <w:color w:val="auto"/>
                <w:w w:val="99"/>
              </w:rPr>
              <w:t>units, potentially leading to an impairment of goodwill or other</w:t>
            </w:r>
          </w:p>
        </w:tc>
      </w:tr>
      <w:tr>
        <w:trPr>
          <w:trHeight w:val="230"/>
        </w:trPr>
        <w:tc>
          <w:tcPr>
            <w:tcW w:w="4900" w:type="dxa"/>
            <w:vAlign w:val="bottom"/>
          </w:tcPr>
          <w:p>
            <w:pPr>
              <w:spacing w:after="0"/>
              <w:rPr>
                <w:sz w:val="20"/>
                <w:szCs w:val="20"/>
                <w:color w:val="auto"/>
              </w:rPr>
            </w:pPr>
          </w:p>
        </w:tc>
        <w:tc>
          <w:tcPr>
            <w:tcW w:w="5020" w:type="dxa"/>
            <w:vAlign w:val="bottom"/>
          </w:tcPr>
          <w:p>
            <w:pPr>
              <w:ind w:left="160"/>
              <w:spacing w:after="0"/>
              <w:rPr>
                <w:sz w:val="20"/>
                <w:szCs w:val="20"/>
                <w:color w:val="auto"/>
              </w:rPr>
            </w:pPr>
            <w:r>
              <w:rPr>
                <w:rFonts w:ascii="Arial" w:cs="Arial" w:eastAsia="Arial" w:hAnsi="Arial"/>
                <w:sz w:val="18"/>
                <w:szCs w:val="18"/>
                <w:color w:val="auto"/>
              </w:rPr>
              <w:t>intangible assets</w:t>
            </w:r>
          </w:p>
        </w:tc>
      </w:tr>
    </w:tbl>
    <w:p>
      <w:pPr>
        <w:spacing w:after="0" w:line="229" w:lineRule="exact"/>
        <w:rPr>
          <w:sz w:val="20"/>
          <w:szCs w:val="20"/>
          <w:color w:val="auto"/>
        </w:rPr>
      </w:pPr>
    </w:p>
    <w:p>
      <w:pPr>
        <w:ind w:right="20" w:firstLine="648"/>
        <w:spacing w:after="0" w:line="257" w:lineRule="auto"/>
        <w:rPr>
          <w:sz w:val="20"/>
          <w:szCs w:val="20"/>
          <w:color w:val="auto"/>
        </w:rPr>
      </w:pPr>
      <w:r>
        <w:rPr>
          <w:rFonts w:ascii="Arial" w:cs="Arial" w:eastAsia="Arial" w:hAnsi="Arial"/>
          <w:sz w:val="18"/>
          <w:szCs w:val="18"/>
          <w:color w:val="auto"/>
        </w:rPr>
        <w:t>We estimate a hypothetical 100 basis point immediate, parallel decrease in U.S. interest rates would impact segment pre-tax operating earnings between -1% and 1% over the next 12 months excluding the impact of any potential unlocking of our DAC asset and other actuarial balances. This estimate reflects the impact of routine management actions in response to changes in interest rates, such as reducing the interest rates we credit on contractholder account balances, but does not reflect the impact of other actions management may consider, such as curtailing sales of certain products.</w:t>
      </w:r>
    </w:p>
    <w:p>
      <w:pPr>
        <w:spacing w:after="0" w:line="188" w:lineRule="exact"/>
        <w:rPr>
          <w:sz w:val="20"/>
          <w:szCs w:val="20"/>
          <w:color w:val="auto"/>
        </w:rPr>
      </w:pPr>
    </w:p>
    <w:p>
      <w:pPr>
        <w:ind w:right="160" w:firstLine="648"/>
        <w:spacing w:after="0" w:line="259" w:lineRule="auto"/>
        <w:rPr>
          <w:sz w:val="20"/>
          <w:szCs w:val="20"/>
          <w:color w:val="auto"/>
        </w:rPr>
      </w:pPr>
      <w:r>
        <w:rPr>
          <w:rFonts w:ascii="Arial" w:cs="Arial" w:eastAsia="Arial" w:hAnsi="Arial"/>
          <w:sz w:val="18"/>
          <w:szCs w:val="18"/>
          <w:color w:val="auto"/>
        </w:rPr>
        <w:t>The selection of a 100 basis point immediate, parallel decrease in U.S. interest rates should not be construed as a prediction by us of future market events, but rather as an illustration of the impact of such an event. Our exposure will change as a result of ongoing portfolio transactions in response to new business, management’s assessment of changing market conditions and changes in our mix of business.</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6035"/>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126" w:name="page127"/>
    <w:bookmarkEnd w:id="126"/>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9" w:lineRule="exact"/>
        <w:rPr>
          <w:sz w:val="20"/>
          <w:szCs w:val="20"/>
          <w:color w:val="auto"/>
        </w:rPr>
      </w:pPr>
    </w:p>
    <w:p>
      <w:pPr>
        <w:jc w:val="both"/>
        <w:ind w:right="120" w:firstLine="648"/>
        <w:spacing w:after="0" w:line="311" w:lineRule="auto"/>
        <w:rPr>
          <w:sz w:val="20"/>
          <w:szCs w:val="20"/>
          <w:color w:val="auto"/>
        </w:rPr>
      </w:pPr>
      <w:r>
        <w:rPr>
          <w:rFonts w:ascii="Arial" w:cs="Arial" w:eastAsia="Arial" w:hAnsi="Arial"/>
          <w:sz w:val="16"/>
          <w:szCs w:val="16"/>
          <w:color w:val="auto"/>
        </w:rPr>
        <w:t>If market rates increase rapidly, policy surrenders, withdrawals and requests for policy loans may increase as customers seek to achieve higher returns. This may result in unlocking of our DAC and other actuarial balances. We may be required to sell assets to raise the cash necessary to respond to such surrenders, withdrawals and loans, thereby realizing capital losses on the assets sold.</w:t>
      </w:r>
    </w:p>
    <w:p>
      <w:pPr>
        <w:spacing w:after="0" w:line="149" w:lineRule="exact"/>
        <w:rPr>
          <w:sz w:val="20"/>
          <w:szCs w:val="20"/>
          <w:color w:val="auto"/>
        </w:rPr>
      </w:pPr>
    </w:p>
    <w:p>
      <w:pPr>
        <w:ind w:right="20" w:firstLine="648"/>
        <w:spacing w:after="0" w:line="257" w:lineRule="auto"/>
        <w:rPr>
          <w:sz w:val="20"/>
          <w:szCs w:val="20"/>
          <w:color w:val="auto"/>
        </w:rPr>
      </w:pPr>
      <w:r>
        <w:rPr>
          <w:rFonts w:ascii="Arial" w:cs="Arial" w:eastAsia="Arial" w:hAnsi="Arial"/>
          <w:sz w:val="18"/>
          <w:szCs w:val="18"/>
          <w:b w:val="1"/>
          <w:bCs w:val="1"/>
          <w:i w:val="1"/>
          <w:iCs w:val="1"/>
          <w:color w:val="auto"/>
        </w:rPr>
        <w:t>Guaranteed Minimum Interest Rate Exposure</w:t>
      </w:r>
      <w:r>
        <w:rPr>
          <w:rFonts w:ascii="Arial" w:cs="Arial" w:eastAsia="Arial" w:hAnsi="Arial"/>
          <w:sz w:val="18"/>
          <w:szCs w:val="18"/>
          <w:color w:val="auto"/>
        </w:rPr>
        <w:t>. The following table provides detail on the differences between the interest rates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being credited to contractholders as of June 30, 2022, and the respective guaranteed minimum interest rates (“GMIRs”). Amounts for contracts without significant fee revenues such as GICs, funding agreements, individual fixed income annuities and guaranteed pension contracts are excluded. Account values are broken down by GMIR level within the Retirement and Income Solutions and U.S. Insurance Solutions segments.</w:t>
      </w:r>
    </w:p>
    <w:p>
      <w:pPr>
        <w:spacing w:after="0" w:line="193"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380" w:type="dxa"/>
            <w:vAlign w:val="bottom"/>
            <w:tcBorders>
              <w:bottom w:val="single" w:sz="8" w:color="auto"/>
            </w:tcBorders>
            <w:gridSpan w:val="6"/>
          </w:tcPr>
          <w:p>
            <w:pPr>
              <w:jc w:val="right"/>
              <w:ind w:right="590"/>
              <w:spacing w:after="0"/>
              <w:rPr>
                <w:sz w:val="20"/>
                <w:szCs w:val="20"/>
                <w:color w:val="auto"/>
              </w:rPr>
            </w:pPr>
            <w:r>
              <w:rPr>
                <w:rFonts w:ascii="Arial" w:cs="Arial" w:eastAsia="Arial" w:hAnsi="Arial"/>
                <w:sz w:val="14"/>
                <w:szCs w:val="14"/>
                <w:b w:val="1"/>
                <w:bCs w:val="1"/>
                <w:color w:val="auto"/>
              </w:rPr>
              <w:t>Account values (1)</w:t>
            </w:r>
          </w:p>
        </w:tc>
        <w:tc>
          <w:tcPr>
            <w:tcW w:w="6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4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2480" w:type="dxa"/>
            <w:vAlign w:val="bottom"/>
            <w:tcBorders>
              <w:bottom w:val="single" w:sz="8" w:color="auto"/>
            </w:tcBorders>
            <w:gridSpan w:val="7"/>
          </w:tcPr>
          <w:p>
            <w:pPr>
              <w:ind w:left="60"/>
              <w:spacing w:after="0" w:line="142" w:lineRule="exact"/>
              <w:rPr>
                <w:sz w:val="20"/>
                <w:szCs w:val="20"/>
                <w:color w:val="auto"/>
              </w:rPr>
            </w:pPr>
            <w:r>
              <w:rPr>
                <w:rFonts w:ascii="Arial" w:cs="Arial" w:eastAsia="Arial" w:hAnsi="Arial"/>
                <w:sz w:val="14"/>
                <w:szCs w:val="14"/>
                <w:b w:val="1"/>
                <w:bCs w:val="1"/>
                <w:color w:val="auto"/>
                <w:w w:val="98"/>
              </w:rPr>
              <w:t>Excess of crediting rates over GMIR:</w:t>
            </w:r>
          </w:p>
        </w:tc>
        <w:tc>
          <w:tcPr>
            <w:tcW w:w="60" w:type="dxa"/>
            <w:vAlign w:val="bottom"/>
            <w:tcBorders>
              <w:bottom w:val="single" w:sz="8" w:color="auto"/>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spacing w:after="0"/>
              <w:rPr>
                <w:sz w:val="12"/>
                <w:szCs w:val="12"/>
                <w:color w:val="auto"/>
              </w:rPr>
            </w:pPr>
          </w:p>
        </w:tc>
        <w:tc>
          <w:tcPr>
            <w:tcW w:w="2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246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74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rPr>
              <w:t>At GMIR</w:t>
            </w:r>
          </w:p>
        </w:tc>
        <w:tc>
          <w:tcPr>
            <w:tcW w:w="220" w:type="dxa"/>
            <w:vAlign w:val="bottom"/>
            <w:vMerge w:val="restart"/>
          </w:tcPr>
          <w:p>
            <w:pPr>
              <w:spacing w:after="0"/>
              <w:rPr>
                <w:sz w:val="10"/>
                <w:szCs w:val="10"/>
                <w:color w:val="auto"/>
              </w:rPr>
            </w:pPr>
          </w:p>
        </w:tc>
        <w:tc>
          <w:tcPr>
            <w:tcW w:w="60" w:type="dxa"/>
            <w:vAlign w:val="bottom"/>
          </w:tcPr>
          <w:p>
            <w:pPr>
              <w:spacing w:after="0"/>
              <w:rPr>
                <w:sz w:val="10"/>
                <w:szCs w:val="10"/>
                <w:color w:val="auto"/>
              </w:rPr>
            </w:pPr>
          </w:p>
        </w:tc>
        <w:tc>
          <w:tcPr>
            <w:tcW w:w="1020" w:type="dxa"/>
            <w:vAlign w:val="bottom"/>
            <w:gridSpan w:val="3"/>
          </w:tcPr>
          <w:p>
            <w:pPr>
              <w:ind w:left="20"/>
              <w:spacing w:after="0" w:line="119" w:lineRule="exact"/>
              <w:rPr>
                <w:sz w:val="20"/>
                <w:szCs w:val="20"/>
                <w:color w:val="auto"/>
              </w:rPr>
            </w:pPr>
            <w:r>
              <w:rPr>
                <w:rFonts w:ascii="Arial" w:cs="Arial" w:eastAsia="Arial" w:hAnsi="Arial"/>
                <w:sz w:val="13"/>
                <w:szCs w:val="13"/>
                <w:b w:val="1"/>
                <w:bCs w:val="1"/>
                <w:color w:val="auto"/>
              </w:rPr>
              <w:t>Up to 0.50%</w:t>
            </w:r>
          </w:p>
        </w:tc>
        <w:tc>
          <w:tcPr>
            <w:tcW w:w="60" w:type="dxa"/>
            <w:vAlign w:val="bottom"/>
          </w:tcPr>
          <w:p>
            <w:pPr>
              <w:spacing w:after="0"/>
              <w:rPr>
                <w:sz w:val="10"/>
                <w:szCs w:val="10"/>
                <w:color w:val="auto"/>
              </w:rPr>
            </w:pPr>
          </w:p>
        </w:tc>
        <w:tc>
          <w:tcPr>
            <w:tcW w:w="1220" w:type="dxa"/>
            <w:vAlign w:val="bottom"/>
            <w:gridSpan w:val="3"/>
          </w:tcPr>
          <w:p>
            <w:pPr>
              <w:spacing w:after="0" w:line="119" w:lineRule="exact"/>
              <w:rPr>
                <w:sz w:val="20"/>
                <w:szCs w:val="20"/>
                <w:color w:val="auto"/>
              </w:rPr>
            </w:pPr>
            <w:r>
              <w:rPr>
                <w:rFonts w:ascii="Arial" w:cs="Arial" w:eastAsia="Arial" w:hAnsi="Arial"/>
                <w:sz w:val="13"/>
                <w:szCs w:val="13"/>
                <w:b w:val="1"/>
                <w:bCs w:val="1"/>
                <w:color w:val="auto"/>
              </w:rPr>
              <w:t>0.51% to 1.00%</w:t>
            </w:r>
          </w:p>
        </w:tc>
        <w:tc>
          <w:tcPr>
            <w:tcW w:w="40" w:type="dxa"/>
            <w:vAlign w:val="bottom"/>
          </w:tcPr>
          <w:p>
            <w:pPr>
              <w:spacing w:after="0"/>
              <w:rPr>
                <w:sz w:val="10"/>
                <w:szCs w:val="10"/>
                <w:color w:val="auto"/>
              </w:rPr>
            </w:pPr>
          </w:p>
        </w:tc>
        <w:tc>
          <w:tcPr>
            <w:tcW w:w="1220" w:type="dxa"/>
            <w:vAlign w:val="bottom"/>
            <w:gridSpan w:val="3"/>
          </w:tcPr>
          <w:p>
            <w:pPr>
              <w:spacing w:after="0" w:line="119" w:lineRule="exact"/>
              <w:rPr>
                <w:sz w:val="20"/>
                <w:szCs w:val="20"/>
                <w:color w:val="auto"/>
              </w:rPr>
            </w:pPr>
            <w:r>
              <w:rPr>
                <w:rFonts w:ascii="Arial" w:cs="Arial" w:eastAsia="Arial" w:hAnsi="Arial"/>
                <w:sz w:val="13"/>
                <w:szCs w:val="13"/>
                <w:b w:val="1"/>
                <w:bCs w:val="1"/>
                <w:color w:val="auto"/>
              </w:rPr>
              <w:t>1.01% to 2.00%</w:t>
            </w:r>
          </w:p>
        </w:tc>
        <w:tc>
          <w:tcPr>
            <w:tcW w:w="60" w:type="dxa"/>
            <w:vAlign w:val="bottom"/>
          </w:tcPr>
          <w:p>
            <w:pPr>
              <w:spacing w:after="0"/>
              <w:rPr>
                <w:sz w:val="10"/>
                <w:szCs w:val="10"/>
                <w:color w:val="auto"/>
              </w:rPr>
            </w:pPr>
          </w:p>
        </w:tc>
        <w:tc>
          <w:tcPr>
            <w:tcW w:w="920" w:type="dxa"/>
            <w:vAlign w:val="bottom"/>
            <w:gridSpan w:val="2"/>
          </w:tcPr>
          <w:p>
            <w:pPr>
              <w:spacing w:after="0" w:line="119" w:lineRule="exact"/>
              <w:rPr>
                <w:sz w:val="20"/>
                <w:szCs w:val="20"/>
                <w:color w:val="auto"/>
              </w:rPr>
            </w:pPr>
            <w:r>
              <w:rPr>
                <w:rFonts w:ascii="Arial" w:cs="Arial" w:eastAsia="Arial" w:hAnsi="Arial"/>
                <w:sz w:val="13"/>
                <w:szCs w:val="13"/>
                <w:b w:val="1"/>
                <w:bCs w:val="1"/>
                <w:color w:val="auto"/>
              </w:rPr>
              <w:t>2.01% or more</w:t>
            </w:r>
          </w:p>
        </w:tc>
        <w:tc>
          <w:tcPr>
            <w:tcW w:w="2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20" w:type="dxa"/>
            <w:vAlign w:val="bottom"/>
            <w:gridSpan w:val="2"/>
            <w:vMerge w:val="restart"/>
          </w:tcPr>
          <w:p>
            <w:pPr>
              <w:jc w:val="right"/>
              <w:ind w:right="37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40" w:type="dxa"/>
            <w:vAlign w:val="bottom"/>
            <w:gridSpan w:val="2"/>
            <w:vMerge w:val="continue"/>
          </w:tcPr>
          <w:p>
            <w:pPr>
              <w:spacing w:after="0"/>
              <w:rPr>
                <w:sz w:val="14"/>
                <w:szCs w:val="14"/>
                <w:color w:val="auto"/>
              </w:rPr>
            </w:pPr>
          </w:p>
        </w:tc>
        <w:tc>
          <w:tcPr>
            <w:tcW w:w="220" w:type="dxa"/>
            <w:vAlign w:val="bottom"/>
            <w:vMerge w:val="continue"/>
          </w:tcPr>
          <w:p>
            <w:pPr>
              <w:spacing w:after="0"/>
              <w:rPr>
                <w:sz w:val="14"/>
                <w:szCs w:val="14"/>
                <w:color w:val="auto"/>
              </w:rPr>
            </w:pPr>
          </w:p>
        </w:tc>
        <w:tc>
          <w:tcPr>
            <w:tcW w:w="1080" w:type="dxa"/>
            <w:vAlign w:val="bottom"/>
            <w:gridSpan w:val="4"/>
          </w:tcPr>
          <w:p>
            <w:pPr>
              <w:ind w:left="60"/>
              <w:spacing w:after="0"/>
              <w:rPr>
                <w:sz w:val="20"/>
                <w:szCs w:val="20"/>
                <w:color w:val="auto"/>
              </w:rPr>
            </w:pPr>
            <w:r>
              <w:rPr>
                <w:rFonts w:ascii="Arial" w:cs="Arial" w:eastAsia="Arial" w:hAnsi="Arial"/>
                <w:sz w:val="14"/>
                <w:szCs w:val="14"/>
                <w:b w:val="1"/>
                <w:bCs w:val="1"/>
                <w:color w:val="auto"/>
              </w:rPr>
              <w:t>above GMIR</w:t>
            </w: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gridSpan w:val="2"/>
          </w:tcPr>
          <w:p>
            <w:pPr>
              <w:jc w:val="right"/>
              <w:ind w:right="230"/>
              <w:spacing w:after="0"/>
              <w:rPr>
                <w:sz w:val="20"/>
                <w:szCs w:val="20"/>
                <w:color w:val="auto"/>
              </w:rPr>
            </w:pPr>
            <w:r>
              <w:rPr>
                <w:rFonts w:ascii="Arial" w:cs="Arial" w:eastAsia="Arial" w:hAnsi="Arial"/>
                <w:sz w:val="14"/>
                <w:szCs w:val="14"/>
                <w:b w:val="1"/>
                <w:bCs w:val="1"/>
                <w:color w:val="auto"/>
                <w:w w:val="96"/>
              </w:rPr>
              <w:t>above GMIR</w:t>
            </w: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gridSpan w:val="2"/>
          </w:tcPr>
          <w:p>
            <w:pPr>
              <w:jc w:val="right"/>
              <w:ind w:right="230"/>
              <w:spacing w:after="0"/>
              <w:rPr>
                <w:sz w:val="20"/>
                <w:szCs w:val="20"/>
                <w:color w:val="auto"/>
              </w:rPr>
            </w:pPr>
            <w:r>
              <w:rPr>
                <w:rFonts w:ascii="Arial" w:cs="Arial" w:eastAsia="Arial" w:hAnsi="Arial"/>
                <w:sz w:val="14"/>
                <w:szCs w:val="14"/>
                <w:b w:val="1"/>
                <w:bCs w:val="1"/>
                <w:color w:val="auto"/>
                <w:w w:val="96"/>
              </w:rPr>
              <w:t>above GMIR</w:t>
            </w:r>
          </w:p>
        </w:tc>
        <w:tc>
          <w:tcPr>
            <w:tcW w:w="60" w:type="dxa"/>
            <w:vAlign w:val="bottom"/>
          </w:tcPr>
          <w:p>
            <w:pPr>
              <w:spacing w:after="0"/>
              <w:rPr>
                <w:sz w:val="14"/>
                <w:szCs w:val="14"/>
                <w:color w:val="auto"/>
              </w:rPr>
            </w:pPr>
          </w:p>
        </w:tc>
        <w:tc>
          <w:tcPr>
            <w:tcW w:w="1160" w:type="dxa"/>
            <w:vAlign w:val="bottom"/>
            <w:gridSpan w:val="3"/>
          </w:tcPr>
          <w:p>
            <w:pPr>
              <w:ind w:left="60"/>
              <w:spacing w:after="0"/>
              <w:rPr>
                <w:sz w:val="20"/>
                <w:szCs w:val="20"/>
                <w:color w:val="auto"/>
              </w:rPr>
            </w:pPr>
            <w:r>
              <w:rPr>
                <w:rFonts w:ascii="Arial" w:cs="Arial" w:eastAsia="Arial" w:hAnsi="Arial"/>
                <w:sz w:val="14"/>
                <w:szCs w:val="14"/>
                <w:b w:val="1"/>
                <w:bCs w:val="1"/>
                <w:color w:val="auto"/>
              </w:rPr>
              <w:t>above GMIR</w:t>
            </w:r>
          </w:p>
        </w:tc>
        <w:tc>
          <w:tcPr>
            <w:tcW w:w="60" w:type="dxa"/>
            <w:vAlign w:val="bottom"/>
          </w:tcPr>
          <w:p>
            <w:pPr>
              <w:spacing w:after="0"/>
              <w:rPr>
                <w:sz w:val="14"/>
                <w:szCs w:val="14"/>
                <w:color w:val="auto"/>
              </w:rPr>
            </w:pPr>
          </w:p>
        </w:tc>
        <w:tc>
          <w:tcPr>
            <w:tcW w:w="102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1000" w:type="dxa"/>
            <w:vAlign w:val="bottom"/>
            <w:gridSpan w:val="2"/>
            <w:shd w:val="clear" w:color="auto" w:fill="000000"/>
          </w:tcPr>
          <w:p>
            <w:pPr>
              <w:spacing w:after="0" w:line="20" w:lineRule="exact"/>
              <w:rPr>
                <w:sz w:val="1"/>
                <w:szCs w:val="1"/>
                <w:color w:val="auto"/>
              </w:rPr>
            </w:pPr>
          </w:p>
        </w:tc>
        <w:tc>
          <w:tcPr>
            <w:tcW w:w="220" w:type="dxa"/>
            <w:vAlign w:val="bottom"/>
            <w:vMerge w:val="restart"/>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24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160" w:type="dxa"/>
            <w:vAlign w:val="bottom"/>
            <w:gridSpan w:val="5"/>
          </w:tcPr>
          <w:p>
            <w:pPr>
              <w:jc w:val="right"/>
              <w:ind w:right="531"/>
              <w:spacing w:after="0" w:line="129" w:lineRule="exact"/>
              <w:rPr>
                <w:sz w:val="20"/>
                <w:szCs w:val="20"/>
                <w:color w:val="auto"/>
              </w:rPr>
            </w:pPr>
            <w:r>
              <w:rPr>
                <w:rFonts w:ascii="Arial" w:cs="Arial" w:eastAsia="Arial" w:hAnsi="Arial"/>
                <w:sz w:val="14"/>
                <w:szCs w:val="14"/>
                <w:i w:val="1"/>
                <w:iCs w:val="1"/>
                <w:color w:val="auto"/>
              </w:rPr>
              <w:t>($ in millions)</w:t>
            </w:r>
          </w:p>
        </w:tc>
        <w:tc>
          <w:tcPr>
            <w:tcW w:w="220" w:type="dxa"/>
            <w:vAlign w:val="bottom"/>
            <w:vMerge w:val="continue"/>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8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w w:val="96"/>
              </w:rPr>
              <w:t>Guaranteed minimum interest rate</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840" w:type="dxa"/>
            <w:vAlign w:val="bottom"/>
            <w:gridSpan w:val="2"/>
          </w:tcPr>
          <w:p>
            <w:pPr>
              <w:spacing w:after="0"/>
              <w:rPr>
                <w:sz w:val="20"/>
                <w:szCs w:val="20"/>
                <w:color w:val="auto"/>
              </w:rPr>
            </w:pPr>
            <w:r>
              <w:rPr>
                <w:rFonts w:ascii="Arial" w:cs="Arial" w:eastAsia="Arial" w:hAnsi="Arial"/>
                <w:sz w:val="18"/>
                <w:szCs w:val="18"/>
                <w:b w:val="1"/>
                <w:bCs w:val="1"/>
                <w:color w:val="auto"/>
                <w:w w:val="98"/>
              </w:rPr>
              <w:t>Retirement and Income Solutions</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8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Up to 1.00%</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590.9</w:t>
            </w:r>
          </w:p>
        </w:tc>
        <w:tc>
          <w:tcPr>
            <w:tcW w:w="220" w:type="dxa"/>
            <w:vAlign w:val="bottom"/>
            <w:shd w:val="clear" w:color="auto" w:fill="CCEEFF"/>
          </w:tcPr>
          <w:p>
            <w:pPr>
              <w:spacing w:after="0"/>
              <w:rPr>
                <w:sz w:val="18"/>
                <w:szCs w:val="18"/>
                <w:color w:val="auto"/>
              </w:rPr>
            </w:pPr>
          </w:p>
        </w:tc>
        <w:tc>
          <w:tcPr>
            <w:tcW w:w="200" w:type="dxa"/>
            <w:vAlign w:val="bottom"/>
            <w:gridSpan w:val="2"/>
            <w:shd w:val="clear" w:color="auto" w:fill="CCEEFF"/>
          </w:tcPr>
          <w:p>
            <w:pPr>
              <w:ind w:left="60"/>
              <w:spacing w:after="0"/>
              <w:rPr>
                <w:sz w:val="20"/>
                <w:szCs w:val="20"/>
                <w:color w:val="auto"/>
              </w:rPr>
            </w:pPr>
            <w:r>
              <w:rPr>
                <w:rFonts w:ascii="Arial" w:cs="Arial" w:eastAsia="Arial" w:hAnsi="Arial"/>
                <w:sz w:val="18"/>
                <w:szCs w:val="18"/>
                <w:b w:val="1"/>
                <w:bCs w:val="1"/>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220.9</w:t>
            </w:r>
          </w:p>
        </w:tc>
        <w:tc>
          <w:tcPr>
            <w:tcW w:w="220" w:type="dxa"/>
            <w:vAlign w:val="bottom"/>
            <w:shd w:val="clear" w:color="auto" w:fill="CCEEFF"/>
          </w:tcPr>
          <w:p>
            <w:pPr>
              <w:spacing w:after="0"/>
              <w:rPr>
                <w:sz w:val="18"/>
                <w:szCs w:val="18"/>
                <w:color w:val="auto"/>
              </w:rPr>
            </w:pPr>
          </w:p>
        </w:tc>
        <w:tc>
          <w:tcPr>
            <w:tcW w:w="160" w:type="dxa"/>
            <w:vAlign w:val="bottom"/>
            <w:gridSpan w:val="2"/>
            <w:shd w:val="clear" w:color="auto" w:fill="CCEEFF"/>
          </w:tcPr>
          <w:p>
            <w:pPr>
              <w:ind w:left="60"/>
              <w:spacing w:after="0"/>
              <w:rPr>
                <w:sz w:val="20"/>
                <w:szCs w:val="20"/>
                <w:color w:val="auto"/>
              </w:rPr>
            </w:pPr>
            <w:r>
              <w:rPr>
                <w:rFonts w:ascii="Arial" w:cs="Arial" w:eastAsia="Arial" w:hAnsi="Arial"/>
                <w:sz w:val="18"/>
                <w:szCs w:val="18"/>
                <w:b w:val="1"/>
                <w:bCs w:val="1"/>
                <w:color w:val="auto"/>
                <w:w w:val="79"/>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7,475.8</w:t>
            </w:r>
          </w:p>
        </w:tc>
        <w:tc>
          <w:tcPr>
            <w:tcW w:w="240" w:type="dxa"/>
            <w:vAlign w:val="bottom"/>
            <w:shd w:val="clear" w:color="auto" w:fill="CCEEFF"/>
          </w:tcPr>
          <w:p>
            <w:pPr>
              <w:spacing w:after="0"/>
              <w:rPr>
                <w:sz w:val="18"/>
                <w:szCs w:val="18"/>
                <w:color w:val="auto"/>
              </w:rPr>
            </w:pPr>
          </w:p>
        </w:tc>
        <w:tc>
          <w:tcPr>
            <w:tcW w:w="140" w:type="dxa"/>
            <w:vAlign w:val="bottom"/>
            <w:gridSpan w:val="2"/>
            <w:shd w:val="clear" w:color="auto" w:fill="CCEEFF"/>
          </w:tcPr>
          <w:p>
            <w:pPr>
              <w:ind w:left="40"/>
              <w:spacing w:after="0"/>
              <w:rPr>
                <w:sz w:val="20"/>
                <w:szCs w:val="20"/>
                <w:color w:val="auto"/>
              </w:rPr>
            </w:pPr>
            <w:r>
              <w:rPr>
                <w:rFonts w:ascii="Arial" w:cs="Arial" w:eastAsia="Arial" w:hAnsi="Arial"/>
                <w:sz w:val="18"/>
                <w:szCs w:val="18"/>
                <w:b w:val="1"/>
                <w:bCs w:val="1"/>
                <w:color w:val="auto"/>
                <w:w w:val="79"/>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2,064.0</w:t>
            </w:r>
          </w:p>
        </w:tc>
        <w:tc>
          <w:tcPr>
            <w:tcW w:w="220" w:type="dxa"/>
            <w:vAlign w:val="bottom"/>
            <w:shd w:val="clear" w:color="auto" w:fill="CCEEFF"/>
          </w:tcPr>
          <w:p>
            <w:pPr>
              <w:spacing w:after="0"/>
              <w:rPr>
                <w:sz w:val="18"/>
                <w:szCs w:val="18"/>
                <w:color w:val="auto"/>
              </w:rPr>
            </w:pPr>
          </w:p>
        </w:tc>
        <w:tc>
          <w:tcPr>
            <w:tcW w:w="280" w:type="dxa"/>
            <w:vAlign w:val="bottom"/>
            <w:gridSpan w:val="2"/>
            <w:shd w:val="clear" w:color="auto" w:fill="CCEEFF"/>
          </w:tcPr>
          <w:p>
            <w:pPr>
              <w:ind w:left="60"/>
              <w:spacing w:after="0"/>
              <w:rPr>
                <w:sz w:val="20"/>
                <w:szCs w:val="20"/>
                <w:color w:val="auto"/>
              </w:rPr>
            </w:pPr>
            <w:r>
              <w:rPr>
                <w:rFonts w:ascii="Arial" w:cs="Arial" w:eastAsia="Arial" w:hAnsi="Arial"/>
                <w:sz w:val="18"/>
                <w:szCs w:val="18"/>
                <w:b w:val="1"/>
                <w:bCs w:val="1"/>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1,381.9</w:t>
            </w:r>
          </w:p>
        </w:tc>
        <w:tc>
          <w:tcPr>
            <w:tcW w:w="2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w w:val="96"/>
              </w:rPr>
              <w:t>$ 11,733.5</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60" w:type="dxa"/>
            <w:vAlign w:val="bottom"/>
          </w:tcPr>
          <w:p>
            <w:pPr>
              <w:spacing w:after="0"/>
              <w:rPr>
                <w:sz w:val="20"/>
                <w:szCs w:val="20"/>
                <w:color w:val="auto"/>
              </w:rPr>
            </w:pPr>
            <w:r>
              <w:rPr>
                <w:rFonts w:ascii="Arial" w:cs="Arial" w:eastAsia="Arial" w:hAnsi="Arial"/>
                <w:sz w:val="18"/>
                <w:szCs w:val="18"/>
                <w:color w:val="auto"/>
              </w:rPr>
              <w:t>1.01% - 2.00%</w:t>
            </w:r>
          </w:p>
        </w:tc>
        <w:tc>
          <w:tcPr>
            <w:tcW w:w="3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b w:val="1"/>
                <w:bCs w:val="1"/>
                <w:color w:val="auto"/>
              </w:rPr>
              <w:t>135.8</w:t>
            </w: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b w:val="1"/>
                <w:bCs w:val="1"/>
                <w:color w:val="auto"/>
              </w:rPr>
              <w:t>582.4</w:t>
            </w: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b w:val="1"/>
                <w:bCs w:val="1"/>
                <w:color w:val="auto"/>
              </w:rPr>
              <w:t>1,279.8</w:t>
            </w:r>
          </w:p>
        </w:tc>
        <w:tc>
          <w:tcPr>
            <w:tcW w:w="2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b w:val="1"/>
                <w:bCs w:val="1"/>
                <w:color w:val="auto"/>
              </w:rPr>
              <w:t>336.6</w:t>
            </w: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b w:val="1"/>
                <w:bCs w:val="1"/>
                <w:color w:val="auto"/>
              </w:rPr>
              <w:t>30.7</w:t>
            </w:r>
          </w:p>
        </w:tc>
        <w:tc>
          <w:tcPr>
            <w:tcW w:w="240" w:type="dxa"/>
            <w:vAlign w:val="bottom"/>
          </w:tcPr>
          <w:p>
            <w:pPr>
              <w:spacing w:after="0"/>
              <w:rPr>
                <w:sz w:val="18"/>
                <w:szCs w:val="18"/>
                <w:color w:val="auto"/>
              </w:rPr>
            </w:pPr>
          </w:p>
        </w:tc>
        <w:tc>
          <w:tcPr>
            <w:tcW w:w="880" w:type="dxa"/>
            <w:vAlign w:val="bottom"/>
            <w:gridSpan w:val="2"/>
          </w:tcPr>
          <w:p>
            <w:pPr>
              <w:jc w:val="right"/>
              <w:spacing w:after="0"/>
              <w:rPr>
                <w:sz w:val="20"/>
                <w:szCs w:val="20"/>
                <w:color w:val="auto"/>
              </w:rPr>
            </w:pPr>
            <w:r>
              <w:rPr>
                <w:rFonts w:ascii="Arial" w:cs="Arial" w:eastAsia="Arial" w:hAnsi="Arial"/>
                <w:sz w:val="18"/>
                <w:szCs w:val="18"/>
                <w:b w:val="1"/>
                <w:bCs w:val="1"/>
                <w:color w:val="auto"/>
              </w:rPr>
              <w:t>2,365.3</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60" w:type="dxa"/>
            <w:vAlign w:val="bottom"/>
            <w:shd w:val="clear" w:color="auto" w:fill="CCEEFF"/>
          </w:tcPr>
          <w:p>
            <w:pPr>
              <w:spacing w:after="0"/>
              <w:rPr>
                <w:sz w:val="20"/>
                <w:szCs w:val="20"/>
                <w:color w:val="auto"/>
              </w:rPr>
            </w:pPr>
            <w:r>
              <w:rPr>
                <w:rFonts w:ascii="Arial" w:cs="Arial" w:eastAsia="Arial" w:hAnsi="Arial"/>
                <w:sz w:val="18"/>
                <w:szCs w:val="18"/>
                <w:color w:val="auto"/>
              </w:rPr>
              <w:t>2.01% - 3.00%</w:t>
            </w:r>
          </w:p>
        </w:tc>
        <w:tc>
          <w:tcPr>
            <w:tcW w:w="3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89"/>
              </w:rPr>
              <w:t>4,222.2</w:t>
            </w: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0.1</w:t>
            </w: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0.1</w:t>
            </w: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4,222.4</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60" w:type="dxa"/>
            <w:vAlign w:val="bottom"/>
          </w:tcPr>
          <w:p>
            <w:pPr>
              <w:spacing w:after="0"/>
              <w:rPr>
                <w:sz w:val="20"/>
                <w:szCs w:val="20"/>
                <w:color w:val="auto"/>
              </w:rPr>
            </w:pPr>
            <w:r>
              <w:rPr>
                <w:rFonts w:ascii="Arial" w:cs="Arial" w:eastAsia="Arial" w:hAnsi="Arial"/>
                <w:sz w:val="18"/>
                <w:szCs w:val="18"/>
                <w:color w:val="auto"/>
              </w:rPr>
              <w:t>3.01% - 4.00%</w:t>
            </w:r>
          </w:p>
        </w:tc>
        <w:tc>
          <w:tcPr>
            <w:tcW w:w="3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b w:val="1"/>
                <w:bCs w:val="1"/>
                <w:color w:val="auto"/>
              </w:rPr>
              <w:t>181.7</w:t>
            </w: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gridSpan w:val="2"/>
          </w:tcPr>
          <w:p>
            <w:pPr>
              <w:jc w:val="right"/>
              <w:ind w:right="190"/>
              <w:spacing w:after="0"/>
              <w:rPr>
                <w:sz w:val="20"/>
                <w:szCs w:val="20"/>
                <w:color w:val="auto"/>
              </w:rPr>
            </w:pPr>
            <w:r>
              <w:rPr>
                <w:rFonts w:ascii="Arial" w:cs="Arial" w:eastAsia="Arial" w:hAnsi="Arial"/>
                <w:sz w:val="18"/>
                <w:szCs w:val="18"/>
                <w:b w:val="1"/>
                <w:bCs w:val="1"/>
                <w:color w:val="auto"/>
              </w:rPr>
              <w:t>—</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190"/>
              <w:spacing w:after="0"/>
              <w:rPr>
                <w:sz w:val="20"/>
                <w:szCs w:val="20"/>
                <w:color w:val="auto"/>
              </w:rPr>
            </w:pPr>
            <w:r>
              <w:rPr>
                <w:rFonts w:ascii="Arial" w:cs="Arial" w:eastAsia="Arial" w:hAnsi="Arial"/>
                <w:sz w:val="18"/>
                <w:szCs w:val="18"/>
                <w:b w:val="1"/>
                <w:bCs w:val="1"/>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190"/>
              <w:spacing w:after="0"/>
              <w:rPr>
                <w:sz w:val="20"/>
                <w:szCs w:val="20"/>
                <w:color w:val="auto"/>
              </w:rPr>
            </w:pPr>
            <w:r>
              <w:rPr>
                <w:rFonts w:ascii="Arial" w:cs="Arial" w:eastAsia="Arial" w:hAnsi="Arial"/>
                <w:sz w:val="18"/>
                <w:szCs w:val="18"/>
                <w:b w:val="1"/>
                <w:bCs w:val="1"/>
                <w:color w:val="auto"/>
              </w:rPr>
              <w:t>—</w:t>
            </w: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40" w:type="dxa"/>
            <w:vAlign w:val="bottom"/>
            <w:gridSpan w:val="2"/>
          </w:tcPr>
          <w:p>
            <w:pPr>
              <w:jc w:val="right"/>
              <w:ind w:right="190"/>
              <w:spacing w:after="0"/>
              <w:rPr>
                <w:sz w:val="20"/>
                <w:szCs w:val="20"/>
                <w:color w:val="auto"/>
              </w:rPr>
            </w:pPr>
            <w:r>
              <w:rPr>
                <w:rFonts w:ascii="Arial" w:cs="Arial" w:eastAsia="Arial" w:hAnsi="Arial"/>
                <w:sz w:val="18"/>
                <w:szCs w:val="18"/>
                <w:b w:val="1"/>
                <w:bCs w:val="1"/>
                <w:color w:val="auto"/>
              </w:rPr>
              <w:t>—</w:t>
            </w:r>
          </w:p>
        </w:tc>
        <w:tc>
          <w:tcPr>
            <w:tcW w:w="880" w:type="dxa"/>
            <w:vAlign w:val="bottom"/>
            <w:gridSpan w:val="2"/>
          </w:tcPr>
          <w:p>
            <w:pPr>
              <w:jc w:val="right"/>
              <w:spacing w:after="0"/>
              <w:rPr>
                <w:sz w:val="20"/>
                <w:szCs w:val="20"/>
                <w:color w:val="auto"/>
              </w:rPr>
            </w:pPr>
            <w:r>
              <w:rPr>
                <w:rFonts w:ascii="Arial" w:cs="Arial" w:eastAsia="Arial" w:hAnsi="Arial"/>
                <w:sz w:val="18"/>
                <w:szCs w:val="18"/>
                <w:b w:val="1"/>
                <w:bCs w:val="1"/>
                <w:color w:val="auto"/>
              </w:rPr>
              <w:t>181.7</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8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4.01% and above</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20.0</w:t>
            </w: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w:t>
            </w:r>
          </w:p>
        </w:tc>
        <w:tc>
          <w:tcPr>
            <w:tcW w:w="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20.0</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2840" w:type="dxa"/>
            <w:vAlign w:val="bottom"/>
            <w:gridSpan w:val="2"/>
          </w:tcPr>
          <w:p>
            <w:pPr>
              <w:spacing w:after="0"/>
              <w:rPr>
                <w:sz w:val="20"/>
                <w:szCs w:val="20"/>
                <w:color w:val="auto"/>
              </w:rPr>
            </w:pPr>
            <w:r>
              <w:rPr>
                <w:rFonts w:ascii="Arial" w:cs="Arial" w:eastAsia="Arial" w:hAnsi="Arial"/>
                <w:sz w:val="18"/>
                <w:szCs w:val="18"/>
                <w:color w:val="auto"/>
              </w:rPr>
              <w:t>Subtotal</w:t>
            </w:r>
          </w:p>
        </w:tc>
        <w:tc>
          <w:tcPr>
            <w:tcW w:w="18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w w:val="89"/>
              </w:rPr>
              <w:t>5,150.6</w:t>
            </w: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803.4</w:t>
            </w: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8,755.6</w:t>
            </w:r>
          </w:p>
        </w:tc>
        <w:tc>
          <w:tcPr>
            <w:tcW w:w="2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2,400.7</w:t>
            </w: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1,412.6</w:t>
            </w:r>
          </w:p>
        </w:tc>
        <w:tc>
          <w:tcPr>
            <w:tcW w:w="2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18,522.9</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24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840" w:type="dxa"/>
            <w:vAlign w:val="bottom"/>
            <w:gridSpan w:val="2"/>
          </w:tcPr>
          <w:p>
            <w:pPr>
              <w:spacing w:after="0"/>
              <w:rPr>
                <w:sz w:val="20"/>
                <w:szCs w:val="20"/>
                <w:color w:val="auto"/>
              </w:rPr>
            </w:pPr>
            <w:r>
              <w:rPr>
                <w:rFonts w:ascii="Arial" w:cs="Arial" w:eastAsia="Arial" w:hAnsi="Arial"/>
                <w:sz w:val="18"/>
                <w:szCs w:val="18"/>
                <w:b w:val="1"/>
                <w:bCs w:val="1"/>
                <w:color w:val="auto"/>
              </w:rPr>
              <w:t>U.S. Insurance Solutions</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8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Up to 1.00%</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10.8</w:t>
            </w: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8.8</w:t>
            </w:r>
          </w:p>
        </w:tc>
        <w:tc>
          <w:tcPr>
            <w:tcW w:w="2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w:t>
            </w:r>
          </w:p>
        </w:tc>
        <w:tc>
          <w:tcPr>
            <w:tcW w:w="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0.4</w:t>
            </w:r>
          </w:p>
        </w:tc>
        <w:tc>
          <w:tcPr>
            <w:tcW w:w="2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20.0</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60" w:type="dxa"/>
            <w:vAlign w:val="bottom"/>
          </w:tcPr>
          <w:p>
            <w:pPr>
              <w:spacing w:after="0"/>
              <w:rPr>
                <w:sz w:val="20"/>
                <w:szCs w:val="20"/>
                <w:color w:val="auto"/>
              </w:rPr>
            </w:pPr>
            <w:r>
              <w:rPr>
                <w:rFonts w:ascii="Arial" w:cs="Arial" w:eastAsia="Arial" w:hAnsi="Arial"/>
                <w:sz w:val="18"/>
                <w:szCs w:val="18"/>
                <w:color w:val="auto"/>
              </w:rPr>
              <w:t>1.01% - 2.00%</w:t>
            </w:r>
          </w:p>
        </w:tc>
        <w:tc>
          <w:tcPr>
            <w:tcW w:w="3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b w:val="1"/>
                <w:bCs w:val="1"/>
                <w:color w:val="auto"/>
              </w:rPr>
              <w:t>325.1</w:t>
            </w: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gridSpan w:val="2"/>
          </w:tcPr>
          <w:p>
            <w:pPr>
              <w:jc w:val="right"/>
              <w:ind w:right="190"/>
              <w:spacing w:after="0"/>
              <w:rPr>
                <w:sz w:val="20"/>
                <w:szCs w:val="20"/>
                <w:color w:val="auto"/>
              </w:rPr>
            </w:pPr>
            <w:r>
              <w:rPr>
                <w:rFonts w:ascii="Arial" w:cs="Arial" w:eastAsia="Arial" w:hAnsi="Arial"/>
                <w:sz w:val="18"/>
                <w:szCs w:val="18"/>
                <w:b w:val="1"/>
                <w:bCs w:val="1"/>
                <w:color w:val="auto"/>
              </w:rPr>
              <w:t>—</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b w:val="1"/>
                <w:bCs w:val="1"/>
                <w:color w:val="auto"/>
              </w:rPr>
              <w:t>395.1</w:t>
            </w:r>
          </w:p>
        </w:tc>
        <w:tc>
          <w:tcPr>
            <w:tcW w:w="2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b w:val="1"/>
                <w:bCs w:val="1"/>
                <w:color w:val="auto"/>
              </w:rPr>
              <w:t>654.4</w:t>
            </w: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b w:val="1"/>
                <w:bCs w:val="1"/>
                <w:color w:val="auto"/>
              </w:rPr>
              <w:t>182.9</w:t>
            </w:r>
          </w:p>
        </w:tc>
        <w:tc>
          <w:tcPr>
            <w:tcW w:w="240" w:type="dxa"/>
            <w:vAlign w:val="bottom"/>
          </w:tcPr>
          <w:p>
            <w:pPr>
              <w:spacing w:after="0"/>
              <w:rPr>
                <w:sz w:val="18"/>
                <w:szCs w:val="18"/>
                <w:color w:val="auto"/>
              </w:rPr>
            </w:pPr>
          </w:p>
        </w:tc>
        <w:tc>
          <w:tcPr>
            <w:tcW w:w="880" w:type="dxa"/>
            <w:vAlign w:val="bottom"/>
            <w:gridSpan w:val="2"/>
          </w:tcPr>
          <w:p>
            <w:pPr>
              <w:jc w:val="right"/>
              <w:spacing w:after="0"/>
              <w:rPr>
                <w:sz w:val="20"/>
                <w:szCs w:val="20"/>
                <w:color w:val="auto"/>
              </w:rPr>
            </w:pPr>
            <w:r>
              <w:rPr>
                <w:rFonts w:ascii="Arial" w:cs="Arial" w:eastAsia="Arial" w:hAnsi="Arial"/>
                <w:sz w:val="18"/>
                <w:szCs w:val="18"/>
                <w:b w:val="1"/>
                <w:bCs w:val="1"/>
                <w:color w:val="auto"/>
              </w:rPr>
              <w:t>1,557.5</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60" w:type="dxa"/>
            <w:vAlign w:val="bottom"/>
            <w:shd w:val="clear" w:color="auto" w:fill="CCEEFF"/>
          </w:tcPr>
          <w:p>
            <w:pPr>
              <w:spacing w:after="0"/>
              <w:rPr>
                <w:sz w:val="20"/>
                <w:szCs w:val="20"/>
                <w:color w:val="auto"/>
              </w:rPr>
            </w:pPr>
            <w:r>
              <w:rPr>
                <w:rFonts w:ascii="Arial" w:cs="Arial" w:eastAsia="Arial" w:hAnsi="Arial"/>
                <w:sz w:val="18"/>
                <w:szCs w:val="18"/>
                <w:color w:val="auto"/>
              </w:rPr>
              <w:t>2.01% - 3.00%</w:t>
            </w:r>
          </w:p>
        </w:tc>
        <w:tc>
          <w:tcPr>
            <w:tcW w:w="3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902.7</w:t>
            </w: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6"/>
              </w:rPr>
              <w:t>1,039.4</w:t>
            </w: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851.8</w:t>
            </w:r>
          </w:p>
        </w:tc>
        <w:tc>
          <w:tcPr>
            <w:tcW w:w="2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59.4</w:t>
            </w: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0.3</w:t>
            </w:r>
          </w:p>
        </w:tc>
        <w:tc>
          <w:tcPr>
            <w:tcW w:w="2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2,853.6</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60" w:type="dxa"/>
            <w:vAlign w:val="bottom"/>
          </w:tcPr>
          <w:p>
            <w:pPr>
              <w:spacing w:after="0"/>
              <w:rPr>
                <w:sz w:val="20"/>
                <w:szCs w:val="20"/>
                <w:color w:val="auto"/>
              </w:rPr>
            </w:pPr>
            <w:r>
              <w:rPr>
                <w:rFonts w:ascii="Arial" w:cs="Arial" w:eastAsia="Arial" w:hAnsi="Arial"/>
                <w:sz w:val="18"/>
                <w:szCs w:val="18"/>
                <w:color w:val="auto"/>
              </w:rPr>
              <w:t>3.01% - 4.00%</w:t>
            </w:r>
          </w:p>
        </w:tc>
        <w:tc>
          <w:tcPr>
            <w:tcW w:w="3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b w:val="1"/>
                <w:bCs w:val="1"/>
                <w:color w:val="auto"/>
                <w:w w:val="89"/>
              </w:rPr>
              <w:t>1,727.1</w:t>
            </w: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b w:val="1"/>
                <w:bCs w:val="1"/>
                <w:color w:val="auto"/>
              </w:rPr>
              <w:t>5.7</w:t>
            </w: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b w:val="1"/>
                <w:bCs w:val="1"/>
                <w:color w:val="auto"/>
              </w:rPr>
              <w:t>20.6</w:t>
            </w:r>
          </w:p>
        </w:tc>
        <w:tc>
          <w:tcPr>
            <w:tcW w:w="2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b w:val="1"/>
                <w:bCs w:val="1"/>
                <w:color w:val="auto"/>
              </w:rPr>
              <w:t>29.1</w:t>
            </w: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b w:val="1"/>
                <w:bCs w:val="1"/>
                <w:color w:val="auto"/>
              </w:rPr>
              <w:t>3.2</w:t>
            </w:r>
          </w:p>
        </w:tc>
        <w:tc>
          <w:tcPr>
            <w:tcW w:w="240" w:type="dxa"/>
            <w:vAlign w:val="bottom"/>
          </w:tcPr>
          <w:p>
            <w:pPr>
              <w:spacing w:after="0"/>
              <w:rPr>
                <w:sz w:val="18"/>
                <w:szCs w:val="18"/>
                <w:color w:val="auto"/>
              </w:rPr>
            </w:pPr>
          </w:p>
        </w:tc>
        <w:tc>
          <w:tcPr>
            <w:tcW w:w="880" w:type="dxa"/>
            <w:vAlign w:val="bottom"/>
            <w:gridSpan w:val="2"/>
          </w:tcPr>
          <w:p>
            <w:pPr>
              <w:jc w:val="right"/>
              <w:spacing w:after="0"/>
              <w:rPr>
                <w:sz w:val="20"/>
                <w:szCs w:val="20"/>
                <w:color w:val="auto"/>
              </w:rPr>
            </w:pPr>
            <w:r>
              <w:rPr>
                <w:rFonts w:ascii="Arial" w:cs="Arial" w:eastAsia="Arial" w:hAnsi="Arial"/>
                <w:sz w:val="18"/>
                <w:szCs w:val="18"/>
                <w:b w:val="1"/>
                <w:bCs w:val="1"/>
                <w:color w:val="auto"/>
              </w:rPr>
              <w:t>1,785.7</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8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4.01% and above</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47.9</w:t>
            </w: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4.0</w:t>
            </w: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3.5</w:t>
            </w:r>
          </w:p>
        </w:tc>
        <w:tc>
          <w:tcPr>
            <w:tcW w:w="2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1.6</w:t>
            </w: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57.0</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840" w:type="dxa"/>
            <w:vAlign w:val="bottom"/>
            <w:gridSpan w:val="2"/>
          </w:tcPr>
          <w:p>
            <w:pPr>
              <w:spacing w:after="0"/>
              <w:rPr>
                <w:sz w:val="20"/>
                <w:szCs w:val="20"/>
                <w:color w:val="auto"/>
              </w:rPr>
            </w:pPr>
            <w:r>
              <w:rPr>
                <w:rFonts w:ascii="Arial" w:cs="Arial" w:eastAsia="Arial" w:hAnsi="Arial"/>
                <w:sz w:val="18"/>
                <w:szCs w:val="18"/>
                <w:color w:val="auto"/>
              </w:rPr>
              <w:t>Subtotal</w:t>
            </w:r>
          </w:p>
        </w:tc>
        <w:tc>
          <w:tcPr>
            <w:tcW w:w="18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w w:val="89"/>
              </w:rPr>
              <w:t>3,002.8</w:t>
            </w: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w w:val="96"/>
              </w:rPr>
              <w:t>1,059.9</w:t>
            </w: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1,279.8</w:t>
            </w:r>
          </w:p>
        </w:tc>
        <w:tc>
          <w:tcPr>
            <w:tcW w:w="2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744.5</w:t>
            </w: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186.8</w:t>
            </w:r>
          </w:p>
        </w:tc>
        <w:tc>
          <w:tcPr>
            <w:tcW w:w="2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6,273.8</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2860" w:type="dxa"/>
            <w:vAlign w:val="bottom"/>
            <w:gridSpan w:val="3"/>
          </w:tcPr>
          <w:p>
            <w:pPr>
              <w:spacing w:after="0"/>
              <w:rPr>
                <w:sz w:val="20"/>
                <w:szCs w:val="20"/>
                <w:color w:val="auto"/>
              </w:rPr>
            </w:pPr>
            <w:r>
              <w:rPr>
                <w:rFonts w:ascii="Arial" w:cs="Arial" w:eastAsia="Arial" w:hAnsi="Arial"/>
                <w:sz w:val="18"/>
                <w:szCs w:val="18"/>
                <w:color w:val="auto"/>
              </w:rPr>
              <w:t>Total</w:t>
            </w:r>
          </w:p>
        </w:tc>
        <w:tc>
          <w:tcPr>
            <w:tcW w:w="180" w:type="dxa"/>
            <w:vAlign w:val="bottom"/>
          </w:tcPr>
          <w:p>
            <w:pPr>
              <w:spacing w:after="0"/>
              <w:rPr>
                <w:sz w:val="21"/>
                <w:szCs w:val="21"/>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89"/>
              </w:rPr>
              <w:t>8,153.4</w:t>
            </w:r>
          </w:p>
        </w:tc>
        <w:tc>
          <w:tcPr>
            <w:tcW w:w="2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4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w:t>
            </w: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96"/>
              </w:rPr>
              <w:t>1,863.3</w:t>
            </w:r>
          </w:p>
        </w:tc>
        <w:tc>
          <w:tcPr>
            <w:tcW w:w="2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0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w w:val="79"/>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10,035.4</w:t>
            </w:r>
          </w:p>
        </w:tc>
        <w:tc>
          <w:tcPr>
            <w:tcW w:w="2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0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w w:val="79"/>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3,145.2</w:t>
            </w:r>
          </w:p>
        </w:tc>
        <w:tc>
          <w:tcPr>
            <w:tcW w:w="2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2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1,599.4</w:t>
            </w:r>
          </w:p>
        </w:tc>
        <w:tc>
          <w:tcPr>
            <w:tcW w:w="2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89"/>
              </w:rPr>
              <w:t>$ 24,796.7</w:t>
            </w:r>
          </w:p>
        </w:tc>
        <w:tc>
          <w:tcPr>
            <w:tcW w:w="2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2840" w:type="dxa"/>
            <w:vAlign w:val="bottom"/>
            <w:tcBorders>
              <w:top w:val="single" w:sz="8" w:color="CCEEFF"/>
            </w:tcBorders>
            <w:gridSpan w:val="2"/>
            <w:shd w:val="clear" w:color="auto" w:fill="CCEEFF"/>
          </w:tcPr>
          <w:p>
            <w:pPr>
              <w:spacing w:after="0" w:line="196" w:lineRule="exact"/>
              <w:rPr>
                <w:sz w:val="20"/>
                <w:szCs w:val="20"/>
                <w:color w:val="auto"/>
              </w:rPr>
            </w:pPr>
            <w:r>
              <w:rPr>
                <w:rFonts w:ascii="Arial" w:cs="Arial" w:eastAsia="Arial" w:hAnsi="Arial"/>
                <w:sz w:val="18"/>
                <w:szCs w:val="18"/>
                <w:color w:val="auto"/>
              </w:rPr>
              <w:t>Percentage of total</w:t>
            </w:r>
          </w:p>
        </w:tc>
        <w:tc>
          <w:tcPr>
            <w:tcW w:w="18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62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b w:val="1"/>
                <w:bCs w:val="1"/>
                <w:color w:val="auto"/>
              </w:rPr>
              <w:t>32.9</w:t>
            </w:r>
          </w:p>
        </w:tc>
        <w:tc>
          <w:tcPr>
            <w:tcW w:w="220" w:type="dxa"/>
            <w:vAlign w:val="bottom"/>
            <w:tcBorders>
              <w:top w:val="single" w:sz="8" w:color="CCEEFF"/>
            </w:tcBorders>
            <w:shd w:val="clear" w:color="auto" w:fill="CCEEFF"/>
          </w:tcPr>
          <w:p>
            <w:pPr>
              <w:jc w:val="right"/>
              <w:spacing w:after="0" w:line="196" w:lineRule="exact"/>
              <w:rPr>
                <w:sz w:val="20"/>
                <w:szCs w:val="20"/>
                <w:color w:val="auto"/>
              </w:rPr>
            </w:pPr>
            <w:r>
              <w:rPr>
                <w:rFonts w:ascii="Arial" w:cs="Arial" w:eastAsia="Arial" w:hAnsi="Arial"/>
                <w:sz w:val="18"/>
                <w:szCs w:val="18"/>
                <w:b w:val="1"/>
                <w:bCs w:val="1"/>
                <w:color w:val="auto"/>
                <w:w w:val="99"/>
              </w:rPr>
              <w:t>%</w:t>
            </w:r>
          </w:p>
        </w:tc>
        <w:tc>
          <w:tcPr>
            <w:tcW w:w="6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66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b w:val="1"/>
                <w:bCs w:val="1"/>
                <w:color w:val="auto"/>
              </w:rPr>
              <w:t>7.5</w:t>
            </w:r>
          </w:p>
        </w:tc>
        <w:tc>
          <w:tcPr>
            <w:tcW w:w="220" w:type="dxa"/>
            <w:vAlign w:val="bottom"/>
            <w:tcBorders>
              <w:top w:val="single" w:sz="8" w:color="CCEEFF"/>
            </w:tcBorders>
            <w:shd w:val="clear" w:color="auto" w:fill="CCEEFF"/>
          </w:tcPr>
          <w:p>
            <w:pPr>
              <w:jc w:val="right"/>
              <w:spacing w:after="0" w:line="196" w:lineRule="exact"/>
              <w:rPr>
                <w:sz w:val="20"/>
                <w:szCs w:val="20"/>
                <w:color w:val="auto"/>
              </w:rPr>
            </w:pPr>
            <w:r>
              <w:rPr>
                <w:rFonts w:ascii="Arial" w:cs="Arial" w:eastAsia="Arial" w:hAnsi="Arial"/>
                <w:sz w:val="18"/>
                <w:szCs w:val="18"/>
                <w:b w:val="1"/>
                <w:bCs w:val="1"/>
                <w:color w:val="auto"/>
                <w:w w:val="99"/>
              </w:rPr>
              <w:t>%</w:t>
            </w:r>
          </w:p>
        </w:tc>
        <w:tc>
          <w:tcPr>
            <w:tcW w:w="6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88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b w:val="1"/>
                <w:bCs w:val="1"/>
                <w:color w:val="auto"/>
              </w:rPr>
              <w:t>40.5</w:t>
            </w:r>
          </w:p>
        </w:tc>
        <w:tc>
          <w:tcPr>
            <w:tcW w:w="240" w:type="dxa"/>
            <w:vAlign w:val="bottom"/>
            <w:tcBorders>
              <w:top w:val="single" w:sz="8" w:color="CCEEFF"/>
            </w:tcBorders>
            <w:shd w:val="clear" w:color="auto" w:fill="CCEEFF"/>
          </w:tcPr>
          <w:p>
            <w:pPr>
              <w:jc w:val="right"/>
              <w:spacing w:after="0" w:line="196" w:lineRule="exact"/>
              <w:rPr>
                <w:sz w:val="20"/>
                <w:szCs w:val="20"/>
                <w:color w:val="auto"/>
              </w:rPr>
            </w:pPr>
            <w:r>
              <w:rPr>
                <w:rFonts w:ascii="Arial" w:cs="Arial" w:eastAsia="Arial" w:hAnsi="Arial"/>
                <w:sz w:val="18"/>
                <w:szCs w:val="18"/>
                <w:b w:val="1"/>
                <w:bCs w:val="1"/>
                <w:color w:val="auto"/>
                <w:w w:val="99"/>
              </w:rPr>
              <w:t>%</w:t>
            </w:r>
          </w:p>
        </w:tc>
        <w:tc>
          <w:tcPr>
            <w:tcW w:w="4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b w:val="1"/>
                <w:bCs w:val="1"/>
                <w:color w:val="auto"/>
              </w:rPr>
              <w:t>12.7</w:t>
            </w:r>
          </w:p>
        </w:tc>
        <w:tc>
          <w:tcPr>
            <w:tcW w:w="220" w:type="dxa"/>
            <w:vAlign w:val="bottom"/>
            <w:tcBorders>
              <w:top w:val="single" w:sz="8" w:color="CCEEFF"/>
            </w:tcBorders>
            <w:shd w:val="clear" w:color="auto" w:fill="CCEEFF"/>
          </w:tcPr>
          <w:p>
            <w:pPr>
              <w:jc w:val="right"/>
              <w:spacing w:after="0" w:line="196" w:lineRule="exact"/>
              <w:rPr>
                <w:sz w:val="20"/>
                <w:szCs w:val="20"/>
                <w:color w:val="auto"/>
              </w:rPr>
            </w:pPr>
            <w:r>
              <w:rPr>
                <w:rFonts w:ascii="Arial" w:cs="Arial" w:eastAsia="Arial" w:hAnsi="Arial"/>
                <w:sz w:val="18"/>
                <w:szCs w:val="18"/>
                <w:b w:val="1"/>
                <w:bCs w:val="1"/>
                <w:color w:val="auto"/>
                <w:w w:val="99"/>
              </w:rPr>
              <w:t>%</w:t>
            </w:r>
          </w:p>
        </w:tc>
        <w:tc>
          <w:tcPr>
            <w:tcW w:w="6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auto"/>
            </w:tcBorders>
            <w:shd w:val="clear" w:color="auto" w:fill="CCEEFF"/>
          </w:tcPr>
          <w:p>
            <w:pPr>
              <w:spacing w:after="0"/>
              <w:rPr>
                <w:sz w:val="17"/>
                <w:szCs w:val="17"/>
                <w:color w:val="auto"/>
              </w:rPr>
            </w:pPr>
          </w:p>
        </w:tc>
        <w:tc>
          <w:tcPr>
            <w:tcW w:w="70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b w:val="1"/>
                <w:bCs w:val="1"/>
                <w:color w:val="auto"/>
              </w:rPr>
              <w:t>6.5</w:t>
            </w:r>
          </w:p>
        </w:tc>
        <w:tc>
          <w:tcPr>
            <w:tcW w:w="240" w:type="dxa"/>
            <w:vAlign w:val="bottom"/>
            <w:tcBorders>
              <w:top w:val="single" w:sz="8" w:color="CCEEFF"/>
            </w:tcBorders>
            <w:shd w:val="clear" w:color="auto" w:fill="CCEEFF"/>
          </w:tcPr>
          <w:p>
            <w:pPr>
              <w:jc w:val="right"/>
              <w:spacing w:after="0" w:line="196" w:lineRule="exact"/>
              <w:rPr>
                <w:sz w:val="20"/>
                <w:szCs w:val="20"/>
                <w:color w:val="auto"/>
              </w:rPr>
            </w:pPr>
            <w:r>
              <w:rPr>
                <w:rFonts w:ascii="Arial" w:cs="Arial" w:eastAsia="Arial" w:hAnsi="Arial"/>
                <w:sz w:val="18"/>
                <w:szCs w:val="18"/>
                <w:b w:val="1"/>
                <w:bCs w:val="1"/>
                <w:color w:val="auto"/>
                <w:w w:val="99"/>
              </w:rPr>
              <w:t>%</w:t>
            </w:r>
          </w:p>
        </w:tc>
        <w:tc>
          <w:tcPr>
            <w:tcW w:w="60" w:type="dxa"/>
            <w:vAlign w:val="bottom"/>
            <w:tcBorders>
              <w:top w:val="single" w:sz="8" w:color="CCEEFF"/>
            </w:tcBorders>
            <w:shd w:val="clear" w:color="auto" w:fill="CCEEFF"/>
          </w:tcPr>
          <w:p>
            <w:pPr>
              <w:spacing w:after="0"/>
              <w:rPr>
                <w:sz w:val="17"/>
                <w:szCs w:val="17"/>
                <w:color w:val="auto"/>
              </w:rPr>
            </w:pPr>
          </w:p>
        </w:tc>
        <w:tc>
          <w:tcPr>
            <w:tcW w:w="82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b w:val="1"/>
                <w:bCs w:val="1"/>
                <w:color w:val="auto"/>
              </w:rPr>
              <w:t>100.0</w:t>
            </w:r>
          </w:p>
        </w:tc>
        <w:tc>
          <w:tcPr>
            <w:tcW w:w="200" w:type="dxa"/>
            <w:vAlign w:val="bottom"/>
            <w:tcBorders>
              <w:top w:val="single" w:sz="8" w:color="CCEEFF"/>
            </w:tcBorders>
            <w:shd w:val="clear" w:color="auto" w:fill="CCEEFF"/>
          </w:tcPr>
          <w:p>
            <w:pPr>
              <w:jc w:val="right"/>
              <w:spacing w:after="0" w:line="196" w:lineRule="exact"/>
              <w:rPr>
                <w:sz w:val="20"/>
                <w:szCs w:val="20"/>
                <w:color w:val="auto"/>
              </w:rPr>
            </w:pPr>
            <w:r>
              <w:rPr>
                <w:rFonts w:ascii="Arial" w:cs="Arial" w:eastAsia="Arial" w:hAnsi="Arial"/>
                <w:sz w:val="18"/>
                <w:szCs w:val="18"/>
                <w:b w:val="1"/>
                <w:bCs w:val="1"/>
                <w:color w:val="auto"/>
                <w:w w:val="99"/>
              </w:rPr>
              <w:t>%</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2460" w:type="dxa"/>
            <w:vAlign w:val="bottom"/>
            <w:tcBorders>
              <w:bottom w:val="single" w:sz="8" w:color="auto"/>
            </w:tcBorders>
          </w:tcPr>
          <w:p>
            <w:pPr>
              <w:spacing w:after="0"/>
              <w:rPr>
                <w:sz w:val="9"/>
                <w:szCs w:val="9"/>
                <w:color w:val="auto"/>
              </w:rPr>
            </w:pPr>
          </w:p>
        </w:tc>
        <w:tc>
          <w:tcPr>
            <w:tcW w:w="380" w:type="dxa"/>
            <w:vAlign w:val="bottom"/>
          </w:tcPr>
          <w:p>
            <w:pPr>
              <w:spacing w:after="0"/>
              <w:rPr>
                <w:sz w:val="9"/>
                <w:szCs w:val="9"/>
                <w:color w:val="auto"/>
              </w:rPr>
            </w:pPr>
          </w:p>
        </w:tc>
        <w:tc>
          <w:tcPr>
            <w:tcW w:w="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620" w:type="dxa"/>
            <w:vAlign w:val="bottom"/>
          </w:tcPr>
          <w:p>
            <w:pPr>
              <w:spacing w:after="0"/>
              <w:rPr>
                <w:sz w:val="9"/>
                <w:szCs w:val="9"/>
                <w:color w:val="auto"/>
              </w:rPr>
            </w:pPr>
          </w:p>
        </w:tc>
        <w:tc>
          <w:tcPr>
            <w:tcW w:w="220" w:type="dxa"/>
            <w:vAlign w:val="bottom"/>
          </w:tcPr>
          <w:p>
            <w:pPr>
              <w:spacing w:after="0"/>
              <w:rPr>
                <w:sz w:val="9"/>
                <w:szCs w:val="9"/>
                <w:color w:val="auto"/>
              </w:rPr>
            </w:pPr>
          </w:p>
        </w:tc>
        <w:tc>
          <w:tcPr>
            <w:tcW w:w="60" w:type="dxa"/>
            <w:vAlign w:val="bottom"/>
          </w:tcPr>
          <w:p>
            <w:pPr>
              <w:spacing w:after="0"/>
              <w:rPr>
                <w:sz w:val="9"/>
                <w:szCs w:val="9"/>
                <w:color w:val="auto"/>
              </w:rPr>
            </w:pPr>
          </w:p>
        </w:tc>
        <w:tc>
          <w:tcPr>
            <w:tcW w:w="140" w:type="dxa"/>
            <w:vAlign w:val="bottom"/>
          </w:tcPr>
          <w:p>
            <w:pPr>
              <w:spacing w:after="0"/>
              <w:rPr>
                <w:sz w:val="9"/>
                <w:szCs w:val="9"/>
                <w:color w:val="auto"/>
              </w:rPr>
            </w:pPr>
          </w:p>
        </w:tc>
        <w:tc>
          <w:tcPr>
            <w:tcW w:w="660" w:type="dxa"/>
            <w:vAlign w:val="bottom"/>
          </w:tcPr>
          <w:p>
            <w:pPr>
              <w:spacing w:after="0"/>
              <w:rPr>
                <w:sz w:val="9"/>
                <w:szCs w:val="9"/>
                <w:color w:val="auto"/>
              </w:rPr>
            </w:pPr>
          </w:p>
        </w:tc>
        <w:tc>
          <w:tcPr>
            <w:tcW w:w="22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880" w:type="dxa"/>
            <w:vAlign w:val="bottom"/>
          </w:tcPr>
          <w:p>
            <w:pPr>
              <w:spacing w:after="0"/>
              <w:rPr>
                <w:sz w:val="9"/>
                <w:szCs w:val="9"/>
                <w:color w:val="auto"/>
              </w:rPr>
            </w:pPr>
          </w:p>
        </w:tc>
        <w:tc>
          <w:tcPr>
            <w:tcW w:w="240" w:type="dxa"/>
            <w:vAlign w:val="bottom"/>
          </w:tcPr>
          <w:p>
            <w:pPr>
              <w:spacing w:after="0"/>
              <w:rPr>
                <w:sz w:val="9"/>
                <w:szCs w:val="9"/>
                <w:color w:val="auto"/>
              </w:rPr>
            </w:pPr>
          </w:p>
        </w:tc>
        <w:tc>
          <w:tcPr>
            <w:tcW w:w="40" w:type="dxa"/>
            <w:vAlign w:val="bottom"/>
          </w:tcPr>
          <w:p>
            <w:pPr>
              <w:spacing w:after="0"/>
              <w:rPr>
                <w:sz w:val="9"/>
                <w:szCs w:val="9"/>
                <w:color w:val="auto"/>
              </w:rPr>
            </w:pPr>
          </w:p>
        </w:tc>
        <w:tc>
          <w:tcPr>
            <w:tcW w:w="100" w:type="dxa"/>
            <w:vAlign w:val="bottom"/>
          </w:tcPr>
          <w:p>
            <w:pPr>
              <w:spacing w:after="0"/>
              <w:rPr>
                <w:sz w:val="9"/>
                <w:szCs w:val="9"/>
                <w:color w:val="auto"/>
              </w:rPr>
            </w:pPr>
          </w:p>
        </w:tc>
        <w:tc>
          <w:tcPr>
            <w:tcW w:w="900" w:type="dxa"/>
            <w:vAlign w:val="bottom"/>
          </w:tcPr>
          <w:p>
            <w:pPr>
              <w:spacing w:after="0"/>
              <w:rPr>
                <w:sz w:val="9"/>
                <w:szCs w:val="9"/>
                <w:color w:val="auto"/>
              </w:rPr>
            </w:pPr>
          </w:p>
        </w:tc>
        <w:tc>
          <w:tcPr>
            <w:tcW w:w="220" w:type="dxa"/>
            <w:vAlign w:val="bottom"/>
          </w:tcPr>
          <w:p>
            <w:pPr>
              <w:spacing w:after="0"/>
              <w:rPr>
                <w:sz w:val="9"/>
                <w:szCs w:val="9"/>
                <w:color w:val="auto"/>
              </w:rPr>
            </w:pPr>
          </w:p>
        </w:tc>
        <w:tc>
          <w:tcPr>
            <w:tcW w:w="60" w:type="dxa"/>
            <w:vAlign w:val="bottom"/>
          </w:tcPr>
          <w:p>
            <w:pPr>
              <w:spacing w:after="0"/>
              <w:rPr>
                <w:sz w:val="9"/>
                <w:szCs w:val="9"/>
                <w:color w:val="auto"/>
              </w:rPr>
            </w:pPr>
          </w:p>
        </w:tc>
        <w:tc>
          <w:tcPr>
            <w:tcW w:w="220" w:type="dxa"/>
            <w:vAlign w:val="bottom"/>
          </w:tcPr>
          <w:p>
            <w:pPr>
              <w:spacing w:after="0"/>
              <w:rPr>
                <w:sz w:val="9"/>
                <w:szCs w:val="9"/>
                <w:color w:val="auto"/>
              </w:rPr>
            </w:pPr>
          </w:p>
        </w:tc>
        <w:tc>
          <w:tcPr>
            <w:tcW w:w="700" w:type="dxa"/>
            <w:vAlign w:val="bottom"/>
          </w:tcPr>
          <w:p>
            <w:pPr>
              <w:spacing w:after="0"/>
              <w:rPr>
                <w:sz w:val="9"/>
                <w:szCs w:val="9"/>
                <w:color w:val="auto"/>
              </w:rPr>
            </w:pPr>
          </w:p>
        </w:tc>
        <w:tc>
          <w:tcPr>
            <w:tcW w:w="240" w:type="dxa"/>
            <w:vAlign w:val="bottom"/>
          </w:tcPr>
          <w:p>
            <w:pPr>
              <w:spacing w:after="0"/>
              <w:rPr>
                <w:sz w:val="9"/>
                <w:szCs w:val="9"/>
                <w:color w:val="auto"/>
              </w:rPr>
            </w:pPr>
          </w:p>
        </w:tc>
        <w:tc>
          <w:tcPr>
            <w:tcW w:w="60" w:type="dxa"/>
            <w:vAlign w:val="bottom"/>
          </w:tcPr>
          <w:p>
            <w:pPr>
              <w:spacing w:after="0"/>
              <w:rPr>
                <w:sz w:val="9"/>
                <w:szCs w:val="9"/>
                <w:color w:val="auto"/>
              </w:rPr>
            </w:pPr>
          </w:p>
        </w:tc>
        <w:tc>
          <w:tcPr>
            <w:tcW w:w="820" w:type="dxa"/>
            <w:vAlign w:val="bottom"/>
          </w:tcPr>
          <w:p>
            <w:pPr>
              <w:spacing w:after="0"/>
              <w:rPr>
                <w:sz w:val="9"/>
                <w:szCs w:val="9"/>
                <w:color w:val="auto"/>
              </w:rPr>
            </w:pPr>
          </w:p>
        </w:tc>
        <w:tc>
          <w:tcPr>
            <w:tcW w:w="20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80" w:lineRule="exact"/>
        <w:rPr>
          <w:sz w:val="20"/>
          <w:szCs w:val="20"/>
          <w:color w:val="auto"/>
        </w:rPr>
      </w:pPr>
    </w:p>
    <w:p>
      <w:pPr>
        <w:spacing w:after="0"/>
        <w:rPr>
          <w:sz w:val="20"/>
          <w:szCs w:val="20"/>
          <w:color w:val="auto"/>
        </w:rPr>
      </w:pPr>
      <w:r>
        <w:rPr>
          <w:rFonts w:ascii="Arial" w:cs="Arial" w:eastAsia="Arial" w:hAnsi="Arial"/>
          <w:sz w:val="18"/>
          <w:szCs w:val="18"/>
          <w:color w:val="auto"/>
        </w:rPr>
        <w:t>(1) Includes only the account values, net of policy loans, for products with GMIRs and discretionary crediting rates.</w:t>
      </w:r>
    </w:p>
    <w:p>
      <w:pPr>
        <w:spacing w:after="0" w:line="225" w:lineRule="exact"/>
        <w:rPr>
          <w:sz w:val="20"/>
          <w:szCs w:val="20"/>
          <w:color w:val="auto"/>
        </w:rPr>
      </w:pPr>
    </w:p>
    <w:p>
      <w:pPr>
        <w:ind w:right="40" w:firstLine="648"/>
        <w:spacing w:after="0" w:line="257" w:lineRule="auto"/>
        <w:rPr>
          <w:sz w:val="20"/>
          <w:szCs w:val="20"/>
          <w:color w:val="auto"/>
        </w:rPr>
      </w:pPr>
      <w:r>
        <w:rPr>
          <w:rFonts w:ascii="Arial" w:cs="Arial" w:eastAsia="Arial" w:hAnsi="Arial"/>
          <w:sz w:val="18"/>
          <w:szCs w:val="18"/>
          <w:color w:val="auto"/>
        </w:rPr>
        <w:t>In addition to the domestic account values shown in the table above, Principal International had $605.0 million of account values with GMIRs in Brazil as of June 30, 2022. The Brazil amount includes account values from an equity method subsidiary, adjusted to reflect the proportion of the subsidiary’s results reflected in our net income. Our liabilities in Principal International are generally denominated in the functional currency of the location of operation. The pattern of interest rate movements in our international operations will likely differ from the pattern of interest rate movements in the U.S.</w:t>
      </w:r>
    </w:p>
    <w:p>
      <w:pPr>
        <w:spacing w:after="0" w:line="188" w:lineRule="exact"/>
        <w:rPr>
          <w:sz w:val="20"/>
          <w:szCs w:val="20"/>
          <w:color w:val="auto"/>
        </w:rPr>
      </w:pPr>
    </w:p>
    <w:p>
      <w:pPr>
        <w:ind w:firstLine="648"/>
        <w:spacing w:after="0" w:line="275" w:lineRule="auto"/>
        <w:rPr>
          <w:sz w:val="20"/>
          <w:szCs w:val="20"/>
          <w:color w:val="auto"/>
        </w:rPr>
      </w:pPr>
      <w:r>
        <w:rPr>
          <w:rFonts w:ascii="Arial" w:cs="Arial" w:eastAsia="Arial" w:hAnsi="Arial"/>
          <w:sz w:val="17"/>
          <w:szCs w:val="17"/>
          <w:b w:val="1"/>
          <w:bCs w:val="1"/>
          <w:i w:val="1"/>
          <w:iCs w:val="1"/>
          <w:color w:val="auto"/>
        </w:rPr>
        <w:t xml:space="preserve">Impact of Rising Interest Rates on the Fair Value of Financial Assets. </w:t>
      </w:r>
      <w:r>
        <w:rPr>
          <w:rFonts w:ascii="Arial" w:cs="Arial" w:eastAsia="Arial" w:hAnsi="Arial"/>
          <w:sz w:val="17"/>
          <w:szCs w:val="17"/>
          <w:color w:val="auto"/>
        </w:rPr>
        <w:t>An increase in market interest rates may cause a decline</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in the value of financial assets held at fair value on our consolidated statements of financial position. Although changes in the fair value of our financial assets due to changes in interest rates may impact the amount of equity reported in our consolidated statements of financial position, these changes will not cause an economic gain or loss unless we sell investments, terminate derivative positions, record an allowance for credit loss, or determine a derivative instrument is no longer an effective hedge.</w:t>
      </w:r>
    </w:p>
    <w:p>
      <w:pPr>
        <w:spacing w:after="0" w:line="3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540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127" w:name="page128"/>
    <w:bookmarkEnd w:id="127"/>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9" w:lineRule="exact"/>
        <w:rPr>
          <w:sz w:val="20"/>
          <w:szCs w:val="20"/>
          <w:color w:val="auto"/>
        </w:rPr>
      </w:pPr>
    </w:p>
    <w:p>
      <w:pPr>
        <w:ind w:firstLine="648"/>
        <w:spacing w:after="0" w:line="287" w:lineRule="auto"/>
        <w:rPr>
          <w:sz w:val="20"/>
          <w:szCs w:val="20"/>
          <w:color w:val="auto"/>
        </w:rPr>
      </w:pPr>
      <w:r>
        <w:rPr>
          <w:rFonts w:ascii="Arial" w:cs="Arial" w:eastAsia="Arial" w:hAnsi="Arial"/>
          <w:sz w:val="16"/>
          <w:szCs w:val="16"/>
          <w:color w:val="auto"/>
        </w:rPr>
        <w:t>We estimate a hypothetical 100 basis point immediate, parallel increase in interest rates would reduce the net reported fair value of our financial assets and derivatives by $2,987.3 million as of June 30, 2022, compared to $5,479.7 million as of December 31, 2021. This estimate only reflects the change in fair value for financial assets and derivatives reported at fair value on our consolidated statements of financial position. Assets and liabilities not reported at fair value on our consolidated statements of financial position – including mortgage loans, liabilities relating to insurance contracts, investment contracts, debt and bank deposits – are excluded from this sensitivity analysis. We believe the excluded liability items would economically serve as a partial offset to the net interest rate risk of the financial instruments included in the sensitivity analysis. Separate account assets and liabilities are also excluded from this estimate, as any interest rate risk is borne by the holder of the separate account. Assets backing reserves as part of a coinsurance with funds withheld agreement are excluded from this estimate, as any interest rate risk is passed to the reinsurer. For more information on fair value measurements, see Item 8. “Financial Statements and Supplementary Data, Notes to Consolidated Financial Statements, Note 14, Fair Value Measurements” in our Annual Report on Form 10-K for the year ended December 31, 2021.</w:t>
      </w:r>
    </w:p>
    <w:p>
      <w:pPr>
        <w:spacing w:after="0" w:line="172" w:lineRule="exact"/>
        <w:rPr>
          <w:sz w:val="20"/>
          <w:szCs w:val="20"/>
          <w:color w:val="auto"/>
        </w:rPr>
      </w:pPr>
    </w:p>
    <w:p>
      <w:pPr>
        <w:ind w:firstLine="648"/>
        <w:spacing w:after="0" w:line="273" w:lineRule="auto"/>
        <w:rPr>
          <w:sz w:val="20"/>
          <w:szCs w:val="20"/>
          <w:color w:val="auto"/>
        </w:rPr>
      </w:pPr>
      <w:r>
        <w:rPr>
          <w:rFonts w:ascii="Arial" w:cs="Arial" w:eastAsia="Arial" w:hAnsi="Arial"/>
          <w:sz w:val="17"/>
          <w:szCs w:val="17"/>
          <w:color w:val="auto"/>
        </w:rPr>
        <w:t>Our selection of a 100 basis point immediate, parallel increase in interest rates is a hypothetical rate scenario we use to demonstrate potential risk. While a 100 basis point immediate, parallel increase does not represent our view of future market changes, it is a near term reasonably possible hypothetical change that illustrates the potential impact of such events. While this sensitivity analysis provides a representation of interest rate sensitivity, it is based on our portfolio exposures at a point in time and may not be representative of future market results. These exposures will change as a result of ongoing portfolio transactions in response to new business, management’s assessment of changing market conditions and available investment opportunities.</w:t>
      </w:r>
    </w:p>
    <w:p>
      <w:pPr>
        <w:spacing w:after="0" w:line="178" w:lineRule="exact"/>
        <w:rPr>
          <w:sz w:val="20"/>
          <w:szCs w:val="20"/>
          <w:color w:val="auto"/>
        </w:rPr>
      </w:pPr>
    </w:p>
    <w:p>
      <w:pPr>
        <w:ind w:right="680" w:firstLine="648"/>
        <w:spacing w:after="0" w:line="277" w:lineRule="auto"/>
        <w:rPr>
          <w:sz w:val="20"/>
          <w:szCs w:val="20"/>
          <w:color w:val="auto"/>
        </w:rPr>
      </w:pPr>
      <w:r>
        <w:rPr>
          <w:rFonts w:ascii="Arial" w:cs="Arial" w:eastAsia="Arial" w:hAnsi="Arial"/>
          <w:sz w:val="18"/>
          <w:szCs w:val="18"/>
          <w:color w:val="auto"/>
        </w:rPr>
        <w:t>Our net estimated potential loss in fair value as of June 30, 2022, decreased $2,492.4 million from December 31, 2021, primarily due to the reinsurance transaction.</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Rate Risk Management</w:t>
      </w:r>
    </w:p>
    <w:p>
      <w:pPr>
        <w:spacing w:after="0" w:line="225" w:lineRule="exact"/>
        <w:rPr>
          <w:sz w:val="20"/>
          <w:szCs w:val="20"/>
          <w:color w:val="auto"/>
        </w:rPr>
      </w:pPr>
    </w:p>
    <w:p>
      <w:pPr>
        <w:ind w:right="100" w:firstLine="648"/>
        <w:spacing w:after="0" w:line="263" w:lineRule="auto"/>
        <w:rPr>
          <w:sz w:val="20"/>
          <w:szCs w:val="20"/>
          <w:color w:val="auto"/>
        </w:rPr>
      </w:pPr>
      <w:r>
        <w:rPr>
          <w:rFonts w:ascii="Arial" w:cs="Arial" w:eastAsia="Arial" w:hAnsi="Arial"/>
          <w:sz w:val="18"/>
          <w:szCs w:val="18"/>
          <w:color w:val="auto"/>
        </w:rPr>
        <w:t>We manage interest rate risk through the use of an integrated risk management framework. This helps us identify, assess, monitor, report and manage our risks within established limits and risk tolerances. Our internal risk committees monitor and discuss our risk profile and identify necessary actions to mitigate impacts from interest rate risk.</w:t>
      </w:r>
    </w:p>
    <w:p>
      <w:pPr>
        <w:spacing w:after="0" w:line="184" w:lineRule="exact"/>
        <w:rPr>
          <w:sz w:val="20"/>
          <w:szCs w:val="20"/>
          <w:color w:val="auto"/>
        </w:rPr>
      </w:pPr>
    </w:p>
    <w:p>
      <w:pPr>
        <w:ind w:right="200" w:firstLine="648"/>
        <w:spacing w:after="0" w:line="277" w:lineRule="auto"/>
        <w:rPr>
          <w:sz w:val="20"/>
          <w:szCs w:val="20"/>
          <w:color w:val="auto"/>
        </w:rPr>
      </w:pPr>
      <w:r>
        <w:rPr>
          <w:rFonts w:ascii="Arial" w:cs="Arial" w:eastAsia="Arial" w:hAnsi="Arial"/>
          <w:sz w:val="18"/>
          <w:szCs w:val="18"/>
          <w:color w:val="auto"/>
        </w:rPr>
        <w:t>The product designs within our business units result in a variety of different interest rate risk profiles. Therefore, our business units use a variety of different approaches for managing their asset and liability interest rate risks.</w:t>
      </w:r>
    </w:p>
    <w:p>
      <w:pPr>
        <w:spacing w:after="0" w:line="170" w:lineRule="exact"/>
        <w:rPr>
          <w:sz w:val="20"/>
          <w:szCs w:val="20"/>
          <w:color w:val="auto"/>
        </w:rPr>
      </w:pPr>
    </w:p>
    <w:p>
      <w:pPr>
        <w:ind w:left="680" w:right="160" w:hanging="321"/>
        <w:spacing w:after="0" w:line="259" w:lineRule="auto"/>
        <w:tabs>
          <w:tab w:leader="none" w:pos="680" w:val="left"/>
        </w:tabs>
        <w:numPr>
          <w:ilvl w:val="0"/>
          <w:numId w:val="60"/>
        </w:numPr>
        <w:rPr>
          <w:rFonts w:ascii="Arial" w:cs="Arial" w:eastAsia="Arial" w:hAnsi="Arial"/>
          <w:sz w:val="18"/>
          <w:szCs w:val="18"/>
          <w:color w:val="auto"/>
        </w:rPr>
      </w:pPr>
      <w:r>
        <w:rPr>
          <w:rFonts w:ascii="Arial" w:cs="Arial" w:eastAsia="Arial" w:hAnsi="Arial"/>
          <w:sz w:val="18"/>
          <w:szCs w:val="18"/>
          <w:i w:val="1"/>
          <w:iCs w:val="1"/>
          <w:color w:val="auto"/>
        </w:rPr>
        <w:t xml:space="preserve">Retirement Business Stable Cash Flows </w:t>
      </w:r>
      <w:r>
        <w:rPr>
          <w:rFonts w:ascii="Arial" w:cs="Arial" w:eastAsia="Arial" w:hAnsi="Arial"/>
          <w:sz w:val="18"/>
          <w:szCs w:val="18"/>
          <w:color w:val="auto"/>
        </w:rPr>
        <w:t>– For stable and predictable cash flow liabilities, such as pension risk transfer, full</w:t>
      </w:r>
      <w:r>
        <w:rPr>
          <w:rFonts w:ascii="Arial" w:cs="Arial" w:eastAsia="Arial" w:hAnsi="Arial"/>
          <w:sz w:val="18"/>
          <w:szCs w:val="18"/>
          <w:i w:val="1"/>
          <w:iCs w:val="1"/>
          <w:color w:val="auto"/>
        </w:rPr>
        <w:t xml:space="preserve"> </w:t>
      </w:r>
      <w:r>
        <w:rPr>
          <w:rFonts w:ascii="Arial" w:cs="Arial" w:eastAsia="Arial" w:hAnsi="Arial"/>
          <w:sz w:val="18"/>
          <w:szCs w:val="18"/>
          <w:color w:val="auto"/>
        </w:rPr>
        <w:t>service accumulation, investment only, and newer fixed deferred annuities, we use investment strategy and hedges to tightly align the cash flow run off of these asset and liability cash flows. Immunization and embedded value analysis are also utilized in the management of interest rate risk.</w:t>
      </w:r>
    </w:p>
    <w:p>
      <w:pPr>
        <w:spacing w:after="0" w:line="186" w:lineRule="exact"/>
        <w:rPr>
          <w:rFonts w:ascii="Arial" w:cs="Arial" w:eastAsia="Arial" w:hAnsi="Arial"/>
          <w:sz w:val="18"/>
          <w:szCs w:val="18"/>
          <w:color w:val="auto"/>
        </w:rPr>
      </w:pPr>
    </w:p>
    <w:p>
      <w:pPr>
        <w:ind w:left="680" w:hanging="321"/>
        <w:spacing w:after="0" w:line="263" w:lineRule="auto"/>
        <w:tabs>
          <w:tab w:leader="none" w:pos="680" w:val="left"/>
        </w:tabs>
        <w:numPr>
          <w:ilvl w:val="0"/>
          <w:numId w:val="60"/>
        </w:numPr>
        <w:rPr>
          <w:rFonts w:ascii="Arial" w:cs="Arial" w:eastAsia="Arial" w:hAnsi="Arial"/>
          <w:sz w:val="18"/>
          <w:szCs w:val="18"/>
          <w:color w:val="auto"/>
        </w:rPr>
      </w:pPr>
      <w:r>
        <w:rPr>
          <w:rFonts w:ascii="Arial" w:cs="Arial" w:eastAsia="Arial" w:hAnsi="Arial"/>
          <w:sz w:val="18"/>
          <w:szCs w:val="18"/>
          <w:i w:val="1"/>
          <w:iCs w:val="1"/>
          <w:color w:val="auto"/>
        </w:rPr>
        <w:t xml:space="preserve">Retirement Business Dynamic Cash Flows </w:t>
      </w:r>
      <w:r>
        <w:rPr>
          <w:rFonts w:ascii="Arial" w:cs="Arial" w:eastAsia="Arial" w:hAnsi="Arial"/>
          <w:sz w:val="18"/>
          <w:szCs w:val="18"/>
          <w:color w:val="auto"/>
        </w:rPr>
        <w:t>– Dynamic liability cash flows, such as older fixed deferred annuities, are sensitive</w:t>
      </w:r>
      <w:r>
        <w:rPr>
          <w:rFonts w:ascii="Arial" w:cs="Arial" w:eastAsia="Arial" w:hAnsi="Arial"/>
          <w:sz w:val="18"/>
          <w:szCs w:val="18"/>
          <w:i w:val="1"/>
          <w:iCs w:val="1"/>
          <w:color w:val="auto"/>
        </w:rPr>
        <w:t xml:space="preserve"> </w:t>
      </w:r>
      <w:r>
        <w:rPr>
          <w:rFonts w:ascii="Arial" w:cs="Arial" w:eastAsia="Arial" w:hAnsi="Arial"/>
          <w:sz w:val="18"/>
          <w:szCs w:val="18"/>
          <w:color w:val="auto"/>
        </w:rPr>
        <w:t>to policyholder behavior and the current interest rate environment. The risk and return metrics from deterministic and stochastic interest rate scenarios are used to manage the interest rate risk for these liabilities.</w:t>
      </w:r>
    </w:p>
    <w:p>
      <w:pPr>
        <w:spacing w:after="0" w:line="183" w:lineRule="exact"/>
        <w:rPr>
          <w:rFonts w:ascii="Arial" w:cs="Arial" w:eastAsia="Arial" w:hAnsi="Arial"/>
          <w:sz w:val="18"/>
          <w:szCs w:val="18"/>
          <w:color w:val="auto"/>
        </w:rPr>
      </w:pPr>
    </w:p>
    <w:p>
      <w:pPr>
        <w:jc w:val="both"/>
        <w:ind w:left="680" w:right="140" w:hanging="321"/>
        <w:spacing w:after="0" w:line="263" w:lineRule="auto"/>
        <w:tabs>
          <w:tab w:leader="none" w:pos="680" w:val="left"/>
        </w:tabs>
        <w:numPr>
          <w:ilvl w:val="0"/>
          <w:numId w:val="60"/>
        </w:numPr>
        <w:rPr>
          <w:rFonts w:ascii="Arial" w:cs="Arial" w:eastAsia="Arial" w:hAnsi="Arial"/>
          <w:sz w:val="18"/>
          <w:szCs w:val="18"/>
          <w:color w:val="auto"/>
        </w:rPr>
      </w:pPr>
      <w:r>
        <w:rPr>
          <w:rFonts w:ascii="Arial" w:cs="Arial" w:eastAsia="Arial" w:hAnsi="Arial"/>
          <w:sz w:val="18"/>
          <w:szCs w:val="18"/>
          <w:i w:val="1"/>
          <w:iCs w:val="1"/>
          <w:color w:val="auto"/>
        </w:rPr>
        <w:t xml:space="preserve">U.S. Insurance Stable Cash Flows </w:t>
      </w:r>
      <w:r>
        <w:rPr>
          <w:rFonts w:ascii="Arial" w:cs="Arial" w:eastAsia="Arial" w:hAnsi="Arial"/>
          <w:sz w:val="18"/>
          <w:szCs w:val="18"/>
          <w:color w:val="auto"/>
        </w:rPr>
        <w:t>– Our insurance businesses in many instances contain long-term guarantees with stable and</w:t>
      </w:r>
      <w:r>
        <w:rPr>
          <w:rFonts w:ascii="Arial" w:cs="Arial" w:eastAsia="Arial" w:hAnsi="Arial"/>
          <w:sz w:val="18"/>
          <w:szCs w:val="18"/>
          <w:i w:val="1"/>
          <w:iCs w:val="1"/>
          <w:color w:val="auto"/>
        </w:rPr>
        <w:t xml:space="preserve"> </w:t>
      </w:r>
      <w:r>
        <w:rPr>
          <w:rFonts w:ascii="Arial" w:cs="Arial" w:eastAsia="Arial" w:hAnsi="Arial"/>
          <w:sz w:val="18"/>
          <w:szCs w:val="18"/>
          <w:color w:val="auto"/>
        </w:rPr>
        <w:t>predictable liability cash flows and recurring premiums. We manage the interest rate risk through investment strategy, product crediting rates and analyzing duration and embedded value sensitivity.</w:t>
      </w:r>
    </w:p>
    <w:p>
      <w:pPr>
        <w:spacing w:after="0" w:line="183" w:lineRule="exact"/>
        <w:rPr>
          <w:rFonts w:ascii="Arial" w:cs="Arial" w:eastAsia="Arial" w:hAnsi="Arial"/>
          <w:sz w:val="18"/>
          <w:szCs w:val="18"/>
          <w:color w:val="auto"/>
        </w:rPr>
      </w:pPr>
    </w:p>
    <w:p>
      <w:pPr>
        <w:ind w:left="680" w:right="80" w:hanging="321"/>
        <w:spacing w:after="0" w:line="259" w:lineRule="auto"/>
        <w:tabs>
          <w:tab w:leader="none" w:pos="680" w:val="left"/>
        </w:tabs>
        <w:numPr>
          <w:ilvl w:val="0"/>
          <w:numId w:val="60"/>
        </w:numPr>
        <w:rPr>
          <w:rFonts w:ascii="Arial" w:cs="Arial" w:eastAsia="Arial" w:hAnsi="Arial"/>
          <w:sz w:val="18"/>
          <w:szCs w:val="18"/>
          <w:color w:val="auto"/>
        </w:rPr>
      </w:pPr>
      <w:r>
        <w:rPr>
          <w:rFonts w:ascii="Arial" w:cs="Arial" w:eastAsia="Arial" w:hAnsi="Arial"/>
          <w:sz w:val="18"/>
          <w:szCs w:val="18"/>
          <w:i w:val="1"/>
          <w:iCs w:val="1"/>
          <w:color w:val="auto"/>
        </w:rPr>
        <w:t xml:space="preserve">Principal International </w:t>
      </w:r>
      <w:r>
        <w:rPr>
          <w:rFonts w:ascii="Arial" w:cs="Arial" w:eastAsia="Arial" w:hAnsi="Arial"/>
          <w:sz w:val="18"/>
          <w:szCs w:val="18"/>
          <w:color w:val="auto"/>
        </w:rPr>
        <w:t>– Our international businesses operate within local regulations and financial market conditions (e.g.,</w:t>
      </w:r>
      <w:r>
        <w:rPr>
          <w:rFonts w:ascii="Arial" w:cs="Arial" w:eastAsia="Arial" w:hAnsi="Arial"/>
          <w:sz w:val="18"/>
          <w:szCs w:val="18"/>
          <w:i w:val="1"/>
          <w:iCs w:val="1"/>
          <w:color w:val="auto"/>
        </w:rPr>
        <w:t xml:space="preserve"> </w:t>
      </w:r>
      <w:r>
        <w:rPr>
          <w:rFonts w:ascii="Arial" w:cs="Arial" w:eastAsia="Arial" w:hAnsi="Arial"/>
          <w:sz w:val="18"/>
          <w:szCs w:val="18"/>
          <w:color w:val="auto"/>
        </w:rPr>
        <w:t>derivative markets, assets available) to achieve similar asset and liability cash flow management objectives. In locations with a limited availability of long-dated assets and derivative markets, the duration gap is managed to risk tolerances specific to each location.</w:t>
      </w:r>
    </w:p>
    <w:p>
      <w:pPr>
        <w:spacing w:after="0" w:line="187" w:lineRule="exact"/>
        <w:rPr>
          <w:sz w:val="20"/>
          <w:szCs w:val="20"/>
          <w:color w:val="auto"/>
        </w:rPr>
      </w:pPr>
    </w:p>
    <w:p>
      <w:pPr>
        <w:ind w:right="140" w:firstLine="648"/>
        <w:spacing w:after="0" w:line="259" w:lineRule="auto"/>
        <w:rPr>
          <w:sz w:val="20"/>
          <w:szCs w:val="20"/>
          <w:color w:val="auto"/>
        </w:rPr>
      </w:pPr>
      <w:r>
        <w:rPr>
          <w:rFonts w:ascii="Arial" w:cs="Arial" w:eastAsia="Arial" w:hAnsi="Arial"/>
          <w:sz w:val="18"/>
          <w:szCs w:val="18"/>
          <w:color w:val="auto"/>
        </w:rPr>
        <w:t>We also limit our exposure to interest rate risk through our business mix and strategy. We have intentionally limited our exposure to specific products where investment margins are critical to the product’s profitability, and we continue to emphasize the sale of products that generate revenues in the form of fees for service or premiums for insurance coverage and expose us to minimal interest rate risk.</w:t>
      </w:r>
    </w:p>
    <w:p>
      <w:pPr>
        <w:sectPr>
          <w:pgSz w:w="11900" w:h="16838" w:orient="portrait"/>
          <w:cols w:equalWidth="0" w:num="1">
            <w:col w:w="9900"/>
          </w:cols>
          <w:pgMar w:left="980" w:top="665" w:right="1019" w:bottom="1440" w:gutter="0" w:footer="0" w:header="0"/>
        </w:sectPr>
      </w:pP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372110</wp:posOffset>
            </wp:positionV>
            <wp:extent cx="6292215" cy="2540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00"/>
          </w:cols>
          <w:pgMar w:left="980" w:top="665" w:right="1019" w:bottom="1440" w:gutter="0" w:footer="0" w:header="0"/>
          <w:type w:val="continuous"/>
        </w:sectPr>
      </w:pPr>
    </w:p>
    <w:bookmarkStart w:id="128" w:name="page129"/>
    <w:bookmarkEnd w:id="128"/>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9" w:lineRule="exact"/>
        <w:rPr>
          <w:sz w:val="20"/>
          <w:szCs w:val="20"/>
          <w:color w:val="auto"/>
        </w:rPr>
      </w:pPr>
    </w:p>
    <w:p>
      <w:pPr>
        <w:ind w:right="40" w:firstLine="648"/>
        <w:spacing w:after="0" w:line="275" w:lineRule="auto"/>
        <w:rPr>
          <w:sz w:val="20"/>
          <w:szCs w:val="20"/>
          <w:color w:val="auto"/>
        </w:rPr>
      </w:pPr>
      <w:r>
        <w:rPr>
          <w:rFonts w:ascii="Arial" w:cs="Arial" w:eastAsia="Arial" w:hAnsi="Arial"/>
          <w:sz w:val="17"/>
          <w:szCs w:val="17"/>
          <w:color w:val="auto"/>
        </w:rPr>
        <w:t>Prepayment risk is controlled by limiting our exposure to investments that are prepayable without penalty prior to maturity at the option of the issuer. We also require additional yield on these investments to compensate for the risk the issuer will exercise such option. Prepayment risk is also controlled by limiting the sales of liabilities with features such as puts or other options that can be exercised at inopportune times. We manage the interest rate risk associated with our long-term borrowings by monitoring the interest rate environment and evaluating refinancing opportunities as maturity dates approach.</w:t>
      </w:r>
    </w:p>
    <w:p>
      <w:pPr>
        <w:spacing w:after="0" w:line="176" w:lineRule="exact"/>
        <w:rPr>
          <w:sz w:val="20"/>
          <w:szCs w:val="20"/>
          <w:color w:val="auto"/>
        </w:rPr>
      </w:pPr>
    </w:p>
    <w:p>
      <w:pPr>
        <w:ind w:right="60" w:firstLine="648"/>
        <w:spacing w:after="0" w:line="254" w:lineRule="auto"/>
        <w:rPr>
          <w:sz w:val="20"/>
          <w:szCs w:val="20"/>
          <w:color w:val="auto"/>
        </w:rPr>
      </w:pPr>
      <w:r>
        <w:rPr>
          <w:rFonts w:ascii="Arial" w:cs="Arial" w:eastAsia="Arial" w:hAnsi="Arial"/>
          <w:sz w:val="18"/>
          <w:szCs w:val="18"/>
          <w:color w:val="auto"/>
        </w:rPr>
        <w:t>The plan fiduciaries use a Dynamic Asset Allocation strategy for our qualified defined benefit pension plan, which strategically allocates an increasing portion of the assets of the pension plan to fixed income securities as the funding status improves. The intended purpose of using the Dynamic Asset Allocation strategy is that the expected change in the value of the plan assets and the change in pension benefit obligation due to market movements are more likely to have more correlation versus a static allocation of assets between categories. For more information see Item 7. “Management’s Discussion and Analysis of Financial Condition and Results of Operations — Critical Accounting Policies and Estimates — Benefit Plans” and Item 8. “Financial Statements and Supplementary Data, Notes to Consolidated Financial Statements, Note 11, Employee and Agent Benefits” in our Annual Report on Form 10-K for the year ended December 31, 2021.</w:t>
      </w:r>
    </w:p>
    <w:p>
      <w:pPr>
        <w:spacing w:after="0" w:line="188" w:lineRule="exact"/>
        <w:rPr>
          <w:sz w:val="20"/>
          <w:szCs w:val="20"/>
          <w:color w:val="auto"/>
        </w:rPr>
      </w:pPr>
    </w:p>
    <w:p>
      <w:pPr>
        <w:ind w:firstLine="648"/>
        <w:spacing w:after="0" w:line="291" w:lineRule="auto"/>
        <w:rPr>
          <w:sz w:val="20"/>
          <w:szCs w:val="20"/>
          <w:color w:val="auto"/>
        </w:rPr>
      </w:pPr>
      <w:r>
        <w:rPr>
          <w:rFonts w:ascii="Arial" w:cs="Arial" w:eastAsia="Arial" w:hAnsi="Arial"/>
          <w:sz w:val="16"/>
          <w:szCs w:val="16"/>
          <w:b w:val="1"/>
          <w:bCs w:val="1"/>
          <w:color w:val="auto"/>
        </w:rPr>
        <w:t xml:space="preserve">Use of Derivatives to Manage Interest Rate Risk. </w:t>
      </w:r>
      <w:r>
        <w:rPr>
          <w:rFonts w:ascii="Arial" w:cs="Arial" w:eastAsia="Arial" w:hAnsi="Arial"/>
          <w:sz w:val="16"/>
          <w:szCs w:val="16"/>
          <w:color w:val="auto"/>
        </w:rPr>
        <w:t>We use or have used various derivative financial instruments to manage our</w:t>
      </w:r>
      <w:r>
        <w:rPr>
          <w:rFonts w:ascii="Arial" w:cs="Arial" w:eastAsia="Arial" w:hAnsi="Arial"/>
          <w:sz w:val="16"/>
          <w:szCs w:val="16"/>
          <w:b w:val="1"/>
          <w:bCs w:val="1"/>
          <w:color w:val="auto"/>
        </w:rPr>
        <w:t xml:space="preserve"> </w:t>
      </w:r>
      <w:r>
        <w:rPr>
          <w:rFonts w:ascii="Arial" w:cs="Arial" w:eastAsia="Arial" w:hAnsi="Arial"/>
          <w:sz w:val="16"/>
          <w:szCs w:val="16"/>
          <w:color w:val="auto"/>
        </w:rPr>
        <w:t>exposure to fluctuations in interest rates, including interest rate swaps, interest rate options, TBA forwards, bond forwards, treasury forwards, swaptions and futures. We use interest rate swaps, treasury forwards and futures contracts to hedge against changes in the value of the GMWB liability. We use interest rate swaps and have used TBA forwards primarily to more closely match the interest rate characteristics of assets and liabilities. They can be used to change the sensitivity to the interest rate of specific assets and liabilities as well as an entire portfolio. We use bond forwards to fix the purchase price of a bond at a specified date in the future. We use interest rate options to manage prepayment risks in our assets and minimum guaranteed interest rates and lapse risks in our liabilities. We have purchased swaptions to hedge interest rate exposure for certain assets and liabilities.</w:t>
      </w:r>
    </w:p>
    <w:p>
      <w:pPr>
        <w:spacing w:after="0" w:line="15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Foreign Currency Risk</w:t>
      </w:r>
    </w:p>
    <w:p>
      <w:pPr>
        <w:spacing w:after="0" w:line="229" w:lineRule="exact"/>
        <w:rPr>
          <w:sz w:val="20"/>
          <w:szCs w:val="20"/>
          <w:color w:val="auto"/>
        </w:rPr>
      </w:pPr>
    </w:p>
    <w:p>
      <w:pPr>
        <w:ind w:right="100" w:firstLine="648"/>
        <w:spacing w:after="0" w:line="259" w:lineRule="auto"/>
        <w:rPr>
          <w:sz w:val="20"/>
          <w:szCs w:val="20"/>
          <w:color w:val="auto"/>
        </w:rPr>
      </w:pPr>
      <w:r>
        <w:rPr>
          <w:rFonts w:ascii="Arial" w:cs="Arial" w:eastAsia="Arial" w:hAnsi="Arial"/>
          <w:sz w:val="18"/>
          <w:szCs w:val="18"/>
          <w:color w:val="auto"/>
        </w:rPr>
        <w:t>Foreign currency risk is the risk we will incur economic losses due to adverse fluctuations in foreign currency exchange rates. This risk arises from foreign currency-denominated funding agreements issued to nonqualified institutional investors in the international market, foreign currency-denominated fixed maturity and equity securities, and our international operations, including expected cash flows and potential acquisition and divestiture activity.</w:t>
      </w:r>
    </w:p>
    <w:p>
      <w:pPr>
        <w:spacing w:after="0" w:line="187" w:lineRule="exact"/>
        <w:rPr>
          <w:sz w:val="20"/>
          <w:szCs w:val="20"/>
          <w:color w:val="auto"/>
        </w:rPr>
      </w:pPr>
    </w:p>
    <w:p>
      <w:pPr>
        <w:jc w:val="both"/>
        <w:ind w:right="20" w:firstLine="648"/>
        <w:spacing w:after="0" w:line="296" w:lineRule="auto"/>
        <w:rPr>
          <w:sz w:val="20"/>
          <w:szCs w:val="20"/>
          <w:color w:val="auto"/>
        </w:rPr>
      </w:pPr>
      <w:r>
        <w:rPr>
          <w:rFonts w:ascii="Arial" w:cs="Arial" w:eastAsia="Arial" w:hAnsi="Arial"/>
          <w:sz w:val="16"/>
          <w:szCs w:val="16"/>
          <w:color w:val="auto"/>
        </w:rPr>
        <w:t>We estimate as of June 30, 2022, a 10% immediate unfavorable change in each of the foreign currency exchange rates to which we are exposed would result in no material change to the net fair value of our foreign currency-denominated instruments identified above because we effectively hedge foreign currency-denominated instruments to minimize exchange rate impacts, which is consistent with our estimate as of December 31, 2021. However, fluctuations in foreign currency exchange rates do affect the translation of segment pre-tax operating earnings and equity of our international operations into our consolidated financial statements.</w:t>
      </w:r>
    </w:p>
    <w:p>
      <w:pPr>
        <w:spacing w:after="0" w:line="161" w:lineRule="exact"/>
        <w:rPr>
          <w:sz w:val="20"/>
          <w:szCs w:val="20"/>
          <w:color w:val="auto"/>
        </w:rPr>
      </w:pPr>
    </w:p>
    <w:p>
      <w:pPr>
        <w:ind w:right="40" w:firstLine="648"/>
        <w:spacing w:after="0" w:line="288" w:lineRule="auto"/>
        <w:rPr>
          <w:sz w:val="20"/>
          <w:szCs w:val="20"/>
          <w:color w:val="auto"/>
        </w:rPr>
      </w:pPr>
      <w:r>
        <w:rPr>
          <w:rFonts w:ascii="Arial" w:cs="Arial" w:eastAsia="Arial" w:hAnsi="Arial"/>
          <w:sz w:val="16"/>
          <w:szCs w:val="16"/>
          <w:color w:val="auto"/>
        </w:rPr>
        <w:t>For our Principal International segment, we estimate that a 10% immediate unfavorable change in each of the foreign currency exchange rates to which we were exposed would have resulted in a $286.3 million, or 10%, reduction in the total equity excluding noncontrolling interests of our international operations as of June 30, 2022, as compared to an estimated $302.9 million, or 10%, reduction as of December 31, 2021. We estimate a 10% unfavorable change in the average foreign currency exchange rates to which we were exposed through our international operations would have resulted in a $10.9 million, or 12%, reduction in segment pre-tax operating earnings of our international operations for the three months ended June 30, 2022, as compared to an estimated $6.6 million, or 14%, reduction for the three months ended June 30, 2021. In addition, we estimate that a 10% unfavorable change in the average foreign currency exchange rates to which we were exposed through our international operations would have resulted in a $18.4 million, or 12%, reduction in segment pre-tax operating earnings of our international operations for the six months ended June 30, 2022, as compared to an estimated $15.9 million, or 13%, reduction for the six months ended June 30, 2021.</w:t>
      </w:r>
    </w:p>
    <w:p>
      <w:pPr>
        <w:spacing w:after="0" w:line="168"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The selection of a 10% immediate unfavorable change in all currency exchange rates should not be construed as a prediction by us of future market events, but rather as an illustration of the potential impact of such an event. These exposures will change as a result of a change in the size and mix of our foreign operations.</w:t>
      </w:r>
    </w:p>
    <w:p>
      <w:pPr>
        <w:spacing w:after="0" w:line="40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540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129" w:name="page130"/>
    <w:bookmarkEnd w:id="129"/>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5" w:lineRule="exact"/>
        <w:rPr>
          <w:sz w:val="20"/>
          <w:szCs w:val="20"/>
          <w:color w:val="auto"/>
        </w:rPr>
      </w:pPr>
    </w:p>
    <w:p>
      <w:pPr>
        <w:ind w:right="100" w:firstLine="648"/>
        <w:spacing w:after="0" w:line="277" w:lineRule="auto"/>
        <w:rPr>
          <w:sz w:val="20"/>
          <w:szCs w:val="20"/>
          <w:color w:val="auto"/>
        </w:rPr>
      </w:pPr>
      <w:r>
        <w:rPr>
          <w:rFonts w:ascii="Arial" w:cs="Arial" w:eastAsia="Arial" w:hAnsi="Arial"/>
          <w:sz w:val="17"/>
          <w:szCs w:val="17"/>
          <w:b w:val="1"/>
          <w:bCs w:val="1"/>
          <w:color w:val="auto"/>
        </w:rPr>
        <w:t xml:space="preserve">Use of Derivatives to Manage Foreign Currency Risk. </w:t>
      </w:r>
      <w:r>
        <w:rPr>
          <w:rFonts w:ascii="Arial" w:cs="Arial" w:eastAsia="Arial" w:hAnsi="Arial"/>
          <w:sz w:val="17"/>
          <w:szCs w:val="17"/>
          <w:color w:val="auto"/>
        </w:rPr>
        <w:t>The foreign currency risk on funding agreements and fixed maturities</w:t>
      </w:r>
      <w:r>
        <w:rPr>
          <w:rFonts w:ascii="Arial" w:cs="Arial" w:eastAsia="Arial" w:hAnsi="Arial"/>
          <w:sz w:val="17"/>
          <w:szCs w:val="17"/>
          <w:b w:val="1"/>
          <w:bCs w:val="1"/>
          <w:color w:val="auto"/>
        </w:rPr>
        <w:t xml:space="preserve"> </w:t>
      </w:r>
      <w:r>
        <w:rPr>
          <w:rFonts w:ascii="Arial" w:cs="Arial" w:eastAsia="Arial" w:hAnsi="Arial"/>
          <w:sz w:val="17"/>
          <w:szCs w:val="17"/>
          <w:color w:val="auto"/>
        </w:rPr>
        <w:t>in our U.S. operations is mitigated by using currency swaps that swap the foreign currency interest and principal payments to our functional currency. We did not have currency swap agreements associated with foreign-denominated liabilities as of June 30, 2022 and December 31, 2021. The notional amount of our currency swap agreements associated with foreign-denominated fixed maturities was $1,141.0 million and $958.9 million as of June 30, 2022 and December 31, 2021, respectively.</w:t>
      </w:r>
    </w:p>
    <w:p>
      <w:pPr>
        <w:spacing w:after="0" w:line="172" w:lineRule="exact"/>
        <w:rPr>
          <w:sz w:val="20"/>
          <w:szCs w:val="20"/>
          <w:color w:val="auto"/>
        </w:rPr>
      </w:pPr>
    </w:p>
    <w:p>
      <w:pPr>
        <w:ind w:right="40" w:firstLine="648"/>
        <w:spacing w:after="0" w:line="255" w:lineRule="auto"/>
        <w:rPr>
          <w:sz w:val="20"/>
          <w:szCs w:val="20"/>
          <w:color w:val="auto"/>
        </w:rPr>
      </w:pPr>
      <w:r>
        <w:rPr>
          <w:rFonts w:ascii="Arial" w:cs="Arial" w:eastAsia="Arial" w:hAnsi="Arial"/>
          <w:sz w:val="18"/>
          <w:szCs w:val="18"/>
          <w:color w:val="auto"/>
        </w:rPr>
        <w:t>With regard to our international operations, in order to enhance the diversification of our investment portfolios we may invest in bonds denominated in a currency that is different than the currency of our liabilities. We use foreign exchange derivatives to economically hedge the currency mismatch. Our Principal International operations had currency swaps with a notional amount of $279.0 million and $283.8 million as of June 30, 2022 and December 31, 2021, respectively. Our Principal International operations also utilized currency forwards with a notional amount of $716.1 million and $721.7 million as of June 30, 2022 and December 31, 2021, respectively.</w:t>
      </w:r>
    </w:p>
    <w:p>
      <w:pPr>
        <w:spacing w:after="0" w:line="192" w:lineRule="exact"/>
        <w:rPr>
          <w:sz w:val="20"/>
          <w:szCs w:val="20"/>
          <w:color w:val="auto"/>
        </w:rPr>
      </w:pPr>
    </w:p>
    <w:p>
      <w:pPr>
        <w:ind w:right="100" w:firstLine="648"/>
        <w:spacing w:after="0" w:line="257" w:lineRule="auto"/>
        <w:rPr>
          <w:sz w:val="20"/>
          <w:szCs w:val="20"/>
          <w:color w:val="auto"/>
        </w:rPr>
      </w:pPr>
      <w:r>
        <w:rPr>
          <w:rFonts w:ascii="Arial" w:cs="Arial" w:eastAsia="Arial" w:hAnsi="Arial"/>
          <w:sz w:val="18"/>
          <w:szCs w:val="18"/>
          <w:color w:val="auto"/>
        </w:rPr>
        <w:t>We use currency forwards to hedge certain foreign-denominated real estate funds in our domestic operations and net equity investments in our foreign operations, including certain sponsored investment funds. We held currency forwards with a notional amount of $347.7 million and $321.9 million as of June 30, 2022 and December 31, 2021, respectively. We have used currency options to hedge currency risk associated with expected cash flows from our foreign operations. No currency options were utilized as of June 30, 2022 or December 31, 2021.</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Equity Risk</w:t>
      </w:r>
    </w:p>
    <w:p>
      <w:pPr>
        <w:spacing w:after="0" w:line="229" w:lineRule="exact"/>
        <w:rPr>
          <w:sz w:val="20"/>
          <w:szCs w:val="20"/>
          <w:color w:val="auto"/>
        </w:rPr>
      </w:pPr>
    </w:p>
    <w:p>
      <w:pPr>
        <w:ind w:right="20" w:firstLine="648"/>
        <w:spacing w:after="0" w:line="279" w:lineRule="auto"/>
        <w:rPr>
          <w:sz w:val="20"/>
          <w:szCs w:val="20"/>
          <w:color w:val="auto"/>
        </w:rPr>
      </w:pPr>
      <w:r>
        <w:rPr>
          <w:rFonts w:ascii="Arial" w:cs="Arial" w:eastAsia="Arial" w:hAnsi="Arial"/>
          <w:sz w:val="17"/>
          <w:szCs w:val="17"/>
          <w:color w:val="auto"/>
        </w:rPr>
        <w:t>Equity risk is the risk we will incur economic losses due to adverse fluctuations in equity markets. As of June 30, 2022 and December 31, 2021, the fair value of our equity securities was $1,699.8 million and $2,347.2 million, respectively. We estimate a 10% decline in the prices of the equity securities would result in a decline in fair value of our equity securities of $170.0 million as of June 30, 2022, as compared to a decline in fair value of our equity securities of $234.7 million as of December 31, 2021.</w:t>
      </w:r>
    </w:p>
    <w:p>
      <w:pPr>
        <w:spacing w:after="0" w:line="171" w:lineRule="exact"/>
        <w:rPr>
          <w:sz w:val="20"/>
          <w:szCs w:val="20"/>
          <w:color w:val="auto"/>
        </w:rPr>
      </w:pPr>
    </w:p>
    <w:p>
      <w:pPr>
        <w:ind w:right="20" w:firstLine="648"/>
        <w:spacing w:after="0" w:line="273" w:lineRule="auto"/>
        <w:rPr>
          <w:sz w:val="20"/>
          <w:szCs w:val="20"/>
          <w:color w:val="auto"/>
        </w:rPr>
      </w:pPr>
      <w:r>
        <w:rPr>
          <w:rFonts w:ascii="Arial" w:cs="Arial" w:eastAsia="Arial" w:hAnsi="Arial"/>
          <w:sz w:val="17"/>
          <w:szCs w:val="17"/>
          <w:color w:val="auto"/>
        </w:rPr>
        <w:t>We are also exposed to the risk that asset-based fees decrease as a result of declines in assets under management due to changes in investment prices and the risk that asset management fees calculated by reference to performance could be lower. The risk of decreased asset-based and asset management fees could also impact our estimates of total gross profits used as a basis for amortizing DAC and other actuarial balances. For further discussion, see Item 7. “Management’s Discussion and Analysis of Financial Condition and Results of Operations — Critical Accounting Policies and Estimates — Deferred Acquisition Costs and Other Actuarial Balances” in our Annual Report on Form 10-K for the year ended December 31, 2021.</w:t>
      </w:r>
    </w:p>
    <w:p>
      <w:pPr>
        <w:spacing w:after="0" w:line="178" w:lineRule="exact"/>
        <w:rPr>
          <w:sz w:val="20"/>
          <w:szCs w:val="20"/>
          <w:color w:val="auto"/>
        </w:rPr>
      </w:pPr>
    </w:p>
    <w:p>
      <w:pPr>
        <w:ind w:right="40" w:firstLine="648"/>
        <w:spacing w:after="0" w:line="270" w:lineRule="auto"/>
        <w:rPr>
          <w:sz w:val="20"/>
          <w:szCs w:val="20"/>
          <w:color w:val="auto"/>
        </w:rPr>
      </w:pPr>
      <w:r>
        <w:rPr>
          <w:rFonts w:ascii="Arial" w:cs="Arial" w:eastAsia="Arial" w:hAnsi="Arial"/>
          <w:sz w:val="17"/>
          <w:szCs w:val="17"/>
          <w:color w:val="auto"/>
        </w:rPr>
        <w:t>We also have equity risk associated with (1) fixed deferred annuity and universal life contracts that credit interest to customers based on changes in an external equity index; (2) variable annuity contracts that have a GMWB rider that allows the customer to make withdrawals of a specified annual amount, either for a fixed number of years or for the lifetime of the customer, even if the account value is reduced to zero; (3) variable annuity contracts that have a guaranteed minimum death benefit (“GMDB”) that allows the death benefit to be paid, even if the account value has fallen below the GMDB amount and (4) investment contracts in which the return is subject to minimum contractual guarantees. We are also subject to equity risk based upon the assets that support our employee benefit plans. For further discussion of equity risk associated with these plans, see Item 7. “Management’s Discussion and Analysis of Financial Condition and Results of Operations — Critical Accounting Policies and Estimates — Benefit Plans” in our Annual Report on Form 10-K for the year ended December 31, 2021.</w:t>
      </w:r>
    </w:p>
    <w:p>
      <w:pPr>
        <w:spacing w:after="0" w:line="181"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We estimate an immediate 10% decline in the S&amp;P 500 index, followed by a 2% per quarter increase would reduce our annual segment pre-tax operating earnings by approximately 5% to 8% over the next 12 months. This estimate excludes the impact of any potential unlocking of our DAC asset and other actuarial balances. The selection of a 10% unfavorable change in the S&amp;P 500 index should not be construed as a prediction by us of future market events, but rather as an illustration of the potential impact of such an event. Our exposure will change as a result of changes in our mix of business.</w:t>
      </w:r>
    </w:p>
    <w:p>
      <w:pPr>
        <w:spacing w:after="0" w:line="200" w:lineRule="exact"/>
        <w:rPr>
          <w:sz w:val="20"/>
          <w:szCs w:val="20"/>
          <w:color w:val="auto"/>
        </w:rPr>
      </w:pPr>
    </w:p>
    <w:p>
      <w:pPr>
        <w:spacing w:after="0" w:line="20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540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130" w:name="page131"/>
    <w:bookmarkEnd w:id="130"/>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9" w:lineRule="exact"/>
        <w:rPr>
          <w:sz w:val="20"/>
          <w:szCs w:val="20"/>
          <w:color w:val="auto"/>
        </w:rPr>
      </w:pPr>
    </w:p>
    <w:p>
      <w:pPr>
        <w:ind w:right="160" w:firstLine="648"/>
        <w:spacing w:after="0" w:line="289" w:lineRule="auto"/>
        <w:rPr>
          <w:sz w:val="20"/>
          <w:szCs w:val="20"/>
          <w:color w:val="auto"/>
        </w:rPr>
      </w:pPr>
      <w:r>
        <w:rPr>
          <w:rFonts w:ascii="Arial" w:cs="Arial" w:eastAsia="Arial" w:hAnsi="Arial"/>
          <w:sz w:val="16"/>
          <w:szCs w:val="16"/>
          <w:color w:val="auto"/>
        </w:rPr>
        <w:t>Separate and distinct from our equity risk associated with a decline in the S&amp;P index, we also have equity risk associated with certain alternative investments. These investments are comprised of several asset categories (including hedge funds, private equity, infrastructure and direct lending) that provide an attractive asset match to our long-dated liabilities and create diversification benefits to our fixed income investments. The risk profile of these investments is actively monitored by our Investment Committee and our corporate risk management function. Changes in the value of these investments will impact earnings. We estimate an immediate 10% decline in the value of those assets, followed by a 2% per quarter increase would reduce our annual segment pre-tax operating earnings by less than 7%. This estimate excludes the impact of any potential unlocking of our DAC asset and other actuarial balances. The selection of a 10% unfavorable change in the value of those assets should not be construed as a prediction of future market events, but rather as an illustration of the potential impact of such a decline in value of those assets.</w:t>
      </w:r>
    </w:p>
    <w:p>
      <w:pPr>
        <w:spacing w:after="0" w:line="162" w:lineRule="exact"/>
        <w:rPr>
          <w:sz w:val="20"/>
          <w:szCs w:val="20"/>
          <w:color w:val="auto"/>
        </w:rPr>
      </w:pPr>
    </w:p>
    <w:p>
      <w:pPr>
        <w:ind w:right="60" w:firstLine="648"/>
        <w:spacing w:after="0" w:line="272" w:lineRule="auto"/>
        <w:rPr>
          <w:sz w:val="20"/>
          <w:szCs w:val="20"/>
          <w:color w:val="auto"/>
        </w:rPr>
      </w:pPr>
      <w:r>
        <w:rPr>
          <w:rFonts w:ascii="Arial" w:cs="Arial" w:eastAsia="Arial" w:hAnsi="Arial"/>
          <w:sz w:val="17"/>
          <w:szCs w:val="17"/>
          <w:b w:val="1"/>
          <w:bCs w:val="1"/>
          <w:color w:val="auto"/>
        </w:rPr>
        <w:t xml:space="preserve">Use of Derivatives to Manage Equity Risk. </w:t>
      </w:r>
      <w:r>
        <w:rPr>
          <w:rFonts w:ascii="Arial" w:cs="Arial" w:eastAsia="Arial" w:hAnsi="Arial"/>
          <w:sz w:val="17"/>
          <w:szCs w:val="17"/>
          <w:color w:val="auto"/>
        </w:rPr>
        <w:t>We economically hedge the fixed deferred annuity and universal life products,</w:t>
      </w:r>
      <w:r>
        <w:rPr>
          <w:rFonts w:ascii="Arial" w:cs="Arial" w:eastAsia="Arial" w:hAnsi="Arial"/>
          <w:sz w:val="17"/>
          <w:szCs w:val="17"/>
          <w:b w:val="1"/>
          <w:bCs w:val="1"/>
          <w:color w:val="auto"/>
        </w:rPr>
        <w:t xml:space="preserve"> </w:t>
      </w:r>
      <w:r>
        <w:rPr>
          <w:rFonts w:ascii="Arial" w:cs="Arial" w:eastAsia="Arial" w:hAnsi="Arial"/>
          <w:sz w:val="17"/>
          <w:szCs w:val="17"/>
          <w:color w:val="auto"/>
        </w:rPr>
        <w:t>where the interest credited is linked to an external equity index, by purchasing options that match the product’s profile or selling options to offset existing exposures. We economically hedged the GMWB exposure, which includes interest rate risk and equity risk, using futures, options, treasury forwards and interest rate swaps with notional amounts of $1,596.6 million, $1,659.2 million, $2,181.6 million, and $4,294.1 million, respectively, as of June 30, 2022, and notional amounts of $1,924.9 million, $1,699.6 million, $2,181.6 million, and $4,577.1 million, respectively, as of December 31, 2021. The fair value of both the GMWB embedded derivative and associated hedging instruments are sensitive to financial market conditions and the variance related to the change in fair value of these items for a given period is largely dependent on market conditions at the end of the period.</w:t>
      </w:r>
    </w:p>
    <w:p>
      <w:pPr>
        <w:spacing w:after="0" w:line="1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Controls and Procedures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Disclosure Controls and Procedures</w:t>
      </w:r>
    </w:p>
    <w:p>
      <w:pPr>
        <w:spacing w:after="0" w:line="229" w:lineRule="exact"/>
        <w:rPr>
          <w:sz w:val="20"/>
          <w:szCs w:val="20"/>
          <w:color w:val="auto"/>
        </w:rPr>
      </w:pPr>
    </w:p>
    <w:p>
      <w:pPr>
        <w:ind w:right="40" w:firstLine="648"/>
        <w:spacing w:after="0" w:line="275" w:lineRule="auto"/>
        <w:rPr>
          <w:sz w:val="20"/>
          <w:szCs w:val="20"/>
          <w:color w:val="auto"/>
        </w:rPr>
      </w:pPr>
      <w:r>
        <w:rPr>
          <w:rFonts w:ascii="Arial" w:cs="Arial" w:eastAsia="Arial" w:hAnsi="Arial"/>
          <w:sz w:val="17"/>
          <w:szCs w:val="17"/>
          <w:color w:val="auto"/>
        </w:rPr>
        <w:t>In order to ensure that the information that we must disclose in our filings with the SEC is recorded, processed, summarized and reported on a timely basis, we have adopted disclosure controls and procedures. Disclosure controls and procedures include, without limitation, controls and procedures designed to ensure that information required to be disclosed by us in the reports that we file with or submit to the SEC is accumulated and communicated to our management, including our Chief Executive Officer and Chief Financial Officer, as appropriate, to allow timely decisions regarding required disclosure.</w:t>
      </w:r>
    </w:p>
    <w:p>
      <w:pPr>
        <w:spacing w:after="0" w:line="176" w:lineRule="exact"/>
        <w:rPr>
          <w:sz w:val="20"/>
          <w:szCs w:val="20"/>
          <w:color w:val="auto"/>
        </w:rPr>
      </w:pPr>
    </w:p>
    <w:p>
      <w:pPr>
        <w:ind w:right="40" w:firstLine="648"/>
        <w:spacing w:after="0" w:line="263" w:lineRule="auto"/>
        <w:rPr>
          <w:sz w:val="20"/>
          <w:szCs w:val="20"/>
          <w:color w:val="auto"/>
        </w:rPr>
      </w:pPr>
      <w:r>
        <w:rPr>
          <w:rFonts w:ascii="Arial" w:cs="Arial" w:eastAsia="Arial" w:hAnsi="Arial"/>
          <w:sz w:val="18"/>
          <w:szCs w:val="18"/>
          <w:color w:val="auto"/>
        </w:rPr>
        <w:t>Our Chief Executive Officer, Daniel J. Houston, and our Chief Financial Officer, Deanna D. Strable-Soethout, have reviewed and evaluated our disclosure controls and procedures as of June 30, 2022, and have concluded our disclosure controls and procedures are effective.</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Internal Control Over Financial Reporting</w:t>
      </w:r>
    </w:p>
    <w:p>
      <w:pPr>
        <w:spacing w:after="0" w:line="229" w:lineRule="exact"/>
        <w:rPr>
          <w:sz w:val="20"/>
          <w:szCs w:val="20"/>
          <w:color w:val="auto"/>
        </w:rPr>
      </w:pPr>
    </w:p>
    <w:p>
      <w:pPr>
        <w:ind w:right="100" w:firstLine="648"/>
        <w:spacing w:after="0" w:line="277" w:lineRule="auto"/>
        <w:rPr>
          <w:sz w:val="20"/>
          <w:szCs w:val="20"/>
          <w:color w:val="auto"/>
        </w:rPr>
      </w:pPr>
      <w:r>
        <w:rPr>
          <w:rFonts w:ascii="Arial" w:cs="Arial" w:eastAsia="Arial" w:hAnsi="Arial"/>
          <w:sz w:val="18"/>
          <w:szCs w:val="18"/>
          <w:color w:val="auto"/>
        </w:rPr>
        <w:t>We had no change in our internal control over financial reporting during our last fiscal quarter that has materially affected, or is reasonably likely to materially affect, our internal control over financial reporting.</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II — OTHER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Legal Proceedings</w:t>
      </w:r>
    </w:p>
    <w:p>
      <w:pPr>
        <w:spacing w:after="0" w:line="229" w:lineRule="exact"/>
        <w:rPr>
          <w:sz w:val="20"/>
          <w:szCs w:val="20"/>
          <w:color w:val="auto"/>
        </w:rPr>
      </w:pPr>
    </w:p>
    <w:p>
      <w:pPr>
        <w:ind w:right="180" w:firstLine="648"/>
        <w:spacing w:after="0" w:line="263" w:lineRule="auto"/>
        <w:rPr>
          <w:sz w:val="20"/>
          <w:szCs w:val="20"/>
          <w:color w:val="auto"/>
        </w:rPr>
      </w:pPr>
      <w:r>
        <w:rPr>
          <w:rFonts w:ascii="Arial" w:cs="Arial" w:eastAsia="Arial" w:hAnsi="Arial"/>
          <w:sz w:val="18"/>
          <w:szCs w:val="18"/>
          <w:color w:val="auto"/>
        </w:rPr>
        <w:t>Disclosure concerning legal proceedings can be found in Part I, Item 1. “Financial Statements, Notes to Unaudited Condensed Consolidated Financial Statements, Note 10, Contingencies, Guarantees and Indemnifications” under the caption, “Litigation and Regulatory Contingencies,” which is incorporated here by this reference.</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1A. Risk Factors</w:t>
      </w:r>
    </w:p>
    <w:p>
      <w:pPr>
        <w:spacing w:after="0" w:line="229" w:lineRule="exact"/>
        <w:rPr>
          <w:sz w:val="20"/>
          <w:szCs w:val="20"/>
          <w:color w:val="auto"/>
        </w:rPr>
      </w:pPr>
    </w:p>
    <w:p>
      <w:pPr>
        <w:ind w:firstLine="648"/>
        <w:spacing w:after="0" w:line="275" w:lineRule="auto"/>
        <w:rPr>
          <w:sz w:val="20"/>
          <w:szCs w:val="20"/>
          <w:color w:val="auto"/>
        </w:rPr>
      </w:pPr>
      <w:r>
        <w:rPr>
          <w:rFonts w:ascii="Arial" w:cs="Arial" w:eastAsia="Arial" w:hAnsi="Arial"/>
          <w:sz w:val="17"/>
          <w:szCs w:val="17"/>
          <w:color w:val="auto"/>
        </w:rPr>
        <w:t>In addition to the other information set forth in this report, consideration should be given to the factors discussed in Part I, Item 1A. “Risk Factors” in our Annual Report on Form 10-K for the year ended December 31, 2021. If any of those factors were to occur, they could materially adversely affect our business, financial condition or future results, and could cause actual results to differ materially from those expressed in forward-looking statements in this report. We have not had material changes with respect to the risk factors discussed in our Annual Report on Form 10-K for the year ended December 31, 2021.</w:t>
      </w:r>
    </w:p>
    <w:p>
      <w:pPr>
        <w:sectPr>
          <w:pgSz w:w="11900" w:h="16838" w:orient="portrait"/>
          <w:cols w:equalWidth="0" w:num="1">
            <w:col w:w="9920"/>
          </w:cols>
          <w:pgMar w:left="980" w:top="665" w:right="99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372110</wp:posOffset>
            </wp:positionV>
            <wp:extent cx="6292215" cy="26035"/>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type w:val="continuous"/>
        </w:sectPr>
      </w:pPr>
    </w:p>
    <w:bookmarkStart w:id="131" w:name="page132"/>
    <w:bookmarkEnd w:id="131"/>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Unregistered Sales of Equity Securities and Use of Proceeds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Issuer Purchases of Equity Securities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presents the amount of our common share purchase activity for the periods indicated.</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480" w:type="dxa"/>
            <w:vAlign w:val="bottom"/>
          </w:tcPr>
          <w:p>
            <w:pPr>
              <w:spacing w:after="0"/>
              <w:rPr>
                <w:sz w:val="14"/>
                <w:szCs w:val="14"/>
                <w:color w:val="auto"/>
              </w:rPr>
            </w:pPr>
          </w:p>
        </w:tc>
        <w:tc>
          <w:tcPr>
            <w:tcW w:w="2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1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2"/>
              </w:rPr>
              <w:t>Total number of</w:t>
            </w:r>
          </w:p>
        </w:tc>
        <w:tc>
          <w:tcPr>
            <w:tcW w:w="160" w:type="dxa"/>
            <w:vAlign w:val="bottom"/>
          </w:tcPr>
          <w:p>
            <w:pPr>
              <w:spacing w:after="0"/>
              <w:rPr>
                <w:sz w:val="14"/>
                <w:szCs w:val="14"/>
                <w:color w:val="auto"/>
              </w:rPr>
            </w:pPr>
          </w:p>
        </w:tc>
        <w:tc>
          <w:tcPr>
            <w:tcW w:w="1120" w:type="dxa"/>
            <w:vAlign w:val="bottom"/>
            <w:gridSpan w:val="2"/>
          </w:tcPr>
          <w:p>
            <w:pPr>
              <w:jc w:val="center"/>
              <w:spacing w:after="0"/>
              <w:rPr>
                <w:sz w:val="20"/>
                <w:szCs w:val="20"/>
                <w:color w:val="auto"/>
              </w:rPr>
            </w:pPr>
            <w:r>
              <w:rPr>
                <w:rFonts w:ascii="Arial" w:cs="Arial" w:eastAsia="Arial" w:hAnsi="Arial"/>
                <w:sz w:val="14"/>
                <w:szCs w:val="14"/>
                <w:b w:val="1"/>
                <w:bCs w:val="1"/>
                <w:color w:val="auto"/>
                <w:w w:val="97"/>
              </w:rPr>
              <w:t>Maximum dollar</w:t>
            </w:r>
          </w:p>
        </w:tc>
        <w:tc>
          <w:tcPr>
            <w:tcW w:w="0" w:type="dxa"/>
            <w:vAlign w:val="bottom"/>
          </w:tcPr>
          <w:p>
            <w:pPr>
              <w:spacing w:after="0"/>
              <w:rPr>
                <w:sz w:val="1"/>
                <w:szCs w:val="1"/>
                <w:color w:val="auto"/>
              </w:rPr>
            </w:pPr>
          </w:p>
        </w:tc>
      </w:tr>
      <w:tr>
        <w:trPr>
          <w:trHeight w:val="148"/>
        </w:trPr>
        <w:tc>
          <w:tcPr>
            <w:tcW w:w="2480" w:type="dxa"/>
            <w:vAlign w:val="bottom"/>
          </w:tcPr>
          <w:p>
            <w:pPr>
              <w:spacing w:after="0"/>
              <w:rPr>
                <w:sz w:val="12"/>
                <w:szCs w:val="12"/>
                <w:color w:val="auto"/>
              </w:rPr>
            </w:pPr>
          </w:p>
        </w:tc>
        <w:tc>
          <w:tcPr>
            <w:tcW w:w="2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140" w:type="dxa"/>
            <w:vAlign w:val="bottom"/>
            <w:vMerge w:val="continue"/>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tcPr>
          <w:p>
            <w:pPr>
              <w:jc w:val="center"/>
              <w:ind w:right="15"/>
              <w:spacing w:after="0" w:line="149" w:lineRule="exact"/>
              <w:rPr>
                <w:sz w:val="20"/>
                <w:szCs w:val="20"/>
                <w:color w:val="auto"/>
              </w:rPr>
            </w:pPr>
            <w:r>
              <w:rPr>
                <w:rFonts w:ascii="Arial" w:cs="Arial" w:eastAsia="Arial" w:hAnsi="Arial"/>
                <w:sz w:val="14"/>
                <w:szCs w:val="14"/>
                <w:b w:val="1"/>
                <w:bCs w:val="1"/>
                <w:color w:val="auto"/>
                <w:w w:val="90"/>
              </w:rPr>
              <w:t>value of shares</w:t>
            </w:r>
          </w:p>
        </w:tc>
        <w:tc>
          <w:tcPr>
            <w:tcW w:w="0" w:type="dxa"/>
            <w:vAlign w:val="bottom"/>
          </w:tcPr>
          <w:p>
            <w:pPr>
              <w:spacing w:after="0"/>
              <w:rPr>
                <w:sz w:val="1"/>
                <w:szCs w:val="1"/>
                <w:color w:val="auto"/>
              </w:rPr>
            </w:pPr>
          </w:p>
        </w:tc>
      </w:tr>
      <w:tr>
        <w:trPr>
          <w:trHeight w:val="148"/>
        </w:trPr>
        <w:tc>
          <w:tcPr>
            <w:tcW w:w="2480" w:type="dxa"/>
            <w:vAlign w:val="bottom"/>
          </w:tcPr>
          <w:p>
            <w:pPr>
              <w:spacing w:after="0"/>
              <w:rPr>
                <w:sz w:val="12"/>
                <w:szCs w:val="12"/>
                <w:color w:val="auto"/>
              </w:rPr>
            </w:pPr>
          </w:p>
        </w:tc>
        <w:tc>
          <w:tcPr>
            <w:tcW w:w="2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4"/>
              </w:rPr>
              <w:t>Total number of</w:t>
            </w:r>
          </w:p>
        </w:tc>
        <w:tc>
          <w:tcPr>
            <w:tcW w:w="3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vMerge w:val="restart"/>
          </w:tcPr>
          <w:p>
            <w:pPr>
              <w:jc w:val="center"/>
              <w:ind w:right="36"/>
              <w:spacing w:after="0"/>
              <w:rPr>
                <w:sz w:val="20"/>
                <w:szCs w:val="20"/>
                <w:color w:val="auto"/>
              </w:rPr>
            </w:pPr>
            <w:r>
              <w:rPr>
                <w:rFonts w:ascii="Arial" w:cs="Arial" w:eastAsia="Arial" w:hAnsi="Arial"/>
                <w:sz w:val="14"/>
                <w:szCs w:val="14"/>
                <w:b w:val="1"/>
                <w:bCs w:val="1"/>
                <w:color w:val="auto"/>
                <w:w w:val="90"/>
              </w:rPr>
              <w:t>Average</w:t>
            </w:r>
          </w:p>
        </w:tc>
        <w:tc>
          <w:tcPr>
            <w:tcW w:w="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1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shares purchased</w:t>
            </w:r>
          </w:p>
        </w:tc>
        <w:tc>
          <w:tcPr>
            <w:tcW w:w="160" w:type="dxa"/>
            <w:vAlign w:val="bottom"/>
          </w:tcPr>
          <w:p>
            <w:pPr>
              <w:spacing w:after="0"/>
              <w:rPr>
                <w:sz w:val="12"/>
                <w:szCs w:val="12"/>
                <w:color w:val="auto"/>
              </w:rPr>
            </w:pPr>
          </w:p>
        </w:tc>
        <w:tc>
          <w:tcPr>
            <w:tcW w:w="112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4"/>
              </w:rPr>
              <w:t>that may yet be</w:t>
            </w:r>
          </w:p>
        </w:tc>
        <w:tc>
          <w:tcPr>
            <w:tcW w:w="0" w:type="dxa"/>
            <w:vAlign w:val="bottom"/>
          </w:tcPr>
          <w:p>
            <w:pPr>
              <w:spacing w:after="0"/>
              <w:rPr>
                <w:sz w:val="1"/>
                <w:szCs w:val="1"/>
                <w:color w:val="auto"/>
              </w:rPr>
            </w:pPr>
          </w:p>
        </w:tc>
      </w:tr>
      <w:tr>
        <w:trPr>
          <w:trHeight w:val="148"/>
        </w:trPr>
        <w:tc>
          <w:tcPr>
            <w:tcW w:w="2480" w:type="dxa"/>
            <w:vAlign w:val="bottom"/>
          </w:tcPr>
          <w:p>
            <w:pPr>
              <w:spacing w:after="0"/>
              <w:rPr>
                <w:sz w:val="12"/>
                <w:szCs w:val="12"/>
                <w:color w:val="auto"/>
              </w:rPr>
            </w:pPr>
          </w:p>
        </w:tc>
        <w:tc>
          <w:tcPr>
            <w:tcW w:w="2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20" w:type="dxa"/>
            <w:vAlign w:val="bottom"/>
            <w:vMerge w:val="continue"/>
          </w:tcPr>
          <w:p>
            <w:pPr>
              <w:spacing w:after="0"/>
              <w:rPr>
                <w:sz w:val="12"/>
                <w:szCs w:val="12"/>
                <w:color w:val="auto"/>
              </w:rPr>
            </w:pPr>
          </w:p>
        </w:tc>
        <w:tc>
          <w:tcPr>
            <w:tcW w:w="3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1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as part of publicly</w:t>
            </w:r>
          </w:p>
        </w:tc>
        <w:tc>
          <w:tcPr>
            <w:tcW w:w="160" w:type="dxa"/>
            <w:vAlign w:val="bottom"/>
          </w:tcPr>
          <w:p>
            <w:pPr>
              <w:spacing w:after="0"/>
              <w:rPr>
                <w:sz w:val="12"/>
                <w:szCs w:val="12"/>
                <w:color w:val="auto"/>
              </w:rPr>
            </w:pPr>
          </w:p>
        </w:tc>
        <w:tc>
          <w:tcPr>
            <w:tcW w:w="112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1"/>
              </w:rPr>
              <w:t>purchased under</w:t>
            </w:r>
          </w:p>
        </w:tc>
        <w:tc>
          <w:tcPr>
            <w:tcW w:w="0" w:type="dxa"/>
            <w:vAlign w:val="bottom"/>
          </w:tcPr>
          <w:p>
            <w:pPr>
              <w:spacing w:after="0"/>
              <w:rPr>
                <w:sz w:val="1"/>
                <w:szCs w:val="1"/>
                <w:color w:val="auto"/>
              </w:rPr>
            </w:pPr>
          </w:p>
        </w:tc>
      </w:tr>
      <w:tr>
        <w:trPr>
          <w:trHeight w:val="148"/>
        </w:trPr>
        <w:tc>
          <w:tcPr>
            <w:tcW w:w="476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Period</w:t>
            </w:r>
          </w:p>
        </w:tc>
        <w:tc>
          <w:tcPr>
            <w:tcW w:w="10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4"/>
              </w:rPr>
              <w:t>shares</w:t>
            </w:r>
          </w:p>
        </w:tc>
        <w:tc>
          <w:tcPr>
            <w:tcW w:w="3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tcPr>
          <w:p>
            <w:pPr>
              <w:jc w:val="center"/>
              <w:ind w:right="36"/>
              <w:spacing w:after="0" w:line="149" w:lineRule="exact"/>
              <w:rPr>
                <w:sz w:val="20"/>
                <w:szCs w:val="20"/>
                <w:color w:val="auto"/>
              </w:rPr>
            </w:pPr>
            <w:r>
              <w:rPr>
                <w:rFonts w:ascii="Arial" w:cs="Arial" w:eastAsia="Arial" w:hAnsi="Arial"/>
                <w:sz w:val="14"/>
                <w:szCs w:val="14"/>
                <w:b w:val="1"/>
                <w:bCs w:val="1"/>
                <w:color w:val="auto"/>
                <w:w w:val="93"/>
              </w:rPr>
              <w:t>price paid</w:t>
            </w:r>
          </w:p>
        </w:tc>
        <w:tc>
          <w:tcPr>
            <w:tcW w:w="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1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announced</w:t>
            </w:r>
          </w:p>
        </w:tc>
        <w:tc>
          <w:tcPr>
            <w:tcW w:w="160" w:type="dxa"/>
            <w:vAlign w:val="bottom"/>
          </w:tcPr>
          <w:p>
            <w:pPr>
              <w:spacing w:after="0"/>
              <w:rPr>
                <w:sz w:val="12"/>
                <w:szCs w:val="12"/>
                <w:color w:val="auto"/>
              </w:rPr>
            </w:pPr>
          </w:p>
        </w:tc>
        <w:tc>
          <w:tcPr>
            <w:tcW w:w="112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4"/>
              </w:rPr>
              <w:t>the programs (in</w:t>
            </w:r>
          </w:p>
        </w:tc>
        <w:tc>
          <w:tcPr>
            <w:tcW w:w="0" w:type="dxa"/>
            <w:vAlign w:val="bottom"/>
          </w:tcPr>
          <w:p>
            <w:pPr>
              <w:spacing w:after="0"/>
              <w:rPr>
                <w:sz w:val="1"/>
                <w:szCs w:val="1"/>
                <w:color w:val="auto"/>
              </w:rPr>
            </w:pPr>
          </w:p>
        </w:tc>
      </w:tr>
      <w:tr>
        <w:trPr>
          <w:trHeight w:val="171"/>
        </w:trPr>
        <w:tc>
          <w:tcPr>
            <w:tcW w:w="4760" w:type="dxa"/>
            <w:vAlign w:val="bottom"/>
            <w:gridSpan w:val="3"/>
            <w:vMerge w:val="continue"/>
          </w:tcPr>
          <w:p>
            <w:pPr>
              <w:spacing w:after="0"/>
              <w:rPr>
                <w:sz w:val="14"/>
                <w:szCs w:val="14"/>
                <w:color w:val="auto"/>
              </w:rPr>
            </w:pPr>
          </w:p>
        </w:tc>
        <w:tc>
          <w:tcPr>
            <w:tcW w:w="1020" w:type="dxa"/>
            <w:vAlign w:val="bottom"/>
          </w:tcPr>
          <w:p>
            <w:pPr>
              <w:jc w:val="center"/>
              <w:spacing w:after="0"/>
              <w:rPr>
                <w:sz w:val="20"/>
                <w:szCs w:val="20"/>
                <w:color w:val="auto"/>
              </w:rPr>
            </w:pPr>
            <w:r>
              <w:rPr>
                <w:rFonts w:ascii="Arial" w:cs="Arial" w:eastAsia="Arial" w:hAnsi="Arial"/>
                <w:sz w:val="14"/>
                <w:szCs w:val="14"/>
                <w:b w:val="1"/>
                <w:bCs w:val="1"/>
                <w:color w:val="auto"/>
                <w:w w:val="91"/>
              </w:rPr>
              <w:t>purchased (1)</w:t>
            </w:r>
          </w:p>
        </w:tc>
        <w:tc>
          <w:tcPr>
            <w:tcW w:w="3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00" w:type="dxa"/>
            <w:vAlign w:val="bottom"/>
          </w:tcPr>
          <w:p>
            <w:pPr>
              <w:jc w:val="center"/>
              <w:ind w:right="36"/>
              <w:spacing w:after="0"/>
              <w:rPr>
                <w:sz w:val="20"/>
                <w:szCs w:val="20"/>
                <w:color w:val="auto"/>
              </w:rPr>
            </w:pPr>
            <w:r>
              <w:rPr>
                <w:rFonts w:ascii="Arial" w:cs="Arial" w:eastAsia="Arial" w:hAnsi="Arial"/>
                <w:sz w:val="14"/>
                <w:szCs w:val="14"/>
                <w:b w:val="1"/>
                <w:bCs w:val="1"/>
                <w:color w:val="auto"/>
                <w:w w:val="91"/>
              </w:rPr>
              <w:t>per share</w:t>
            </w:r>
          </w:p>
        </w:tc>
        <w:tc>
          <w:tcPr>
            <w:tcW w:w="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140" w:type="dxa"/>
            <w:vAlign w:val="bottom"/>
          </w:tcPr>
          <w:p>
            <w:pPr>
              <w:jc w:val="center"/>
              <w:spacing w:after="0"/>
              <w:rPr>
                <w:sz w:val="20"/>
                <w:szCs w:val="20"/>
                <w:color w:val="auto"/>
              </w:rPr>
            </w:pPr>
            <w:r>
              <w:rPr>
                <w:rFonts w:ascii="Arial" w:cs="Arial" w:eastAsia="Arial" w:hAnsi="Arial"/>
                <w:sz w:val="14"/>
                <w:szCs w:val="14"/>
                <w:b w:val="1"/>
                <w:bCs w:val="1"/>
                <w:color w:val="auto"/>
                <w:w w:val="89"/>
              </w:rPr>
              <w:t>programs</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20" w:type="dxa"/>
            <w:vAlign w:val="bottom"/>
          </w:tcPr>
          <w:p>
            <w:pPr>
              <w:jc w:val="center"/>
              <w:ind w:right="35"/>
              <w:spacing w:after="0"/>
              <w:rPr>
                <w:sz w:val="20"/>
                <w:szCs w:val="20"/>
                <w:color w:val="auto"/>
              </w:rPr>
            </w:pPr>
            <w:r>
              <w:rPr>
                <w:rFonts w:ascii="Arial" w:cs="Arial" w:eastAsia="Arial" w:hAnsi="Arial"/>
                <w:sz w:val="14"/>
                <w:szCs w:val="14"/>
                <w:b w:val="1"/>
                <w:bCs w:val="1"/>
                <w:color w:val="auto"/>
                <w:w w:val="94"/>
              </w:rPr>
              <w:t>millions) (2)</w:t>
            </w:r>
          </w:p>
        </w:tc>
        <w:tc>
          <w:tcPr>
            <w:tcW w:w="0" w:type="dxa"/>
            <w:vAlign w:val="bottom"/>
          </w:tcPr>
          <w:p>
            <w:pPr>
              <w:spacing w:after="0"/>
              <w:rPr>
                <w:sz w:val="1"/>
                <w:szCs w:val="1"/>
                <w:color w:val="auto"/>
              </w:rPr>
            </w:pPr>
          </w:p>
        </w:tc>
      </w:tr>
      <w:tr>
        <w:trPr>
          <w:trHeight w:val="209"/>
        </w:trPr>
        <w:tc>
          <w:tcPr>
            <w:tcW w:w="4600" w:type="dxa"/>
            <w:vAlign w:val="bottom"/>
            <w:tcBorders>
              <w:top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January 1, 2022 — January 31, 2022</w:t>
            </w:r>
          </w:p>
        </w:tc>
        <w:tc>
          <w:tcPr>
            <w:tcW w:w="160" w:type="dxa"/>
            <w:vAlign w:val="bottom"/>
            <w:tcBorders>
              <w:top w:val="single" w:sz="8" w:color="CCEEFF"/>
            </w:tcBorders>
            <w:shd w:val="clear" w:color="auto" w:fill="CCEEFF"/>
          </w:tcPr>
          <w:p>
            <w:pPr>
              <w:spacing w:after="0"/>
              <w:rPr>
                <w:sz w:val="18"/>
                <w:szCs w:val="18"/>
                <w:color w:val="auto"/>
              </w:rPr>
            </w:pPr>
          </w:p>
        </w:tc>
        <w:tc>
          <w:tcPr>
            <w:tcW w:w="10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826,763</w:t>
            </w:r>
          </w:p>
        </w:tc>
        <w:tc>
          <w:tcPr>
            <w:tcW w:w="32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ind w:right="7"/>
              <w:spacing w:after="0"/>
              <w:rPr>
                <w:sz w:val="20"/>
                <w:szCs w:val="20"/>
                <w:color w:val="auto"/>
              </w:rPr>
            </w:pPr>
            <w:r>
              <w:rPr>
                <w:rFonts w:ascii="Arial" w:cs="Arial" w:eastAsia="Arial" w:hAnsi="Arial"/>
                <w:sz w:val="15"/>
                <w:szCs w:val="15"/>
                <w:b w:val="1"/>
                <w:bCs w:val="1"/>
                <w:color w:val="auto"/>
                <w:w w:val="71"/>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74.04</w:t>
            </w:r>
          </w:p>
        </w:tc>
        <w:tc>
          <w:tcPr>
            <w:tcW w:w="40" w:type="dxa"/>
            <w:vAlign w:val="bottom"/>
            <w:tcBorders>
              <w:top w:val="single" w:sz="8" w:color="auto"/>
            </w:tcBorders>
            <w:shd w:val="clear" w:color="auto" w:fill="CCEEFF"/>
          </w:tcPr>
          <w:p>
            <w:pPr>
              <w:spacing w:after="0"/>
              <w:rPr>
                <w:sz w:val="18"/>
                <w:szCs w:val="18"/>
                <w:color w:val="auto"/>
              </w:rPr>
            </w:pPr>
          </w:p>
        </w:tc>
        <w:tc>
          <w:tcPr>
            <w:tcW w:w="300" w:type="dxa"/>
            <w:vAlign w:val="bottom"/>
            <w:tcBorders>
              <w:top w:val="single" w:sz="8" w:color="CCEEFF"/>
            </w:tcBorders>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800,656</w:t>
            </w:r>
          </w:p>
        </w:tc>
        <w:tc>
          <w:tcPr>
            <w:tcW w:w="16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10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2,595.1</w:t>
            </w:r>
          </w:p>
        </w:tc>
        <w:tc>
          <w:tcPr>
            <w:tcW w:w="0" w:type="dxa"/>
            <w:vAlign w:val="bottom"/>
          </w:tcPr>
          <w:p>
            <w:pPr>
              <w:spacing w:after="0"/>
              <w:rPr>
                <w:sz w:val="1"/>
                <w:szCs w:val="1"/>
                <w:color w:val="auto"/>
              </w:rPr>
            </w:pPr>
          </w:p>
        </w:tc>
      </w:tr>
      <w:tr>
        <w:trPr>
          <w:trHeight w:val="216"/>
        </w:trPr>
        <w:tc>
          <w:tcPr>
            <w:tcW w:w="4760" w:type="dxa"/>
            <w:vAlign w:val="bottom"/>
            <w:gridSpan w:val="3"/>
          </w:tcPr>
          <w:p>
            <w:pPr>
              <w:spacing w:after="0"/>
              <w:rPr>
                <w:sz w:val="20"/>
                <w:szCs w:val="20"/>
                <w:color w:val="auto"/>
              </w:rPr>
            </w:pPr>
            <w:r>
              <w:rPr>
                <w:rFonts w:ascii="Arial" w:cs="Arial" w:eastAsia="Arial" w:hAnsi="Arial"/>
                <w:sz w:val="18"/>
                <w:szCs w:val="18"/>
                <w:color w:val="auto"/>
              </w:rPr>
              <w:t>February 1, 2022 — February 28, 2022</w:t>
            </w:r>
          </w:p>
        </w:tc>
        <w:tc>
          <w:tcPr>
            <w:tcW w:w="1020" w:type="dxa"/>
            <w:vAlign w:val="bottom"/>
          </w:tcPr>
          <w:p>
            <w:pPr>
              <w:jc w:val="right"/>
              <w:spacing w:after="0"/>
              <w:rPr>
                <w:sz w:val="20"/>
                <w:szCs w:val="20"/>
                <w:color w:val="auto"/>
              </w:rPr>
            </w:pPr>
            <w:r>
              <w:rPr>
                <w:rFonts w:ascii="Arial" w:cs="Arial" w:eastAsia="Arial" w:hAnsi="Arial"/>
                <w:sz w:val="18"/>
                <w:szCs w:val="18"/>
                <w:b w:val="1"/>
                <w:bCs w:val="1"/>
                <w:color w:val="auto"/>
              </w:rPr>
              <w:t>910,828</w:t>
            </w:r>
          </w:p>
        </w:tc>
        <w:tc>
          <w:tcPr>
            <w:tcW w:w="320" w:type="dxa"/>
            <w:vAlign w:val="bottom"/>
          </w:tcPr>
          <w:p>
            <w:pPr>
              <w:jc w:val="right"/>
              <w:ind w:right="10"/>
              <w:spacing w:after="0"/>
              <w:rPr>
                <w:sz w:val="20"/>
                <w:szCs w:val="20"/>
                <w:color w:val="auto"/>
              </w:rPr>
            </w:pPr>
            <w:r>
              <w:rPr>
                <w:rFonts w:ascii="Arial" w:cs="Arial" w:eastAsia="Arial" w:hAnsi="Arial"/>
                <w:sz w:val="18"/>
                <w:szCs w:val="18"/>
                <w:b w:val="1"/>
                <w:bCs w:val="1"/>
                <w:color w:val="auto"/>
                <w:w w:val="90"/>
              </w:rPr>
              <w:t>(3)</w:t>
            </w:r>
          </w:p>
        </w:tc>
        <w:tc>
          <w:tcPr>
            <w:tcW w:w="160" w:type="dxa"/>
            <w:vAlign w:val="bottom"/>
          </w:tcPr>
          <w:p>
            <w:pPr>
              <w:jc w:val="right"/>
              <w:ind w:right="7"/>
              <w:spacing w:after="0"/>
              <w:rPr>
                <w:sz w:val="20"/>
                <w:szCs w:val="20"/>
                <w:color w:val="auto"/>
              </w:rPr>
            </w:pPr>
            <w:r>
              <w:rPr>
                <w:rFonts w:ascii="Arial" w:cs="Arial" w:eastAsia="Arial" w:hAnsi="Arial"/>
                <w:sz w:val="15"/>
                <w:szCs w:val="15"/>
                <w:b w:val="1"/>
                <w:bCs w:val="1"/>
                <w:color w:val="auto"/>
                <w:w w:val="71"/>
              </w:rPr>
              <w:t>$</w:t>
            </w:r>
          </w:p>
        </w:tc>
        <w:tc>
          <w:tcPr>
            <w:tcW w:w="900" w:type="dxa"/>
            <w:vAlign w:val="bottom"/>
          </w:tcPr>
          <w:p>
            <w:pPr>
              <w:jc w:val="right"/>
              <w:spacing w:after="0"/>
              <w:rPr>
                <w:sz w:val="20"/>
                <w:szCs w:val="20"/>
                <w:color w:val="auto"/>
              </w:rPr>
            </w:pPr>
            <w:r>
              <w:rPr>
                <w:rFonts w:ascii="Arial" w:cs="Arial" w:eastAsia="Arial" w:hAnsi="Arial"/>
                <w:sz w:val="18"/>
                <w:szCs w:val="18"/>
                <w:b w:val="1"/>
                <w:bCs w:val="1"/>
                <w:color w:val="auto"/>
              </w:rPr>
              <w:t>73.20</w:t>
            </w:r>
          </w:p>
        </w:tc>
        <w:tc>
          <w:tcPr>
            <w:tcW w:w="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911,849</w:t>
            </w:r>
          </w:p>
        </w:tc>
        <w:tc>
          <w:tcPr>
            <w:tcW w:w="26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020" w:type="dxa"/>
            <w:vAlign w:val="bottom"/>
          </w:tcPr>
          <w:p>
            <w:pPr>
              <w:jc w:val="right"/>
              <w:spacing w:after="0"/>
              <w:rPr>
                <w:sz w:val="20"/>
                <w:szCs w:val="20"/>
                <w:color w:val="auto"/>
              </w:rPr>
            </w:pPr>
            <w:r>
              <w:rPr>
                <w:rFonts w:ascii="Arial" w:cs="Arial" w:eastAsia="Arial" w:hAnsi="Arial"/>
                <w:sz w:val="18"/>
                <w:szCs w:val="18"/>
                <w:b w:val="1"/>
                <w:bCs w:val="1"/>
                <w:color w:val="auto"/>
              </w:rPr>
              <w:t>2,528.3</w:t>
            </w:r>
          </w:p>
        </w:tc>
        <w:tc>
          <w:tcPr>
            <w:tcW w:w="0" w:type="dxa"/>
            <w:vAlign w:val="bottom"/>
          </w:tcPr>
          <w:p>
            <w:pPr>
              <w:spacing w:after="0"/>
              <w:rPr>
                <w:sz w:val="1"/>
                <w:szCs w:val="1"/>
                <w:color w:val="auto"/>
              </w:rPr>
            </w:pPr>
          </w:p>
        </w:tc>
      </w:tr>
      <w:tr>
        <w:trPr>
          <w:trHeight w:val="216"/>
        </w:trPr>
        <w:tc>
          <w:tcPr>
            <w:tcW w:w="476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March 1, 2022 — March 31, 2022</w:t>
            </w: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9,497,205</w:t>
            </w:r>
          </w:p>
        </w:tc>
        <w:tc>
          <w:tcPr>
            <w:tcW w:w="32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90"/>
              </w:rPr>
              <w:t>(3)</w:t>
            </w:r>
          </w:p>
        </w:tc>
        <w:tc>
          <w:tcPr>
            <w:tcW w:w="160" w:type="dxa"/>
            <w:vAlign w:val="bottom"/>
            <w:shd w:val="clear" w:color="auto" w:fill="CCEEFF"/>
          </w:tcPr>
          <w:p>
            <w:pPr>
              <w:jc w:val="right"/>
              <w:ind w:right="7"/>
              <w:spacing w:after="0"/>
              <w:rPr>
                <w:sz w:val="20"/>
                <w:szCs w:val="20"/>
                <w:color w:val="auto"/>
              </w:rPr>
            </w:pPr>
            <w:r>
              <w:rPr>
                <w:rFonts w:ascii="Arial" w:cs="Arial" w:eastAsia="Arial" w:hAnsi="Arial"/>
                <w:sz w:val="15"/>
                <w:szCs w:val="15"/>
                <w:b w:val="1"/>
                <w:bCs w:val="1"/>
                <w:color w:val="auto"/>
                <w:w w:val="71"/>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65.93</w:t>
            </w:r>
          </w:p>
        </w:tc>
        <w:tc>
          <w:tcPr>
            <w:tcW w:w="3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w w:val="99"/>
              </w:rPr>
              <w:t>(4)</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9,107,538</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1,789.5</w:t>
            </w:r>
          </w:p>
        </w:tc>
        <w:tc>
          <w:tcPr>
            <w:tcW w:w="0" w:type="dxa"/>
            <w:vAlign w:val="bottom"/>
          </w:tcPr>
          <w:p>
            <w:pPr>
              <w:spacing w:after="0"/>
              <w:rPr>
                <w:sz w:val="1"/>
                <w:szCs w:val="1"/>
                <w:color w:val="auto"/>
              </w:rPr>
            </w:pPr>
          </w:p>
        </w:tc>
      </w:tr>
      <w:tr>
        <w:trPr>
          <w:trHeight w:val="216"/>
        </w:trPr>
        <w:tc>
          <w:tcPr>
            <w:tcW w:w="4760" w:type="dxa"/>
            <w:vAlign w:val="bottom"/>
            <w:gridSpan w:val="3"/>
          </w:tcPr>
          <w:p>
            <w:pPr>
              <w:spacing w:after="0"/>
              <w:rPr>
                <w:sz w:val="20"/>
                <w:szCs w:val="20"/>
                <w:color w:val="auto"/>
              </w:rPr>
            </w:pPr>
            <w:r>
              <w:rPr>
                <w:rFonts w:ascii="Arial" w:cs="Arial" w:eastAsia="Arial" w:hAnsi="Arial"/>
                <w:sz w:val="18"/>
                <w:szCs w:val="18"/>
                <w:color w:val="auto"/>
              </w:rPr>
              <w:t>April 1, 2022 — April 30, 2022</w:t>
            </w:r>
          </w:p>
        </w:tc>
        <w:tc>
          <w:tcPr>
            <w:tcW w:w="102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320" w:type="dxa"/>
            <w:vAlign w:val="bottom"/>
          </w:tcPr>
          <w:p>
            <w:pPr>
              <w:spacing w:after="0"/>
              <w:rPr>
                <w:sz w:val="18"/>
                <w:szCs w:val="18"/>
                <w:color w:val="auto"/>
              </w:rPr>
            </w:pPr>
          </w:p>
        </w:tc>
        <w:tc>
          <w:tcPr>
            <w:tcW w:w="160" w:type="dxa"/>
            <w:vAlign w:val="bottom"/>
          </w:tcPr>
          <w:p>
            <w:pPr>
              <w:jc w:val="right"/>
              <w:ind w:right="7"/>
              <w:spacing w:after="0"/>
              <w:rPr>
                <w:sz w:val="20"/>
                <w:szCs w:val="20"/>
                <w:color w:val="auto"/>
              </w:rPr>
            </w:pPr>
            <w:r>
              <w:rPr>
                <w:rFonts w:ascii="Arial" w:cs="Arial" w:eastAsia="Arial" w:hAnsi="Arial"/>
                <w:sz w:val="15"/>
                <w:szCs w:val="15"/>
                <w:b w:val="1"/>
                <w:bCs w:val="1"/>
                <w:color w:val="auto"/>
                <w:w w:val="71"/>
              </w:rPr>
              <w:t>$</w:t>
            </w:r>
          </w:p>
        </w:tc>
        <w:tc>
          <w:tcPr>
            <w:tcW w:w="90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26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020" w:type="dxa"/>
            <w:vAlign w:val="bottom"/>
          </w:tcPr>
          <w:p>
            <w:pPr>
              <w:jc w:val="right"/>
              <w:spacing w:after="0"/>
              <w:rPr>
                <w:sz w:val="20"/>
                <w:szCs w:val="20"/>
                <w:color w:val="auto"/>
              </w:rPr>
            </w:pPr>
            <w:r>
              <w:rPr>
                <w:rFonts w:ascii="Arial" w:cs="Arial" w:eastAsia="Arial" w:hAnsi="Arial"/>
                <w:sz w:val="18"/>
                <w:szCs w:val="18"/>
                <w:b w:val="1"/>
                <w:bCs w:val="1"/>
                <w:color w:val="auto"/>
              </w:rPr>
              <w:t>1,789.5</w:t>
            </w:r>
          </w:p>
        </w:tc>
        <w:tc>
          <w:tcPr>
            <w:tcW w:w="0" w:type="dxa"/>
            <w:vAlign w:val="bottom"/>
          </w:tcPr>
          <w:p>
            <w:pPr>
              <w:spacing w:after="0"/>
              <w:rPr>
                <w:sz w:val="1"/>
                <w:szCs w:val="1"/>
                <w:color w:val="auto"/>
              </w:rPr>
            </w:pPr>
          </w:p>
        </w:tc>
      </w:tr>
      <w:tr>
        <w:trPr>
          <w:trHeight w:val="216"/>
        </w:trPr>
        <w:tc>
          <w:tcPr>
            <w:tcW w:w="476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May 1, 2022 — May 31, 2022</w:t>
            </w: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jc w:val="right"/>
              <w:ind w:right="7"/>
              <w:spacing w:after="0"/>
              <w:rPr>
                <w:sz w:val="20"/>
                <w:szCs w:val="20"/>
                <w:color w:val="auto"/>
              </w:rPr>
            </w:pPr>
            <w:r>
              <w:rPr>
                <w:rFonts w:ascii="Arial" w:cs="Arial" w:eastAsia="Arial" w:hAnsi="Arial"/>
                <w:sz w:val="15"/>
                <w:szCs w:val="15"/>
                <w:b w:val="1"/>
                <w:bCs w:val="1"/>
                <w:color w:val="auto"/>
                <w:w w:val="71"/>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1,789.5</w:t>
            </w:r>
          </w:p>
        </w:tc>
        <w:tc>
          <w:tcPr>
            <w:tcW w:w="0" w:type="dxa"/>
            <w:vAlign w:val="bottom"/>
          </w:tcPr>
          <w:p>
            <w:pPr>
              <w:spacing w:after="0"/>
              <w:rPr>
                <w:sz w:val="1"/>
                <w:szCs w:val="1"/>
                <w:color w:val="auto"/>
              </w:rPr>
            </w:pPr>
          </w:p>
        </w:tc>
      </w:tr>
      <w:tr>
        <w:trPr>
          <w:trHeight w:val="216"/>
        </w:trPr>
        <w:tc>
          <w:tcPr>
            <w:tcW w:w="4760" w:type="dxa"/>
            <w:vAlign w:val="bottom"/>
            <w:tcBorders>
              <w:bottom w:val="single" w:sz="8" w:color="CCEEFF"/>
            </w:tcBorders>
            <w:gridSpan w:val="3"/>
          </w:tcPr>
          <w:p>
            <w:pPr>
              <w:spacing w:after="0"/>
              <w:rPr>
                <w:sz w:val="20"/>
                <w:szCs w:val="20"/>
                <w:color w:val="auto"/>
              </w:rPr>
            </w:pPr>
            <w:r>
              <w:rPr>
                <w:rFonts w:ascii="Arial" w:cs="Arial" w:eastAsia="Arial" w:hAnsi="Arial"/>
                <w:sz w:val="18"/>
                <w:szCs w:val="18"/>
                <w:color w:val="auto"/>
              </w:rPr>
              <w:t>June 1, 2022 — June 30, 2022</w:t>
            </w: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2,910,298</w:t>
            </w:r>
          </w:p>
        </w:tc>
        <w:tc>
          <w:tcPr>
            <w:tcW w:w="320" w:type="dxa"/>
            <w:vAlign w:val="bottom"/>
            <w:tcBorders>
              <w:bottom w:val="single" w:sz="8" w:color="CCEEFF"/>
            </w:tcBorders>
          </w:tcPr>
          <w:p>
            <w:pPr>
              <w:spacing w:after="0"/>
              <w:rPr>
                <w:sz w:val="18"/>
                <w:szCs w:val="18"/>
                <w:color w:val="auto"/>
              </w:rPr>
            </w:pPr>
          </w:p>
        </w:tc>
        <w:tc>
          <w:tcPr>
            <w:tcW w:w="160" w:type="dxa"/>
            <w:vAlign w:val="bottom"/>
            <w:tcBorders>
              <w:bottom w:val="single" w:sz="8" w:color="CCEEFF"/>
            </w:tcBorders>
          </w:tcPr>
          <w:p>
            <w:pPr>
              <w:jc w:val="right"/>
              <w:ind w:right="7"/>
              <w:spacing w:after="0"/>
              <w:rPr>
                <w:sz w:val="20"/>
                <w:szCs w:val="20"/>
                <w:color w:val="auto"/>
              </w:rPr>
            </w:pPr>
            <w:r>
              <w:rPr>
                <w:rFonts w:ascii="Arial" w:cs="Arial" w:eastAsia="Arial" w:hAnsi="Arial"/>
                <w:sz w:val="15"/>
                <w:szCs w:val="15"/>
                <w:b w:val="1"/>
                <w:bCs w:val="1"/>
                <w:color w:val="auto"/>
                <w:w w:val="71"/>
              </w:rPr>
              <w:t>$</w:t>
            </w:r>
          </w:p>
        </w:tc>
        <w:tc>
          <w:tcPr>
            <w:tcW w:w="900" w:type="dxa"/>
            <w:vAlign w:val="bottom"/>
            <w:tcBorders>
              <w:bottom w:val="single" w:sz="8" w:color="CCEEFF"/>
            </w:tcBorders>
          </w:tcPr>
          <w:p>
            <w:pPr>
              <w:jc w:val="right"/>
              <w:spacing w:after="0"/>
              <w:rPr>
                <w:sz w:val="20"/>
                <w:szCs w:val="20"/>
                <w:color w:val="auto"/>
              </w:rPr>
            </w:pPr>
            <w:r>
              <w:rPr>
                <w:rFonts w:ascii="Arial" w:cs="Arial" w:eastAsia="Arial" w:hAnsi="Arial"/>
                <w:sz w:val="18"/>
                <w:szCs w:val="18"/>
                <w:b w:val="1"/>
                <w:bCs w:val="1"/>
                <w:color w:val="auto"/>
              </w:rPr>
              <w:t>82.47</w:t>
            </w:r>
          </w:p>
        </w:tc>
        <w:tc>
          <w:tcPr>
            <w:tcW w:w="340" w:type="dxa"/>
            <w:vAlign w:val="bottom"/>
            <w:tcBorders>
              <w:bottom w:val="single" w:sz="8" w:color="CCEEFF"/>
            </w:tcBorders>
            <w:gridSpan w:val="2"/>
          </w:tcPr>
          <w:p>
            <w:pPr>
              <w:jc w:val="right"/>
              <w:ind w:right="100"/>
              <w:spacing w:after="0"/>
              <w:rPr>
                <w:sz w:val="20"/>
                <w:szCs w:val="20"/>
                <w:color w:val="auto"/>
              </w:rPr>
            </w:pPr>
            <w:r>
              <w:rPr>
                <w:rFonts w:ascii="Arial" w:cs="Arial" w:eastAsia="Arial" w:hAnsi="Arial"/>
                <w:sz w:val="18"/>
                <w:szCs w:val="18"/>
                <w:b w:val="1"/>
                <w:bCs w:val="1"/>
                <w:color w:val="auto"/>
                <w:w w:val="99"/>
              </w:rPr>
              <w:t>(4)</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2,909,686</w:t>
            </w:r>
          </w:p>
        </w:tc>
        <w:tc>
          <w:tcPr>
            <w:tcW w:w="260" w:type="dxa"/>
            <w:vAlign w:val="bottom"/>
            <w:tcBorders>
              <w:bottom w:val="single" w:sz="8" w:color="CCEEFF"/>
            </w:tcBorders>
            <w:gridSpan w:val="2"/>
          </w:tcPr>
          <w:p>
            <w:pPr>
              <w:jc w:val="right"/>
              <w:spacing w:after="0"/>
              <w:rPr>
                <w:sz w:val="20"/>
                <w:szCs w:val="20"/>
                <w:color w:val="auto"/>
              </w:rPr>
            </w:pPr>
            <w:r>
              <w:rPr>
                <w:rFonts w:ascii="Arial" w:cs="Arial" w:eastAsia="Arial" w:hAnsi="Arial"/>
                <w:sz w:val="18"/>
                <w:szCs w:val="18"/>
                <w:b w:val="1"/>
                <w:bCs w:val="1"/>
                <w:color w:val="auto"/>
              </w:rPr>
              <w:t>$</w:t>
            </w:r>
          </w:p>
        </w:tc>
        <w:tc>
          <w:tcPr>
            <w:tcW w:w="1020" w:type="dxa"/>
            <w:vAlign w:val="bottom"/>
            <w:tcBorders>
              <w:bottom w:val="single" w:sz="8" w:color="CCEEFF"/>
            </w:tcBorders>
          </w:tcPr>
          <w:p>
            <w:pPr>
              <w:jc w:val="right"/>
              <w:spacing w:after="0"/>
              <w:rPr>
                <w:sz w:val="20"/>
                <w:szCs w:val="20"/>
                <w:color w:val="auto"/>
              </w:rPr>
            </w:pPr>
            <w:r>
              <w:rPr>
                <w:rFonts w:ascii="Arial" w:cs="Arial" w:eastAsia="Arial" w:hAnsi="Arial"/>
                <w:sz w:val="18"/>
                <w:szCs w:val="18"/>
                <w:b w:val="1"/>
                <w:bCs w:val="1"/>
                <w:color w:val="auto"/>
              </w:rPr>
              <w:t>1,689.6</w:t>
            </w:r>
          </w:p>
        </w:tc>
        <w:tc>
          <w:tcPr>
            <w:tcW w:w="0" w:type="dxa"/>
            <w:vAlign w:val="bottom"/>
          </w:tcPr>
          <w:p>
            <w:pPr>
              <w:spacing w:after="0"/>
              <w:rPr>
                <w:sz w:val="1"/>
                <w:szCs w:val="1"/>
                <w:color w:val="auto"/>
              </w:rPr>
            </w:pPr>
          </w:p>
        </w:tc>
      </w:tr>
      <w:tr>
        <w:trPr>
          <w:trHeight w:val="209"/>
        </w:trPr>
        <w:tc>
          <w:tcPr>
            <w:tcW w:w="4760" w:type="dxa"/>
            <w:vAlign w:val="bottom"/>
            <w:tcBorders>
              <w:bottom w:val="single" w:sz="8" w:color="CCEEFF"/>
            </w:tcBorders>
            <w:gridSpan w:val="3"/>
            <w:shd w:val="clear" w:color="auto" w:fill="CCEEFF"/>
          </w:tcPr>
          <w:p>
            <w:pPr>
              <w:spacing w:after="0"/>
              <w:rPr>
                <w:sz w:val="20"/>
                <w:szCs w:val="20"/>
                <w:color w:val="auto"/>
              </w:rPr>
            </w:pPr>
            <w:r>
              <w:rPr>
                <w:rFonts w:ascii="Arial" w:cs="Arial" w:eastAsia="Arial" w:hAnsi="Arial"/>
                <w:sz w:val="18"/>
                <w:szCs w:val="18"/>
                <w:color w:val="auto"/>
              </w:rPr>
              <w:t>Total</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14,145,094</w:t>
            </w:r>
          </w:p>
        </w:tc>
        <w:tc>
          <w:tcPr>
            <w:tcW w:w="32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CCEEFF"/>
            </w:tcBorders>
            <w:shd w:val="clear" w:color="auto" w:fill="CCEEFF"/>
          </w:tcPr>
          <w:p>
            <w:pPr>
              <w:spacing w:after="0"/>
              <w:rPr>
                <w:sz w:val="18"/>
                <w:szCs w:val="18"/>
                <w:color w:val="auto"/>
              </w:rPr>
            </w:pPr>
          </w:p>
        </w:tc>
        <w:tc>
          <w:tcPr>
            <w:tcW w:w="900" w:type="dxa"/>
            <w:vAlign w:val="bottom"/>
            <w:tcBorders>
              <w:bottom w:val="single" w:sz="8" w:color="CCEEFF"/>
            </w:tcBorders>
            <w:shd w:val="clear" w:color="auto" w:fill="CCEEFF"/>
          </w:tcPr>
          <w:p>
            <w:pPr>
              <w:spacing w:after="0"/>
              <w:rPr>
                <w:sz w:val="18"/>
                <w:szCs w:val="18"/>
                <w:color w:val="auto"/>
              </w:rPr>
            </w:pPr>
          </w:p>
        </w:tc>
        <w:tc>
          <w:tcPr>
            <w:tcW w:w="40" w:type="dxa"/>
            <w:vAlign w:val="bottom"/>
            <w:tcBorders>
              <w:bottom w:val="single" w:sz="8" w:color="CCEEFF"/>
            </w:tcBorders>
            <w:shd w:val="clear" w:color="auto" w:fill="CCEEFF"/>
          </w:tcPr>
          <w:p>
            <w:pPr>
              <w:spacing w:after="0"/>
              <w:rPr>
                <w:sz w:val="18"/>
                <w:szCs w:val="18"/>
                <w:color w:val="auto"/>
              </w:rPr>
            </w:pPr>
          </w:p>
        </w:tc>
        <w:tc>
          <w:tcPr>
            <w:tcW w:w="300" w:type="dxa"/>
            <w:vAlign w:val="bottom"/>
            <w:tcBorders>
              <w:bottom w:val="single" w:sz="8" w:color="CCEEFF"/>
            </w:tcBorders>
            <w:shd w:val="clear" w:color="auto" w:fill="CCEEFF"/>
          </w:tcPr>
          <w:p>
            <w:pPr>
              <w:spacing w:after="0"/>
              <w:rPr>
                <w:sz w:val="18"/>
                <w:szCs w:val="18"/>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13,729,729</w:t>
            </w:r>
          </w:p>
        </w:tc>
        <w:tc>
          <w:tcPr>
            <w:tcW w:w="16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102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480" w:type="dxa"/>
            <w:vAlign w:val="bottom"/>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2480" w:type="dxa"/>
            <w:vAlign w:val="bottom"/>
            <w:tcBorders>
              <w:bottom w:val="single" w:sz="8" w:color="auto"/>
            </w:tcBorders>
          </w:tcPr>
          <w:p>
            <w:pPr>
              <w:spacing w:after="0"/>
              <w:rPr>
                <w:sz w:val="7"/>
                <w:szCs w:val="7"/>
                <w:color w:val="auto"/>
              </w:rPr>
            </w:pPr>
          </w:p>
        </w:tc>
        <w:tc>
          <w:tcPr>
            <w:tcW w:w="2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20" w:type="dxa"/>
            <w:vAlign w:val="bottom"/>
          </w:tcPr>
          <w:p>
            <w:pPr>
              <w:spacing w:after="0"/>
              <w:rPr>
                <w:sz w:val="7"/>
                <w:szCs w:val="7"/>
                <w:color w:val="auto"/>
              </w:rPr>
            </w:pPr>
          </w:p>
        </w:tc>
        <w:tc>
          <w:tcPr>
            <w:tcW w:w="320" w:type="dxa"/>
            <w:vAlign w:val="bottom"/>
          </w:tcPr>
          <w:p>
            <w:pPr>
              <w:spacing w:after="0"/>
              <w:rPr>
                <w:sz w:val="7"/>
                <w:szCs w:val="7"/>
                <w:color w:val="auto"/>
              </w:rPr>
            </w:pPr>
          </w:p>
        </w:tc>
        <w:tc>
          <w:tcPr>
            <w:tcW w:w="160" w:type="dxa"/>
            <w:vAlign w:val="bottom"/>
          </w:tcPr>
          <w:p>
            <w:pPr>
              <w:spacing w:after="0"/>
              <w:rPr>
                <w:sz w:val="7"/>
                <w:szCs w:val="7"/>
                <w:color w:val="auto"/>
              </w:rPr>
            </w:pPr>
          </w:p>
        </w:tc>
        <w:tc>
          <w:tcPr>
            <w:tcW w:w="900" w:type="dxa"/>
            <w:vAlign w:val="bottom"/>
          </w:tcPr>
          <w:p>
            <w:pPr>
              <w:spacing w:after="0"/>
              <w:rPr>
                <w:sz w:val="7"/>
                <w:szCs w:val="7"/>
                <w:color w:val="auto"/>
              </w:rPr>
            </w:pPr>
          </w:p>
        </w:tc>
        <w:tc>
          <w:tcPr>
            <w:tcW w:w="40" w:type="dxa"/>
            <w:vAlign w:val="bottom"/>
          </w:tcPr>
          <w:p>
            <w:pPr>
              <w:spacing w:after="0"/>
              <w:rPr>
                <w:sz w:val="7"/>
                <w:szCs w:val="7"/>
                <w:color w:val="auto"/>
              </w:rPr>
            </w:pPr>
          </w:p>
        </w:tc>
        <w:tc>
          <w:tcPr>
            <w:tcW w:w="30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2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80" w:lineRule="exact"/>
        <w:rPr>
          <w:sz w:val="20"/>
          <w:szCs w:val="20"/>
          <w:color w:val="auto"/>
        </w:rPr>
      </w:pPr>
    </w:p>
    <w:p>
      <w:pPr>
        <w:ind w:left="340" w:right="260" w:hanging="332"/>
        <w:spacing w:after="0" w:line="258" w:lineRule="auto"/>
        <w:tabs>
          <w:tab w:leader="none" w:pos="340" w:val="left"/>
        </w:tabs>
        <w:numPr>
          <w:ilvl w:val="0"/>
          <w:numId w:val="61"/>
        </w:numPr>
        <w:rPr>
          <w:rFonts w:ascii="Arial" w:cs="Arial" w:eastAsia="Arial" w:hAnsi="Arial"/>
          <w:sz w:val="18"/>
          <w:szCs w:val="18"/>
          <w:color w:val="auto"/>
        </w:rPr>
      </w:pPr>
      <w:r>
        <w:rPr>
          <w:rFonts w:ascii="Arial" w:cs="Arial" w:eastAsia="Arial" w:hAnsi="Arial"/>
          <w:sz w:val="18"/>
          <w:szCs w:val="18"/>
          <w:color w:val="auto"/>
        </w:rPr>
        <w:t>Includes the number of shares of common stock utilized to execute certain stock incentive awards and shares purchased as part of publicly announced programs.</w:t>
      </w:r>
    </w:p>
    <w:p>
      <w:pPr>
        <w:spacing w:after="0" w:line="1" w:lineRule="exact"/>
        <w:rPr>
          <w:rFonts w:ascii="Arial" w:cs="Arial" w:eastAsia="Arial" w:hAnsi="Arial"/>
          <w:sz w:val="18"/>
          <w:szCs w:val="18"/>
          <w:color w:val="auto"/>
        </w:rPr>
      </w:pPr>
    </w:p>
    <w:p>
      <w:pPr>
        <w:ind w:left="340" w:right="20" w:hanging="332"/>
        <w:spacing w:after="0" w:line="250" w:lineRule="auto"/>
        <w:tabs>
          <w:tab w:leader="none" w:pos="340" w:val="left"/>
        </w:tabs>
        <w:numPr>
          <w:ilvl w:val="0"/>
          <w:numId w:val="61"/>
        </w:numPr>
        <w:rPr>
          <w:rFonts w:ascii="Arial" w:cs="Arial" w:eastAsia="Arial" w:hAnsi="Arial"/>
          <w:sz w:val="18"/>
          <w:szCs w:val="18"/>
          <w:color w:val="auto"/>
        </w:rPr>
      </w:pPr>
      <w:r>
        <w:rPr>
          <w:rFonts w:ascii="Arial" w:cs="Arial" w:eastAsia="Arial" w:hAnsi="Arial"/>
          <w:sz w:val="18"/>
          <w:szCs w:val="18"/>
          <w:color w:val="auto"/>
        </w:rPr>
        <w:t>In June 2021, our Board authorized a share repurchase program of up to $1.2 billion of our outstanding common stock, which has no expiration. In January 2022, our Board of Directors authorized a $1.6 billion increase to the June 2021 share repurchase program authorization, which has no expiration.</w:t>
      </w:r>
    </w:p>
    <w:p>
      <w:pPr>
        <w:spacing w:after="0" w:line="1" w:lineRule="exact"/>
        <w:rPr>
          <w:rFonts w:ascii="Arial" w:cs="Arial" w:eastAsia="Arial" w:hAnsi="Arial"/>
          <w:sz w:val="18"/>
          <w:szCs w:val="18"/>
          <w:color w:val="auto"/>
        </w:rPr>
      </w:pPr>
    </w:p>
    <w:p>
      <w:pPr>
        <w:ind w:left="340" w:hanging="332"/>
        <w:spacing w:after="0"/>
        <w:tabs>
          <w:tab w:leader="none" w:pos="340" w:val="left"/>
        </w:tabs>
        <w:numPr>
          <w:ilvl w:val="0"/>
          <w:numId w:val="61"/>
        </w:numPr>
        <w:rPr>
          <w:rFonts w:ascii="Arial" w:cs="Arial" w:eastAsia="Arial" w:hAnsi="Arial"/>
          <w:sz w:val="18"/>
          <w:szCs w:val="18"/>
          <w:color w:val="auto"/>
        </w:rPr>
      </w:pPr>
      <w:r>
        <w:rPr>
          <w:rFonts w:ascii="Arial" w:cs="Arial" w:eastAsia="Arial" w:hAnsi="Arial"/>
          <w:sz w:val="18"/>
          <w:szCs w:val="18"/>
          <w:color w:val="auto"/>
        </w:rPr>
        <w:t>Includes immaterial corrections related to the number of shares purchased to execute certain stock incentive awards.</w:t>
      </w:r>
    </w:p>
    <w:p>
      <w:pPr>
        <w:spacing w:after="0" w:line="9" w:lineRule="exact"/>
        <w:rPr>
          <w:rFonts w:ascii="Arial" w:cs="Arial" w:eastAsia="Arial" w:hAnsi="Arial"/>
          <w:sz w:val="18"/>
          <w:szCs w:val="18"/>
          <w:color w:val="auto"/>
        </w:rPr>
      </w:pPr>
    </w:p>
    <w:p>
      <w:pPr>
        <w:jc w:val="both"/>
        <w:ind w:left="340" w:right="60" w:hanging="332"/>
        <w:spacing w:after="0" w:line="295" w:lineRule="auto"/>
        <w:tabs>
          <w:tab w:leader="none" w:pos="340" w:val="left"/>
        </w:tabs>
        <w:numPr>
          <w:ilvl w:val="0"/>
          <w:numId w:val="61"/>
        </w:numPr>
        <w:rPr>
          <w:rFonts w:ascii="Arial" w:cs="Arial" w:eastAsia="Arial" w:hAnsi="Arial"/>
          <w:sz w:val="16"/>
          <w:szCs w:val="16"/>
          <w:color w:val="auto"/>
        </w:rPr>
      </w:pPr>
      <w:r>
        <w:rPr>
          <w:rFonts w:ascii="Arial" w:cs="Arial" w:eastAsia="Arial" w:hAnsi="Arial"/>
          <w:sz w:val="16"/>
          <w:szCs w:val="16"/>
          <w:color w:val="auto"/>
        </w:rPr>
        <w:t>In March 2022, we entered into an accelerated share repurchase program with a third party financial institution to repurchase $700.0 million of common stock. We received approximately 8.5 million shares at an initial cost of $560.0 million from our counterparty as of March 31, 2022. This program closed in June 2022 and an additional 1.4 million shares were delivered based on the $70.53 daily volume-weighted average price of our common stock, less a discount, during the term of the program.</w:t>
      </w:r>
    </w:p>
    <w:p>
      <w:pPr>
        <w:spacing w:after="0" w:line="200" w:lineRule="exact"/>
        <w:rPr>
          <w:sz w:val="20"/>
          <w:szCs w:val="20"/>
          <w:color w:val="auto"/>
        </w:rPr>
      </w:pPr>
    </w:p>
    <w:p>
      <w:pPr>
        <w:spacing w:after="0" w:line="3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603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132" w:name="page133"/>
    <w:bookmarkEnd w:id="132"/>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Exhibits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1000" w:type="dxa"/>
            <w:vAlign w:val="bottom"/>
            <w:vMerge w:val="restart"/>
          </w:tcPr>
          <w:p>
            <w:pPr>
              <w:spacing w:after="0"/>
              <w:rPr>
                <w:sz w:val="20"/>
                <w:szCs w:val="20"/>
                <w:color w:val="auto"/>
              </w:rPr>
            </w:pPr>
            <w:r>
              <w:rPr>
                <w:rFonts w:ascii="Arial" w:cs="Arial" w:eastAsia="Arial" w:hAnsi="Arial"/>
                <w:sz w:val="14"/>
                <w:szCs w:val="14"/>
                <w:b w:val="1"/>
                <w:bCs w:val="1"/>
                <w:color w:val="auto"/>
                <w:w w:val="94"/>
              </w:rPr>
              <w:t>Exhibit Number</w:t>
            </w: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8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4080" w:type="dxa"/>
            <w:vAlign w:val="bottom"/>
            <w:gridSpan w:val="4"/>
            <w:vMerge w:val="restart"/>
          </w:tcPr>
          <w:p>
            <w:pPr>
              <w:ind w:left="320"/>
              <w:spacing w:after="0"/>
              <w:rPr>
                <w:sz w:val="20"/>
                <w:szCs w:val="20"/>
                <w:color w:val="auto"/>
              </w:rPr>
            </w:pPr>
            <w:r>
              <w:rPr>
                <w:rFonts w:ascii="Arial" w:cs="Arial" w:eastAsia="Arial" w:hAnsi="Arial"/>
                <w:sz w:val="14"/>
                <w:szCs w:val="14"/>
                <w:b w:val="1"/>
                <w:bCs w:val="1"/>
                <w:color w:val="auto"/>
              </w:rPr>
              <w:t>Description</w:t>
            </w:r>
          </w:p>
        </w:tc>
        <w:tc>
          <w:tcPr>
            <w:tcW w:w="2080" w:type="dxa"/>
            <w:vAlign w:val="bottom"/>
            <w:tcBorders>
              <w:bottom w:val="single" w:sz="8" w:color="auto"/>
            </w:tcBorders>
            <w:gridSpan w:val="3"/>
          </w:tcPr>
          <w:p>
            <w:pPr>
              <w:ind w:left="20"/>
              <w:spacing w:after="0"/>
              <w:rPr>
                <w:sz w:val="20"/>
                <w:szCs w:val="20"/>
                <w:color w:val="auto"/>
              </w:rPr>
            </w:pPr>
            <w:r>
              <w:rPr>
                <w:rFonts w:ascii="Arial" w:cs="Arial" w:eastAsia="Arial" w:hAnsi="Arial"/>
                <w:sz w:val="14"/>
                <w:szCs w:val="14"/>
                <w:b w:val="1"/>
                <w:bCs w:val="1"/>
                <w:color w:val="auto"/>
                <w:w w:val="93"/>
              </w:rPr>
              <w:t>Incorporated by reference herein</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000" w:type="dxa"/>
            <w:vAlign w:val="bottom"/>
            <w:vMerge w:val="continue"/>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8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080" w:type="dxa"/>
            <w:vAlign w:val="bottom"/>
            <w:gridSpan w:val="4"/>
            <w:vMerge w:val="continue"/>
          </w:tcPr>
          <w:p>
            <w:pPr>
              <w:spacing w:after="0"/>
              <w:rPr>
                <w:sz w:val="12"/>
                <w:szCs w:val="12"/>
                <w:color w:val="auto"/>
              </w:rPr>
            </w:pPr>
          </w:p>
        </w:tc>
        <w:tc>
          <w:tcPr>
            <w:tcW w:w="1020" w:type="dxa"/>
            <w:vAlign w:val="bottom"/>
            <w:gridSpan w:val="2"/>
          </w:tcPr>
          <w:p>
            <w:pPr>
              <w:ind w:left="260"/>
              <w:spacing w:after="0" w:line="142" w:lineRule="exact"/>
              <w:rPr>
                <w:sz w:val="20"/>
                <w:szCs w:val="20"/>
                <w:color w:val="auto"/>
              </w:rPr>
            </w:pPr>
            <w:r>
              <w:rPr>
                <w:rFonts w:ascii="Arial" w:cs="Arial" w:eastAsia="Arial" w:hAnsi="Arial"/>
                <w:sz w:val="14"/>
                <w:szCs w:val="14"/>
                <w:b w:val="1"/>
                <w:bCs w:val="1"/>
                <w:color w:val="auto"/>
              </w:rPr>
              <w:t>Form</w:t>
            </w:r>
          </w:p>
        </w:tc>
        <w:tc>
          <w:tcPr>
            <w:tcW w:w="1060" w:type="dxa"/>
            <w:vAlign w:val="bottom"/>
          </w:tcPr>
          <w:p>
            <w:pPr>
              <w:ind w:left="240"/>
              <w:spacing w:after="0" w:line="142" w:lineRule="exact"/>
              <w:rPr>
                <w:sz w:val="20"/>
                <w:szCs w:val="20"/>
                <w:color w:val="auto"/>
              </w:rPr>
            </w:pPr>
            <w:r>
              <w:rPr>
                <w:rFonts w:ascii="Arial" w:cs="Arial" w:eastAsia="Arial" w:hAnsi="Arial"/>
                <w:sz w:val="14"/>
                <w:szCs w:val="14"/>
                <w:b w:val="1"/>
                <w:bCs w:val="1"/>
                <w:color w:val="auto"/>
              </w:rPr>
              <w:t>File Date</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1000" w:type="dxa"/>
            <w:vAlign w:val="bottom"/>
            <w:tcBorders>
              <w:top w:val="single" w:sz="8" w:color="auto"/>
            </w:tcBorders>
          </w:tcPr>
          <w:p>
            <w:pPr>
              <w:spacing w:after="0" w:line="169" w:lineRule="exact"/>
              <w:rPr>
                <w:sz w:val="20"/>
                <w:szCs w:val="20"/>
                <w:color w:val="auto"/>
              </w:rPr>
            </w:pPr>
            <w:r>
              <w:rPr>
                <w:rFonts w:ascii="Arial" w:cs="Arial" w:eastAsia="Arial" w:hAnsi="Arial"/>
                <w:sz w:val="18"/>
                <w:szCs w:val="18"/>
                <w:color w:val="auto"/>
              </w:rPr>
              <w:t>31.1</w:t>
            </w:r>
          </w:p>
        </w:tc>
        <w:tc>
          <w:tcPr>
            <w:tcW w:w="160" w:type="dxa"/>
            <w:vAlign w:val="bottom"/>
          </w:tcPr>
          <w:p>
            <w:pPr>
              <w:spacing w:after="0"/>
              <w:rPr>
                <w:sz w:val="14"/>
                <w:szCs w:val="14"/>
                <w:color w:val="auto"/>
              </w:rPr>
            </w:pPr>
          </w:p>
        </w:tc>
        <w:tc>
          <w:tcPr>
            <w:tcW w:w="20" w:type="dxa"/>
            <w:vAlign w:val="bottom"/>
            <w:tcBorders>
              <w:bottom w:val="single" w:sz="8" w:color="0000EE"/>
            </w:tcBorders>
          </w:tcPr>
          <w:p>
            <w:pPr>
              <w:spacing w:after="0"/>
              <w:rPr>
                <w:sz w:val="14"/>
                <w:szCs w:val="14"/>
                <w:color w:val="auto"/>
              </w:rPr>
            </w:pPr>
          </w:p>
        </w:tc>
        <w:tc>
          <w:tcPr>
            <w:tcW w:w="2420" w:type="dxa"/>
            <w:vAlign w:val="bottom"/>
            <w:tcBorders>
              <w:top w:val="single" w:sz="8" w:color="auto"/>
              <w:bottom w:val="single" w:sz="8" w:color="0000EE"/>
            </w:tcBorders>
            <w:gridSpan w:val="2"/>
          </w:tcPr>
          <w:p>
            <w:pPr>
              <w:spacing w:after="0" w:line="169" w:lineRule="exact"/>
              <w:rPr>
                <w:sz w:val="20"/>
                <w:szCs w:val="20"/>
                <w:color w:val="auto"/>
              </w:rPr>
            </w:pPr>
            <w:r>
              <w:rPr>
                <w:rFonts w:ascii="Arial" w:cs="Arial" w:eastAsia="Arial" w:hAnsi="Arial"/>
                <w:sz w:val="18"/>
                <w:szCs w:val="18"/>
                <w:color w:val="0000EE"/>
                <w:w w:val="91"/>
              </w:rPr>
              <w:t>Certification of Daniel J. Houston</w:t>
            </w:r>
          </w:p>
        </w:tc>
        <w:tc>
          <w:tcPr>
            <w:tcW w:w="4080" w:type="dxa"/>
            <w:vAlign w:val="bottom"/>
            <w:tcBorders>
              <w:top w:val="single" w:sz="8" w:color="auto"/>
            </w:tcBorders>
            <w:gridSpan w:val="4"/>
          </w:tcPr>
          <w:p>
            <w:pPr>
              <w:spacing w:after="0"/>
              <w:rPr>
                <w:sz w:val="14"/>
                <w:szCs w:val="14"/>
                <w:color w:val="auto"/>
              </w:rPr>
            </w:pPr>
          </w:p>
        </w:tc>
        <w:tc>
          <w:tcPr>
            <w:tcW w:w="140" w:type="dxa"/>
            <w:vAlign w:val="bottom"/>
          </w:tcPr>
          <w:p>
            <w:pPr>
              <w:spacing w:after="0"/>
              <w:rPr>
                <w:sz w:val="14"/>
                <w:szCs w:val="14"/>
                <w:color w:val="auto"/>
              </w:rPr>
            </w:pPr>
          </w:p>
        </w:tc>
        <w:tc>
          <w:tcPr>
            <w:tcW w:w="840" w:type="dxa"/>
            <w:vAlign w:val="bottom"/>
            <w:tcBorders>
              <w:top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1060" w:type="dxa"/>
            <w:vAlign w:val="bottom"/>
            <w:tcBorders>
              <w:top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1020" w:type="dxa"/>
            <w:vAlign w:val="bottom"/>
            <w:gridSpan w:val="2"/>
          </w:tcPr>
          <w:p>
            <w:pPr>
              <w:spacing w:after="0" w:line="196" w:lineRule="exact"/>
              <w:rPr>
                <w:sz w:val="20"/>
                <w:szCs w:val="20"/>
                <w:color w:val="auto"/>
              </w:rPr>
            </w:pPr>
            <w:r>
              <w:rPr>
                <w:rFonts w:ascii="Arial" w:cs="Arial" w:eastAsia="Arial" w:hAnsi="Arial"/>
                <w:sz w:val="18"/>
                <w:szCs w:val="18"/>
                <w:color w:val="auto"/>
              </w:rPr>
              <w:t>31.2</w:t>
            </w:r>
          </w:p>
        </w:tc>
        <w:tc>
          <w:tcPr>
            <w:tcW w:w="160" w:type="dxa"/>
            <w:vAlign w:val="bottom"/>
          </w:tcPr>
          <w:p>
            <w:pPr>
              <w:spacing w:after="0"/>
              <w:rPr>
                <w:sz w:val="17"/>
                <w:szCs w:val="17"/>
                <w:color w:val="auto"/>
              </w:rPr>
            </w:pPr>
          </w:p>
        </w:tc>
        <w:tc>
          <w:tcPr>
            <w:tcW w:w="6660" w:type="dxa"/>
            <w:vAlign w:val="bottom"/>
            <w:gridSpan w:val="8"/>
          </w:tcPr>
          <w:p>
            <w:pPr>
              <w:spacing w:after="0" w:line="196" w:lineRule="exact"/>
              <w:rPr>
                <w:sz w:val="20"/>
                <w:szCs w:val="20"/>
                <w:color w:val="auto"/>
              </w:rPr>
            </w:pPr>
            <w:r>
              <w:rPr>
                <w:rFonts w:ascii="Arial" w:cs="Arial" w:eastAsia="Arial" w:hAnsi="Arial"/>
                <w:sz w:val="18"/>
                <w:szCs w:val="18"/>
                <w:color w:val="0000EE"/>
              </w:rPr>
              <w:t>Certification of Deanna D. Strable-Soethout</w:t>
            </w:r>
          </w:p>
        </w:tc>
        <w:tc>
          <w:tcPr>
            <w:tcW w:w="8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02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40" w:type="dxa"/>
            <w:vAlign w:val="bottom"/>
            <w:gridSpan w:val="2"/>
            <w:shd w:val="clear" w:color="auto" w:fill="0000EE"/>
          </w:tcPr>
          <w:p>
            <w:pPr>
              <w:spacing w:after="0" w:line="20" w:lineRule="exact"/>
              <w:rPr>
                <w:sz w:val="1"/>
                <w:szCs w:val="1"/>
                <w:color w:val="auto"/>
              </w:rPr>
            </w:pPr>
          </w:p>
        </w:tc>
        <w:tc>
          <w:tcPr>
            <w:tcW w:w="740" w:type="dxa"/>
            <w:vAlign w:val="bottom"/>
            <w:gridSpan w:val="2"/>
            <w:shd w:val="clear" w:color="auto" w:fill="0000EE"/>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2900" w:type="dxa"/>
            <w:vAlign w:val="bottom"/>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020" w:type="dxa"/>
            <w:vAlign w:val="bottom"/>
            <w:gridSpan w:val="2"/>
          </w:tcPr>
          <w:p>
            <w:pPr>
              <w:spacing w:after="0" w:line="196" w:lineRule="exact"/>
              <w:rPr>
                <w:sz w:val="20"/>
                <w:szCs w:val="20"/>
                <w:color w:val="auto"/>
              </w:rPr>
            </w:pPr>
            <w:r>
              <w:rPr>
                <w:rFonts w:ascii="Arial" w:cs="Arial" w:eastAsia="Arial" w:hAnsi="Arial"/>
                <w:sz w:val="18"/>
                <w:szCs w:val="18"/>
                <w:color w:val="auto"/>
              </w:rPr>
              <w:t>32.1</w:t>
            </w:r>
          </w:p>
        </w:tc>
        <w:tc>
          <w:tcPr>
            <w:tcW w:w="160" w:type="dxa"/>
            <w:vAlign w:val="bottom"/>
          </w:tcPr>
          <w:p>
            <w:pPr>
              <w:spacing w:after="0"/>
              <w:rPr>
                <w:sz w:val="17"/>
                <w:szCs w:val="17"/>
                <w:color w:val="auto"/>
              </w:rPr>
            </w:pPr>
          </w:p>
        </w:tc>
        <w:tc>
          <w:tcPr>
            <w:tcW w:w="6060" w:type="dxa"/>
            <w:vAlign w:val="bottom"/>
            <w:tcBorders>
              <w:bottom w:val="single" w:sz="8" w:color="0000EE"/>
            </w:tcBorders>
            <w:gridSpan w:val="6"/>
          </w:tcPr>
          <w:p>
            <w:pPr>
              <w:spacing w:after="0" w:line="196" w:lineRule="exact"/>
              <w:rPr>
                <w:sz w:val="20"/>
                <w:szCs w:val="20"/>
                <w:color w:val="auto"/>
              </w:rPr>
            </w:pPr>
            <w:r>
              <w:rPr>
                <w:rFonts w:ascii="Arial" w:cs="Arial" w:eastAsia="Arial" w:hAnsi="Arial"/>
                <w:sz w:val="18"/>
                <w:szCs w:val="18"/>
                <w:color w:val="0000EE"/>
                <w:w w:val="91"/>
              </w:rPr>
              <w:t>Certification Pursuant to Section 1350 of Chapter 63 of Title 18 of the United States</w:t>
            </w:r>
          </w:p>
        </w:tc>
        <w:tc>
          <w:tcPr>
            <w:tcW w:w="600" w:type="dxa"/>
            <w:vAlign w:val="bottom"/>
            <w:gridSpan w:val="2"/>
          </w:tcPr>
          <w:p>
            <w:pPr>
              <w:spacing w:after="0"/>
              <w:rPr>
                <w:sz w:val="17"/>
                <w:szCs w:val="17"/>
                <w:color w:val="auto"/>
              </w:rPr>
            </w:pPr>
          </w:p>
        </w:tc>
        <w:tc>
          <w:tcPr>
            <w:tcW w:w="8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60" w:type="dxa"/>
            <w:vAlign w:val="bottom"/>
            <w:gridSpan w:val="8"/>
          </w:tcPr>
          <w:p>
            <w:pPr>
              <w:spacing w:after="0" w:line="196" w:lineRule="exact"/>
              <w:rPr>
                <w:sz w:val="20"/>
                <w:szCs w:val="20"/>
                <w:color w:val="auto"/>
              </w:rPr>
            </w:pPr>
            <w:r>
              <w:rPr>
                <w:rFonts w:ascii="Arial" w:cs="Arial" w:eastAsia="Arial" w:hAnsi="Arial"/>
                <w:sz w:val="18"/>
                <w:szCs w:val="18"/>
                <w:color w:val="0000EE"/>
              </w:rPr>
              <w:t>Code – Daniel J. Houston</w:t>
            </w:r>
          </w:p>
        </w:tc>
        <w:tc>
          <w:tcPr>
            <w:tcW w:w="8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02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40" w:type="dxa"/>
            <w:vAlign w:val="bottom"/>
            <w:gridSpan w:val="2"/>
            <w:shd w:val="clear" w:color="auto" w:fill="0000EE"/>
          </w:tcPr>
          <w:p>
            <w:pPr>
              <w:spacing w:after="0" w:line="20" w:lineRule="exact"/>
              <w:rPr>
                <w:sz w:val="1"/>
                <w:szCs w:val="1"/>
                <w:color w:val="auto"/>
              </w:rPr>
            </w:pPr>
          </w:p>
        </w:tc>
        <w:tc>
          <w:tcPr>
            <w:tcW w:w="740" w:type="dxa"/>
            <w:vAlign w:val="bottom"/>
            <w:gridSpan w:val="2"/>
          </w:tcPr>
          <w:p>
            <w:pPr>
              <w:spacing w:after="0" w:line="20" w:lineRule="exact"/>
              <w:rPr>
                <w:sz w:val="1"/>
                <w:szCs w:val="1"/>
                <w:color w:val="auto"/>
              </w:rPr>
            </w:pPr>
          </w:p>
        </w:tc>
        <w:tc>
          <w:tcPr>
            <w:tcW w:w="4080" w:type="dxa"/>
            <w:vAlign w:val="bottom"/>
            <w:gridSpan w:val="4"/>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020" w:type="dxa"/>
            <w:vAlign w:val="bottom"/>
            <w:gridSpan w:val="2"/>
          </w:tcPr>
          <w:p>
            <w:pPr>
              <w:spacing w:after="0" w:line="196" w:lineRule="exact"/>
              <w:rPr>
                <w:sz w:val="20"/>
                <w:szCs w:val="20"/>
                <w:color w:val="auto"/>
              </w:rPr>
            </w:pPr>
            <w:r>
              <w:rPr>
                <w:rFonts w:ascii="Arial" w:cs="Arial" w:eastAsia="Arial" w:hAnsi="Arial"/>
                <w:sz w:val="18"/>
                <w:szCs w:val="18"/>
                <w:color w:val="auto"/>
              </w:rPr>
              <w:t>32.2</w:t>
            </w:r>
          </w:p>
        </w:tc>
        <w:tc>
          <w:tcPr>
            <w:tcW w:w="160" w:type="dxa"/>
            <w:vAlign w:val="bottom"/>
          </w:tcPr>
          <w:p>
            <w:pPr>
              <w:spacing w:after="0"/>
              <w:rPr>
                <w:sz w:val="17"/>
                <w:szCs w:val="17"/>
                <w:color w:val="auto"/>
              </w:rPr>
            </w:pPr>
          </w:p>
        </w:tc>
        <w:tc>
          <w:tcPr>
            <w:tcW w:w="6060" w:type="dxa"/>
            <w:vAlign w:val="bottom"/>
            <w:tcBorders>
              <w:bottom w:val="single" w:sz="8" w:color="0000EE"/>
            </w:tcBorders>
            <w:gridSpan w:val="6"/>
          </w:tcPr>
          <w:p>
            <w:pPr>
              <w:spacing w:after="0" w:line="196" w:lineRule="exact"/>
              <w:rPr>
                <w:sz w:val="20"/>
                <w:szCs w:val="20"/>
                <w:color w:val="auto"/>
              </w:rPr>
            </w:pPr>
            <w:r>
              <w:rPr>
                <w:rFonts w:ascii="Arial" w:cs="Arial" w:eastAsia="Arial" w:hAnsi="Arial"/>
                <w:sz w:val="18"/>
                <w:szCs w:val="18"/>
                <w:color w:val="0000EE"/>
                <w:w w:val="91"/>
              </w:rPr>
              <w:t>Certification Pursuant to Section 1350 of Chapter 63 of Title 18 of the United States</w:t>
            </w:r>
          </w:p>
        </w:tc>
        <w:tc>
          <w:tcPr>
            <w:tcW w:w="600" w:type="dxa"/>
            <w:vAlign w:val="bottom"/>
            <w:gridSpan w:val="2"/>
          </w:tcPr>
          <w:p>
            <w:pPr>
              <w:spacing w:after="0"/>
              <w:rPr>
                <w:sz w:val="17"/>
                <w:szCs w:val="17"/>
                <w:color w:val="auto"/>
              </w:rPr>
            </w:pPr>
          </w:p>
        </w:tc>
        <w:tc>
          <w:tcPr>
            <w:tcW w:w="8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580" w:type="dxa"/>
            <w:vAlign w:val="bottom"/>
            <w:tcBorders>
              <w:bottom w:val="single" w:sz="8" w:color="0000EE"/>
            </w:tcBorders>
            <w:gridSpan w:val="4"/>
          </w:tcPr>
          <w:p>
            <w:pPr>
              <w:spacing w:after="0" w:line="196" w:lineRule="exact"/>
              <w:rPr>
                <w:sz w:val="20"/>
                <w:szCs w:val="20"/>
                <w:color w:val="auto"/>
              </w:rPr>
            </w:pPr>
            <w:r>
              <w:rPr>
                <w:rFonts w:ascii="Arial" w:cs="Arial" w:eastAsia="Arial" w:hAnsi="Arial"/>
                <w:sz w:val="18"/>
                <w:szCs w:val="18"/>
                <w:color w:val="0000EE"/>
                <w:w w:val="88"/>
              </w:rPr>
              <w:t>Code – Deanna D. Strable-Soethout</w:t>
            </w:r>
          </w:p>
        </w:tc>
        <w:tc>
          <w:tcPr>
            <w:tcW w:w="4080" w:type="dxa"/>
            <w:vAlign w:val="bottom"/>
            <w:gridSpan w:val="4"/>
          </w:tcPr>
          <w:p>
            <w:pPr>
              <w:spacing w:after="0"/>
              <w:rPr>
                <w:sz w:val="17"/>
                <w:szCs w:val="17"/>
                <w:color w:val="auto"/>
              </w:rPr>
            </w:pPr>
          </w:p>
        </w:tc>
        <w:tc>
          <w:tcPr>
            <w:tcW w:w="8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13" w:lineRule="exact"/>
        <w:rPr>
          <w:sz w:val="20"/>
          <w:szCs w:val="20"/>
          <w:color w:val="auto"/>
        </w:rPr>
      </w:pPr>
    </w:p>
    <w:p>
      <w:pPr>
        <w:jc w:val="both"/>
        <w:ind w:left="1180" w:right="2300" w:hanging="1171"/>
        <w:spacing w:after="0" w:line="287" w:lineRule="auto"/>
        <w:tabs>
          <w:tab w:leader="none" w:pos="1180" w:val="left"/>
        </w:tabs>
        <w:numPr>
          <w:ilvl w:val="0"/>
          <w:numId w:val="62"/>
        </w:numPr>
        <w:rPr>
          <w:rFonts w:ascii="Arial" w:cs="Arial" w:eastAsia="Arial" w:hAnsi="Arial"/>
          <w:sz w:val="16"/>
          <w:szCs w:val="16"/>
          <w:color w:val="auto"/>
        </w:rPr>
      </w:pPr>
      <w:r>
        <w:rPr>
          <w:rFonts w:ascii="Arial" w:cs="Arial" w:eastAsia="Arial" w:hAnsi="Arial"/>
          <w:sz w:val="16"/>
          <w:szCs w:val="16"/>
          <w:color w:val="auto"/>
        </w:rPr>
        <w:t>The following materials from Principal Financial Group, Inc.’s Quarterly Report on Form 10-Q for the period ended June 30, 2022 formatted in iXBRL (Inline eXtensible Business Reporting Language): (i) the Condensed Consolidated Statements of Financial Position,</w:t>
      </w:r>
    </w:p>
    <w:p>
      <w:pPr>
        <w:spacing w:after="0" w:line="2" w:lineRule="exact"/>
        <w:rPr>
          <w:sz w:val="20"/>
          <w:szCs w:val="20"/>
          <w:color w:val="auto"/>
        </w:rPr>
      </w:pPr>
    </w:p>
    <w:p>
      <w:pPr>
        <w:ind w:left="1180" w:right="2360" w:hanging="10"/>
        <w:spacing w:after="0" w:line="281" w:lineRule="auto"/>
        <w:tabs>
          <w:tab w:leader="none" w:pos="1445" w:val="left"/>
        </w:tabs>
        <w:numPr>
          <w:ilvl w:val="0"/>
          <w:numId w:val="63"/>
        </w:numPr>
        <w:rPr>
          <w:rFonts w:ascii="Arial" w:cs="Arial" w:eastAsia="Arial" w:hAnsi="Arial"/>
          <w:sz w:val="16"/>
          <w:szCs w:val="16"/>
          <w:color w:val="auto"/>
        </w:rPr>
      </w:pPr>
      <w:r>
        <w:rPr>
          <w:rFonts w:ascii="Arial" w:cs="Arial" w:eastAsia="Arial" w:hAnsi="Arial"/>
          <w:sz w:val="16"/>
          <w:szCs w:val="16"/>
          <w:color w:val="auto"/>
        </w:rPr>
        <w:t>the Condensed Consolidated Statements of Operations, (iii) the Condensed Consolidated Statements of Comprehensive Income, (iv) the Condensed Consolidated Statements of Stockholders’ Equity, (v) the Condensed Consolidated Statements of Cash Flows and (vi) the Notes to Unaudited Condensed Consolidated Financial Statements.</w:t>
      </w:r>
    </w:p>
    <w:p>
      <w:pPr>
        <w:spacing w:after="0" w:line="2" w:lineRule="exact"/>
        <w:rPr>
          <w:sz w:val="20"/>
          <w:szCs w:val="20"/>
          <w:color w:val="auto"/>
        </w:rPr>
      </w:pPr>
    </w:p>
    <w:p>
      <w:pPr>
        <w:ind w:left="1180" w:right="2240" w:hanging="1171"/>
        <w:spacing w:after="0" w:line="290" w:lineRule="auto"/>
        <w:tabs>
          <w:tab w:leader="none" w:pos="1180" w:val="left"/>
        </w:tabs>
        <w:numPr>
          <w:ilvl w:val="0"/>
          <w:numId w:val="64"/>
        </w:numPr>
        <w:rPr>
          <w:rFonts w:ascii="Arial" w:cs="Arial" w:eastAsia="Arial" w:hAnsi="Arial"/>
          <w:sz w:val="17"/>
          <w:szCs w:val="17"/>
          <w:color w:val="auto"/>
        </w:rPr>
      </w:pPr>
      <w:r>
        <w:rPr>
          <w:rFonts w:ascii="Arial" w:cs="Arial" w:eastAsia="Arial" w:hAnsi="Arial"/>
          <w:sz w:val="17"/>
          <w:szCs w:val="17"/>
          <w:color w:val="auto"/>
        </w:rPr>
        <w:t>The cover page from Principal Financial Group, Inc.’s Quarterly Report on Form 10-Q for the period ended June 30, 2022 formatted in iXBRL and contained in Exhibit 101.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357505</wp:posOffset>
            </wp:positionV>
            <wp:extent cx="6292215" cy="2540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665" w:right="999" w:bottom="1440" w:gutter="0" w:footer="0" w:header="0"/>
        </w:sectPr>
      </w:pPr>
    </w:p>
    <w:bookmarkStart w:id="133" w:name="page134"/>
    <w:bookmarkEnd w:id="133"/>
    <w:p>
      <w:pPr>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SIGNATURE</w:t>
      </w:r>
    </w:p>
    <w:p>
      <w:pPr>
        <w:spacing w:after="0" w:line="229" w:lineRule="exact"/>
        <w:rPr>
          <w:sz w:val="20"/>
          <w:szCs w:val="20"/>
          <w:color w:val="auto"/>
        </w:rPr>
      </w:pPr>
    </w:p>
    <w:p>
      <w:pPr>
        <w:ind w:right="180"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240" w:type="dxa"/>
            <w:vAlign w:val="bottom"/>
          </w:tcPr>
          <w:p>
            <w:pPr>
              <w:spacing w:after="0"/>
              <w:rPr>
                <w:sz w:val="20"/>
                <w:szCs w:val="20"/>
                <w:color w:val="auto"/>
              </w:rPr>
            </w:pPr>
          </w:p>
        </w:tc>
        <w:tc>
          <w:tcPr>
            <w:tcW w:w="6680" w:type="dxa"/>
            <w:vAlign w:val="bottom"/>
            <w:gridSpan w:val="2"/>
          </w:tcPr>
          <w:p>
            <w:pPr>
              <w:ind w:left="1820"/>
              <w:spacing w:after="0"/>
              <w:rPr>
                <w:sz w:val="20"/>
                <w:szCs w:val="20"/>
                <w:color w:val="auto"/>
              </w:rPr>
            </w:pPr>
            <w:r>
              <w:rPr>
                <w:rFonts w:ascii="Arial" w:cs="Arial" w:eastAsia="Arial" w:hAnsi="Arial"/>
                <w:sz w:val="18"/>
                <w:szCs w:val="18"/>
                <w:color w:val="auto"/>
              </w:rPr>
              <w:t>PRINCIPAL FINANCIAL GROUP, INC.</w:t>
            </w:r>
          </w:p>
        </w:tc>
      </w:tr>
      <w:tr>
        <w:trPr>
          <w:trHeight w:val="432"/>
        </w:trPr>
        <w:tc>
          <w:tcPr>
            <w:tcW w:w="3240" w:type="dxa"/>
            <w:vAlign w:val="bottom"/>
          </w:tcPr>
          <w:p>
            <w:pPr>
              <w:spacing w:after="0"/>
              <w:rPr>
                <w:sz w:val="20"/>
                <w:szCs w:val="20"/>
                <w:color w:val="auto"/>
              </w:rPr>
            </w:pPr>
            <w:r>
              <w:rPr>
                <w:rFonts w:ascii="Arial" w:cs="Arial" w:eastAsia="Arial" w:hAnsi="Arial"/>
                <w:sz w:val="18"/>
                <w:szCs w:val="18"/>
                <w:color w:val="auto"/>
              </w:rPr>
              <w:t>Dated: August 9, 2022</w:t>
            </w:r>
          </w:p>
        </w:tc>
        <w:tc>
          <w:tcPr>
            <w:tcW w:w="6680" w:type="dxa"/>
            <w:vAlign w:val="bottom"/>
            <w:gridSpan w:val="2"/>
          </w:tcPr>
          <w:p>
            <w:pPr>
              <w:ind w:left="1820"/>
              <w:spacing w:after="0"/>
              <w:rPr>
                <w:sz w:val="20"/>
                <w:szCs w:val="20"/>
                <w:color w:val="auto"/>
              </w:rPr>
            </w:pPr>
            <w:r>
              <w:rPr>
                <w:rFonts w:ascii="Arial" w:cs="Arial" w:eastAsia="Arial" w:hAnsi="Arial"/>
                <w:sz w:val="18"/>
                <w:szCs w:val="18"/>
                <w:color w:val="auto"/>
              </w:rPr>
              <w:t>By /s/ Deanna D. Strable-Soethout</w:t>
            </w:r>
          </w:p>
        </w:tc>
      </w:tr>
      <w:tr>
        <w:trPr>
          <w:trHeight w:val="195"/>
        </w:trPr>
        <w:tc>
          <w:tcPr>
            <w:tcW w:w="3240" w:type="dxa"/>
            <w:vAlign w:val="bottom"/>
          </w:tcPr>
          <w:p>
            <w:pPr>
              <w:spacing w:after="0"/>
              <w:rPr>
                <w:sz w:val="16"/>
                <w:szCs w:val="16"/>
                <w:color w:val="auto"/>
              </w:rPr>
            </w:pPr>
          </w:p>
        </w:tc>
        <w:tc>
          <w:tcPr>
            <w:tcW w:w="2140" w:type="dxa"/>
            <w:vAlign w:val="bottom"/>
          </w:tcPr>
          <w:p>
            <w:pPr>
              <w:spacing w:after="0"/>
              <w:rPr>
                <w:sz w:val="16"/>
                <w:szCs w:val="16"/>
                <w:color w:val="auto"/>
              </w:rPr>
            </w:pPr>
          </w:p>
        </w:tc>
        <w:tc>
          <w:tcPr>
            <w:tcW w:w="454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Deanna D. Strable-Soethout</w:t>
            </w:r>
          </w:p>
        </w:tc>
      </w:tr>
      <w:tr>
        <w:trPr>
          <w:trHeight w:val="230"/>
        </w:trPr>
        <w:tc>
          <w:tcPr>
            <w:tcW w:w="3240" w:type="dxa"/>
            <w:vAlign w:val="bottom"/>
          </w:tcPr>
          <w:p>
            <w:pPr>
              <w:spacing w:after="0"/>
              <w:rPr>
                <w:sz w:val="20"/>
                <w:szCs w:val="20"/>
                <w:color w:val="auto"/>
              </w:rPr>
            </w:pPr>
          </w:p>
        </w:tc>
        <w:tc>
          <w:tcPr>
            <w:tcW w:w="2140" w:type="dxa"/>
            <w:vAlign w:val="bottom"/>
          </w:tcPr>
          <w:p>
            <w:pPr>
              <w:spacing w:after="0"/>
              <w:rPr>
                <w:sz w:val="20"/>
                <w:szCs w:val="20"/>
                <w:color w:val="auto"/>
              </w:rPr>
            </w:pPr>
          </w:p>
        </w:tc>
        <w:tc>
          <w:tcPr>
            <w:tcW w:w="4540" w:type="dxa"/>
            <w:vAlign w:val="bottom"/>
          </w:tcPr>
          <w:p>
            <w:pPr>
              <w:spacing w:after="0"/>
              <w:rPr>
                <w:sz w:val="20"/>
                <w:szCs w:val="20"/>
                <w:color w:val="auto"/>
              </w:rPr>
            </w:pPr>
            <w:r>
              <w:rPr>
                <w:rFonts w:ascii="Arial" w:cs="Arial" w:eastAsia="Arial" w:hAnsi="Arial"/>
                <w:sz w:val="18"/>
                <w:szCs w:val="18"/>
                <w:color w:val="auto"/>
              </w:rPr>
              <w:t>Executive Vice President and Chief Financial Officer</w:t>
            </w:r>
          </w:p>
        </w:tc>
      </w:tr>
      <w:tr>
        <w:trPr>
          <w:trHeight w:val="418"/>
        </w:trPr>
        <w:tc>
          <w:tcPr>
            <w:tcW w:w="3240" w:type="dxa"/>
            <w:vAlign w:val="bottom"/>
          </w:tcPr>
          <w:p>
            <w:pPr>
              <w:spacing w:after="0"/>
              <w:rPr>
                <w:sz w:val="24"/>
                <w:szCs w:val="24"/>
                <w:color w:val="auto"/>
              </w:rPr>
            </w:pPr>
          </w:p>
        </w:tc>
        <w:tc>
          <w:tcPr>
            <w:tcW w:w="2140" w:type="dxa"/>
            <w:vAlign w:val="bottom"/>
          </w:tcPr>
          <w:p>
            <w:pPr>
              <w:spacing w:after="0"/>
              <w:rPr>
                <w:sz w:val="24"/>
                <w:szCs w:val="24"/>
                <w:color w:val="auto"/>
              </w:rPr>
            </w:pPr>
          </w:p>
        </w:tc>
        <w:tc>
          <w:tcPr>
            <w:tcW w:w="4540" w:type="dxa"/>
            <w:vAlign w:val="bottom"/>
          </w:tcPr>
          <w:p>
            <w:pPr>
              <w:spacing w:after="0"/>
              <w:rPr>
                <w:sz w:val="20"/>
                <w:szCs w:val="20"/>
                <w:color w:val="auto"/>
              </w:rPr>
            </w:pPr>
            <w:r>
              <w:rPr>
                <w:rFonts w:ascii="Arial" w:cs="Arial" w:eastAsia="Arial" w:hAnsi="Arial"/>
                <w:sz w:val="18"/>
                <w:szCs w:val="18"/>
                <w:color w:val="auto"/>
              </w:rPr>
              <w:t>Duly Authorized Officer, Principal Financial Officer, and</w:t>
            </w:r>
          </w:p>
        </w:tc>
      </w:tr>
      <w:tr>
        <w:trPr>
          <w:trHeight w:val="230"/>
        </w:trPr>
        <w:tc>
          <w:tcPr>
            <w:tcW w:w="3240" w:type="dxa"/>
            <w:vAlign w:val="bottom"/>
          </w:tcPr>
          <w:p>
            <w:pPr>
              <w:spacing w:after="0"/>
              <w:rPr>
                <w:sz w:val="20"/>
                <w:szCs w:val="20"/>
                <w:color w:val="auto"/>
              </w:rPr>
            </w:pPr>
          </w:p>
        </w:tc>
        <w:tc>
          <w:tcPr>
            <w:tcW w:w="2140" w:type="dxa"/>
            <w:vAlign w:val="bottom"/>
          </w:tcPr>
          <w:p>
            <w:pPr>
              <w:spacing w:after="0"/>
              <w:rPr>
                <w:sz w:val="20"/>
                <w:szCs w:val="20"/>
                <w:color w:val="auto"/>
              </w:rPr>
            </w:pPr>
          </w:p>
        </w:tc>
        <w:tc>
          <w:tcPr>
            <w:tcW w:w="4540" w:type="dxa"/>
            <w:vAlign w:val="bottom"/>
          </w:tcPr>
          <w:p>
            <w:pPr>
              <w:spacing w:after="0"/>
              <w:rPr>
                <w:sz w:val="20"/>
                <w:szCs w:val="20"/>
                <w:color w:val="auto"/>
              </w:rPr>
            </w:pPr>
            <w:r>
              <w:rPr>
                <w:rFonts w:ascii="Arial" w:cs="Arial" w:eastAsia="Arial" w:hAnsi="Arial"/>
                <w:sz w:val="18"/>
                <w:szCs w:val="18"/>
                <w:color w:val="auto"/>
              </w:rPr>
              <w:t>Principal Accounting Officer</w:t>
            </w:r>
          </w:p>
        </w:tc>
      </w:tr>
      <w:tr>
        <w:trPr>
          <w:trHeight w:val="878"/>
        </w:trPr>
        <w:tc>
          <w:tcPr>
            <w:tcW w:w="3240" w:type="dxa"/>
            <w:vAlign w:val="bottom"/>
          </w:tcPr>
          <w:p>
            <w:pPr>
              <w:spacing w:after="0"/>
              <w:rPr>
                <w:sz w:val="24"/>
                <w:szCs w:val="24"/>
                <w:color w:val="auto"/>
              </w:rPr>
            </w:pPr>
          </w:p>
        </w:tc>
        <w:tc>
          <w:tcPr>
            <w:tcW w:w="2140" w:type="dxa"/>
            <w:vAlign w:val="bottom"/>
          </w:tcPr>
          <w:p>
            <w:pPr>
              <w:jc w:val="right"/>
              <w:ind w:right="190"/>
              <w:spacing w:after="0"/>
              <w:rPr>
                <w:sz w:val="20"/>
                <w:szCs w:val="20"/>
                <w:color w:val="auto"/>
              </w:rPr>
            </w:pPr>
            <w:r>
              <w:rPr>
                <w:rFonts w:ascii="Arial" w:cs="Arial" w:eastAsia="Arial" w:hAnsi="Arial"/>
                <w:sz w:val="18"/>
                <w:szCs w:val="18"/>
                <w:color w:val="auto"/>
              </w:rPr>
              <w:t>134</w:t>
            </w:r>
          </w:p>
        </w:tc>
        <w:tc>
          <w:tcPr>
            <w:tcW w:w="4540" w:type="dxa"/>
            <w:vAlign w:val="bottom"/>
          </w:tcPr>
          <w:p>
            <w:pPr>
              <w:spacing w:after="0"/>
              <w:rPr>
                <w:sz w:val="24"/>
                <w:szCs w:val="24"/>
                <w:color w:val="auto"/>
              </w:rPr>
            </w:pPr>
          </w:p>
        </w:tc>
      </w:tr>
      <w:tr>
        <w:trPr>
          <w:trHeight w:val="560"/>
        </w:trPr>
        <w:tc>
          <w:tcPr>
            <w:tcW w:w="3240" w:type="dxa"/>
            <w:vAlign w:val="bottom"/>
            <w:tcBorders>
              <w:bottom w:val="single" w:sz="8" w:color="auto"/>
            </w:tcBorders>
          </w:tcPr>
          <w:p>
            <w:pPr>
              <w:spacing w:after="0"/>
              <w:rPr>
                <w:sz w:val="24"/>
                <w:szCs w:val="24"/>
                <w:color w:val="auto"/>
              </w:rPr>
            </w:pPr>
          </w:p>
        </w:tc>
        <w:tc>
          <w:tcPr>
            <w:tcW w:w="2140" w:type="dxa"/>
            <w:vAlign w:val="bottom"/>
            <w:tcBorders>
              <w:bottom w:val="single" w:sz="8" w:color="auto"/>
            </w:tcBorders>
          </w:tcPr>
          <w:p>
            <w:pPr>
              <w:spacing w:after="0"/>
              <w:rPr>
                <w:sz w:val="24"/>
                <w:szCs w:val="24"/>
                <w:color w:val="auto"/>
              </w:rPr>
            </w:pPr>
          </w:p>
        </w:tc>
        <w:tc>
          <w:tcPr>
            <w:tcW w:w="4540" w:type="dxa"/>
            <w:vAlign w:val="bottom"/>
            <w:tcBorders>
              <w:bottom w:val="single" w:sz="8" w:color="auto"/>
            </w:tcBorders>
          </w:tcPr>
          <w:p>
            <w:pPr>
              <w:spacing w:after="0"/>
              <w:rPr>
                <w:sz w:val="24"/>
                <w:szCs w:val="24"/>
                <w:color w:val="auto"/>
              </w:rPr>
            </w:pPr>
          </w:p>
        </w:tc>
      </w:tr>
    </w:tbl>
    <w:p>
      <w:pPr>
        <w:sectPr>
          <w:pgSz w:w="11900" w:h="16838" w:orient="portrait"/>
          <w:cols w:equalWidth="0" w:num="1">
            <w:col w:w="9920"/>
          </w:cols>
          <w:pgMar w:left="980" w:top="665" w:right="999" w:bottom="1440" w:gutter="0" w:footer="0" w:header="0"/>
        </w:sectPr>
      </w:pPr>
    </w:p>
    <w:bookmarkStart w:id="134" w:name="page135"/>
    <w:bookmarkEnd w:id="134"/>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 Daniel J. Houston, certify that:</w:t>
      </w:r>
    </w:p>
    <w:p>
      <w:pPr>
        <w:spacing w:after="0" w:line="185" w:lineRule="exact"/>
        <w:rPr>
          <w:sz w:val="20"/>
          <w:szCs w:val="20"/>
          <w:color w:val="auto"/>
        </w:rPr>
      </w:pPr>
    </w:p>
    <w:p>
      <w:pPr>
        <w:ind w:left="660" w:hanging="652"/>
        <w:spacing w:after="0"/>
        <w:tabs>
          <w:tab w:leader="none" w:pos="660" w:val="left"/>
        </w:tabs>
        <w:numPr>
          <w:ilvl w:val="0"/>
          <w:numId w:val="65"/>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Principal Financial Group, Inc.;</w:t>
      </w:r>
    </w:p>
    <w:p>
      <w:pPr>
        <w:spacing w:after="0" w:line="184" w:lineRule="exact"/>
        <w:rPr>
          <w:rFonts w:ascii="Arial" w:cs="Arial" w:eastAsia="Arial" w:hAnsi="Arial"/>
          <w:sz w:val="18"/>
          <w:szCs w:val="18"/>
          <w:color w:val="auto"/>
        </w:rPr>
      </w:pPr>
    </w:p>
    <w:p>
      <w:pPr>
        <w:ind w:left="660" w:right="200" w:hanging="652"/>
        <w:spacing w:after="0" w:line="263" w:lineRule="auto"/>
        <w:tabs>
          <w:tab w:leader="none" w:pos="660" w:val="left"/>
        </w:tabs>
        <w:numPr>
          <w:ilvl w:val="0"/>
          <w:numId w:val="65"/>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43" w:lineRule="exact"/>
        <w:rPr>
          <w:rFonts w:ascii="Arial" w:cs="Arial" w:eastAsia="Arial" w:hAnsi="Arial"/>
          <w:sz w:val="18"/>
          <w:szCs w:val="18"/>
          <w:color w:val="auto"/>
        </w:rPr>
      </w:pPr>
    </w:p>
    <w:p>
      <w:pPr>
        <w:ind w:left="660" w:right="280" w:hanging="652"/>
        <w:spacing w:after="0" w:line="263" w:lineRule="auto"/>
        <w:tabs>
          <w:tab w:leader="none" w:pos="660" w:val="left"/>
        </w:tabs>
        <w:numPr>
          <w:ilvl w:val="0"/>
          <w:numId w:val="65"/>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3" w:lineRule="exact"/>
        <w:rPr>
          <w:rFonts w:ascii="Arial" w:cs="Arial" w:eastAsia="Arial" w:hAnsi="Arial"/>
          <w:sz w:val="18"/>
          <w:szCs w:val="18"/>
          <w:color w:val="auto"/>
        </w:rPr>
      </w:pPr>
    </w:p>
    <w:p>
      <w:pPr>
        <w:ind w:left="660" w:right="40" w:hanging="652"/>
        <w:spacing w:after="0" w:line="263" w:lineRule="auto"/>
        <w:tabs>
          <w:tab w:leader="none" w:pos="660" w:val="left"/>
        </w:tabs>
        <w:numPr>
          <w:ilvl w:val="0"/>
          <w:numId w:val="65"/>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43" w:lineRule="exact"/>
        <w:rPr>
          <w:rFonts w:ascii="Arial" w:cs="Arial" w:eastAsia="Arial" w:hAnsi="Arial"/>
          <w:sz w:val="18"/>
          <w:szCs w:val="18"/>
          <w:color w:val="auto"/>
        </w:rPr>
      </w:pPr>
    </w:p>
    <w:p>
      <w:pPr>
        <w:ind w:left="1300" w:right="180" w:hanging="644"/>
        <w:spacing w:after="0" w:line="259" w:lineRule="auto"/>
        <w:tabs>
          <w:tab w:leader="none" w:pos="1300" w:val="left"/>
        </w:tabs>
        <w:numPr>
          <w:ilvl w:val="1"/>
          <w:numId w:val="65"/>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46" w:lineRule="exact"/>
        <w:rPr>
          <w:rFonts w:ascii="Arial" w:cs="Arial" w:eastAsia="Arial" w:hAnsi="Arial"/>
          <w:sz w:val="18"/>
          <w:szCs w:val="18"/>
          <w:color w:val="auto"/>
        </w:rPr>
      </w:pPr>
    </w:p>
    <w:p>
      <w:pPr>
        <w:ind w:left="1300" w:right="100" w:hanging="644"/>
        <w:spacing w:after="0" w:line="311" w:lineRule="auto"/>
        <w:tabs>
          <w:tab w:leader="none" w:pos="1300" w:val="left"/>
        </w:tabs>
        <w:numPr>
          <w:ilvl w:val="1"/>
          <w:numId w:val="65"/>
        </w:numPr>
        <w:rPr>
          <w:rFonts w:ascii="Arial" w:cs="Arial" w:eastAsia="Arial" w:hAnsi="Arial"/>
          <w:sz w:val="16"/>
          <w:szCs w:val="16"/>
          <w:color w:val="auto"/>
        </w:rPr>
      </w:pPr>
      <w:r>
        <w:rPr>
          <w:rFonts w:ascii="Arial" w:cs="Arial" w:eastAsia="Arial" w:hAnsi="Arial"/>
          <w:sz w:val="16"/>
          <w:szCs w:val="16"/>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08" w:lineRule="exact"/>
        <w:rPr>
          <w:rFonts w:ascii="Arial" w:cs="Arial" w:eastAsia="Arial" w:hAnsi="Arial"/>
          <w:sz w:val="16"/>
          <w:szCs w:val="16"/>
          <w:color w:val="auto"/>
        </w:rPr>
      </w:pPr>
    </w:p>
    <w:p>
      <w:pPr>
        <w:ind w:left="1300" w:right="260" w:hanging="644"/>
        <w:spacing w:after="0" w:line="263" w:lineRule="auto"/>
        <w:tabs>
          <w:tab w:leader="none" w:pos="1300" w:val="left"/>
        </w:tabs>
        <w:numPr>
          <w:ilvl w:val="1"/>
          <w:numId w:val="65"/>
        </w:numPr>
        <w:rPr>
          <w:rFonts w:ascii="Arial" w:cs="Arial" w:eastAsia="Arial" w:hAnsi="Arial"/>
          <w:sz w:val="18"/>
          <w:szCs w:val="18"/>
          <w:color w:val="auto"/>
        </w:rPr>
      </w:pPr>
      <w:r>
        <w:rPr>
          <w:rFonts w:ascii="Arial" w:cs="Arial" w:eastAsia="Arial" w:hAnsi="Arial"/>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43" w:lineRule="exact"/>
        <w:rPr>
          <w:rFonts w:ascii="Arial" w:cs="Arial" w:eastAsia="Arial" w:hAnsi="Arial"/>
          <w:sz w:val="18"/>
          <w:szCs w:val="18"/>
          <w:color w:val="auto"/>
        </w:rPr>
      </w:pPr>
    </w:p>
    <w:p>
      <w:pPr>
        <w:ind w:left="1300" w:right="80" w:hanging="644"/>
        <w:spacing w:after="0" w:line="259" w:lineRule="auto"/>
        <w:tabs>
          <w:tab w:leader="none" w:pos="1300" w:val="left"/>
        </w:tabs>
        <w:numPr>
          <w:ilvl w:val="1"/>
          <w:numId w:val="65"/>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46" w:lineRule="exact"/>
        <w:rPr>
          <w:rFonts w:ascii="Arial" w:cs="Arial" w:eastAsia="Arial" w:hAnsi="Arial"/>
          <w:sz w:val="18"/>
          <w:szCs w:val="18"/>
          <w:color w:val="auto"/>
        </w:rPr>
      </w:pPr>
    </w:p>
    <w:p>
      <w:pPr>
        <w:ind w:left="660" w:right="360" w:hanging="652"/>
        <w:spacing w:after="0" w:line="263" w:lineRule="auto"/>
        <w:tabs>
          <w:tab w:leader="none" w:pos="660" w:val="left"/>
        </w:tabs>
        <w:numPr>
          <w:ilvl w:val="0"/>
          <w:numId w:val="65"/>
        </w:numPr>
        <w:rPr>
          <w:rFonts w:ascii="Arial" w:cs="Arial" w:eastAsia="Arial" w:hAnsi="Arial"/>
          <w:sz w:val="18"/>
          <w:szCs w:val="18"/>
          <w:color w:val="auto"/>
        </w:rPr>
      </w:pPr>
      <w:r>
        <w:rPr>
          <w:rFonts w:ascii="Arial" w:cs="Arial" w:eastAsia="Arial" w:hAnsi="Arial"/>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3" w:lineRule="exact"/>
        <w:rPr>
          <w:rFonts w:ascii="Arial" w:cs="Arial" w:eastAsia="Arial" w:hAnsi="Arial"/>
          <w:sz w:val="18"/>
          <w:szCs w:val="18"/>
          <w:color w:val="auto"/>
        </w:rPr>
      </w:pPr>
    </w:p>
    <w:p>
      <w:pPr>
        <w:ind w:left="1300" w:right="440" w:hanging="644"/>
        <w:spacing w:after="0" w:line="263" w:lineRule="auto"/>
        <w:tabs>
          <w:tab w:leader="none" w:pos="1300" w:val="left"/>
        </w:tabs>
        <w:numPr>
          <w:ilvl w:val="1"/>
          <w:numId w:val="65"/>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43" w:lineRule="exact"/>
        <w:rPr>
          <w:rFonts w:ascii="Arial" w:cs="Arial" w:eastAsia="Arial" w:hAnsi="Arial"/>
          <w:sz w:val="18"/>
          <w:szCs w:val="18"/>
          <w:color w:val="auto"/>
        </w:rPr>
      </w:pPr>
    </w:p>
    <w:p>
      <w:pPr>
        <w:ind w:left="1300" w:right="260" w:hanging="644"/>
        <w:spacing w:after="0" w:line="277" w:lineRule="auto"/>
        <w:tabs>
          <w:tab w:leader="none" w:pos="1300" w:val="left"/>
        </w:tabs>
        <w:numPr>
          <w:ilvl w:val="1"/>
          <w:numId w:val="65"/>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color w:val="auto"/>
        </w:rPr>
        <w:t>Date: August 9, 2022</w:t>
      </w:r>
    </w:p>
    <w:p>
      <w:pPr>
        <w:spacing w:after="0" w:line="239" w:lineRule="exact"/>
        <w:rPr>
          <w:sz w:val="20"/>
          <w:szCs w:val="20"/>
          <w:color w:val="auto"/>
        </w:rPr>
      </w:pPr>
    </w:p>
    <w:p>
      <w:pPr>
        <w:ind w:left="4960"/>
        <w:spacing w:after="0"/>
        <w:rPr>
          <w:sz w:val="20"/>
          <w:szCs w:val="20"/>
          <w:color w:val="auto"/>
        </w:rPr>
      </w:pPr>
      <w:r>
        <w:rPr>
          <w:rFonts w:ascii="Arial" w:cs="Arial" w:eastAsia="Arial" w:hAnsi="Arial"/>
          <w:sz w:val="18"/>
          <w:szCs w:val="18"/>
          <w:color w:val="auto"/>
        </w:rPr>
        <w:t>/s/ Daniel J. Houston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3152140</wp:posOffset>
            </wp:positionH>
            <wp:positionV relativeFrom="paragraph">
              <wp:posOffset>14605</wp:posOffset>
            </wp:positionV>
            <wp:extent cx="3145790" cy="825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3" w:lineRule="exact"/>
        <w:rPr>
          <w:sz w:val="20"/>
          <w:szCs w:val="20"/>
          <w:color w:val="auto"/>
        </w:rPr>
      </w:pPr>
    </w:p>
    <w:p>
      <w:pPr>
        <w:ind w:left="4960"/>
        <w:spacing w:after="0"/>
        <w:rPr>
          <w:sz w:val="20"/>
          <w:szCs w:val="20"/>
          <w:color w:val="auto"/>
        </w:rPr>
      </w:pPr>
      <w:r>
        <w:rPr>
          <w:rFonts w:ascii="Arial" w:cs="Arial" w:eastAsia="Arial" w:hAnsi="Arial"/>
          <w:sz w:val="18"/>
          <w:szCs w:val="18"/>
          <w:color w:val="auto"/>
        </w:rPr>
        <w:t>Daniel J. Houston</w:t>
      </w:r>
    </w:p>
    <w:p>
      <w:pPr>
        <w:spacing w:after="0" w:line="23" w:lineRule="exact"/>
        <w:rPr>
          <w:sz w:val="20"/>
          <w:szCs w:val="20"/>
          <w:color w:val="auto"/>
        </w:rPr>
      </w:pPr>
    </w:p>
    <w:p>
      <w:pPr>
        <w:ind w:left="4960"/>
        <w:spacing w:after="0"/>
        <w:rPr>
          <w:sz w:val="20"/>
          <w:szCs w:val="20"/>
          <w:color w:val="auto"/>
        </w:rPr>
      </w:pPr>
      <w:r>
        <w:rPr>
          <w:rFonts w:ascii="Arial" w:cs="Arial" w:eastAsia="Arial" w:hAnsi="Arial"/>
          <w:sz w:val="18"/>
          <w:szCs w:val="18"/>
          <w:color w:val="auto"/>
        </w:rPr>
        <w:t>Chairman, President and Chief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485775</wp:posOffset>
            </wp:positionV>
            <wp:extent cx="6292215" cy="2540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121" w:right="999" w:bottom="1440" w:gutter="0" w:footer="0" w:header="0"/>
        </w:sectPr>
      </w:pPr>
    </w:p>
    <w:bookmarkStart w:id="135" w:name="page136"/>
    <w:bookmarkEnd w:id="135"/>
    <w:p>
      <w:pPr>
        <w:jc w:val="right"/>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 Deanna D. Strable-Soethout, certify that:</w:t>
      </w:r>
    </w:p>
    <w:p>
      <w:pPr>
        <w:spacing w:after="0" w:line="185" w:lineRule="exact"/>
        <w:rPr>
          <w:sz w:val="20"/>
          <w:szCs w:val="20"/>
          <w:color w:val="auto"/>
        </w:rPr>
      </w:pPr>
    </w:p>
    <w:p>
      <w:pPr>
        <w:ind w:left="660" w:hanging="652"/>
        <w:spacing w:after="0"/>
        <w:tabs>
          <w:tab w:leader="none" w:pos="660" w:val="left"/>
        </w:tabs>
        <w:numPr>
          <w:ilvl w:val="0"/>
          <w:numId w:val="66"/>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Principal Financial Group, Inc.;</w:t>
      </w:r>
    </w:p>
    <w:p>
      <w:pPr>
        <w:spacing w:after="0" w:line="184" w:lineRule="exact"/>
        <w:rPr>
          <w:rFonts w:ascii="Arial" w:cs="Arial" w:eastAsia="Arial" w:hAnsi="Arial"/>
          <w:sz w:val="18"/>
          <w:szCs w:val="18"/>
          <w:color w:val="auto"/>
        </w:rPr>
      </w:pPr>
    </w:p>
    <w:p>
      <w:pPr>
        <w:ind w:left="660" w:right="200" w:hanging="652"/>
        <w:spacing w:after="0" w:line="263" w:lineRule="auto"/>
        <w:tabs>
          <w:tab w:leader="none" w:pos="660" w:val="left"/>
        </w:tabs>
        <w:numPr>
          <w:ilvl w:val="0"/>
          <w:numId w:val="66"/>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43" w:lineRule="exact"/>
        <w:rPr>
          <w:rFonts w:ascii="Arial" w:cs="Arial" w:eastAsia="Arial" w:hAnsi="Arial"/>
          <w:sz w:val="18"/>
          <w:szCs w:val="18"/>
          <w:color w:val="auto"/>
        </w:rPr>
      </w:pPr>
    </w:p>
    <w:p>
      <w:pPr>
        <w:ind w:left="660" w:right="280" w:hanging="652"/>
        <w:spacing w:after="0" w:line="263" w:lineRule="auto"/>
        <w:tabs>
          <w:tab w:leader="none" w:pos="660" w:val="left"/>
        </w:tabs>
        <w:numPr>
          <w:ilvl w:val="0"/>
          <w:numId w:val="66"/>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3" w:lineRule="exact"/>
        <w:rPr>
          <w:rFonts w:ascii="Arial" w:cs="Arial" w:eastAsia="Arial" w:hAnsi="Arial"/>
          <w:sz w:val="18"/>
          <w:szCs w:val="18"/>
          <w:color w:val="auto"/>
        </w:rPr>
      </w:pPr>
    </w:p>
    <w:p>
      <w:pPr>
        <w:ind w:left="660" w:right="40" w:hanging="652"/>
        <w:spacing w:after="0" w:line="263" w:lineRule="auto"/>
        <w:tabs>
          <w:tab w:leader="none" w:pos="660" w:val="left"/>
        </w:tabs>
        <w:numPr>
          <w:ilvl w:val="0"/>
          <w:numId w:val="66"/>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43" w:lineRule="exact"/>
        <w:rPr>
          <w:rFonts w:ascii="Arial" w:cs="Arial" w:eastAsia="Arial" w:hAnsi="Arial"/>
          <w:sz w:val="18"/>
          <w:szCs w:val="18"/>
          <w:color w:val="auto"/>
        </w:rPr>
      </w:pPr>
    </w:p>
    <w:p>
      <w:pPr>
        <w:ind w:left="1300" w:right="180" w:hanging="644"/>
        <w:spacing w:after="0" w:line="259" w:lineRule="auto"/>
        <w:tabs>
          <w:tab w:leader="none" w:pos="1300" w:val="left"/>
        </w:tabs>
        <w:numPr>
          <w:ilvl w:val="1"/>
          <w:numId w:val="66"/>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46" w:lineRule="exact"/>
        <w:rPr>
          <w:rFonts w:ascii="Arial" w:cs="Arial" w:eastAsia="Arial" w:hAnsi="Arial"/>
          <w:sz w:val="18"/>
          <w:szCs w:val="18"/>
          <w:color w:val="auto"/>
        </w:rPr>
      </w:pPr>
    </w:p>
    <w:p>
      <w:pPr>
        <w:ind w:left="1300" w:right="100" w:hanging="644"/>
        <w:spacing w:after="0" w:line="311" w:lineRule="auto"/>
        <w:tabs>
          <w:tab w:leader="none" w:pos="1300" w:val="left"/>
        </w:tabs>
        <w:numPr>
          <w:ilvl w:val="1"/>
          <w:numId w:val="66"/>
        </w:numPr>
        <w:rPr>
          <w:rFonts w:ascii="Arial" w:cs="Arial" w:eastAsia="Arial" w:hAnsi="Arial"/>
          <w:sz w:val="16"/>
          <w:szCs w:val="16"/>
          <w:color w:val="auto"/>
        </w:rPr>
      </w:pPr>
      <w:r>
        <w:rPr>
          <w:rFonts w:ascii="Arial" w:cs="Arial" w:eastAsia="Arial" w:hAnsi="Arial"/>
          <w:sz w:val="16"/>
          <w:szCs w:val="16"/>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08" w:lineRule="exact"/>
        <w:rPr>
          <w:rFonts w:ascii="Arial" w:cs="Arial" w:eastAsia="Arial" w:hAnsi="Arial"/>
          <w:sz w:val="16"/>
          <w:szCs w:val="16"/>
          <w:color w:val="auto"/>
        </w:rPr>
      </w:pPr>
    </w:p>
    <w:p>
      <w:pPr>
        <w:ind w:left="1300" w:right="260" w:hanging="644"/>
        <w:spacing w:after="0" w:line="263" w:lineRule="auto"/>
        <w:tabs>
          <w:tab w:leader="none" w:pos="1300" w:val="left"/>
        </w:tabs>
        <w:numPr>
          <w:ilvl w:val="1"/>
          <w:numId w:val="66"/>
        </w:numPr>
        <w:rPr>
          <w:rFonts w:ascii="Arial" w:cs="Arial" w:eastAsia="Arial" w:hAnsi="Arial"/>
          <w:sz w:val="18"/>
          <w:szCs w:val="18"/>
          <w:color w:val="auto"/>
        </w:rPr>
      </w:pPr>
      <w:r>
        <w:rPr>
          <w:rFonts w:ascii="Arial" w:cs="Arial" w:eastAsia="Arial" w:hAnsi="Arial"/>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43" w:lineRule="exact"/>
        <w:rPr>
          <w:rFonts w:ascii="Arial" w:cs="Arial" w:eastAsia="Arial" w:hAnsi="Arial"/>
          <w:sz w:val="18"/>
          <w:szCs w:val="18"/>
          <w:color w:val="auto"/>
        </w:rPr>
      </w:pPr>
    </w:p>
    <w:p>
      <w:pPr>
        <w:ind w:left="1300" w:right="80" w:hanging="644"/>
        <w:spacing w:after="0" w:line="259" w:lineRule="auto"/>
        <w:tabs>
          <w:tab w:leader="none" w:pos="1300" w:val="left"/>
        </w:tabs>
        <w:numPr>
          <w:ilvl w:val="1"/>
          <w:numId w:val="66"/>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46" w:lineRule="exact"/>
        <w:rPr>
          <w:rFonts w:ascii="Arial" w:cs="Arial" w:eastAsia="Arial" w:hAnsi="Arial"/>
          <w:sz w:val="18"/>
          <w:szCs w:val="18"/>
          <w:color w:val="auto"/>
        </w:rPr>
      </w:pPr>
    </w:p>
    <w:p>
      <w:pPr>
        <w:ind w:left="660" w:right="360" w:hanging="652"/>
        <w:spacing w:after="0" w:line="263" w:lineRule="auto"/>
        <w:tabs>
          <w:tab w:leader="none" w:pos="660" w:val="left"/>
        </w:tabs>
        <w:numPr>
          <w:ilvl w:val="0"/>
          <w:numId w:val="66"/>
        </w:numPr>
        <w:rPr>
          <w:rFonts w:ascii="Arial" w:cs="Arial" w:eastAsia="Arial" w:hAnsi="Arial"/>
          <w:sz w:val="18"/>
          <w:szCs w:val="18"/>
          <w:color w:val="auto"/>
        </w:rPr>
      </w:pPr>
      <w:r>
        <w:rPr>
          <w:rFonts w:ascii="Arial" w:cs="Arial" w:eastAsia="Arial" w:hAnsi="Arial"/>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3" w:lineRule="exact"/>
        <w:rPr>
          <w:rFonts w:ascii="Arial" w:cs="Arial" w:eastAsia="Arial" w:hAnsi="Arial"/>
          <w:sz w:val="18"/>
          <w:szCs w:val="18"/>
          <w:color w:val="auto"/>
        </w:rPr>
      </w:pPr>
    </w:p>
    <w:p>
      <w:pPr>
        <w:ind w:left="1300" w:right="440" w:hanging="644"/>
        <w:spacing w:after="0" w:line="263" w:lineRule="auto"/>
        <w:tabs>
          <w:tab w:leader="none" w:pos="1300" w:val="left"/>
        </w:tabs>
        <w:numPr>
          <w:ilvl w:val="1"/>
          <w:numId w:val="66"/>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43" w:lineRule="exact"/>
        <w:rPr>
          <w:rFonts w:ascii="Arial" w:cs="Arial" w:eastAsia="Arial" w:hAnsi="Arial"/>
          <w:sz w:val="18"/>
          <w:szCs w:val="18"/>
          <w:color w:val="auto"/>
        </w:rPr>
      </w:pPr>
    </w:p>
    <w:p>
      <w:pPr>
        <w:ind w:left="1300" w:right="260" w:hanging="644"/>
        <w:spacing w:after="0" w:line="277" w:lineRule="auto"/>
        <w:tabs>
          <w:tab w:leader="none" w:pos="1300" w:val="left"/>
        </w:tabs>
        <w:numPr>
          <w:ilvl w:val="1"/>
          <w:numId w:val="66"/>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color w:val="auto"/>
        </w:rPr>
        <w:t>Date: August 9, 2022</w:t>
      </w:r>
    </w:p>
    <w:p>
      <w:pPr>
        <w:spacing w:after="0" w:line="239" w:lineRule="exact"/>
        <w:rPr>
          <w:sz w:val="20"/>
          <w:szCs w:val="20"/>
          <w:color w:val="auto"/>
        </w:rPr>
      </w:pPr>
    </w:p>
    <w:p>
      <w:pPr>
        <w:ind w:left="4960"/>
        <w:spacing w:after="0"/>
        <w:rPr>
          <w:sz w:val="20"/>
          <w:szCs w:val="20"/>
          <w:color w:val="auto"/>
        </w:rPr>
      </w:pPr>
      <w:r>
        <w:rPr>
          <w:rFonts w:ascii="Arial" w:cs="Arial" w:eastAsia="Arial" w:hAnsi="Arial"/>
          <w:sz w:val="18"/>
          <w:szCs w:val="18"/>
          <w:color w:val="auto"/>
        </w:rPr>
        <w:t>/s/ Deanna D. Strable-Soethout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3152140</wp:posOffset>
            </wp:positionH>
            <wp:positionV relativeFrom="paragraph">
              <wp:posOffset>14605</wp:posOffset>
            </wp:positionV>
            <wp:extent cx="3145790" cy="825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3" w:lineRule="exact"/>
        <w:rPr>
          <w:sz w:val="20"/>
          <w:szCs w:val="20"/>
          <w:color w:val="auto"/>
        </w:rPr>
      </w:pPr>
    </w:p>
    <w:p>
      <w:pPr>
        <w:ind w:left="4960"/>
        <w:spacing w:after="0"/>
        <w:rPr>
          <w:sz w:val="20"/>
          <w:szCs w:val="20"/>
          <w:color w:val="auto"/>
        </w:rPr>
      </w:pPr>
      <w:r>
        <w:rPr>
          <w:rFonts w:ascii="Arial" w:cs="Arial" w:eastAsia="Arial" w:hAnsi="Arial"/>
          <w:sz w:val="18"/>
          <w:szCs w:val="18"/>
          <w:color w:val="auto"/>
        </w:rPr>
        <w:t>Deanna D. Strable-Soethout</w:t>
      </w:r>
    </w:p>
    <w:p>
      <w:pPr>
        <w:spacing w:after="0" w:line="23" w:lineRule="exact"/>
        <w:rPr>
          <w:sz w:val="20"/>
          <w:szCs w:val="20"/>
          <w:color w:val="auto"/>
        </w:rPr>
      </w:pPr>
    </w:p>
    <w:p>
      <w:pPr>
        <w:ind w:left="4960"/>
        <w:spacing w:after="0"/>
        <w:rPr>
          <w:sz w:val="20"/>
          <w:szCs w:val="20"/>
          <w:color w:val="auto"/>
        </w:rPr>
      </w:pPr>
      <w:r>
        <w:rPr>
          <w:rFonts w:ascii="Arial" w:cs="Arial" w:eastAsia="Arial" w:hAnsi="Arial"/>
          <w:sz w:val="18"/>
          <w:szCs w:val="18"/>
          <w:color w:val="auto"/>
        </w:rPr>
        <w:t>Executive Vice President and 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485775</wp:posOffset>
            </wp:positionV>
            <wp:extent cx="6292215" cy="2540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121" w:right="999" w:bottom="1440" w:gutter="0" w:footer="0" w:header="0"/>
        </w:sectPr>
      </w:pPr>
    </w:p>
    <w:bookmarkStart w:id="136" w:name="page137"/>
    <w:bookmarkEnd w:id="136"/>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Section 1350 of Chapter 63</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Title 18 of the United States Code</w:t>
      </w:r>
    </w:p>
    <w:p>
      <w:pPr>
        <w:spacing w:after="0" w:line="211" w:lineRule="exact"/>
        <w:rPr>
          <w:sz w:val="20"/>
          <w:szCs w:val="20"/>
          <w:color w:val="auto"/>
        </w:rPr>
      </w:pPr>
    </w:p>
    <w:p>
      <w:pPr>
        <w:ind w:right="100" w:firstLine="648"/>
        <w:spacing w:after="0" w:line="259" w:lineRule="auto"/>
        <w:rPr>
          <w:sz w:val="20"/>
          <w:szCs w:val="20"/>
          <w:color w:val="auto"/>
        </w:rPr>
      </w:pPr>
      <w:r>
        <w:rPr>
          <w:rFonts w:ascii="Arial" w:cs="Arial" w:eastAsia="Arial" w:hAnsi="Arial"/>
          <w:sz w:val="18"/>
          <w:szCs w:val="18"/>
          <w:color w:val="auto"/>
        </w:rPr>
        <w:t>I, Daniel J. Houston, Chairman, President and Chief Executive Officer of Principal Financial Group, Inc., certify that (i) the Form 10-Q for the period ended June 30, 2022, fully complies with the requirements of Section 13(a) of the Securities Exchange Act of 1934 and (ii) the information contained in the Form 10-Q for the period ended June 30, 2022, fairly presents, in all material respects, the financial condition and results of operations of Principal Financial Group, Inc.</w:t>
      </w:r>
    </w:p>
    <w:p>
      <w:pPr>
        <w:spacing w:after="0" w:line="200" w:lineRule="exact"/>
        <w:rPr>
          <w:sz w:val="20"/>
          <w:szCs w:val="20"/>
          <w:color w:val="auto"/>
        </w:rPr>
      </w:pPr>
    </w:p>
    <w:p>
      <w:pPr>
        <w:ind w:left="4960"/>
        <w:spacing w:after="0"/>
        <w:rPr>
          <w:sz w:val="20"/>
          <w:szCs w:val="20"/>
          <w:color w:val="auto"/>
        </w:rPr>
      </w:pPr>
      <w:r>
        <w:rPr>
          <w:rFonts w:ascii="Arial" w:cs="Arial" w:eastAsia="Arial" w:hAnsi="Arial"/>
          <w:sz w:val="18"/>
          <w:szCs w:val="18"/>
          <w:color w:val="auto"/>
        </w:rPr>
        <w:t>/s/ Daniel J. Houston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3152140</wp:posOffset>
            </wp:positionH>
            <wp:positionV relativeFrom="paragraph">
              <wp:posOffset>14605</wp:posOffset>
            </wp:positionV>
            <wp:extent cx="3145790" cy="8255"/>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3" w:lineRule="exact"/>
        <w:rPr>
          <w:sz w:val="20"/>
          <w:szCs w:val="20"/>
          <w:color w:val="auto"/>
        </w:rPr>
      </w:pPr>
    </w:p>
    <w:p>
      <w:pPr>
        <w:ind w:left="4960"/>
        <w:spacing w:after="0"/>
        <w:rPr>
          <w:sz w:val="20"/>
          <w:szCs w:val="20"/>
          <w:color w:val="auto"/>
        </w:rPr>
      </w:pPr>
      <w:r>
        <w:rPr>
          <w:rFonts w:ascii="Arial" w:cs="Arial" w:eastAsia="Arial" w:hAnsi="Arial"/>
          <w:sz w:val="18"/>
          <w:szCs w:val="18"/>
          <w:color w:val="auto"/>
        </w:rPr>
        <w:t>Daniel J. Houston</w:t>
      </w:r>
    </w:p>
    <w:p>
      <w:pPr>
        <w:spacing w:after="0" w:line="23" w:lineRule="exact"/>
        <w:rPr>
          <w:sz w:val="20"/>
          <w:szCs w:val="20"/>
          <w:color w:val="auto"/>
        </w:rPr>
      </w:pPr>
    </w:p>
    <w:p>
      <w:pPr>
        <w:ind w:left="4960"/>
        <w:spacing w:after="0"/>
        <w:rPr>
          <w:sz w:val="20"/>
          <w:szCs w:val="20"/>
          <w:color w:val="auto"/>
        </w:rPr>
      </w:pPr>
      <w:r>
        <w:rPr>
          <w:rFonts w:ascii="Arial" w:cs="Arial" w:eastAsia="Arial" w:hAnsi="Arial"/>
          <w:sz w:val="18"/>
          <w:szCs w:val="18"/>
          <w:color w:val="auto"/>
        </w:rPr>
        <w:t>Chairman, President and Chief Executive Officer</w:t>
      </w:r>
    </w:p>
    <w:p>
      <w:pPr>
        <w:spacing w:after="0" w:line="9" w:lineRule="exact"/>
        <w:rPr>
          <w:sz w:val="20"/>
          <w:szCs w:val="20"/>
          <w:color w:val="auto"/>
        </w:rPr>
      </w:pPr>
    </w:p>
    <w:p>
      <w:pPr>
        <w:ind w:left="4960"/>
        <w:spacing w:after="0"/>
        <w:rPr>
          <w:sz w:val="20"/>
          <w:szCs w:val="20"/>
          <w:color w:val="auto"/>
        </w:rPr>
      </w:pPr>
      <w:r>
        <w:rPr>
          <w:rFonts w:ascii="Arial" w:cs="Arial" w:eastAsia="Arial" w:hAnsi="Arial"/>
          <w:sz w:val="18"/>
          <w:szCs w:val="18"/>
          <w:color w:val="auto"/>
        </w:rPr>
        <w:t>Date: August 9,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485775</wp:posOffset>
            </wp:positionV>
            <wp:extent cx="6292215" cy="2540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121" w:right="999" w:bottom="1440" w:gutter="0" w:footer="0" w:header="0"/>
        </w:sectPr>
      </w:pPr>
    </w:p>
    <w:bookmarkStart w:id="137" w:name="page138"/>
    <w:bookmarkEnd w:id="137"/>
    <w:p>
      <w:pPr>
        <w:jc w:val="right"/>
        <w:spacing w:after="0"/>
        <w:rPr>
          <w:sz w:val="20"/>
          <w:szCs w:val="20"/>
          <w:color w:val="auto"/>
        </w:rPr>
      </w:pPr>
      <w:r>
        <w:rPr>
          <w:rFonts w:ascii="Arial" w:cs="Arial" w:eastAsia="Arial" w:hAnsi="Arial"/>
          <w:sz w:val="18"/>
          <w:szCs w:val="18"/>
          <w:b w:val="1"/>
          <w:bCs w:val="1"/>
          <w:color w:val="auto"/>
        </w:rPr>
        <w:t>Exhibit 32.2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Section 1350 of Chapter 63</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Title 18 of the United States Code</w:t>
      </w:r>
    </w:p>
    <w:p>
      <w:pPr>
        <w:spacing w:after="0" w:line="211" w:lineRule="exact"/>
        <w:rPr>
          <w:sz w:val="20"/>
          <w:szCs w:val="20"/>
          <w:color w:val="auto"/>
        </w:rPr>
      </w:pPr>
    </w:p>
    <w:p>
      <w:pPr>
        <w:ind w:right="140" w:firstLine="648"/>
        <w:spacing w:after="0" w:line="279" w:lineRule="auto"/>
        <w:rPr>
          <w:sz w:val="20"/>
          <w:szCs w:val="20"/>
          <w:color w:val="auto"/>
        </w:rPr>
      </w:pPr>
      <w:r>
        <w:rPr>
          <w:rFonts w:ascii="Arial" w:cs="Arial" w:eastAsia="Arial" w:hAnsi="Arial"/>
          <w:sz w:val="17"/>
          <w:szCs w:val="17"/>
          <w:color w:val="auto"/>
        </w:rPr>
        <w:t>I, Deanna D. Strable-Soethout, Executive Vice President and Chief Financial Officer of Principal Financial Group, Inc., certify that (i) the Form 10-Q for the period ended June 30, 2022, fully complies with the requirements of Section 13(a) of the Securities Exchange Act of 1934 and (ii) the information contained in the Form 10-Q for the period ended June 30, 2022, fairly presents, in all material respects, the financial condition and results of operations of Principal Financial Group, Inc.</w:t>
      </w:r>
    </w:p>
    <w:p>
      <w:pPr>
        <w:spacing w:after="0" w:line="185" w:lineRule="exact"/>
        <w:rPr>
          <w:sz w:val="20"/>
          <w:szCs w:val="20"/>
          <w:color w:val="auto"/>
        </w:rPr>
      </w:pPr>
    </w:p>
    <w:p>
      <w:pPr>
        <w:ind w:left="4960"/>
        <w:spacing w:after="0"/>
        <w:rPr>
          <w:sz w:val="20"/>
          <w:szCs w:val="20"/>
          <w:color w:val="auto"/>
        </w:rPr>
      </w:pPr>
      <w:r>
        <w:rPr>
          <w:rFonts w:ascii="Arial" w:cs="Arial" w:eastAsia="Arial" w:hAnsi="Arial"/>
          <w:sz w:val="18"/>
          <w:szCs w:val="18"/>
          <w:color w:val="auto"/>
        </w:rPr>
        <w:t>/s/ Deanna D. Strable-Soethout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3152140</wp:posOffset>
            </wp:positionH>
            <wp:positionV relativeFrom="paragraph">
              <wp:posOffset>14605</wp:posOffset>
            </wp:positionV>
            <wp:extent cx="3145790" cy="8255"/>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3" w:lineRule="exact"/>
        <w:rPr>
          <w:sz w:val="20"/>
          <w:szCs w:val="20"/>
          <w:color w:val="auto"/>
        </w:rPr>
      </w:pPr>
    </w:p>
    <w:p>
      <w:pPr>
        <w:ind w:left="4960"/>
        <w:spacing w:after="0"/>
        <w:rPr>
          <w:sz w:val="20"/>
          <w:szCs w:val="20"/>
          <w:color w:val="auto"/>
        </w:rPr>
      </w:pPr>
      <w:r>
        <w:rPr>
          <w:rFonts w:ascii="Arial" w:cs="Arial" w:eastAsia="Arial" w:hAnsi="Arial"/>
          <w:sz w:val="18"/>
          <w:szCs w:val="18"/>
          <w:color w:val="auto"/>
        </w:rPr>
        <w:t>Deanna D. Strable-Soethout</w:t>
      </w:r>
    </w:p>
    <w:p>
      <w:pPr>
        <w:spacing w:after="0" w:line="23" w:lineRule="exact"/>
        <w:rPr>
          <w:sz w:val="20"/>
          <w:szCs w:val="20"/>
          <w:color w:val="auto"/>
        </w:rPr>
      </w:pPr>
    </w:p>
    <w:p>
      <w:pPr>
        <w:ind w:left="4960"/>
        <w:spacing w:after="0"/>
        <w:rPr>
          <w:sz w:val="20"/>
          <w:szCs w:val="20"/>
          <w:color w:val="auto"/>
        </w:rPr>
      </w:pPr>
      <w:r>
        <w:rPr>
          <w:rFonts w:ascii="Arial" w:cs="Arial" w:eastAsia="Arial" w:hAnsi="Arial"/>
          <w:sz w:val="18"/>
          <w:szCs w:val="18"/>
          <w:color w:val="auto"/>
        </w:rPr>
        <w:t>Executive Vice President and Chief Financial Officer</w:t>
      </w:r>
    </w:p>
    <w:p>
      <w:pPr>
        <w:spacing w:after="0" w:line="9" w:lineRule="exact"/>
        <w:rPr>
          <w:sz w:val="20"/>
          <w:szCs w:val="20"/>
          <w:color w:val="auto"/>
        </w:rPr>
      </w:pPr>
    </w:p>
    <w:p>
      <w:pPr>
        <w:ind w:left="4960"/>
        <w:spacing w:after="0"/>
        <w:rPr>
          <w:sz w:val="20"/>
          <w:szCs w:val="20"/>
          <w:color w:val="auto"/>
        </w:rPr>
      </w:pPr>
      <w:r>
        <w:rPr>
          <w:rFonts w:ascii="Arial" w:cs="Arial" w:eastAsia="Arial" w:hAnsi="Arial"/>
          <w:sz w:val="18"/>
          <w:szCs w:val="18"/>
          <w:color w:val="auto"/>
        </w:rPr>
        <w:t>Date: August 9,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485775</wp:posOffset>
            </wp:positionV>
            <wp:extent cx="6292215" cy="2540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sectPr>
      <w:pgSz w:w="11900" w:h="16838" w:orient="portrait"/>
      <w:cols w:equalWidth="0" w:num="1">
        <w:col w:w="9920"/>
      </w:cols>
      <w:pgMar w:left="980" w:top="121" w:right="9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006C83E"/>
    <w:multiLevelType w:val="hybridMultilevel"/>
    <w:lvl w:ilvl="0">
      <w:lvlJc w:val="left"/>
      <w:lvlText w:val="☒"/>
      <w:numFmt w:val="bullet"/>
      <w:start w:val="1"/>
    </w:lvl>
  </w:abstractNum>
  <w:abstractNum w:abstractNumId="1">
    <w:nsid w:val="614FD4A1"/>
    <w:multiLevelType w:val="hybridMultilevel"/>
    <w:lvl w:ilvl="0">
      <w:lvlJc w:val="left"/>
      <w:lvlText w:val="☐"/>
      <w:numFmt w:val="bullet"/>
      <w:start w:val="1"/>
    </w:lvl>
  </w:abstractNum>
  <w:abstractNum w:abstractNumId="2">
    <w:nsid w:val="419AC241"/>
    <w:multiLevelType w:val="hybridMultilevel"/>
    <w:lvl w:ilvl="0">
      <w:lvlJc w:val="left"/>
      <w:lvlText w:val="%1."/>
      <w:numFmt w:val="decimal"/>
      <w:start w:val="1"/>
    </w:lvl>
  </w:abstractNum>
  <w:abstractNum w:abstractNumId="3">
    <w:nsid w:val="5577F8E1"/>
    <w:multiLevelType w:val="hybridMultilevel"/>
    <w:lvl w:ilvl="0">
      <w:lvlJc w:val="left"/>
      <w:lvlText w:val="(%1)"/>
      <w:numFmt w:val="decimal"/>
      <w:start w:val="1"/>
    </w:lvl>
  </w:abstractNum>
  <w:abstractNum w:abstractNumId="4">
    <w:nsid w:val="440BADFC"/>
    <w:multiLevelType w:val="hybridMultilevel"/>
    <w:lvl w:ilvl="0">
      <w:lvlJc w:val="left"/>
      <w:lvlText w:val="$"/>
      <w:numFmt w:val="bullet"/>
      <w:start w:val="1"/>
    </w:lvl>
  </w:abstractNum>
  <w:abstractNum w:abstractNumId="5">
    <w:nsid w:val="5072367"/>
    <w:multiLevelType w:val="hybridMultilevel"/>
    <w:lvl w:ilvl="0">
      <w:lvlJc w:val="left"/>
      <w:lvlText w:val="$"/>
      <w:numFmt w:val="bullet"/>
      <w:start w:val="1"/>
    </w:lvl>
  </w:abstractNum>
  <w:abstractNum w:abstractNumId="6">
    <w:nsid w:val="3804823E"/>
    <w:multiLevelType w:val="hybridMultilevel"/>
    <w:lvl w:ilvl="0">
      <w:lvlJc w:val="left"/>
      <w:lvlText w:val="(%1)"/>
      <w:numFmt w:val="decimal"/>
      <w:start w:val="1"/>
    </w:lvl>
  </w:abstractNum>
  <w:abstractNum w:abstractNumId="7">
    <w:nsid w:val="77465F01"/>
    <w:multiLevelType w:val="hybridMultilevel"/>
    <w:lvl w:ilvl="0">
      <w:lvlJc w:val="left"/>
      <w:lvlText w:val="(%1)"/>
      <w:numFmt w:val="decimal"/>
      <w:start w:val="1"/>
    </w:lvl>
  </w:abstractNum>
  <w:abstractNum w:abstractNumId="8">
    <w:nsid w:val="7724C67E"/>
    <w:multiLevelType w:val="hybridMultilevel"/>
    <w:lvl w:ilvl="0">
      <w:lvlJc w:val="left"/>
      <w:lvlText w:val="(%1)"/>
      <w:numFmt w:val="decimal"/>
      <w:start w:val="1"/>
    </w:lvl>
  </w:abstractNum>
  <w:abstractNum w:abstractNumId="9">
    <w:nsid w:val="5C482A97"/>
    <w:multiLevelType w:val="hybridMultilevel"/>
    <w:lvl w:ilvl="0">
      <w:lvlJc w:val="left"/>
      <w:lvlText w:val="(%1)"/>
      <w:numFmt w:val="decimal"/>
      <w:start w:val="1"/>
    </w:lvl>
  </w:abstractNum>
  <w:abstractNum w:abstractNumId="10">
    <w:nsid w:val="2463B9EA"/>
    <w:multiLevelType w:val="hybridMultilevel"/>
    <w:lvl w:ilvl="0">
      <w:lvlJc w:val="left"/>
      <w:lvlText w:val="(%1)"/>
      <w:numFmt w:val="decimal"/>
      <w:start w:val="1"/>
    </w:lvl>
  </w:abstractNum>
  <w:abstractNum w:abstractNumId="11">
    <w:nsid w:val="5E884ADC"/>
    <w:multiLevelType w:val="hybridMultilevel"/>
    <w:lvl w:ilvl="0">
      <w:lvlJc w:val="left"/>
      <w:lvlText w:val="(%1)"/>
      <w:numFmt w:val="decimal"/>
      <w:start w:val="1"/>
    </w:lvl>
  </w:abstractNum>
  <w:abstractNum w:abstractNumId="12">
    <w:nsid w:val="51EAD36B"/>
    <w:multiLevelType w:val="hybridMultilevel"/>
    <w:lvl w:ilvl="0">
      <w:lvlJc w:val="left"/>
      <w:lvlText w:val="(%1)"/>
      <w:numFmt w:val="decimal"/>
      <w:start w:val="1"/>
    </w:lvl>
  </w:abstractNum>
  <w:abstractNum w:abstractNumId="13">
    <w:nsid w:val="2D517796"/>
    <w:multiLevelType w:val="hybridMultilevel"/>
    <w:lvl w:ilvl="0">
      <w:lvlJc w:val="left"/>
      <w:lvlText w:val="(%1)"/>
      <w:numFmt w:val="decimal"/>
      <w:start w:val="1"/>
    </w:lvl>
  </w:abstractNum>
  <w:abstractNum w:abstractNumId="14">
    <w:nsid w:val="580BD78F"/>
    <w:multiLevelType w:val="hybridMultilevel"/>
    <w:lvl w:ilvl="0">
      <w:lvlJc w:val="left"/>
      <w:lvlText w:val="(%1)"/>
      <w:numFmt w:val="decimal"/>
      <w:start w:val="1"/>
    </w:lvl>
  </w:abstractNum>
  <w:abstractNum w:abstractNumId="15">
    <w:nsid w:val="153EA438"/>
    <w:multiLevelType w:val="hybridMultilevel"/>
    <w:lvl w:ilvl="0">
      <w:lvlJc w:val="left"/>
      <w:lvlText w:val="(%1)"/>
      <w:numFmt w:val="decimal"/>
      <w:start w:val="1"/>
    </w:lvl>
  </w:abstractNum>
  <w:abstractNum w:abstractNumId="16">
    <w:nsid w:val="3855585C"/>
    <w:multiLevelType w:val="hybridMultilevel"/>
    <w:lvl w:ilvl="0">
      <w:lvlJc w:val="left"/>
      <w:lvlText w:val="(%1)"/>
      <w:numFmt w:val="decimal"/>
      <w:start w:val="1"/>
    </w:lvl>
  </w:abstractNum>
  <w:abstractNum w:abstractNumId="17">
    <w:nsid w:val="70A64E2A"/>
    <w:multiLevelType w:val="hybridMultilevel"/>
    <w:lvl w:ilvl="0">
      <w:lvlJc w:val="left"/>
      <w:lvlText w:val="(%1)"/>
      <w:numFmt w:val="decimal"/>
      <w:start w:val="1"/>
    </w:lvl>
  </w:abstractNum>
  <w:abstractNum w:abstractNumId="18">
    <w:nsid w:val="6A2342EC"/>
    <w:multiLevelType w:val="hybridMultilevel"/>
    <w:lvl w:ilvl="0">
      <w:lvlJc w:val="left"/>
      <w:lvlText w:val="(%1)"/>
      <w:numFmt w:val="decimal"/>
      <w:start w:val="1"/>
    </w:lvl>
  </w:abstractNum>
  <w:abstractNum w:abstractNumId="19">
    <w:nsid w:val="2A487CB0"/>
    <w:multiLevelType w:val="hybridMultilevel"/>
    <w:lvl w:ilvl="0">
      <w:lvlJc w:val="left"/>
      <w:lvlText w:val="(%1)"/>
      <w:numFmt w:val="decimal"/>
      <w:start w:val="2"/>
    </w:lvl>
  </w:abstractNum>
  <w:abstractNum w:abstractNumId="20">
    <w:nsid w:val="1D4ED43B"/>
    <w:multiLevelType w:val="hybridMultilevel"/>
    <w:lvl w:ilvl="0">
      <w:lvlJc w:val="left"/>
      <w:lvlText w:val="%1."/>
      <w:numFmt w:val="decimal"/>
      <w:start w:val="6"/>
    </w:lvl>
  </w:abstractNum>
  <w:abstractNum w:abstractNumId="21">
    <w:nsid w:val="725A06FB"/>
    <w:multiLevelType w:val="hybridMultilevel"/>
    <w:lvl w:ilvl="0">
      <w:lvlJc w:val="left"/>
      <w:lvlText w:val="(%1)"/>
      <w:numFmt w:val="decimal"/>
      <w:start w:val="1"/>
    </w:lvl>
  </w:abstractNum>
  <w:abstractNum w:abstractNumId="22">
    <w:nsid w:val="2CD89A32"/>
    <w:multiLevelType w:val="hybridMultilevel"/>
    <w:lvl w:ilvl="0">
      <w:lvlJc w:val="left"/>
      <w:lvlText w:val="%1."/>
      <w:numFmt w:val="decimal"/>
      <w:start w:val="9"/>
    </w:lvl>
  </w:abstractNum>
  <w:abstractNum w:abstractNumId="23">
    <w:nsid w:val="57E4CCAF"/>
    <w:multiLevelType w:val="hybridMultilevel"/>
    <w:lvl w:ilvl="0">
      <w:lvlJc w:val="left"/>
      <w:lvlText w:val="%1."/>
      <w:numFmt w:val="decimal"/>
      <w:start w:val="10"/>
    </w:lvl>
  </w:abstractNum>
  <w:abstractNum w:abstractNumId="24">
    <w:nsid w:val="7A6D8D3C"/>
    <w:multiLevelType w:val="hybridMultilevel"/>
    <w:lvl w:ilvl="0">
      <w:lvlJc w:val="left"/>
      <w:lvlText w:val="(%1)"/>
      <w:numFmt w:val="decimal"/>
      <w:start w:val="1"/>
    </w:lvl>
  </w:abstractNum>
  <w:abstractNum w:abstractNumId="25">
    <w:nsid w:val="4B588F54"/>
    <w:multiLevelType w:val="hybridMultilevel"/>
    <w:lvl w:ilvl="0">
      <w:lvlJc w:val="left"/>
      <w:lvlText w:val="(%1)"/>
      <w:numFmt w:val="decimal"/>
      <w:start w:val="1"/>
    </w:lvl>
  </w:abstractNum>
  <w:abstractNum w:abstractNumId="26">
    <w:nsid w:val="542289EC"/>
    <w:multiLevelType w:val="hybridMultilevel"/>
    <w:lvl w:ilvl="0">
      <w:lvlJc w:val="left"/>
      <w:lvlText w:val="(%1)"/>
      <w:numFmt w:val="decimal"/>
      <w:start w:val="1"/>
    </w:lvl>
  </w:abstractNum>
  <w:abstractNum w:abstractNumId="27">
    <w:nsid w:val="6DE91B18"/>
    <w:multiLevelType w:val="hybridMultilevel"/>
    <w:lvl w:ilvl="0">
      <w:lvlJc w:val="left"/>
      <w:lvlText w:val="●"/>
      <w:numFmt w:val="bullet"/>
      <w:start w:val="1"/>
    </w:lvl>
  </w:abstractNum>
  <w:abstractNum w:abstractNumId="28">
    <w:nsid w:val="38437FDB"/>
    <w:multiLevelType w:val="hybridMultilevel"/>
    <w:lvl w:ilvl="0">
      <w:lvlJc w:val="left"/>
      <w:lvlText w:val="(%1)"/>
      <w:numFmt w:val="decimal"/>
      <w:start w:val="1"/>
    </w:lvl>
  </w:abstractNum>
  <w:abstractNum w:abstractNumId="29">
    <w:nsid w:val="7644A45C"/>
    <w:multiLevelType w:val="hybridMultilevel"/>
    <w:lvl w:ilvl="0">
      <w:lvlJc w:val="left"/>
      <w:lvlText w:val="(%1)"/>
      <w:numFmt w:val="decimal"/>
      <w:start w:val="1"/>
    </w:lvl>
  </w:abstractNum>
  <w:abstractNum w:abstractNumId="30">
    <w:nsid w:val="32FFF902"/>
    <w:multiLevelType w:val="hybridMultilevel"/>
    <w:lvl w:ilvl="0">
      <w:lvlJc w:val="left"/>
      <w:lvlText w:val="(%1)"/>
      <w:numFmt w:val="decimal"/>
      <w:start w:val="2"/>
    </w:lvl>
  </w:abstractNum>
  <w:abstractNum w:abstractNumId="31">
    <w:nsid w:val="684A481A"/>
    <w:multiLevelType w:val="hybridMultilevel"/>
    <w:lvl w:ilvl="0">
      <w:lvlJc w:val="left"/>
      <w:lvlText w:val="(%1)"/>
      <w:numFmt w:val="decimal"/>
      <w:start w:val="3"/>
    </w:lvl>
  </w:abstractNum>
  <w:abstractNum w:abstractNumId="32">
    <w:nsid w:val="579478FE"/>
    <w:multiLevelType w:val="hybridMultilevel"/>
    <w:lvl w:ilvl="0">
      <w:lvlJc w:val="left"/>
      <w:lvlText w:val="(%1)"/>
      <w:numFmt w:val="decimal"/>
      <w:start w:val="5"/>
    </w:lvl>
  </w:abstractNum>
  <w:abstractNum w:abstractNumId="33">
    <w:nsid w:val="749ABB43"/>
    <w:multiLevelType w:val="hybridMultilevel"/>
    <w:lvl w:ilvl="0">
      <w:lvlJc w:val="left"/>
      <w:lvlText w:val="(%1)"/>
      <w:numFmt w:val="decimal"/>
      <w:start w:val="1"/>
    </w:lvl>
  </w:abstractNum>
  <w:abstractNum w:abstractNumId="34">
    <w:nsid w:val="3DC240FB"/>
    <w:multiLevelType w:val="hybridMultilevel"/>
    <w:lvl w:ilvl="0">
      <w:lvlJc w:val="left"/>
      <w:lvlText w:val="●"/>
      <w:numFmt w:val="bullet"/>
      <w:start w:val="1"/>
    </w:lvl>
  </w:abstractNum>
  <w:abstractNum w:abstractNumId="35">
    <w:nsid w:val="1BA026FA"/>
    <w:multiLevelType w:val="hybridMultilevel"/>
    <w:lvl w:ilvl="0">
      <w:lvlJc w:val="left"/>
      <w:lvlText w:val="●"/>
      <w:numFmt w:val="bullet"/>
      <w:start w:val="1"/>
    </w:lvl>
  </w:abstractNum>
  <w:abstractNum w:abstractNumId="36">
    <w:nsid w:val="79A1DEAA"/>
    <w:multiLevelType w:val="hybridMultilevel"/>
    <w:lvl w:ilvl="0">
      <w:lvlJc w:val="left"/>
      <w:lvlText w:val="●"/>
      <w:numFmt w:val="bullet"/>
      <w:start w:val="1"/>
    </w:lvl>
  </w:abstractNum>
  <w:abstractNum w:abstractNumId="37">
    <w:nsid w:val="75C6C33A"/>
    <w:multiLevelType w:val="hybridMultilevel"/>
    <w:lvl w:ilvl="0">
      <w:lvlJc w:val="left"/>
      <w:lvlText w:val="●"/>
      <w:numFmt w:val="bullet"/>
      <w:start w:val="1"/>
    </w:lvl>
    <w:lvl w:ilvl="1">
      <w:lvlJc w:val="left"/>
      <w:lvlText w:val="●"/>
      <w:numFmt w:val="bullet"/>
      <w:start w:val="1"/>
    </w:lvl>
  </w:abstractNum>
  <w:abstractNum w:abstractNumId="38">
    <w:nsid w:val="12E685FB"/>
    <w:multiLevelType w:val="hybridMultilevel"/>
    <w:lvl w:ilvl="0">
      <w:lvlJc w:val="left"/>
      <w:lvlText w:val="(%1)"/>
      <w:numFmt w:val="decimal"/>
      <w:start w:val="1"/>
    </w:lvl>
  </w:abstractNum>
  <w:abstractNum w:abstractNumId="39">
    <w:nsid w:val="70C6A529"/>
    <w:multiLevelType w:val="hybridMultilevel"/>
    <w:lvl w:ilvl="0">
      <w:lvlJc w:val="left"/>
      <w:lvlText w:val="%1"/>
      <w:numFmt w:val="decimal"/>
      <w:start w:val="1"/>
    </w:lvl>
    <w:lvl w:ilvl="1">
      <w:lvlJc w:val="left"/>
      <w:lvlText w:val="(%2)"/>
      <w:numFmt w:val="lowerLetter"/>
      <w:start w:val="1"/>
    </w:lvl>
  </w:abstractNum>
  <w:abstractNum w:abstractNumId="40">
    <w:nsid w:val="520EEDD1"/>
    <w:multiLevelType w:val="hybridMultilevel"/>
    <w:lvl w:ilvl="0">
      <w:lvlJc w:val="left"/>
      <w:lvlText w:val="(%1)"/>
      <w:numFmt w:val="decimal"/>
      <w:start w:val="5"/>
    </w:lvl>
    <w:lvl w:ilvl="1">
      <w:lvlJc w:val="left"/>
      <w:lvlText w:val="%2"/>
      <w:numFmt w:val="lowerLetter"/>
      <w:start w:val="1"/>
    </w:lvl>
  </w:abstractNum>
  <w:abstractNum w:abstractNumId="41">
    <w:nsid w:val="374A3FE6"/>
    <w:multiLevelType w:val="hybridMultilevel"/>
    <w:lvl w:ilvl="0">
      <w:lvlJc w:val="left"/>
      <w:lvlText w:val="(%1)"/>
      <w:numFmt w:val="decimal"/>
      <w:start w:val="1"/>
    </w:lvl>
  </w:abstractNum>
  <w:abstractNum w:abstractNumId="42">
    <w:nsid w:val="4F4EF005"/>
    <w:multiLevelType w:val="hybridMultilevel"/>
    <w:lvl w:ilvl="0">
      <w:lvlJc w:val="left"/>
      <w:lvlText w:val="(%1)"/>
      <w:numFmt w:val="decimal"/>
      <w:start w:val="23"/>
    </w:lvl>
  </w:abstractNum>
  <w:abstractNum w:abstractNumId="43">
    <w:nsid w:val="23F9C13C"/>
    <w:multiLevelType w:val="hybridMultilevel"/>
    <w:lvl w:ilvl="0">
      <w:lvlJc w:val="left"/>
      <w:lvlText w:val="●"/>
      <w:numFmt w:val="bullet"/>
      <w:start w:val="1"/>
    </w:lvl>
    <w:lvl w:ilvl="1">
      <w:lvlJc w:val="left"/>
      <w:lvlText w:val="●"/>
      <w:numFmt w:val="bullet"/>
      <w:start w:val="1"/>
    </w:lvl>
  </w:abstractNum>
  <w:abstractNum w:abstractNumId="44">
    <w:nsid w:val="649BB77C"/>
    <w:multiLevelType w:val="hybridMultilevel"/>
    <w:lvl w:ilvl="0">
      <w:lvlJc w:val="left"/>
      <w:lvlText w:val="(%1)"/>
      <w:numFmt w:val="decimal"/>
      <w:start w:val="1"/>
    </w:lvl>
  </w:abstractNum>
  <w:abstractNum w:abstractNumId="45">
    <w:nsid w:val="275AC794"/>
    <w:multiLevelType w:val="hybridMultilevel"/>
    <w:lvl w:ilvl="0">
      <w:lvlJc w:val="left"/>
      <w:lvlText w:val="(%1)"/>
      <w:numFmt w:val="decimal"/>
      <w:start w:val="1"/>
    </w:lvl>
  </w:abstractNum>
  <w:abstractNum w:abstractNumId="46">
    <w:nsid w:val="39386575"/>
    <w:multiLevelType w:val="hybridMultilevel"/>
    <w:lvl w:ilvl="0">
      <w:lvlJc w:val="left"/>
      <w:lvlText w:val="(%1)"/>
      <w:numFmt w:val="decimal"/>
      <w:start w:val="1"/>
    </w:lvl>
  </w:abstractNum>
  <w:abstractNum w:abstractNumId="47">
    <w:nsid w:val="1CF10FD8"/>
    <w:multiLevelType w:val="hybridMultilevel"/>
    <w:lvl w:ilvl="0">
      <w:lvlJc w:val="left"/>
      <w:lvlText w:val="(%1)"/>
      <w:numFmt w:val="decimal"/>
      <w:start w:val="1"/>
    </w:lvl>
  </w:abstractNum>
  <w:abstractNum w:abstractNumId="48">
    <w:nsid w:val="180115BE"/>
    <w:multiLevelType w:val="hybridMultilevel"/>
    <w:lvl w:ilvl="0">
      <w:lvlJc w:val="left"/>
      <w:lvlText w:val="(%1)"/>
      <w:numFmt w:val="decimal"/>
      <w:start w:val="3"/>
    </w:lvl>
  </w:abstractNum>
  <w:abstractNum w:abstractNumId="49">
    <w:nsid w:val="235BA861"/>
    <w:multiLevelType w:val="hybridMultilevel"/>
    <w:lvl w:ilvl="0">
      <w:lvlJc w:val="left"/>
      <w:lvlText w:val="●"/>
      <w:numFmt w:val="bullet"/>
      <w:start w:val="1"/>
    </w:lvl>
  </w:abstractNum>
  <w:abstractNum w:abstractNumId="50">
    <w:nsid w:val="47398C89"/>
    <w:multiLevelType w:val="hybridMultilevel"/>
    <w:lvl w:ilvl="0">
      <w:lvlJc w:val="left"/>
      <w:lvlText w:val="●"/>
      <w:numFmt w:val="bullet"/>
      <w:start w:val="1"/>
    </w:lvl>
  </w:abstractNum>
  <w:abstractNum w:abstractNumId="51">
    <w:nsid w:val="354FE9F9"/>
    <w:multiLevelType w:val="hybridMultilevel"/>
    <w:lvl w:ilvl="0">
      <w:lvlJc w:val="left"/>
      <w:lvlText w:val="●"/>
      <w:numFmt w:val="bullet"/>
      <w:start w:val="1"/>
    </w:lvl>
  </w:abstractNum>
  <w:abstractNum w:abstractNumId="52">
    <w:nsid w:val="15B5AF5C"/>
    <w:multiLevelType w:val="hybridMultilevel"/>
    <w:lvl w:ilvl="0">
      <w:lvlJc w:val="left"/>
      <w:lvlText w:val="●"/>
      <w:numFmt w:val="bullet"/>
      <w:start w:val="1"/>
    </w:lvl>
  </w:abstractNum>
  <w:abstractNum w:abstractNumId="53">
    <w:nsid w:val="741226BB"/>
    <w:multiLevelType w:val="hybridMultilevel"/>
    <w:lvl w:ilvl="0">
      <w:lvlJc w:val="left"/>
      <w:lvlText w:val="(%1)"/>
      <w:numFmt w:val="decimal"/>
      <w:start w:val="1"/>
    </w:lvl>
  </w:abstractNum>
  <w:abstractNum w:abstractNumId="54">
    <w:nsid w:val="D34B6A8"/>
    <w:multiLevelType w:val="hybridMultilevel"/>
    <w:lvl w:ilvl="0">
      <w:lvlJc w:val="left"/>
      <w:lvlText w:val="(%1)"/>
      <w:numFmt w:val="decimal"/>
      <w:start w:val="1"/>
    </w:lvl>
  </w:abstractNum>
  <w:abstractNum w:abstractNumId="55">
    <w:nsid w:val="10233C99"/>
    <w:multiLevelType w:val="hybridMultilevel"/>
    <w:lvl w:ilvl="0">
      <w:lvlJc w:val="left"/>
      <w:lvlText w:val="(%1)"/>
      <w:numFmt w:val="decimal"/>
      <w:start w:val="1"/>
    </w:lvl>
  </w:abstractNum>
  <w:abstractNum w:abstractNumId="56">
    <w:nsid w:val="3F6AB60F"/>
    <w:multiLevelType w:val="hybridMultilevel"/>
    <w:lvl w:ilvl="0">
      <w:lvlJc w:val="left"/>
      <w:lvlText w:val="●"/>
      <w:numFmt w:val="bullet"/>
      <w:start w:val="1"/>
    </w:lvl>
  </w:abstractNum>
  <w:abstractNum w:abstractNumId="57">
    <w:nsid w:val="61574095"/>
    <w:multiLevelType w:val="hybridMultilevel"/>
    <w:lvl w:ilvl="0">
      <w:lvlJc w:val="left"/>
      <w:lvlText w:val="●"/>
      <w:numFmt w:val="bullet"/>
      <w:start w:val="1"/>
    </w:lvl>
  </w:abstractNum>
  <w:abstractNum w:abstractNumId="58">
    <w:nsid w:val="7E0C57B1"/>
    <w:multiLevelType w:val="hybridMultilevel"/>
    <w:lvl w:ilvl="0">
      <w:lvlJc w:val="left"/>
      <w:lvlText w:val="●"/>
      <w:numFmt w:val="bullet"/>
      <w:start w:val="1"/>
    </w:lvl>
  </w:abstractNum>
  <w:abstractNum w:abstractNumId="59">
    <w:nsid w:val="77AE35EB"/>
    <w:multiLevelType w:val="hybridMultilevel"/>
    <w:lvl w:ilvl="0">
      <w:lvlJc w:val="left"/>
      <w:lvlText w:val="●"/>
      <w:numFmt w:val="bullet"/>
      <w:start w:val="1"/>
    </w:lvl>
  </w:abstractNum>
  <w:abstractNum w:abstractNumId="60">
    <w:nsid w:val="579BE4F1"/>
    <w:multiLevelType w:val="hybridMultilevel"/>
    <w:lvl w:ilvl="0">
      <w:lvlJc w:val="left"/>
      <w:lvlText w:val="(%1)"/>
      <w:numFmt w:val="decimal"/>
      <w:start w:val="1"/>
    </w:lvl>
  </w:abstractNum>
  <w:abstractNum w:abstractNumId="61">
    <w:nsid w:val="310C50B3"/>
    <w:multiLevelType w:val="hybridMultilevel"/>
    <w:lvl w:ilvl="0">
      <w:lvlJc w:val="left"/>
      <w:lvlText w:val="%1"/>
      <w:numFmt w:val="decimal"/>
      <w:start w:val="101"/>
    </w:lvl>
  </w:abstractNum>
  <w:abstractNum w:abstractNumId="62">
    <w:nsid w:val="5FF87E05"/>
    <w:multiLevelType w:val="hybridMultilevel"/>
    <w:lvl w:ilvl="0">
      <w:lvlJc w:val="left"/>
      <w:lvlText w:val="(%1)"/>
      <w:numFmt w:val="lowerRoman"/>
      <w:start w:val="2"/>
    </w:lvl>
  </w:abstractNum>
  <w:abstractNum w:abstractNumId="63">
    <w:nsid w:val="2F305DEF"/>
    <w:multiLevelType w:val="hybridMultilevel"/>
    <w:lvl w:ilvl="0">
      <w:lvlJc w:val="left"/>
      <w:lvlText w:val="%1"/>
      <w:numFmt w:val="decimal"/>
      <w:start w:val="104"/>
    </w:lvl>
  </w:abstractNum>
  <w:abstractNum w:abstractNumId="64">
    <w:nsid w:val="25A70BF7"/>
    <w:multiLevelType w:val="hybridMultilevel"/>
    <w:lvl w:ilvl="0">
      <w:lvlJc w:val="left"/>
      <w:lvlText w:val="%1."/>
      <w:numFmt w:val="decimal"/>
      <w:start w:val="1"/>
    </w:lvl>
    <w:lvl w:ilvl="1">
      <w:lvlJc w:val="left"/>
      <w:lvlText w:val="%2)"/>
      <w:numFmt w:val="lowerLetter"/>
      <w:start w:val="1"/>
    </w:lvl>
  </w:abstractNum>
  <w:abstractNum w:abstractNumId="65">
    <w:nsid w:val="1DBABF00"/>
    <w:multiLevelType w:val="hybridMultilevel"/>
    <w:lvl w:ilvl="0">
      <w:lvlJc w:val="left"/>
      <w:lvlText w:val="%1."/>
      <w:numFmt w:val="decimal"/>
      <w:start w:val="1"/>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jpe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2022-08-11T16:17:46Z</dcterms:created>
  <dcterms:modified xsi:type="dcterms:W3CDTF">2022-08-11T16:17:46Z</dcterms:modified>
</cp:coreProperties>
</file>