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2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CURRENT REPORT</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ind w:left="4480"/>
        <w:spacing w:after="0"/>
        <w:rPr>
          <w:sz w:val="20"/>
          <w:szCs w:val="20"/>
          <w:color w:val="auto"/>
        </w:rPr>
      </w:pPr>
      <w:r>
        <w:rPr>
          <w:rFonts w:ascii="Arial" w:cs="Arial" w:eastAsia="Arial" w:hAnsi="Arial"/>
          <w:sz w:val="18"/>
          <w:szCs w:val="18"/>
          <w:color w:val="auto"/>
        </w:rPr>
        <w:t xml:space="preserve">Date of Report: </w:t>
      </w:r>
      <w:r>
        <w:rPr>
          <w:rFonts w:ascii="Arial" w:cs="Arial" w:eastAsia="Arial" w:hAnsi="Arial"/>
          <w:sz w:val="18"/>
          <w:szCs w:val="18"/>
          <w:b w:val="1"/>
          <w:bCs w:val="1"/>
          <w:color w:val="auto"/>
        </w:rPr>
        <w:t>August 8, 2022</w:t>
      </w:r>
    </w:p>
    <w:p>
      <w:pPr>
        <w:spacing w:after="0" w:line="27" w:lineRule="exact"/>
        <w:rPr>
          <w:sz w:val="24"/>
          <w:szCs w:val="24"/>
          <w:color w:val="auto"/>
        </w:rPr>
      </w:pPr>
    </w:p>
    <w:p>
      <w:pPr>
        <w:ind w:left="4480"/>
        <w:spacing w:after="0"/>
        <w:rPr>
          <w:sz w:val="20"/>
          <w:szCs w:val="20"/>
          <w:color w:val="auto"/>
        </w:rPr>
      </w:pPr>
      <w:r>
        <w:rPr>
          <w:rFonts w:ascii="Arial" w:cs="Arial" w:eastAsia="Arial" w:hAnsi="Arial"/>
          <w:sz w:val="18"/>
          <w:szCs w:val="18"/>
          <w:color w:val="auto"/>
        </w:rPr>
        <w:t>(Date of earliest event reported)</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80" w:right="339" w:bottom="1440" w:gutter="0" w:footer="0" w:header="0"/>
        </w:sectPr>
      </w:pPr>
    </w:p>
    <w:p>
      <w:pPr>
        <w:spacing w:after="0" w:line="259" w:lineRule="exact"/>
        <w:rPr>
          <w:sz w:val="24"/>
          <w:szCs w:val="24"/>
          <w:color w:val="auto"/>
        </w:rPr>
      </w:pPr>
    </w:p>
    <w:p>
      <w:pPr>
        <w:ind w:left="156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jc w:val="center"/>
        <w:ind w:right="2260"/>
        <w:spacing w:after="0"/>
        <w:rPr>
          <w:sz w:val="20"/>
          <w:szCs w:val="20"/>
          <w:color w:val="auto"/>
        </w:rPr>
      </w:pPr>
      <w:r>
        <w:rPr>
          <w:rFonts w:ascii="Arial" w:cs="Arial" w:eastAsia="Arial" w:hAnsi="Arial"/>
          <w:sz w:val="16"/>
          <w:szCs w:val="16"/>
          <w:b w:val="1"/>
          <w:bCs w:val="1"/>
          <w:color w:val="auto"/>
        </w:rPr>
        <w:t>1-16725</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42-1520346</w:t>
      </w:r>
    </w:p>
    <w:p>
      <w:pPr>
        <w:spacing w:after="0" w:line="63" w:lineRule="exact"/>
        <w:rPr>
          <w:sz w:val="24"/>
          <w:szCs w:val="24"/>
          <w:color w:val="auto"/>
        </w:rPr>
      </w:pPr>
    </w:p>
    <w:p>
      <w:pPr>
        <w:sectPr>
          <w:pgSz w:w="11900" w:h="16838" w:orient="portrait"/>
          <w:cols w:equalWidth="0" w:num="3">
            <w:col w:w="4660" w:space="720"/>
            <w:col w:w="2860" w:space="720"/>
            <w:col w:w="2280"/>
          </w:cols>
          <w:pgMar w:left="320" w:top="580" w:right="339" w:bottom="1440" w:gutter="0" w:footer="0" w:header="0"/>
          <w:type w:val="continuous"/>
        </w:sectPr>
      </w:pPr>
    </w:p>
    <w:p>
      <w:pPr>
        <w:jc w:val="center"/>
        <w:ind w:right="180"/>
        <w:spacing w:after="0"/>
        <w:rPr>
          <w:sz w:val="20"/>
          <w:szCs w:val="20"/>
          <w:color w:val="auto"/>
        </w:rPr>
      </w:pPr>
      <w:r>
        <w:rPr>
          <w:rFonts w:ascii="Arial" w:cs="Arial" w:eastAsia="Arial" w:hAnsi="Arial"/>
          <w:sz w:val="16"/>
          <w:szCs w:val="16"/>
          <w:color w:val="auto"/>
        </w:rPr>
        <w:t>(State or other jurisdiction</w:t>
      </w:r>
    </w:p>
    <w:p>
      <w:pPr>
        <w:spacing w:after="0" w:line="46" w:lineRule="exact"/>
        <w:rPr>
          <w:sz w:val="24"/>
          <w:szCs w:val="24"/>
          <w:color w:val="auto"/>
        </w:rPr>
      </w:pPr>
    </w:p>
    <w:p>
      <w:pPr>
        <w:jc w:val="center"/>
        <w:ind w:right="1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jc w:val="center"/>
        <w:ind w:right="1020"/>
        <w:spacing w:after="0"/>
        <w:rPr>
          <w:sz w:val="20"/>
          <w:szCs w:val="20"/>
          <w:color w:val="auto"/>
        </w:rPr>
      </w:pPr>
      <w:r>
        <w:rPr>
          <w:rFonts w:ascii="Arial" w:cs="Arial" w:eastAsia="Arial" w:hAnsi="Arial"/>
          <w:sz w:val="18"/>
          <w:szCs w:val="18"/>
          <w:color w:val="auto"/>
        </w:rPr>
        <w:t>(I.R.S. Employer</w:t>
      </w:r>
    </w:p>
    <w:p>
      <w:pPr>
        <w:spacing w:after="0" w:line="23" w:lineRule="exact"/>
        <w:rPr>
          <w:sz w:val="24"/>
          <w:szCs w:val="24"/>
          <w:color w:val="auto"/>
        </w:rPr>
      </w:pPr>
    </w:p>
    <w:p>
      <w:pPr>
        <w:jc w:val="center"/>
        <w:ind w:right="1020"/>
        <w:spacing w:after="0"/>
        <w:rPr>
          <w:sz w:val="20"/>
          <w:szCs w:val="20"/>
          <w:color w:val="auto"/>
        </w:rPr>
      </w:pPr>
      <w:r>
        <w:rPr>
          <w:rFonts w:ascii="Arial" w:cs="Arial" w:eastAsia="Arial" w:hAnsi="Arial"/>
          <w:sz w:val="16"/>
          <w:szCs w:val="16"/>
          <w:color w:val="auto"/>
        </w:rPr>
        <w:t>Identification Number)</w:t>
      </w:r>
    </w:p>
    <w:p>
      <w:pPr>
        <w:spacing w:after="0" w:line="222" w:lineRule="exact"/>
        <w:rPr>
          <w:sz w:val="24"/>
          <w:szCs w:val="24"/>
          <w:color w:val="auto"/>
        </w:rPr>
      </w:pPr>
    </w:p>
    <w:p>
      <w:pPr>
        <w:sectPr>
          <w:pgSz w:w="11900" w:h="16838" w:orient="portrait"/>
          <w:cols w:equalWidth="0" w:num="3">
            <w:col w:w="4020" w:space="720"/>
            <w:col w:w="3100" w:space="720"/>
            <w:col w:w="2680"/>
          </w:cols>
          <w:pgMar w:left="320" w:top="580"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240"/>
          </w:cols>
          <w:pgMar w:left="320" w:top="580" w:right="339" w:bottom="1440" w:gutter="0" w:footer="0" w:header="0"/>
          <w:type w:val="continuous"/>
        </w:sectPr>
      </w:pPr>
    </w:p>
    <w:p>
      <w:pPr>
        <w:spacing w:after="0" w:line="23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rFonts w:ascii="MS PGothic" w:cs="MS PGothic" w:eastAsia="MS PGothic" w:hAnsi="MS PGothic"/>
          <w:sz w:val="18"/>
          <w:szCs w:val="18"/>
          <w:color w:val="auto"/>
        </w:rPr>
      </w:pPr>
    </w:p>
    <w:p>
      <w:pPr>
        <w:ind w:left="340" w:right="180" w:hanging="332"/>
        <w:spacing w:after="0" w:line="277" w:lineRule="auto"/>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Indicate by check mark whether the registrant is an emerging growth company as defined in Rule 405 of the Securities Act of 1933 (§203.405 of this chapter) or rule 12b-2 of the Securities Exchange Act of 1934 (§240.12b-2 of this chapter).</w:t>
      </w:r>
    </w:p>
    <w:p>
      <w:pPr>
        <w:spacing w:after="0" w:line="164" w:lineRule="exact"/>
        <w:rPr>
          <w:sz w:val="24"/>
          <w:szCs w:val="24"/>
          <w:color w:val="auto"/>
        </w:rPr>
      </w:pPr>
    </w:p>
    <w:p>
      <w:pPr>
        <w:ind w:left="8160"/>
        <w:spacing w:after="0" w:line="253" w:lineRule="exact"/>
        <w:tabs>
          <w:tab w:leader="none" w:pos="10700" w:val="left"/>
        </w:tabs>
        <w:rPr>
          <w:sz w:val="20"/>
          <w:szCs w:val="20"/>
          <w:color w:val="auto"/>
        </w:rPr>
      </w:pPr>
      <w:r>
        <w:rPr>
          <w:rFonts w:ascii="Arial" w:cs="Arial" w:eastAsia="Arial" w:hAnsi="Arial"/>
          <w:sz w:val="22"/>
          <w:szCs w:val="22"/>
          <w:color w:val="auto"/>
        </w:rPr>
        <w:t>Emerging growth company</w:t>
      </w:r>
      <w:r>
        <w:rPr>
          <w:sz w:val="20"/>
          <w:szCs w:val="20"/>
          <w:color w:val="auto"/>
        </w:rPr>
        <w:tab/>
      </w:r>
      <w:r>
        <w:rPr>
          <w:rFonts w:ascii="MS PGothic" w:cs="MS PGothic" w:eastAsia="MS PGothic" w:hAnsi="MS PGothic"/>
          <w:sz w:val="19"/>
          <w:szCs w:val="19"/>
          <w:color w:val="auto"/>
        </w:rPr>
        <w:t>☐</w:t>
      </w:r>
    </w:p>
    <w:p>
      <w:pPr>
        <w:spacing w:after="0" w:line="280" w:lineRule="exact"/>
        <w:rPr>
          <w:sz w:val="24"/>
          <w:szCs w:val="24"/>
          <w:color w:val="auto"/>
        </w:rPr>
      </w:pPr>
    </w:p>
    <w:p>
      <w:pPr>
        <w:ind w:left="340" w:right="180" w:hanging="332"/>
        <w:spacing w:after="0" w:line="277" w:lineRule="auto"/>
        <w:tabs>
          <w:tab w:leader="none" w:pos="3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93"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7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Title of each class</w:t>
            </w:r>
          </w:p>
        </w:tc>
        <w:tc>
          <w:tcPr>
            <w:tcW w:w="372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Trading symbol(s)</w:t>
            </w:r>
          </w:p>
        </w:tc>
        <w:tc>
          <w:tcPr>
            <w:tcW w:w="380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38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r>
      <w:tr>
        <w:trPr>
          <w:trHeight w:val="290"/>
        </w:trPr>
        <w:tc>
          <w:tcPr>
            <w:tcW w:w="372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Common Stock</w:t>
            </w:r>
          </w:p>
        </w:tc>
        <w:tc>
          <w:tcPr>
            <w:tcW w:w="3720" w:type="dxa"/>
            <w:vAlign w:val="bottom"/>
            <w:gridSpan w:val="2"/>
          </w:tcPr>
          <w:p>
            <w:pPr>
              <w:jc w:val="center"/>
              <w:ind w:right="340"/>
              <w:spacing w:after="0"/>
              <w:rPr>
                <w:sz w:val="20"/>
                <w:szCs w:val="20"/>
                <w:color w:val="auto"/>
              </w:rPr>
            </w:pPr>
            <w:r>
              <w:rPr>
                <w:rFonts w:ascii="Arial" w:cs="Arial" w:eastAsia="Arial" w:hAnsi="Arial"/>
                <w:sz w:val="18"/>
                <w:szCs w:val="18"/>
                <w:color w:val="auto"/>
                <w:w w:val="91"/>
              </w:rPr>
              <w:t>PFG</w:t>
            </w:r>
          </w:p>
        </w:tc>
        <w:tc>
          <w:tcPr>
            <w:tcW w:w="3800" w:type="dxa"/>
            <w:vAlign w:val="bottom"/>
          </w:tcPr>
          <w:p>
            <w:pPr>
              <w:jc w:val="center"/>
              <w:spacing w:after="0"/>
              <w:rPr>
                <w:sz w:val="20"/>
                <w:szCs w:val="20"/>
                <w:color w:val="auto"/>
              </w:rPr>
            </w:pPr>
            <w:r>
              <w:rPr>
                <w:rFonts w:ascii="Arial" w:cs="Arial" w:eastAsia="Arial" w:hAnsi="Arial"/>
                <w:sz w:val="18"/>
                <w:szCs w:val="18"/>
                <w:color w:val="auto"/>
                <w:w w:val="90"/>
              </w:rPr>
              <w:t>Nasdaq Global Select Market</w:t>
            </w:r>
          </w:p>
        </w:tc>
      </w:tr>
      <w:tr>
        <w:trPr>
          <w:trHeight w:val="297"/>
        </w:trPr>
        <w:tc>
          <w:tcPr>
            <w:tcW w:w="33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3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r>
      <w:tr>
        <w:trPr>
          <w:trHeight w:val="28"/>
        </w:trPr>
        <w:tc>
          <w:tcPr>
            <w:tcW w:w="3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r>
      <w:tr>
        <w:trPr>
          <w:trHeight w:val="472"/>
        </w:trPr>
        <w:tc>
          <w:tcPr>
            <w:tcW w:w="33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3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80" w:right="339" w:bottom="1440" w:gutter="0" w:footer="0" w:header="0"/>
          <w:type w:val="continuous"/>
        </w:sectPr>
      </w:pPr>
    </w:p>
    <w:bookmarkStart w:id="1" w:name="page2"/>
    <w:bookmarkEnd w:id="1"/>
    <w:p>
      <w:pPr>
        <w:spacing w:after="0"/>
        <w:tabs>
          <w:tab w:leader="none" w:pos="12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August 8, 2022, Principal Financial Group, Inc. publicly announced information regarding its results of operations and financial condition for the quarter ended June 30, 2022. The text of the announcement is included herewith as Exhibit 99.</w:t>
      </w:r>
    </w:p>
    <w:p>
      <w:pPr>
        <w:spacing w:after="0" w:line="16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tabs>
          <w:tab w:leader="none" w:pos="540" w:val="left"/>
        </w:tabs>
        <w:rPr>
          <w:rFonts w:ascii="Arial" w:cs="Arial" w:eastAsia="Arial" w:hAnsi="Arial"/>
          <w:sz w:val="18"/>
          <w:szCs w:val="18"/>
          <w:u w:val="single" w:color="auto"/>
          <w:color w:val="0000EE"/>
        </w:rPr>
      </w:pPr>
      <w:r>
        <w:rPr>
          <w:rFonts w:ascii="Arial" w:cs="Arial" w:eastAsia="Arial" w:hAnsi="Arial"/>
          <w:sz w:val="18"/>
          <w:szCs w:val="18"/>
          <w:u w:val="single" w:color="auto"/>
          <w:color w:val="0000EE"/>
        </w:rPr>
        <w:t>99</w:t>
      </w:r>
      <w:r>
        <w:rPr>
          <w:sz w:val="20"/>
          <w:szCs w:val="20"/>
          <w:color w:val="auto"/>
        </w:rPr>
        <w:tab/>
      </w:r>
      <w:hyperlink w:anchor="page4">
        <w:r>
          <w:rPr>
            <w:rFonts w:ascii="Arial" w:cs="Arial" w:eastAsia="Arial" w:hAnsi="Arial"/>
            <w:sz w:val="18"/>
            <w:szCs w:val="18"/>
            <w:u w:val="single" w:color="auto"/>
            <w:color w:val="0000EE"/>
          </w:rPr>
          <w:t>Second Quarter 2022 Earnings Release</w:t>
        </w:r>
      </w:hyperlink>
    </w:p>
    <w:p>
      <w:pPr>
        <w:spacing w:after="0" w:line="23"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104</w:t>
        <w:tab/>
        <w:t>Cover Page to this Current Report on Form 8-K in Inline XBRL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740"/>
          </w:cols>
          <w:pgMar w:left="320" w:top="904" w:right="8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5520"/>
        <w:spacing w:after="0"/>
        <w:tabs>
          <w:tab w:leader="none" w:pos="6020" w:val="left"/>
        </w:tabs>
        <w:rPr>
          <w:sz w:val="20"/>
          <w:szCs w:val="20"/>
          <w:color w:val="auto"/>
        </w:rPr>
      </w:pPr>
      <w:r>
        <w:rPr>
          <w:rFonts w:ascii="Arial" w:cs="Arial" w:eastAsia="Arial" w:hAnsi="Arial"/>
          <w:sz w:val="18"/>
          <w:szCs w:val="18"/>
          <w:color w:val="auto"/>
        </w:rPr>
        <w:t>By:</w:t>
        <w:tab/>
        <w:t>/s/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3836670</wp:posOffset>
            </wp:positionH>
            <wp:positionV relativeFrom="paragraph">
              <wp:posOffset>14605</wp:posOffset>
            </wp:positionV>
            <wp:extent cx="33000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00095" cy="8890"/>
                    </a:xfrm>
                    <a:prstGeom prst="rect">
                      <a:avLst/>
                    </a:prstGeom>
                    <a:noFill/>
                  </pic:spPr>
                </pic:pic>
              </a:graphicData>
            </a:graphic>
          </wp:anchor>
        </w:drawing>
      </w:r>
    </w:p>
    <w:p>
      <w:pPr>
        <w:spacing w:after="0" w:line="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Name: Deanna D. Strable-Soethout</w:t>
      </w:r>
    </w:p>
    <w:p>
      <w:pPr>
        <w:spacing w:after="0" w:line="23" w:lineRule="exact"/>
        <w:rPr>
          <w:sz w:val="20"/>
          <w:szCs w:val="20"/>
          <w:color w:val="auto"/>
        </w:rPr>
      </w:pPr>
    </w:p>
    <w:p>
      <w:pPr>
        <w:ind w:left="5520"/>
        <w:spacing w:after="0"/>
        <w:tabs>
          <w:tab w:leader="none" w:pos="60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Executive Vice President and Chief Financial Officer</w:t>
      </w:r>
    </w:p>
    <w:p>
      <w:pPr>
        <w:spacing w:after="0" w:line="211"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6"/>
          <w:szCs w:val="16"/>
          <w:color w:val="auto"/>
        </w:rPr>
        <w:t>August 8,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3" w:name="page4"/>
    <w:bookmarkEnd w:id="3"/>
    <w:p>
      <w:pPr>
        <w:ind w:left="10400"/>
        <w:spacing w:after="0"/>
        <w:rPr>
          <w:sz w:val="20"/>
          <w:szCs w:val="20"/>
          <w:color w:val="auto"/>
        </w:rPr>
      </w:pPr>
      <w:r>
        <w:rPr>
          <w:rFonts w:ascii="Arial" w:cs="Arial" w:eastAsia="Arial" w:hAnsi="Arial"/>
          <w:sz w:val="16"/>
          <w:szCs w:val="16"/>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5628640</wp:posOffset>
            </wp:positionH>
            <wp:positionV relativeFrom="paragraph">
              <wp:posOffset>168910</wp:posOffset>
            </wp:positionV>
            <wp:extent cx="1482725" cy="539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82725" cy="539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60" w:type="dxa"/>
            <w:vAlign w:val="bottom"/>
          </w:tcPr>
          <w:p>
            <w:pPr>
              <w:spacing w:after="0"/>
              <w:rPr>
                <w:sz w:val="20"/>
                <w:szCs w:val="20"/>
                <w:color w:val="auto"/>
              </w:rPr>
            </w:pPr>
            <w:r>
              <w:rPr>
                <w:rFonts w:ascii="Arial" w:cs="Arial" w:eastAsia="Arial" w:hAnsi="Arial"/>
                <w:sz w:val="18"/>
                <w:szCs w:val="18"/>
                <w:color w:val="auto"/>
              </w:rPr>
              <w:t>Release:</w:t>
            </w:r>
          </w:p>
        </w:tc>
        <w:tc>
          <w:tcPr>
            <w:tcW w:w="6520" w:type="dxa"/>
            <w:vAlign w:val="bottom"/>
            <w:gridSpan w:val="5"/>
          </w:tcPr>
          <w:p>
            <w:pPr>
              <w:ind w:left="500"/>
              <w:spacing w:after="0"/>
              <w:rPr>
                <w:sz w:val="20"/>
                <w:szCs w:val="20"/>
                <w:color w:val="auto"/>
              </w:rPr>
            </w:pPr>
            <w:r>
              <w:rPr>
                <w:rFonts w:ascii="Arial" w:cs="Arial" w:eastAsia="Arial" w:hAnsi="Arial"/>
                <w:sz w:val="18"/>
                <w:szCs w:val="18"/>
                <w:color w:val="auto"/>
              </w:rPr>
              <w:t>On receipt, Aug. 8, 2022</w:t>
            </w:r>
          </w:p>
        </w:tc>
      </w:tr>
      <w:tr>
        <w:trPr>
          <w:trHeight w:val="190"/>
        </w:trPr>
        <w:tc>
          <w:tcPr>
            <w:tcW w:w="1760" w:type="dxa"/>
            <w:vAlign w:val="bottom"/>
          </w:tcPr>
          <w:p>
            <w:pPr>
              <w:spacing w:after="0" w:line="190" w:lineRule="exact"/>
              <w:rPr>
                <w:sz w:val="20"/>
                <w:szCs w:val="20"/>
                <w:color w:val="auto"/>
              </w:rPr>
            </w:pPr>
            <w:r>
              <w:rPr>
                <w:rFonts w:ascii="Arial" w:cs="Arial" w:eastAsia="Arial" w:hAnsi="Arial"/>
                <w:sz w:val="18"/>
                <w:szCs w:val="18"/>
                <w:color w:val="auto"/>
              </w:rPr>
              <w:t>Media Contact:</w:t>
            </w:r>
          </w:p>
        </w:tc>
        <w:tc>
          <w:tcPr>
            <w:tcW w:w="6520" w:type="dxa"/>
            <w:vAlign w:val="bottom"/>
            <w:gridSpan w:val="5"/>
          </w:tcPr>
          <w:p>
            <w:pPr>
              <w:ind w:left="500"/>
              <w:spacing w:after="0" w:line="190" w:lineRule="exact"/>
              <w:rPr>
                <w:sz w:val="20"/>
                <w:szCs w:val="20"/>
                <w:color w:val="auto"/>
              </w:rPr>
            </w:pPr>
            <w:r>
              <w:rPr>
                <w:rFonts w:ascii="Arial" w:cs="Arial" w:eastAsia="Arial" w:hAnsi="Arial"/>
                <w:sz w:val="18"/>
                <w:szCs w:val="18"/>
                <w:color w:val="auto"/>
              </w:rPr>
              <w:t>Jane Slusark, 515-362-0482, slusark.jane@principal.com</w:t>
            </w:r>
          </w:p>
        </w:tc>
      </w:tr>
      <w:tr>
        <w:trPr>
          <w:trHeight w:val="20"/>
        </w:trPr>
        <w:tc>
          <w:tcPr>
            <w:tcW w:w="176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r>
        <w:trPr>
          <w:trHeight w:val="196"/>
        </w:trPr>
        <w:tc>
          <w:tcPr>
            <w:tcW w:w="1760" w:type="dxa"/>
            <w:vAlign w:val="bottom"/>
          </w:tcPr>
          <w:p>
            <w:pPr>
              <w:spacing w:after="0" w:line="196" w:lineRule="exact"/>
              <w:rPr>
                <w:sz w:val="20"/>
                <w:szCs w:val="20"/>
                <w:color w:val="auto"/>
              </w:rPr>
            </w:pPr>
            <w:r>
              <w:rPr>
                <w:rFonts w:ascii="Arial" w:cs="Arial" w:eastAsia="Arial" w:hAnsi="Arial"/>
                <w:sz w:val="18"/>
                <w:szCs w:val="18"/>
                <w:color w:val="auto"/>
              </w:rPr>
              <w:t>Investor Contact:</w:t>
            </w:r>
          </w:p>
        </w:tc>
        <w:tc>
          <w:tcPr>
            <w:tcW w:w="6520" w:type="dxa"/>
            <w:vAlign w:val="bottom"/>
            <w:gridSpan w:val="5"/>
          </w:tcPr>
          <w:p>
            <w:pPr>
              <w:ind w:left="500"/>
              <w:spacing w:after="0" w:line="196" w:lineRule="exact"/>
              <w:rPr>
                <w:sz w:val="20"/>
                <w:szCs w:val="20"/>
                <w:color w:val="auto"/>
              </w:rPr>
            </w:pPr>
            <w:r>
              <w:rPr>
                <w:rFonts w:ascii="Arial" w:cs="Arial" w:eastAsia="Arial" w:hAnsi="Arial"/>
                <w:sz w:val="18"/>
                <w:szCs w:val="18"/>
                <w:color w:val="auto"/>
              </w:rPr>
              <w:t>Humphrey Lee, 515-235-9500, lee.humphrey@principal.com</w:t>
            </w:r>
          </w:p>
        </w:tc>
      </w:tr>
      <w:tr>
        <w:trPr>
          <w:trHeight w:val="20"/>
        </w:trPr>
        <w:tc>
          <w:tcPr>
            <w:tcW w:w="1760" w:type="dxa"/>
            <w:vAlign w:val="bottom"/>
          </w:tcPr>
          <w:p>
            <w:pPr>
              <w:spacing w:after="0" w:line="20" w:lineRule="exact"/>
              <w:rPr>
                <w:sz w:val="1"/>
                <w:szCs w:val="1"/>
                <w:color w:val="auto"/>
              </w:rPr>
            </w:pPr>
          </w:p>
        </w:tc>
        <w:tc>
          <w:tcPr>
            <w:tcW w:w="2780" w:type="dxa"/>
            <w:vAlign w:val="bottom"/>
            <w:gridSpan w:val="2"/>
          </w:tcPr>
          <w:p>
            <w:pPr>
              <w:spacing w:after="0" w:line="20" w:lineRule="exact"/>
              <w:rPr>
                <w:sz w:val="1"/>
                <w:szCs w:val="1"/>
                <w:color w:val="auto"/>
              </w:rPr>
            </w:pPr>
          </w:p>
        </w:tc>
        <w:tc>
          <w:tcPr>
            <w:tcW w:w="2160" w:type="dxa"/>
            <w:vAlign w:val="bottom"/>
            <w:gridSpan w:val="2"/>
            <w:shd w:val="clear" w:color="auto" w:fill="000000"/>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r>
        <w:trPr>
          <w:trHeight w:val="475"/>
        </w:trPr>
        <w:tc>
          <w:tcPr>
            <w:tcW w:w="1760" w:type="dxa"/>
            <w:vAlign w:val="bottom"/>
          </w:tcPr>
          <w:p>
            <w:pPr>
              <w:spacing w:after="0"/>
              <w:rPr>
                <w:sz w:val="24"/>
                <w:szCs w:val="24"/>
                <w:color w:val="auto"/>
              </w:rPr>
            </w:pPr>
          </w:p>
        </w:tc>
        <w:tc>
          <w:tcPr>
            <w:tcW w:w="6520" w:type="dxa"/>
            <w:vAlign w:val="bottom"/>
            <w:gridSpan w:val="5"/>
          </w:tcPr>
          <w:p>
            <w:pPr>
              <w:ind w:left="1200"/>
              <w:spacing w:after="0"/>
              <w:rPr>
                <w:sz w:val="20"/>
                <w:szCs w:val="20"/>
                <w:color w:val="auto"/>
              </w:rPr>
            </w:pPr>
            <w:r>
              <w:rPr>
                <w:rFonts w:ascii="Arial" w:cs="Arial" w:eastAsia="Arial" w:hAnsi="Arial"/>
                <w:sz w:val="18"/>
                <w:szCs w:val="18"/>
                <w:b w:val="1"/>
                <w:bCs w:val="1"/>
                <w:color w:val="auto"/>
                <w:w w:val="89"/>
              </w:rPr>
              <w:t>Principal Financial Group</w:t>
            </w:r>
            <w:r>
              <w:rPr>
                <w:rFonts w:ascii="Arial" w:cs="Arial" w:eastAsia="Arial" w:hAnsi="Arial"/>
                <w:sz w:val="29"/>
                <w:szCs w:val="29"/>
                <w:color w:val="auto"/>
                <w:w w:val="89"/>
                <w:vertAlign w:val="superscript"/>
              </w:rPr>
              <w:t>®</w:t>
            </w:r>
            <w:r>
              <w:rPr>
                <w:rFonts w:ascii="Arial" w:cs="Arial" w:eastAsia="Arial" w:hAnsi="Arial"/>
                <w:sz w:val="18"/>
                <w:szCs w:val="18"/>
                <w:b w:val="1"/>
                <w:bCs w:val="1"/>
                <w:color w:val="auto"/>
                <w:w w:val="89"/>
              </w:rPr>
              <w:t xml:space="preserve"> Announces Second Quarter 2022 Results</w:t>
            </w:r>
          </w:p>
        </w:tc>
      </w:tr>
      <w:tr>
        <w:trPr>
          <w:trHeight w:val="234"/>
        </w:trPr>
        <w:tc>
          <w:tcPr>
            <w:tcW w:w="1760" w:type="dxa"/>
            <w:vAlign w:val="bottom"/>
          </w:tcPr>
          <w:p>
            <w:pPr>
              <w:spacing w:after="0"/>
              <w:rPr>
                <w:sz w:val="20"/>
                <w:szCs w:val="20"/>
                <w:color w:val="auto"/>
              </w:rPr>
            </w:pPr>
          </w:p>
        </w:tc>
        <w:tc>
          <w:tcPr>
            <w:tcW w:w="6520" w:type="dxa"/>
            <w:vAlign w:val="bottom"/>
            <w:gridSpan w:val="5"/>
          </w:tcPr>
          <w:p>
            <w:pPr>
              <w:ind w:left="2020"/>
              <w:spacing w:after="0"/>
              <w:rPr>
                <w:sz w:val="20"/>
                <w:szCs w:val="20"/>
                <w:color w:val="auto"/>
              </w:rPr>
            </w:pPr>
            <w:r>
              <w:rPr>
                <w:rFonts w:ascii="Arial" w:cs="Arial" w:eastAsia="Arial" w:hAnsi="Arial"/>
                <w:sz w:val="18"/>
                <w:szCs w:val="18"/>
                <w:b w:val="1"/>
                <w:bCs w:val="1"/>
                <w:color w:val="auto"/>
              </w:rPr>
              <w:t>Declares third quarter common stock dividend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135255</wp:posOffset>
            </wp:positionV>
            <wp:extent cx="7136130" cy="21215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6130" cy="2121535"/>
                    </a:xfrm>
                    <a:prstGeom prst="rect">
                      <a:avLst/>
                    </a:prstGeom>
                    <a:noFill/>
                  </pic:spPr>
                </pic:pic>
              </a:graphicData>
            </a:graphic>
          </wp:anchor>
        </w:drawing>
      </w:r>
    </w:p>
    <w:p>
      <w:pPr>
        <w:spacing w:after="0" w:line="200" w:lineRule="exact"/>
        <w:rPr>
          <w:sz w:val="20"/>
          <w:szCs w:val="20"/>
          <w:color w:val="auto"/>
        </w:rPr>
      </w:pPr>
    </w:p>
    <w:p>
      <w:pPr>
        <w:spacing w:after="0" w:line="231" w:lineRule="exact"/>
        <w:rPr>
          <w:sz w:val="20"/>
          <w:szCs w:val="20"/>
          <w:color w:val="auto"/>
        </w:rPr>
      </w:pPr>
    </w:p>
    <w:p>
      <w:pPr>
        <w:jc w:val="center"/>
        <w:ind w:right="-59"/>
        <w:spacing w:after="0"/>
        <w:rPr>
          <w:sz w:val="20"/>
          <w:szCs w:val="20"/>
          <w:color w:val="auto"/>
        </w:rPr>
      </w:pPr>
      <w:r>
        <w:rPr>
          <w:rFonts w:ascii="Arial" w:cs="Arial" w:eastAsia="Arial" w:hAnsi="Arial"/>
          <w:sz w:val="22"/>
          <w:szCs w:val="22"/>
          <w:i w:val="1"/>
          <w:iCs w:val="1"/>
          <w:color w:val="auto"/>
        </w:rPr>
        <w:t>Company Highlights</w:t>
      </w:r>
    </w:p>
    <w:p>
      <w:pPr>
        <w:spacing w:after="0" w:line="298" w:lineRule="exact"/>
        <w:rPr>
          <w:sz w:val="20"/>
          <w:szCs w:val="20"/>
          <w:color w:val="auto"/>
        </w:rPr>
      </w:pPr>
    </w:p>
    <w:p>
      <w:pPr>
        <w:ind w:left="680" w:right="520" w:hanging="330"/>
        <w:spacing w:after="0" w:line="186" w:lineRule="auto"/>
        <w:tabs>
          <w:tab w:leader="none" w:pos="68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b w:val="1"/>
          <w:bCs w:val="1"/>
          <w:color w:val="auto"/>
        </w:rPr>
        <w:t>Second quarter 2022 net income attributable to Principal Financial Group</w:t>
      </w:r>
      <w:r>
        <w:rPr>
          <w:rFonts w:ascii="Arial" w:cs="Arial" w:eastAsia="Arial" w:hAnsi="Arial"/>
          <w:sz w:val="29"/>
          <w:szCs w:val="29"/>
          <w:color w:val="auto"/>
          <w:vertAlign w:val="superscript"/>
        </w:rPr>
        <w:t>®</w:t>
      </w:r>
      <w:r>
        <w:rPr>
          <w:rFonts w:ascii="Arial" w:cs="Arial" w:eastAsia="Arial" w:hAnsi="Arial"/>
          <w:sz w:val="18"/>
          <w:szCs w:val="18"/>
          <w:b w:val="1"/>
          <w:bCs w:val="1"/>
          <w:color w:val="auto"/>
        </w:rPr>
        <w:t>, Inc. (PFG) of $3.1 billion, or $11.94 per diluted share, includes $2.8 billion of income from exited business.</w:t>
      </w:r>
    </w:p>
    <w:p>
      <w:pPr>
        <w:spacing w:after="0" w:line="62" w:lineRule="exact"/>
        <w:rPr>
          <w:rFonts w:ascii="Arial" w:cs="Arial" w:eastAsia="Arial" w:hAnsi="Arial"/>
          <w:sz w:val="36"/>
          <w:szCs w:val="36"/>
          <w:color w:val="auto"/>
          <w:vertAlign w:val="superscript"/>
        </w:rPr>
      </w:pPr>
    </w:p>
    <w:p>
      <w:pPr>
        <w:ind w:left="680" w:hanging="330"/>
        <w:spacing w:after="0"/>
        <w:tabs>
          <w:tab w:leader="none" w:pos="680" w:val="left"/>
        </w:tabs>
        <w:numPr>
          <w:ilvl w:val="0"/>
          <w:numId w:val="3"/>
        </w:numPr>
        <w:rPr>
          <w:rFonts w:ascii="Arial" w:cs="Arial" w:eastAsia="Arial" w:hAnsi="Arial"/>
          <w:sz w:val="36"/>
          <w:szCs w:val="36"/>
          <w:color w:val="auto"/>
          <w:vertAlign w:val="superscript"/>
        </w:rPr>
      </w:pPr>
      <w:r>
        <w:rPr>
          <w:rFonts w:ascii="Arial" w:cs="Arial" w:eastAsia="Arial" w:hAnsi="Arial"/>
          <w:sz w:val="18"/>
          <w:szCs w:val="18"/>
          <w:b w:val="1"/>
          <w:bCs w:val="1"/>
          <w:color w:val="auto"/>
        </w:rPr>
        <w:t>Second quarter 2022 non-GAAP operating earnings</w:t>
      </w:r>
      <w:r>
        <w:rPr>
          <w:rFonts w:ascii="Arial" w:cs="Arial" w:eastAsia="Arial" w:hAnsi="Arial"/>
          <w:sz w:val="29"/>
          <w:szCs w:val="29"/>
          <w:b w:val="1"/>
          <w:bCs w:val="1"/>
          <w:color w:val="auto"/>
          <w:vertAlign w:val="superscript"/>
        </w:rPr>
        <w:t>1</w:t>
      </w:r>
      <w:r>
        <w:rPr>
          <w:rFonts w:ascii="Arial" w:cs="Arial" w:eastAsia="Arial" w:hAnsi="Arial"/>
          <w:sz w:val="18"/>
          <w:szCs w:val="18"/>
          <w:b w:val="1"/>
          <w:bCs w:val="1"/>
          <w:color w:val="auto"/>
        </w:rPr>
        <w:t xml:space="preserve"> of $423 million, or $1.65 per diluted share.</w:t>
      </w:r>
    </w:p>
    <w:p>
      <w:pPr>
        <w:ind w:left="680" w:right="500" w:hanging="330"/>
        <w:spacing w:after="0" w:line="258" w:lineRule="auto"/>
        <w:tabs>
          <w:tab w:leader="none" w:pos="68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Returned $402 million of capital to shareholders in second quarter, including $240 million in share repurchases and $162 million of common stock dividends.</w:t>
      </w:r>
    </w:p>
    <w:p>
      <w:pPr>
        <w:spacing w:after="0" w:line="74" w:lineRule="exact"/>
        <w:rPr>
          <w:rFonts w:ascii="Arial" w:cs="Arial" w:eastAsia="Arial" w:hAnsi="Arial"/>
          <w:sz w:val="18"/>
          <w:szCs w:val="18"/>
          <w:color w:val="auto"/>
        </w:rPr>
      </w:pPr>
    </w:p>
    <w:p>
      <w:pPr>
        <w:ind w:left="680" w:hanging="330"/>
        <w:spacing w:after="0"/>
        <w:tabs>
          <w:tab w:leader="none" w:pos="68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Company declares third quarter 2022 common stock dividend of $0.64 per share.</w:t>
      </w:r>
    </w:p>
    <w:p>
      <w:pPr>
        <w:spacing w:after="0" w:line="117" w:lineRule="exact"/>
        <w:rPr>
          <w:rFonts w:ascii="Arial" w:cs="Arial" w:eastAsia="Arial" w:hAnsi="Arial"/>
          <w:sz w:val="18"/>
          <w:szCs w:val="18"/>
          <w:color w:val="auto"/>
        </w:rPr>
      </w:pPr>
    </w:p>
    <w:p>
      <w:pPr>
        <w:ind w:left="680" w:right="500" w:hanging="330"/>
        <w:spacing w:after="0" w:line="282" w:lineRule="auto"/>
        <w:tabs>
          <w:tab w:leader="none" w:pos="68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Assets under management (AUM) of $632 billion managed by PFG, which is included in assets under administration (AUA) of $1.5 trillion.</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 Principal Financial Group</w:t>
      </w:r>
      <w:r>
        <w:rPr>
          <w:rFonts w:ascii="Arial" w:cs="Arial" w:eastAsia="Arial" w:hAnsi="Arial"/>
          <w:sz w:val="29"/>
          <w:szCs w:val="29"/>
          <w:color w:val="auto"/>
          <w:vertAlign w:val="superscript"/>
        </w:rPr>
        <w:t>®</w:t>
      </w:r>
      <w:r>
        <w:rPr>
          <w:rFonts w:ascii="Arial" w:cs="Arial" w:eastAsia="Arial" w:hAnsi="Arial"/>
          <w:sz w:val="18"/>
          <w:szCs w:val="18"/>
          <w:color w:val="auto"/>
        </w:rPr>
        <w:t xml:space="preserve"> (Nasdaq: PFG) announced results for second quarter 2022.</w:t>
      </w:r>
    </w:p>
    <w:p>
      <w:pPr>
        <w:spacing w:after="0" w:line="131" w:lineRule="exact"/>
        <w:rPr>
          <w:sz w:val="20"/>
          <w:szCs w:val="20"/>
          <w:color w:val="auto"/>
        </w:rPr>
      </w:pPr>
    </w:p>
    <w:p>
      <w:pPr>
        <w:ind w:left="820" w:right="100" w:hanging="326"/>
        <w:spacing w:after="0" w:line="266"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Net income attributable to PFG for second quarter 2022 of $3,059.4 million</w:t>
      </w:r>
      <w:r>
        <w:rPr>
          <w:rFonts w:ascii="Arial" w:cs="Arial" w:eastAsia="Arial" w:hAnsi="Arial"/>
          <w:sz w:val="18"/>
          <w:szCs w:val="18"/>
          <w:color w:val="auto"/>
        </w:rPr>
        <w:t>, including $2,827.2 million from exited business, compared to</w:t>
      </w:r>
      <w:r>
        <w:rPr>
          <w:rFonts w:ascii="Arial" w:cs="Arial" w:eastAsia="Arial" w:hAnsi="Arial"/>
          <w:sz w:val="18"/>
          <w:szCs w:val="18"/>
          <w:b w:val="1"/>
          <w:bCs w:val="1"/>
          <w:color w:val="auto"/>
        </w:rPr>
        <w:t xml:space="preserve"> </w:t>
      </w:r>
      <w:r>
        <w:rPr>
          <w:rFonts w:ascii="Arial" w:cs="Arial" w:eastAsia="Arial" w:hAnsi="Arial"/>
          <w:sz w:val="18"/>
          <w:szCs w:val="18"/>
          <w:color w:val="auto"/>
        </w:rPr>
        <w:t>$361.8 million for second quarter 2021. Net income per diluted share of $11.94 for second quarter 2022 compared to $1.32 in the prior year quarter.</w:t>
      </w:r>
    </w:p>
    <w:p>
      <w:pPr>
        <w:spacing w:after="0" w:line="175" w:lineRule="exact"/>
        <w:rPr>
          <w:rFonts w:ascii="Arial" w:cs="Arial" w:eastAsia="Arial" w:hAnsi="Arial"/>
          <w:sz w:val="18"/>
          <w:szCs w:val="18"/>
          <w:color w:val="auto"/>
        </w:rPr>
      </w:pPr>
    </w:p>
    <w:p>
      <w:pPr>
        <w:ind w:left="820" w:hanging="326"/>
        <w:spacing w:after="0" w:line="312" w:lineRule="auto"/>
        <w:tabs>
          <w:tab w:leader="none" w:pos="820" w:val="left"/>
        </w:tabs>
        <w:numPr>
          <w:ilvl w:val="0"/>
          <w:numId w:val="4"/>
        </w:numPr>
        <w:rPr>
          <w:rFonts w:ascii="Arial" w:cs="Arial" w:eastAsia="Arial" w:hAnsi="Arial"/>
          <w:sz w:val="17"/>
          <w:szCs w:val="17"/>
          <w:color w:val="auto"/>
        </w:rPr>
      </w:pPr>
      <w:r>
        <w:rPr>
          <w:rFonts w:ascii="Arial" w:cs="Arial" w:eastAsia="Arial" w:hAnsi="Arial"/>
          <w:sz w:val="17"/>
          <w:szCs w:val="17"/>
          <w:b w:val="1"/>
          <w:bCs w:val="1"/>
          <w:color w:val="auto"/>
        </w:rPr>
        <w:t xml:space="preserve">Non-GAAP operating earnings for second quarter 2022 of $423.0 million, </w:t>
      </w:r>
      <w:r>
        <w:rPr>
          <w:rFonts w:ascii="Arial" w:cs="Arial" w:eastAsia="Arial" w:hAnsi="Arial"/>
          <w:sz w:val="17"/>
          <w:szCs w:val="17"/>
          <w:color w:val="auto"/>
        </w:rPr>
        <w:t>compared to $467.3 million for second quarter 2021. Non-GAAP</w:t>
      </w:r>
      <w:r>
        <w:rPr>
          <w:rFonts w:ascii="Arial" w:cs="Arial" w:eastAsia="Arial" w:hAnsi="Arial"/>
          <w:sz w:val="17"/>
          <w:szCs w:val="17"/>
          <w:b w:val="1"/>
          <w:bCs w:val="1"/>
          <w:color w:val="auto"/>
        </w:rPr>
        <w:t xml:space="preserve"> </w:t>
      </w:r>
      <w:r>
        <w:rPr>
          <w:rFonts w:ascii="Arial" w:cs="Arial" w:eastAsia="Arial" w:hAnsi="Arial"/>
          <w:sz w:val="17"/>
          <w:szCs w:val="17"/>
          <w:color w:val="auto"/>
        </w:rPr>
        <w:t>operating earnings per diluted share of $1.65 for second quarter 2022 compared to $1.70 in the prior year quarter.</w:t>
      </w:r>
    </w:p>
    <w:p>
      <w:pPr>
        <w:spacing w:after="0" w:line="139" w:lineRule="exact"/>
        <w:rPr>
          <w:rFonts w:ascii="Arial" w:cs="Arial" w:eastAsia="Arial" w:hAnsi="Arial"/>
          <w:sz w:val="17"/>
          <w:szCs w:val="17"/>
          <w:color w:val="auto"/>
        </w:rPr>
      </w:pPr>
    </w:p>
    <w:p>
      <w:pPr>
        <w:ind w:left="820" w:hanging="326"/>
        <w:spacing w:after="0" w:line="258"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The transaction to reinsure our in-force U.S. retail fixed annuity and universal life insurance with secondary guarantee (“ULSG”) </w:t>
      </w:r>
      <w:r>
        <w:rPr>
          <w:rFonts w:ascii="Arial" w:cs="Arial" w:eastAsia="Arial" w:hAnsi="Arial"/>
          <w:sz w:val="18"/>
          <w:szCs w:val="18"/>
          <w:color w:val="auto"/>
        </w:rPr>
        <w:t>blocks of business (“reinsurance transaction”) closed in second quarter 2022 with an effective date of January 1, 2022. This resulted in a true-up during the second quarter to transfer the associated first quarter revenue, non-GAAP operating earnings, net income, and AUM to the counterparty. Therefore, the second quarter reported financial results are not comparable to prior periods for Retirement and Income Solutions (RIS)-Spread, Individual Life, and total company.</w:t>
      </w:r>
    </w:p>
    <w:p>
      <w:pPr>
        <w:spacing w:after="0" w:line="183" w:lineRule="exact"/>
        <w:rPr>
          <w:rFonts w:ascii="Arial" w:cs="Arial" w:eastAsia="Arial" w:hAnsi="Arial"/>
          <w:sz w:val="18"/>
          <w:szCs w:val="18"/>
          <w:color w:val="auto"/>
        </w:rPr>
      </w:pPr>
    </w:p>
    <w:p>
      <w:pPr>
        <w:jc w:val="both"/>
        <w:ind w:left="820" w:right="200" w:hanging="326"/>
        <w:spacing w:after="0" w:line="266"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Quarterly common stock dividend of $0.64 per share </w:t>
      </w:r>
      <w:r>
        <w:rPr>
          <w:rFonts w:ascii="Arial" w:cs="Arial" w:eastAsia="Arial" w:hAnsi="Arial"/>
          <w:sz w:val="18"/>
          <w:szCs w:val="18"/>
          <w:color w:val="auto"/>
        </w:rPr>
        <w:t>for third quarter 2022 was authorized by the company’s Board of Directors, bringing</w:t>
      </w:r>
      <w:r>
        <w:rPr>
          <w:rFonts w:ascii="Arial" w:cs="Arial" w:eastAsia="Arial" w:hAnsi="Arial"/>
          <w:sz w:val="18"/>
          <w:szCs w:val="18"/>
          <w:b w:val="1"/>
          <w:bCs w:val="1"/>
          <w:color w:val="auto"/>
        </w:rPr>
        <w:t xml:space="preserve"> </w:t>
      </w:r>
      <w:r>
        <w:rPr>
          <w:rFonts w:ascii="Arial" w:cs="Arial" w:eastAsia="Arial" w:hAnsi="Arial"/>
          <w:sz w:val="18"/>
          <w:szCs w:val="18"/>
          <w:color w:val="auto"/>
        </w:rPr>
        <w:t>the trailing twelve-month dividend to $2.56 per share, an 8% increase compared to the prior year trailing twelve-month period. The dividend will be payable on Sept. 30, 2022, to shareholders of record as of Sept. 8,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174625</wp:posOffset>
            </wp:positionV>
            <wp:extent cx="17830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82" w:lineRule="exact"/>
        <w:rPr>
          <w:sz w:val="20"/>
          <w:szCs w:val="20"/>
          <w:color w:val="auto"/>
        </w:rPr>
      </w:pPr>
    </w:p>
    <w:p>
      <w:pPr>
        <w:ind w:left="120" w:hanging="112"/>
        <w:spacing w:after="0"/>
        <w:tabs>
          <w:tab w:leader="none" w:pos="120" w:val="left"/>
        </w:tabs>
        <w:numPr>
          <w:ilvl w:val="0"/>
          <w:numId w:val="5"/>
        </w:numPr>
        <w:rPr>
          <w:rFonts w:ascii="Arial" w:cs="Arial" w:eastAsia="Arial" w:hAnsi="Arial"/>
          <w:sz w:val="27"/>
          <w:szCs w:val="27"/>
          <w:color w:val="auto"/>
          <w:vertAlign w:val="superscript"/>
        </w:rPr>
      </w:pPr>
      <w:r>
        <w:rPr>
          <w:rFonts w:ascii="Arial" w:cs="Arial" w:eastAsia="Arial" w:hAnsi="Arial"/>
          <w:sz w:val="16"/>
          <w:szCs w:val="16"/>
          <w:color w:val="auto"/>
        </w:rPr>
        <w:t>Use of non-GAAP financial measures is discussed in this release after segment results. Non-GAAP operating earnings for total company is after tax.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428625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5831840</wp:posOffset>
            </wp:positionH>
            <wp:positionV relativeFrom="page">
              <wp:posOffset>586105</wp:posOffset>
            </wp:positionV>
            <wp:extent cx="1482725" cy="5397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482725" cy="539750"/>
                    </a:xfrm>
                    <a:prstGeom prst="rect">
                      <a:avLst/>
                    </a:prstGeom>
                    <a:noFill/>
                  </pic:spPr>
                </pic:pic>
              </a:graphicData>
            </a:graphic>
          </wp:anchor>
        </w:drawing>
      </w:r>
    </w:p>
    <w:p>
      <w:pPr>
        <w:spacing w:after="0" w:line="389" w:lineRule="exact"/>
        <w:rPr>
          <w:sz w:val="20"/>
          <w:szCs w:val="20"/>
          <w:color w:val="auto"/>
        </w:rPr>
      </w:pPr>
    </w:p>
    <w:p>
      <w:pPr>
        <w:spacing w:after="0" w:line="284" w:lineRule="auto"/>
        <w:rPr>
          <w:sz w:val="20"/>
          <w:szCs w:val="20"/>
          <w:color w:val="auto"/>
        </w:rPr>
      </w:pPr>
      <w:r>
        <w:rPr>
          <w:rFonts w:ascii="Arial" w:cs="Arial" w:eastAsia="Arial" w:hAnsi="Arial"/>
          <w:sz w:val="17"/>
          <w:szCs w:val="17"/>
          <w:color w:val="auto"/>
        </w:rPr>
        <w:t>“The strength and resiliency of our diversified business strategy helped to deliver non-GAAP operating earnings of $423 million in the second quarter and generated $1.5 billion of positive net cash flow. We also returned approximately $400 million dollars to our shareholders during this period, and nearly $1.3 billion year to date. Throughout the quarter, uncertainty over central banks tightening caused volatility in equity, interest rate, and foreign currency markets, which negatively impacted our results,” said Dan Houston, chairman, president, and CEO of Principal</w:t>
      </w:r>
      <w:r>
        <w:rPr>
          <w:rFonts w:ascii="Arial" w:cs="Arial" w:eastAsia="Arial" w:hAnsi="Arial"/>
          <w:sz w:val="28"/>
          <w:szCs w:val="28"/>
          <w:color w:val="auto"/>
          <w:vertAlign w:val="superscript"/>
        </w:rPr>
        <w:t>®</w:t>
      </w:r>
      <w:r>
        <w:rPr>
          <w:rFonts w:ascii="Arial" w:cs="Arial" w:eastAsia="Arial" w:hAnsi="Arial"/>
          <w:sz w:val="17"/>
          <w:szCs w:val="17"/>
          <w:color w:val="auto"/>
        </w:rPr>
        <w:t>.</w:t>
      </w:r>
    </w:p>
    <w:p>
      <w:pPr>
        <w:spacing w:after="0" w:line="46"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“Despite these headwinds, strong customer growth and increasing investment yields are helping mitigate macroeconomic pressures. We’re keenly focused on managing expenses in line with revenues and will continue to be disciplined in overseeing business economics and operations,” said Houston.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highlights</w:t>
      </w:r>
    </w:p>
    <w:p>
      <w:pPr>
        <w:spacing w:after="0" w:line="229" w:lineRule="exact"/>
        <w:rPr>
          <w:sz w:val="20"/>
          <w:szCs w:val="20"/>
          <w:color w:val="auto"/>
        </w:rPr>
      </w:pPr>
    </w:p>
    <w:p>
      <w:pPr>
        <w:ind w:left="600" w:hanging="322"/>
        <w:spacing w:after="0"/>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RIS – Fee recurring deposits increased 37% over the second quarter of 2021, including a 14% increase on our legacy block</w:t>
      </w:r>
    </w:p>
    <w:p>
      <w:pPr>
        <w:spacing w:after="0" w:line="255" w:lineRule="exact"/>
        <w:rPr>
          <w:rFonts w:ascii="Arial" w:cs="Arial" w:eastAsia="Arial" w:hAnsi="Arial"/>
          <w:sz w:val="18"/>
          <w:szCs w:val="18"/>
          <w:color w:val="auto"/>
        </w:rPr>
      </w:pPr>
    </w:p>
    <w:p>
      <w:pPr>
        <w:ind w:left="600" w:hanging="322"/>
        <w:spacing w:after="0"/>
        <w:tabs>
          <w:tab w:leader="none" w:pos="600" w:val="left"/>
        </w:tabs>
        <w:numPr>
          <w:ilvl w:val="0"/>
          <w:numId w:val="6"/>
        </w:numPr>
        <w:rPr>
          <w:rFonts w:ascii="Arial" w:cs="Arial" w:eastAsia="Arial" w:hAnsi="Arial"/>
          <w:sz w:val="32"/>
          <w:szCs w:val="32"/>
          <w:color w:val="auto"/>
          <w:vertAlign w:val="superscript"/>
        </w:rPr>
      </w:pPr>
      <w:r>
        <w:rPr>
          <w:rFonts w:ascii="Arial" w:cs="Arial" w:eastAsia="Arial" w:hAnsi="Arial"/>
          <w:sz w:val="16"/>
          <w:szCs w:val="16"/>
          <w:color w:val="auto"/>
        </w:rPr>
        <w:t>Principal Global Investors (PGI) managed net cash flow of $1.4 billion and 42% pre-tax return on operating revenues less pass-through expenses</w:t>
      </w:r>
      <w:r>
        <w:rPr>
          <w:rFonts w:ascii="Arial" w:cs="Arial" w:eastAsia="Arial" w:hAnsi="Arial"/>
          <w:sz w:val="26"/>
          <w:szCs w:val="26"/>
          <w:color w:val="auto"/>
          <w:vertAlign w:val="superscript"/>
        </w:rPr>
        <w:t>2</w:t>
      </w:r>
    </w:p>
    <w:p>
      <w:pPr>
        <w:spacing w:after="0" w:line="127" w:lineRule="exact"/>
        <w:rPr>
          <w:rFonts w:ascii="Arial" w:cs="Arial" w:eastAsia="Arial" w:hAnsi="Arial"/>
          <w:sz w:val="32"/>
          <w:szCs w:val="32"/>
          <w:color w:val="auto"/>
          <w:vertAlign w:val="superscript"/>
        </w:rPr>
      </w:pPr>
    </w:p>
    <w:p>
      <w:pPr>
        <w:ind w:left="600" w:hanging="322"/>
        <w:spacing w:after="0"/>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Principal International reported total AUM of $148.9 billion; reported AUM does not include $189.3 billion of AUM in China</w:t>
      </w:r>
    </w:p>
    <w:p>
      <w:pPr>
        <w:spacing w:after="0" w:line="255" w:lineRule="exact"/>
        <w:rPr>
          <w:rFonts w:ascii="Arial" w:cs="Arial" w:eastAsia="Arial" w:hAnsi="Arial"/>
          <w:sz w:val="18"/>
          <w:szCs w:val="18"/>
          <w:color w:val="auto"/>
        </w:rPr>
      </w:pPr>
    </w:p>
    <w:p>
      <w:pPr>
        <w:ind w:left="600" w:hanging="322"/>
        <w:spacing w:after="0"/>
        <w:tabs>
          <w:tab w:leader="none" w:pos="600" w:val="left"/>
        </w:tabs>
        <w:numPr>
          <w:ilvl w:val="0"/>
          <w:numId w:val="6"/>
        </w:numPr>
        <w:rPr>
          <w:rFonts w:ascii="Arial" w:cs="Arial" w:eastAsia="Arial" w:hAnsi="Arial"/>
          <w:sz w:val="32"/>
          <w:szCs w:val="32"/>
          <w:color w:val="auto"/>
          <w:vertAlign w:val="superscript"/>
        </w:rPr>
      </w:pPr>
      <w:r>
        <w:rPr>
          <w:rFonts w:ascii="Arial" w:cs="Arial" w:eastAsia="Arial" w:hAnsi="Arial"/>
          <w:sz w:val="16"/>
          <w:szCs w:val="16"/>
          <w:color w:val="auto"/>
        </w:rPr>
        <w:t>Specialty Benefits premium and fees</w:t>
      </w:r>
      <w:r>
        <w:rPr>
          <w:rFonts w:ascii="Arial" w:cs="Arial" w:eastAsia="Arial" w:hAnsi="Arial"/>
          <w:sz w:val="26"/>
          <w:szCs w:val="26"/>
          <w:color w:val="auto"/>
          <w:vertAlign w:val="superscript"/>
        </w:rPr>
        <w:t>3</w:t>
      </w:r>
      <w:r>
        <w:rPr>
          <w:rFonts w:ascii="Arial" w:cs="Arial" w:eastAsia="Arial" w:hAnsi="Arial"/>
          <w:sz w:val="16"/>
          <w:szCs w:val="16"/>
          <w:color w:val="auto"/>
        </w:rPr>
        <w:t xml:space="preserve"> increased 11% from the second quarter of 2021, from record sales, strong retention and employment growth</w:t>
      </w:r>
    </w:p>
    <w:p>
      <w:pPr>
        <w:spacing w:after="0" w:line="100" w:lineRule="exact"/>
        <w:rPr>
          <w:rFonts w:ascii="Arial" w:cs="Arial" w:eastAsia="Arial" w:hAnsi="Arial"/>
          <w:sz w:val="32"/>
          <w:szCs w:val="32"/>
          <w:color w:val="auto"/>
          <w:vertAlign w:val="superscript"/>
        </w:rPr>
      </w:pPr>
    </w:p>
    <w:p>
      <w:pPr>
        <w:ind w:left="600" w:right="200" w:hanging="322"/>
        <w:spacing w:after="0" w:line="277" w:lineRule="auto"/>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Individual Life business market sales increased 76% from the second quarter of 2021, demonstrating strength in the business and refreshed focus on the value proposition for business owners</w:t>
      </w:r>
    </w:p>
    <w:p>
      <w:pPr>
        <w:spacing w:after="0" w:line="170" w:lineRule="exact"/>
        <w:rPr>
          <w:rFonts w:ascii="Arial" w:cs="Arial" w:eastAsia="Arial" w:hAnsi="Arial"/>
          <w:sz w:val="18"/>
          <w:szCs w:val="18"/>
          <w:color w:val="auto"/>
        </w:rPr>
      </w:pPr>
    </w:p>
    <w:p>
      <w:pPr>
        <w:ind w:left="600" w:hanging="322"/>
        <w:spacing w:after="0"/>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Returned $401.6 million of capital to shareholders during the second quarter, including:</w:t>
      </w:r>
    </w:p>
    <w:p>
      <w:pPr>
        <w:spacing w:after="0" w:line="225" w:lineRule="exact"/>
        <w:rPr>
          <w:sz w:val="20"/>
          <w:szCs w:val="20"/>
          <w:color w:val="auto"/>
        </w:rPr>
      </w:pPr>
    </w:p>
    <w:p>
      <w:pPr>
        <w:ind w:left="1300" w:hanging="320"/>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$161.7 million of common stock dividends with the $0.64 per share common dividend paid in the second quarter;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$239.9 million to repurchase 2.9 million shares of common stock</w:t>
      </w:r>
    </w:p>
    <w:p>
      <w:pPr>
        <w:spacing w:after="0" w:line="255" w:lineRule="exact"/>
        <w:rPr>
          <w:rFonts w:ascii="Arial" w:cs="Arial" w:eastAsia="Arial" w:hAnsi="Arial"/>
          <w:sz w:val="18"/>
          <w:szCs w:val="18"/>
          <w:color w:val="auto"/>
        </w:rPr>
      </w:pPr>
    </w:p>
    <w:p>
      <w:pPr>
        <w:ind w:left="600" w:right="200" w:hanging="322"/>
        <w:spacing w:after="0" w:line="197" w:lineRule="auto"/>
        <w:tabs>
          <w:tab w:leader="none" w:pos="600" w:val="left"/>
        </w:tabs>
        <w:numPr>
          <w:ilvl w:val="0"/>
          <w:numId w:val="7"/>
        </w:numPr>
        <w:rPr>
          <w:rFonts w:ascii="Arial" w:cs="Arial" w:eastAsia="Arial" w:hAnsi="Arial"/>
          <w:sz w:val="34"/>
          <w:szCs w:val="34"/>
          <w:color w:val="auto"/>
          <w:vertAlign w:val="superscript"/>
        </w:rPr>
      </w:pPr>
      <w:r>
        <w:rPr>
          <w:rFonts w:ascii="Arial" w:cs="Arial" w:eastAsia="Arial" w:hAnsi="Arial"/>
          <w:sz w:val="17"/>
          <w:szCs w:val="17"/>
          <w:color w:val="auto"/>
        </w:rPr>
        <w:t>Investment performance</w:t>
      </w:r>
      <w:r>
        <w:rPr>
          <w:rFonts w:ascii="Arial" w:cs="Arial" w:eastAsia="Arial" w:hAnsi="Arial"/>
          <w:sz w:val="27"/>
          <w:szCs w:val="27"/>
          <w:color w:val="auto"/>
          <w:vertAlign w:val="superscript"/>
        </w:rPr>
        <w:t>4</w:t>
      </w:r>
      <w:r>
        <w:rPr>
          <w:rFonts w:ascii="Arial" w:cs="Arial" w:eastAsia="Arial" w:hAnsi="Arial"/>
          <w:sz w:val="17"/>
          <w:szCs w:val="17"/>
          <w:color w:val="auto"/>
        </w:rPr>
        <w:t>: 43% of Principal investment options above median on a one-year basis, 62% on a three-year basis, 78% on a five-year basis, and 80% on a ten-year basis; additionally, 69% of fund-level AUM had a 4- or 5-star rating from Morningstar</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Strong financial position</w:t>
      </w:r>
    </w:p>
    <w:p>
      <w:pPr>
        <w:spacing w:after="0" w:line="229" w:lineRule="exact"/>
        <w:rPr>
          <w:sz w:val="20"/>
          <w:szCs w:val="20"/>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$1.9 billion of excess and available capital in our holding companies and other subsidiaries, which is available for corporate purposes</w:t>
      </w:r>
    </w:p>
    <w:p>
      <w:pPr>
        <w:spacing w:after="0" w:line="225" w:lineRule="exact"/>
        <w:rPr>
          <w:rFonts w:ascii="Arial" w:cs="Arial" w:eastAsia="Arial" w:hAnsi="Arial"/>
          <w:sz w:val="18"/>
          <w:szCs w:val="18"/>
          <w:color w:val="auto"/>
        </w:rPr>
      </w:pPr>
    </w:p>
    <w:p>
      <w:pPr>
        <w:ind w:left="600" w:right="240" w:hanging="322"/>
        <w:spacing w:after="0" w:line="277" w:lineRule="auto"/>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Statutory risk-based capital (RBC) ratio for Principal Life Insurance Company is estimated to be 415%, above the midpoint of our targeted RBC ratio range of 400%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26" w:lineRule="exact"/>
        <w:rPr>
          <w:sz w:val="20"/>
          <w:szCs w:val="20"/>
          <w:color w:val="auto"/>
        </w:rPr>
      </w:pPr>
    </w:p>
    <w:p>
      <w:pPr>
        <w:ind w:right="260" w:firstLine="8"/>
        <w:spacing w:after="0" w:line="194" w:lineRule="auto"/>
        <w:tabs>
          <w:tab w:leader="none" w:pos="120" w:val="left"/>
        </w:tabs>
        <w:numPr>
          <w:ilvl w:val="0"/>
          <w:numId w:val="9"/>
        </w:numPr>
        <w:rPr>
          <w:rFonts w:ascii="Arial" w:cs="Arial" w:eastAsia="Arial" w:hAnsi="Arial"/>
          <w:sz w:val="30"/>
          <w:szCs w:val="30"/>
          <w:color w:val="auto"/>
          <w:vertAlign w:val="superscript"/>
        </w:rPr>
      </w:pPr>
      <w:r>
        <w:rPr>
          <w:rFonts w:ascii="Arial" w:cs="Arial" w:eastAsia="Arial" w:hAnsi="Arial"/>
          <w:sz w:val="18"/>
          <w:szCs w:val="18"/>
          <w:color w:val="auto"/>
        </w:rPr>
        <w:t>Pre-tax return on operating revenues less pass-through expenses = pre-tax operating earnings, adjusted for noncontrolling interest divided by operating revenues less pass-through expenses.</w:t>
      </w:r>
    </w:p>
    <w:p>
      <w:pPr>
        <w:spacing w:after="0" w:line="214" w:lineRule="auto"/>
        <w:rPr>
          <w:rFonts w:ascii="Arial" w:cs="Arial" w:eastAsia="Arial" w:hAnsi="Arial"/>
          <w:sz w:val="30"/>
          <w:szCs w:val="30"/>
          <w:color w:val="auto"/>
          <w:vertAlign w:val="superscript"/>
        </w:rPr>
      </w:pPr>
      <w:r>
        <w:rPr>
          <w:rFonts w:ascii="Arial" w:cs="Arial" w:eastAsia="Arial" w:hAnsi="Arial"/>
          <w:sz w:val="29"/>
          <w:szCs w:val="29"/>
          <w:color w:val="auto"/>
          <w:vertAlign w:val="superscript"/>
        </w:rPr>
        <w:t>3</w:t>
      </w:r>
      <w:r>
        <w:rPr>
          <w:rFonts w:ascii="Arial" w:cs="Arial" w:eastAsia="Arial" w:hAnsi="Arial"/>
          <w:sz w:val="18"/>
          <w:szCs w:val="18"/>
          <w:color w:val="auto"/>
        </w:rPr>
        <w:t xml:space="preserve"> Premiums and fees = premiums and other considerations plus fees and other revenues.</w:t>
      </w:r>
    </w:p>
    <w:p>
      <w:pPr>
        <w:spacing w:after="0" w:line="1" w:lineRule="exact"/>
        <w:rPr>
          <w:rFonts w:ascii="Arial" w:cs="Arial" w:eastAsia="Arial" w:hAnsi="Arial"/>
          <w:sz w:val="30"/>
          <w:szCs w:val="30"/>
          <w:color w:val="auto"/>
          <w:vertAlign w:val="superscript"/>
        </w:rPr>
      </w:pPr>
    </w:p>
    <w:p>
      <w:pPr>
        <w:spacing w:after="0"/>
        <w:rPr>
          <w:rFonts w:ascii="Arial" w:cs="Arial" w:eastAsia="Arial" w:hAnsi="Arial"/>
          <w:sz w:val="30"/>
          <w:szCs w:val="30"/>
          <w:color w:val="auto"/>
          <w:vertAlign w:val="superscript"/>
        </w:rPr>
      </w:pPr>
      <w:r>
        <w:rPr>
          <w:rFonts w:ascii="Arial" w:cs="Arial" w:eastAsia="Arial" w:hAnsi="Arial"/>
          <w:sz w:val="29"/>
          <w:szCs w:val="29"/>
          <w:color w:val="auto"/>
          <w:vertAlign w:val="superscript"/>
        </w:rPr>
        <w:t>4</w:t>
      </w:r>
      <w:r>
        <w:rPr>
          <w:rFonts w:ascii="Arial" w:cs="Arial" w:eastAsia="Arial" w:hAnsi="Arial"/>
          <w:sz w:val="18"/>
          <w:szCs w:val="18"/>
          <w:color w:val="auto"/>
        </w:rPr>
        <w:t xml:space="preserve"> Includes only funds with ratings assigned by Morningstar; non-rated funds excluded (88 total, 82 are ranked).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361315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20" w:type="dxa"/>
            <w:vAlign w:val="bottom"/>
            <w:gridSpan w:val="2"/>
          </w:tcPr>
          <w:p>
            <w:pPr>
              <w:spacing w:after="0"/>
              <w:rPr>
                <w:sz w:val="20"/>
                <w:szCs w:val="20"/>
                <w:color w:val="auto"/>
              </w:rPr>
            </w:pPr>
            <w:r>
              <w:rPr>
                <w:rFonts w:ascii="Arial" w:cs="Arial" w:eastAsia="Arial" w:hAnsi="Arial"/>
                <w:sz w:val="18"/>
                <w:szCs w:val="18"/>
                <w:b w:val="1"/>
                <w:bCs w:val="1"/>
                <w:color w:val="auto"/>
              </w:rPr>
              <w:t>Segment Results</w:t>
            </w: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gridSpan w:val="2"/>
          </w:tcPr>
          <w:p>
            <w:pPr>
              <w:spacing w:after="0"/>
              <w:rPr>
                <w:sz w:val="20"/>
                <w:szCs w:val="20"/>
                <w:color w:val="auto"/>
              </w:rPr>
            </w:pPr>
            <w:r>
              <w:rPr>
                <w:rFonts w:ascii="Arial" w:cs="Arial" w:eastAsia="Arial" w:hAnsi="Arial"/>
                <w:sz w:val="18"/>
                <w:szCs w:val="18"/>
                <w:b w:val="1"/>
                <w:bCs w:val="1"/>
                <w:color w:val="auto"/>
              </w:rPr>
              <w:t>Retirement and Income Solutions - Fee</w:t>
            </w: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62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vMerge w:val="restart"/>
          </w:tcPr>
          <w:p>
            <w:pPr>
              <w:jc w:val="right"/>
              <w:ind w:right="440"/>
              <w:spacing w:after="0"/>
              <w:rPr>
                <w:sz w:val="20"/>
                <w:szCs w:val="20"/>
                <w:color w:val="auto"/>
              </w:rPr>
            </w:pPr>
            <w:r>
              <w:rPr>
                <w:rFonts w:ascii="Arial" w:cs="Arial" w:eastAsia="Arial" w:hAnsi="Arial"/>
                <w:sz w:val="18"/>
                <w:szCs w:val="18"/>
                <w:b w:val="1"/>
                <w:bCs w:val="1"/>
                <w:i w:val="1"/>
                <w:iCs w:val="1"/>
                <w:color w:val="auto"/>
                <w:w w:val="95"/>
              </w:rPr>
              <w:t>Quarter</w:t>
            </w:r>
          </w:p>
        </w:tc>
        <w:tc>
          <w:tcPr>
            <w:tcW w:w="10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500" w:type="dxa"/>
            <w:vAlign w:val="bottom"/>
            <w:gridSpan w:val="7"/>
            <w:vMerge w:val="restart"/>
          </w:tcPr>
          <w:p>
            <w:pPr>
              <w:jc w:val="right"/>
              <w:ind w:right="108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29"/>
        </w:trPr>
        <w:tc>
          <w:tcPr>
            <w:tcW w:w="362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vMerge w:val="continue"/>
          </w:tcPr>
          <w:p>
            <w:pPr>
              <w:spacing w:after="0"/>
              <w:rPr>
                <w:sz w:val="19"/>
                <w:szCs w:val="19"/>
                <w:color w:val="auto"/>
              </w:rPr>
            </w:pPr>
          </w:p>
        </w:tc>
        <w:tc>
          <w:tcPr>
            <w:tcW w:w="100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500" w:type="dxa"/>
            <w:vAlign w:val="bottom"/>
            <w:gridSpan w:val="7"/>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20" w:type="dxa"/>
            <w:vAlign w:val="bottom"/>
            <w:gridSpan w:val="2"/>
            <w:vMerge w:val="continue"/>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52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noted)</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2Q22</w:t>
            </w:r>
          </w:p>
        </w:tc>
        <w:tc>
          <w:tcPr>
            <w:tcW w:w="26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2Q21</w:t>
            </w:r>
          </w:p>
        </w:tc>
        <w:tc>
          <w:tcPr>
            <w:tcW w:w="26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ind w:left="140"/>
              <w:spacing w:after="0"/>
              <w:rPr>
                <w:sz w:val="20"/>
                <w:szCs w:val="20"/>
                <w:color w:val="auto"/>
              </w:rPr>
            </w:pPr>
            <w:r>
              <w:rPr>
                <w:rFonts w:ascii="Arial" w:cs="Arial" w:eastAsia="Arial" w:hAnsi="Arial"/>
                <w:sz w:val="18"/>
                <w:szCs w:val="18"/>
                <w:color w:val="auto"/>
                <w:w w:val="99"/>
              </w:rPr>
              <w:t>% Change</w:t>
            </w:r>
          </w:p>
        </w:tc>
        <w:tc>
          <w:tcPr>
            <w:tcW w:w="340" w:type="dxa"/>
            <w:vAlign w:val="bottom"/>
            <w:tcBorders>
              <w:bottom w:val="single" w:sz="8" w:color="CCEEFF"/>
              <w:right w:val="single" w:sz="8" w:color="auto"/>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2Q22</w:t>
            </w:r>
          </w:p>
        </w:tc>
        <w:tc>
          <w:tcPr>
            <w:tcW w:w="26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2Q21</w:t>
            </w:r>
          </w:p>
        </w:tc>
        <w:tc>
          <w:tcPr>
            <w:tcW w:w="28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2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3520" w:type="dxa"/>
            <w:vAlign w:val="bottom"/>
            <w:shd w:val="clear" w:color="auto" w:fill="CCEEFF"/>
          </w:tcPr>
          <w:p>
            <w:pPr>
              <w:spacing w:after="0" w:line="250" w:lineRule="exact"/>
              <w:rPr>
                <w:sz w:val="20"/>
                <w:szCs w:val="20"/>
                <w:color w:val="auto"/>
              </w:rPr>
            </w:pPr>
            <w:r>
              <w:rPr>
                <w:rFonts w:ascii="Arial" w:cs="Arial" w:eastAsia="Arial" w:hAnsi="Arial"/>
                <w:sz w:val="17"/>
                <w:szCs w:val="17"/>
                <w:color w:val="auto"/>
              </w:rPr>
              <w:t>Pre-tax operating earnings</w:t>
            </w:r>
            <w:r>
              <w:rPr>
                <w:rFonts w:ascii="Arial" w:cs="Arial" w:eastAsia="Arial" w:hAnsi="Arial"/>
                <w:sz w:val="28"/>
                <w:szCs w:val="28"/>
                <w:color w:val="auto"/>
                <w:vertAlign w:val="superscript"/>
              </w:rPr>
              <w:t>5</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111.1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119.8</w:t>
            </w:r>
          </w:p>
        </w:tc>
        <w:tc>
          <w:tcPr>
            <w:tcW w:w="13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395.1</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478.4</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57"/>
        </w:trPr>
        <w:tc>
          <w:tcPr>
            <w:tcW w:w="3620" w:type="dxa"/>
            <w:vAlign w:val="bottom"/>
            <w:gridSpan w:val="2"/>
          </w:tcPr>
          <w:p>
            <w:pPr>
              <w:spacing w:after="0" w:line="256" w:lineRule="exact"/>
              <w:rPr>
                <w:sz w:val="20"/>
                <w:szCs w:val="20"/>
                <w:color w:val="auto"/>
              </w:rPr>
            </w:pPr>
            <w:r>
              <w:rPr>
                <w:rFonts w:ascii="Arial" w:cs="Arial" w:eastAsia="Arial" w:hAnsi="Arial"/>
                <w:sz w:val="18"/>
                <w:szCs w:val="18"/>
                <w:color w:val="auto"/>
              </w:rPr>
              <w:t>Net revenue</w:t>
            </w:r>
            <w:r>
              <w:rPr>
                <w:rFonts w:ascii="Arial" w:cs="Arial" w:eastAsia="Arial" w:hAnsi="Arial"/>
                <w:sz w:val="29"/>
                <w:szCs w:val="29"/>
                <w:color w:val="auto"/>
                <w:vertAlign w:val="superscript"/>
              </w:rPr>
              <w:t>6</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503.6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527.0</w:t>
            </w:r>
          </w:p>
        </w:tc>
        <w:tc>
          <w:tcPr>
            <w:tcW w:w="13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8"/>
                <w:szCs w:val="18"/>
                <w:color w:val="auto"/>
              </w:rPr>
              <w:t>(4)%</w:t>
            </w:r>
          </w:p>
        </w:tc>
        <w:tc>
          <w:tcPr>
            <w:tcW w:w="3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2,033.8</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2,075.3</w:t>
            </w: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0"/>
        </w:trPr>
        <w:tc>
          <w:tcPr>
            <w:tcW w:w="3620" w:type="dxa"/>
            <w:vAlign w:val="bottom"/>
            <w:gridSpan w:val="2"/>
            <w:shd w:val="clear" w:color="auto" w:fill="CCEEFF"/>
          </w:tcPr>
          <w:p>
            <w:pPr>
              <w:spacing w:after="0" w:line="270" w:lineRule="exact"/>
              <w:rPr>
                <w:sz w:val="20"/>
                <w:szCs w:val="20"/>
                <w:color w:val="auto"/>
              </w:rPr>
            </w:pPr>
            <w:r>
              <w:rPr>
                <w:rFonts w:ascii="Arial" w:cs="Arial" w:eastAsia="Arial" w:hAnsi="Arial"/>
                <w:sz w:val="18"/>
                <w:szCs w:val="18"/>
                <w:color w:val="auto"/>
              </w:rPr>
              <w:t>Pre-tax return on net revenue</w:t>
            </w:r>
            <w:r>
              <w:rPr>
                <w:rFonts w:ascii="Arial" w:cs="Arial" w:eastAsia="Arial" w:hAnsi="Arial"/>
                <w:sz w:val="29"/>
                <w:szCs w:val="29"/>
                <w:color w:val="auto"/>
                <w:vertAlign w:val="superscript"/>
              </w:rPr>
              <w:t>7</w:t>
            </w:r>
          </w:p>
        </w:tc>
        <w:tc>
          <w:tcPr>
            <w:tcW w:w="22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22.1%</w:t>
            </w:r>
          </w:p>
        </w:tc>
        <w:tc>
          <w:tcPr>
            <w:tcW w:w="16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w:t>
            </w:r>
          </w:p>
        </w:tc>
        <w:tc>
          <w:tcPr>
            <w:tcW w:w="1000" w:type="dxa"/>
            <w:vAlign w:val="bottom"/>
            <w:shd w:val="clear" w:color="auto" w:fill="CCEEFF"/>
          </w:tcPr>
          <w:p>
            <w:pPr>
              <w:spacing w:after="0"/>
              <w:rPr>
                <w:sz w:val="23"/>
                <w:szCs w:val="23"/>
                <w:color w:val="auto"/>
              </w:rPr>
            </w:pPr>
          </w:p>
        </w:tc>
        <w:tc>
          <w:tcPr>
            <w:tcW w:w="340" w:type="dxa"/>
            <w:vAlign w:val="bottom"/>
            <w:tcBorders>
              <w:right w:val="single" w:sz="8" w:color="auto"/>
            </w:tcBorders>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19.4%</w:t>
            </w:r>
          </w:p>
        </w:tc>
        <w:tc>
          <w:tcPr>
            <w:tcW w:w="22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23.1%</w:t>
            </w:r>
          </w:p>
        </w:tc>
        <w:tc>
          <w:tcPr>
            <w:tcW w:w="9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$8.7 million primarily due to lower net revenue and higher DAC amortization expense.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decreased $23.4 million primarily due to lower fees as a result of unfavorable equity and fixed income markets.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Retirement and Income Solutions - Spread</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6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vMerge w:val="restart"/>
          </w:tcPr>
          <w:p>
            <w:pPr>
              <w:jc w:val="right"/>
              <w:ind w:right="460"/>
              <w:spacing w:after="0"/>
              <w:rPr>
                <w:sz w:val="20"/>
                <w:szCs w:val="20"/>
                <w:color w:val="auto"/>
              </w:rPr>
            </w:pPr>
            <w:r>
              <w:rPr>
                <w:rFonts w:ascii="Arial" w:cs="Arial" w:eastAsia="Arial" w:hAnsi="Arial"/>
                <w:sz w:val="18"/>
                <w:szCs w:val="18"/>
                <w:b w:val="1"/>
                <w:bCs w:val="1"/>
                <w:i w:val="1"/>
                <w:iCs w:val="1"/>
                <w:color w:val="auto"/>
                <w:w w:val="95"/>
              </w:rPr>
              <w:t>Quarter</w:t>
            </w: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40" w:type="dxa"/>
            <w:vAlign w:val="bottom"/>
            <w:gridSpan w:val="7"/>
            <w:vMerge w:val="restart"/>
          </w:tcPr>
          <w:p>
            <w:pPr>
              <w:jc w:val="right"/>
              <w:ind w:right="10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29"/>
        </w:trPr>
        <w:tc>
          <w:tcPr>
            <w:tcW w:w="36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vMerge w:val="continue"/>
          </w:tcPr>
          <w:p>
            <w:pPr>
              <w:spacing w:after="0"/>
              <w:rPr>
                <w:sz w:val="19"/>
                <w:szCs w:val="19"/>
                <w:color w:val="auto"/>
              </w:rPr>
            </w:pPr>
          </w:p>
        </w:tc>
        <w:tc>
          <w:tcPr>
            <w:tcW w:w="980" w:type="dxa"/>
            <w:vAlign w:val="bottom"/>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40" w:type="dxa"/>
            <w:vAlign w:val="bottom"/>
            <w:gridSpan w:val="7"/>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60" w:type="dxa"/>
            <w:vAlign w:val="bottom"/>
            <w:gridSpan w:val="2"/>
            <w:vMerge w:val="continue"/>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noted)</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2Q22</w:t>
            </w:r>
          </w:p>
        </w:tc>
        <w:tc>
          <w:tcPr>
            <w:tcW w:w="20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6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360" w:type="dxa"/>
            <w:vAlign w:val="bottom"/>
            <w:tcBorders>
              <w:bottom w:val="single" w:sz="8" w:color="CCEEFF"/>
              <w:right w:val="single" w:sz="8" w:color="auto"/>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2Q22</w:t>
            </w:r>
          </w:p>
        </w:tc>
        <w:tc>
          <w:tcPr>
            <w:tcW w:w="2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8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144.8</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160.4</w:t>
            </w: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360" w:type="dxa"/>
            <w:vAlign w:val="bottom"/>
            <w:tcBorders>
              <w:right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751.7</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637.7</w:t>
            </w: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3660" w:type="dxa"/>
            <w:vAlign w:val="bottom"/>
            <w:gridSpan w:val="2"/>
          </w:tcPr>
          <w:p>
            <w:pPr>
              <w:spacing w:after="0"/>
              <w:rPr>
                <w:sz w:val="20"/>
                <w:szCs w:val="20"/>
                <w:color w:val="auto"/>
              </w:rPr>
            </w:pPr>
            <w:r>
              <w:rPr>
                <w:rFonts w:ascii="Arial" w:cs="Arial" w:eastAsia="Arial" w:hAnsi="Arial"/>
                <w:sz w:val="18"/>
                <w:szCs w:val="18"/>
                <w:color w:val="auto"/>
              </w:rPr>
              <w:t>Net revenue</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162.5</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209.9</w:t>
            </w:r>
          </w:p>
        </w:tc>
        <w:tc>
          <w:tcPr>
            <w:tcW w:w="1340" w:type="dxa"/>
            <w:vAlign w:val="bottom"/>
            <w:tcBorders>
              <w:right w:val="single" w:sz="8" w:color="auto"/>
            </w:tcBorders>
            <w:gridSpan w:val="2"/>
          </w:tcPr>
          <w:p>
            <w:pPr>
              <w:jc w:val="right"/>
              <w:ind w:right="50"/>
              <w:spacing w:after="0"/>
              <w:rPr>
                <w:sz w:val="20"/>
                <w:szCs w:val="20"/>
                <w:color w:val="auto"/>
              </w:rPr>
            </w:pPr>
            <w:r>
              <w:rPr>
                <w:rFonts w:ascii="Arial" w:cs="Arial" w:eastAsia="Arial" w:hAnsi="Arial"/>
                <w:sz w:val="18"/>
                <w:szCs w:val="18"/>
                <w:color w:val="auto"/>
              </w:rPr>
              <w:t>(23)%</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897.8</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802.4</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30"/>
        </w:trPr>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Pre-tax return on net revenue</w:t>
            </w:r>
          </w:p>
        </w:tc>
        <w:tc>
          <w:tcPr>
            <w:tcW w:w="20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89.1%</w:t>
            </w: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76.4%</w:t>
            </w:r>
          </w:p>
        </w:tc>
        <w:tc>
          <w:tcPr>
            <w:tcW w:w="980" w:type="dxa"/>
            <w:vAlign w:val="bottom"/>
            <w:shd w:val="clear" w:color="auto" w:fill="CCEEFF"/>
          </w:tcPr>
          <w:p>
            <w:pPr>
              <w:spacing w:after="0"/>
              <w:rPr>
                <w:sz w:val="19"/>
                <w:szCs w:val="19"/>
                <w:color w:val="auto"/>
              </w:rPr>
            </w:pPr>
          </w:p>
        </w:tc>
        <w:tc>
          <w:tcPr>
            <w:tcW w:w="360" w:type="dxa"/>
            <w:vAlign w:val="bottom"/>
            <w:tcBorders>
              <w:right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83.7%</w:t>
            </w:r>
          </w:p>
        </w:tc>
        <w:tc>
          <w:tcPr>
            <w:tcW w:w="2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79.5%</w:t>
            </w:r>
          </w:p>
        </w:tc>
        <w:tc>
          <w:tcPr>
            <w:tcW w:w="9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b w:val="1"/>
          <w:bCs w:val="1"/>
          <w:color w:val="auto"/>
        </w:rPr>
        <w:t xml:space="preserve">Pre-tax operating earnings </w:t>
      </w:r>
      <w:r>
        <w:rPr>
          <w:rFonts w:ascii="Arial" w:cs="Arial" w:eastAsia="Arial" w:hAnsi="Arial"/>
          <w:sz w:val="17"/>
          <w:szCs w:val="17"/>
          <w:color w:val="auto"/>
        </w:rPr>
        <w:t>decreased $15.6 million primarily due to lower net revenue and impacts from the reinsurance transaction.</w:t>
      </w:r>
    </w:p>
    <w:p>
      <w:pPr>
        <w:spacing w:after="0" w:line="236" w:lineRule="exact"/>
        <w:rPr>
          <w:rFonts w:ascii="Arial" w:cs="Arial" w:eastAsia="Arial" w:hAnsi="Arial"/>
          <w:sz w:val="17"/>
          <w:szCs w:val="17"/>
          <w:color w:val="auto"/>
        </w:rPr>
      </w:pPr>
    </w:p>
    <w:p>
      <w:pPr>
        <w:ind w:left="660" w:right="460" w:hanging="328"/>
        <w:spacing w:after="0" w:line="282"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decreased $47.4 million as growth in the business and higher net investment income were more than offset by impacts from the</w:t>
      </w:r>
      <w:r>
        <w:rPr>
          <w:rFonts w:ascii="Arial" w:cs="Arial" w:eastAsia="Arial" w:hAnsi="Arial"/>
          <w:sz w:val="18"/>
          <w:szCs w:val="18"/>
          <w:b w:val="1"/>
          <w:bCs w:val="1"/>
          <w:color w:val="auto"/>
        </w:rPr>
        <w:t xml:space="preserve"> </w:t>
      </w:r>
      <w:r>
        <w:rPr>
          <w:rFonts w:ascii="Arial" w:cs="Arial" w:eastAsia="Arial" w:hAnsi="Arial"/>
          <w:sz w:val="18"/>
          <w:szCs w:val="18"/>
          <w:color w:val="auto"/>
        </w:rPr>
        <w:t>reinsurance transaction and lower experience gains.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178308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6" w:lineRule="exact"/>
        <w:rPr>
          <w:sz w:val="20"/>
          <w:szCs w:val="20"/>
          <w:color w:val="auto"/>
        </w:rPr>
      </w:pPr>
    </w:p>
    <w:p>
      <w:pPr>
        <w:ind w:left="120" w:hanging="112"/>
        <w:spacing w:after="0"/>
        <w:tabs>
          <w:tab w:leader="none" w:pos="120" w:val="left"/>
        </w:tabs>
        <w:numPr>
          <w:ilvl w:val="0"/>
          <w:numId w:val="12"/>
        </w:numPr>
        <w:rPr>
          <w:rFonts w:ascii="Arial" w:cs="Arial" w:eastAsia="Arial" w:hAnsi="Arial"/>
          <w:sz w:val="30"/>
          <w:szCs w:val="30"/>
          <w:color w:val="auto"/>
          <w:vertAlign w:val="superscript"/>
        </w:rPr>
      </w:pPr>
      <w:r>
        <w:rPr>
          <w:rFonts w:ascii="Arial" w:cs="Arial" w:eastAsia="Arial" w:hAnsi="Arial"/>
          <w:sz w:val="18"/>
          <w:szCs w:val="18"/>
          <w:color w:val="auto"/>
        </w:rPr>
        <w:t>Pre-tax operating earnings = operating earnings before income taxes and after noncontrolling interest.</w:t>
      </w:r>
    </w:p>
    <w:p>
      <w:pPr>
        <w:ind w:left="120" w:hanging="112"/>
        <w:spacing w:after="0" w:line="184" w:lineRule="auto"/>
        <w:tabs>
          <w:tab w:leader="none" w:pos="120" w:val="left"/>
        </w:tabs>
        <w:numPr>
          <w:ilvl w:val="0"/>
          <w:numId w:val="13"/>
        </w:numPr>
        <w:rPr>
          <w:rFonts w:ascii="Arial" w:cs="Arial" w:eastAsia="Arial" w:hAnsi="Arial"/>
          <w:sz w:val="29"/>
          <w:szCs w:val="29"/>
          <w:color w:val="auto"/>
          <w:vertAlign w:val="superscript"/>
        </w:rPr>
      </w:pPr>
      <w:r>
        <w:rPr>
          <w:rFonts w:ascii="Arial" w:cs="Arial" w:eastAsia="Arial" w:hAnsi="Arial"/>
          <w:sz w:val="17"/>
          <w:szCs w:val="17"/>
          <w:color w:val="auto"/>
        </w:rPr>
        <w:t>Net revenue = operating revenues less benefits, claims and settlement expenses less dividends to policyholders.</w:t>
      </w:r>
    </w:p>
    <w:p>
      <w:pPr>
        <w:spacing w:after="0" w:line="42" w:lineRule="exact"/>
        <w:rPr>
          <w:rFonts w:ascii="Arial" w:cs="Arial" w:eastAsia="Arial" w:hAnsi="Arial"/>
          <w:sz w:val="29"/>
          <w:szCs w:val="29"/>
          <w:color w:val="auto"/>
          <w:vertAlign w:val="superscript"/>
        </w:rPr>
      </w:pPr>
    </w:p>
    <w:p>
      <w:pPr>
        <w:spacing w:after="0"/>
        <w:rPr>
          <w:rFonts w:ascii="Arial" w:cs="Arial" w:eastAsia="Arial" w:hAnsi="Arial"/>
          <w:sz w:val="29"/>
          <w:szCs w:val="29"/>
          <w:color w:val="auto"/>
          <w:vertAlign w:val="superscript"/>
        </w:rPr>
      </w:pPr>
      <w:r>
        <w:rPr>
          <w:rFonts w:ascii="Arial" w:cs="Arial" w:eastAsia="Arial" w:hAnsi="Arial"/>
          <w:sz w:val="29"/>
          <w:szCs w:val="29"/>
          <w:color w:val="auto"/>
          <w:vertAlign w:val="superscript"/>
        </w:rPr>
        <w:t>7</w:t>
      </w:r>
      <w:r>
        <w:rPr>
          <w:rFonts w:ascii="Arial" w:cs="Arial" w:eastAsia="Arial" w:hAnsi="Arial"/>
          <w:sz w:val="18"/>
          <w:szCs w:val="18"/>
          <w:color w:val="auto"/>
        </w:rPr>
        <w:t xml:space="preserve"> Pre-tax return on net revenue = pre-tax operating earnings divided by net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361315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5797550</wp:posOffset>
            </wp:positionH>
            <wp:positionV relativeFrom="page">
              <wp:posOffset>586105</wp:posOffset>
            </wp:positionV>
            <wp:extent cx="1543050" cy="4883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Principal Global Investors</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6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vMerge w:val="restart"/>
          </w:tcPr>
          <w:p>
            <w:pPr>
              <w:jc w:val="right"/>
              <w:ind w:right="460"/>
              <w:spacing w:after="0"/>
              <w:rPr>
                <w:sz w:val="20"/>
                <w:szCs w:val="20"/>
                <w:color w:val="auto"/>
              </w:rPr>
            </w:pPr>
            <w:r>
              <w:rPr>
                <w:rFonts w:ascii="Arial" w:cs="Arial" w:eastAsia="Arial" w:hAnsi="Arial"/>
                <w:sz w:val="18"/>
                <w:szCs w:val="18"/>
                <w:b w:val="1"/>
                <w:bCs w:val="1"/>
                <w:i w:val="1"/>
                <w:iCs w:val="1"/>
                <w:color w:val="auto"/>
                <w:w w:val="95"/>
              </w:rPr>
              <w:t>Quarter</w:t>
            </w: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40" w:type="dxa"/>
            <w:vAlign w:val="bottom"/>
            <w:gridSpan w:val="7"/>
            <w:vMerge w:val="restart"/>
          </w:tcPr>
          <w:p>
            <w:pPr>
              <w:jc w:val="right"/>
              <w:ind w:right="10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29"/>
        </w:trPr>
        <w:tc>
          <w:tcPr>
            <w:tcW w:w="36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vMerge w:val="continue"/>
          </w:tcPr>
          <w:p>
            <w:pPr>
              <w:spacing w:after="0"/>
              <w:rPr>
                <w:sz w:val="19"/>
                <w:szCs w:val="19"/>
                <w:color w:val="auto"/>
              </w:rPr>
            </w:pPr>
          </w:p>
        </w:tc>
        <w:tc>
          <w:tcPr>
            <w:tcW w:w="980" w:type="dxa"/>
            <w:vAlign w:val="bottom"/>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40" w:type="dxa"/>
            <w:vAlign w:val="bottom"/>
            <w:gridSpan w:val="7"/>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60" w:type="dxa"/>
            <w:vAlign w:val="bottom"/>
            <w:gridSpan w:val="2"/>
            <w:vMerge w:val="continue"/>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noted)</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2Q22</w:t>
            </w:r>
          </w:p>
        </w:tc>
        <w:tc>
          <w:tcPr>
            <w:tcW w:w="20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6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 Change</w:t>
            </w:r>
          </w:p>
        </w:tc>
        <w:tc>
          <w:tcPr>
            <w:tcW w:w="360" w:type="dxa"/>
            <w:vAlign w:val="bottom"/>
            <w:tcBorders>
              <w:bottom w:val="single" w:sz="8" w:color="CCEEFF"/>
              <w:right w:val="single" w:sz="8" w:color="auto"/>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2Q22</w:t>
            </w:r>
          </w:p>
        </w:tc>
        <w:tc>
          <w:tcPr>
            <w:tcW w:w="2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8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180.0</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26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706.3</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618.3</w:t>
            </w: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57"/>
        </w:trPr>
        <w:tc>
          <w:tcPr>
            <w:tcW w:w="3660" w:type="dxa"/>
            <w:vAlign w:val="bottom"/>
            <w:gridSpan w:val="2"/>
          </w:tcPr>
          <w:p>
            <w:pPr>
              <w:spacing w:after="0" w:line="256" w:lineRule="exact"/>
              <w:rPr>
                <w:sz w:val="20"/>
                <w:szCs w:val="20"/>
                <w:color w:val="auto"/>
              </w:rPr>
            </w:pPr>
            <w:r>
              <w:rPr>
                <w:rFonts w:ascii="Arial" w:cs="Arial" w:eastAsia="Arial" w:hAnsi="Arial"/>
                <w:sz w:val="18"/>
                <w:szCs w:val="18"/>
                <w:color w:val="auto"/>
                <w:w w:val="91"/>
              </w:rPr>
              <w:t>Operating revenues less pass-through expenses</w:t>
            </w:r>
            <w:r>
              <w:rPr>
                <w:rFonts w:ascii="Arial" w:cs="Arial" w:eastAsia="Arial" w:hAnsi="Arial"/>
                <w:sz w:val="29"/>
                <w:szCs w:val="29"/>
                <w:color w:val="auto"/>
                <w:w w:val="91"/>
                <w:vertAlign w:val="superscript"/>
              </w:rPr>
              <w:t>8</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428.7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414.1</w:t>
            </w:r>
          </w:p>
        </w:tc>
        <w:tc>
          <w:tcPr>
            <w:tcW w:w="13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8"/>
                <w:szCs w:val="18"/>
                <w:color w:val="auto"/>
              </w:rPr>
              <w:t>4%</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1,703.4</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1,509.7</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2"/>
        </w:trPr>
        <w:tc>
          <w:tcPr>
            <w:tcW w:w="36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5"/>
              </w:rPr>
              <w:t>Pre-tax return on operating revenues less pass-</w:t>
            </w: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36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through expenses</w:t>
            </w: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42.3%</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44.9%</w:t>
            </w:r>
          </w:p>
        </w:tc>
        <w:tc>
          <w:tcPr>
            <w:tcW w:w="980" w:type="dxa"/>
            <w:vAlign w:val="bottom"/>
            <w:shd w:val="clear" w:color="auto" w:fill="CCEEFF"/>
          </w:tcPr>
          <w:p>
            <w:pPr>
              <w:spacing w:after="0"/>
              <w:rPr>
                <w:sz w:val="20"/>
                <w:szCs w:val="20"/>
                <w:color w:val="auto"/>
              </w:rPr>
            </w:pPr>
          </w:p>
        </w:tc>
        <w:tc>
          <w:tcPr>
            <w:tcW w:w="360" w:type="dxa"/>
            <w:vAlign w:val="bottom"/>
            <w:tcBorders>
              <w:right w:val="single" w:sz="8" w:color="auto"/>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41.8%</w:t>
            </w: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41.4%</w:t>
            </w:r>
          </w:p>
        </w:tc>
        <w:tc>
          <w:tcPr>
            <w:tcW w:w="9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60" w:type="dxa"/>
            <w:vAlign w:val="bottom"/>
            <w:gridSpan w:val="2"/>
          </w:tcPr>
          <w:p>
            <w:pPr>
              <w:spacing w:after="0"/>
              <w:rPr>
                <w:sz w:val="20"/>
                <w:szCs w:val="20"/>
                <w:color w:val="auto"/>
              </w:rPr>
            </w:pPr>
            <w:r>
              <w:rPr>
                <w:rFonts w:ascii="Arial" w:cs="Arial" w:eastAsia="Arial" w:hAnsi="Arial"/>
                <w:sz w:val="18"/>
                <w:szCs w:val="18"/>
                <w:color w:val="auto"/>
                <w:w w:val="99"/>
              </w:rPr>
              <w:t xml:space="preserve">Total PGI assets under management </w:t>
            </w:r>
            <w:r>
              <w:rPr>
                <w:rFonts w:ascii="Arial" w:cs="Arial" w:eastAsia="Arial" w:hAnsi="Arial"/>
                <w:sz w:val="18"/>
                <w:szCs w:val="18"/>
                <w:i w:val="1"/>
                <w:iCs w:val="1"/>
                <w:color w:val="auto"/>
                <w:w w:val="99"/>
              </w:rPr>
              <w:t>(billions)</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469.8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532.3</w:t>
            </w:r>
          </w:p>
        </w:tc>
        <w:tc>
          <w:tcPr>
            <w:tcW w:w="13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8"/>
                <w:szCs w:val="18"/>
                <w:color w:val="auto"/>
              </w:rPr>
              <w:t>(12)%</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3"/>
              </w:rPr>
              <w:t xml:space="preserve">PGI sourced assets under management </w:t>
            </w:r>
            <w:r>
              <w:rPr>
                <w:rFonts w:ascii="Arial" w:cs="Arial" w:eastAsia="Arial" w:hAnsi="Arial"/>
                <w:sz w:val="18"/>
                <w:szCs w:val="18"/>
                <w:i w:val="1"/>
                <w:iCs w:val="1"/>
                <w:color w:val="auto"/>
                <w:w w:val="93"/>
              </w:rPr>
              <w:t>(billions)</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243.7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263.1</w:t>
            </w:r>
          </w:p>
        </w:tc>
        <w:tc>
          <w:tcPr>
            <w:tcW w:w="13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right="460" w:hanging="328"/>
        <w:spacing w:after="0" w:line="282"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$4.4 million as higher operating revenues less pass-through expenses were offset by higher operating</w:t>
      </w:r>
      <w:r>
        <w:rPr>
          <w:rFonts w:ascii="Arial" w:cs="Arial" w:eastAsia="Arial" w:hAnsi="Arial"/>
          <w:sz w:val="18"/>
          <w:szCs w:val="18"/>
          <w:b w:val="1"/>
          <w:bCs w:val="1"/>
          <w:color w:val="auto"/>
        </w:rPr>
        <w:t xml:space="preserve"> </w:t>
      </w:r>
      <w:r>
        <w:rPr>
          <w:rFonts w:ascii="Arial" w:cs="Arial" w:eastAsia="Arial" w:hAnsi="Arial"/>
          <w:sz w:val="18"/>
          <w:szCs w:val="18"/>
          <w:color w:val="auto"/>
        </w:rPr>
        <w:t>expenses.</w:t>
      </w:r>
    </w:p>
    <w:p>
      <w:pPr>
        <w:spacing w:after="0" w:line="161" w:lineRule="exact"/>
        <w:rPr>
          <w:rFonts w:ascii="Arial" w:cs="Arial" w:eastAsia="Arial" w:hAnsi="Arial"/>
          <w:sz w:val="18"/>
          <w:szCs w:val="18"/>
          <w:color w:val="auto"/>
        </w:rPr>
      </w:pPr>
    </w:p>
    <w:p>
      <w:pPr>
        <w:ind w:left="660" w:right="240" w:hanging="328"/>
        <w:spacing w:after="0" w:line="282"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 xml:space="preserve">Operating revenues less pass-through expenses </w:t>
      </w:r>
      <w:r>
        <w:rPr>
          <w:rFonts w:ascii="Arial" w:cs="Arial" w:eastAsia="Arial" w:hAnsi="Arial"/>
          <w:sz w:val="18"/>
          <w:szCs w:val="18"/>
          <w:color w:val="auto"/>
        </w:rPr>
        <w:t>increased $14.6 million due to higher performance fees partially offset by lower management</w:t>
      </w:r>
      <w:r>
        <w:rPr>
          <w:rFonts w:ascii="Arial" w:cs="Arial" w:eastAsia="Arial" w:hAnsi="Arial"/>
          <w:sz w:val="18"/>
          <w:szCs w:val="18"/>
          <w:b w:val="1"/>
          <w:bCs w:val="1"/>
          <w:color w:val="auto"/>
        </w:rPr>
        <w:t xml:space="preserve"> </w:t>
      </w:r>
      <w:r>
        <w:rPr>
          <w:rFonts w:ascii="Arial" w:cs="Arial" w:eastAsia="Arial" w:hAnsi="Arial"/>
          <w:sz w:val="18"/>
          <w:szCs w:val="18"/>
          <w:color w:val="auto"/>
        </w:rPr>
        <w:t>fees from unfavorable equity and fixed income market performance.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Principal International</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6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vMerge w:val="restart"/>
          </w:tcPr>
          <w:p>
            <w:pPr>
              <w:jc w:val="right"/>
              <w:ind w:right="460"/>
              <w:spacing w:after="0"/>
              <w:rPr>
                <w:sz w:val="20"/>
                <w:szCs w:val="20"/>
                <w:color w:val="auto"/>
              </w:rPr>
            </w:pPr>
            <w:r>
              <w:rPr>
                <w:rFonts w:ascii="Arial" w:cs="Arial" w:eastAsia="Arial" w:hAnsi="Arial"/>
                <w:sz w:val="18"/>
                <w:szCs w:val="18"/>
                <w:b w:val="1"/>
                <w:bCs w:val="1"/>
                <w:i w:val="1"/>
                <w:iCs w:val="1"/>
                <w:color w:val="auto"/>
                <w:w w:val="95"/>
              </w:rPr>
              <w:t>Quarter</w:t>
            </w: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40" w:type="dxa"/>
            <w:vAlign w:val="bottom"/>
            <w:gridSpan w:val="7"/>
            <w:vMerge w:val="restart"/>
          </w:tcPr>
          <w:p>
            <w:pPr>
              <w:jc w:val="right"/>
              <w:ind w:right="10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29"/>
        </w:trPr>
        <w:tc>
          <w:tcPr>
            <w:tcW w:w="36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vMerge w:val="continue"/>
          </w:tcPr>
          <w:p>
            <w:pPr>
              <w:spacing w:after="0"/>
              <w:rPr>
                <w:sz w:val="19"/>
                <w:szCs w:val="19"/>
                <w:color w:val="auto"/>
              </w:rPr>
            </w:pPr>
          </w:p>
        </w:tc>
        <w:tc>
          <w:tcPr>
            <w:tcW w:w="980" w:type="dxa"/>
            <w:vAlign w:val="bottom"/>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40" w:type="dxa"/>
            <w:vAlign w:val="bottom"/>
            <w:gridSpan w:val="7"/>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60" w:type="dxa"/>
            <w:vAlign w:val="bottom"/>
            <w:gridSpan w:val="2"/>
            <w:vMerge w:val="continue"/>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noted)</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2Q22</w:t>
            </w:r>
          </w:p>
        </w:tc>
        <w:tc>
          <w:tcPr>
            <w:tcW w:w="20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6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w w:val="99"/>
              </w:rPr>
              <w:t>% Change</w:t>
            </w:r>
          </w:p>
        </w:tc>
        <w:tc>
          <w:tcPr>
            <w:tcW w:w="360" w:type="dxa"/>
            <w:vAlign w:val="bottom"/>
            <w:tcBorders>
              <w:bottom w:val="single" w:sz="8" w:color="CCEEFF"/>
              <w:right w:val="single" w:sz="8" w:color="auto"/>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2Q22</w:t>
            </w:r>
          </w:p>
        </w:tc>
        <w:tc>
          <w:tcPr>
            <w:tcW w:w="2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8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92.1</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26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93%</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336.4</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241.1</w:t>
            </w: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56"/>
        </w:trPr>
        <w:tc>
          <w:tcPr>
            <w:tcW w:w="3660" w:type="dxa"/>
            <w:vAlign w:val="bottom"/>
            <w:gridSpan w:val="2"/>
          </w:tcPr>
          <w:p>
            <w:pPr>
              <w:spacing w:after="0" w:line="256" w:lineRule="exact"/>
              <w:rPr>
                <w:sz w:val="20"/>
                <w:szCs w:val="20"/>
                <w:color w:val="auto"/>
              </w:rPr>
            </w:pPr>
            <w:r>
              <w:rPr>
                <w:rFonts w:ascii="Arial" w:cs="Arial" w:eastAsia="Arial" w:hAnsi="Arial"/>
                <w:sz w:val="18"/>
                <w:szCs w:val="18"/>
                <w:color w:val="auto"/>
              </w:rPr>
              <w:t>Combined net revenue (at PFG share)</w:t>
            </w:r>
            <w:r>
              <w:rPr>
                <w:rFonts w:ascii="Arial" w:cs="Arial" w:eastAsia="Arial" w:hAnsi="Arial"/>
                <w:sz w:val="29"/>
                <w:szCs w:val="29"/>
                <w:color w:val="auto"/>
                <w:vertAlign w:val="superscript"/>
              </w:rPr>
              <w:t>9</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246.0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214.9</w:t>
            </w:r>
          </w:p>
        </w:tc>
        <w:tc>
          <w:tcPr>
            <w:tcW w:w="13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8"/>
                <w:szCs w:val="18"/>
                <w:color w:val="auto"/>
              </w:rPr>
              <w:t>14%</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987.6</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858.9</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2"/>
        </w:trPr>
        <w:tc>
          <w:tcPr>
            <w:tcW w:w="36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4"/>
              </w:rPr>
              <w:t>Pre-tax return on combined net revenue (at PFG</w:t>
            </w: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36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share)</w:t>
            </w: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37.4%</w:t>
            </w:r>
          </w:p>
        </w:tc>
        <w:tc>
          <w:tcPr>
            <w:tcW w:w="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22.2%</w:t>
            </w:r>
          </w:p>
        </w:tc>
        <w:tc>
          <w:tcPr>
            <w:tcW w:w="980" w:type="dxa"/>
            <w:vAlign w:val="bottom"/>
            <w:shd w:val="clear" w:color="auto" w:fill="CCEEFF"/>
          </w:tcPr>
          <w:p>
            <w:pPr>
              <w:spacing w:after="0"/>
              <w:rPr>
                <w:sz w:val="20"/>
                <w:szCs w:val="20"/>
                <w:color w:val="auto"/>
              </w:rPr>
            </w:pPr>
          </w:p>
        </w:tc>
        <w:tc>
          <w:tcPr>
            <w:tcW w:w="360" w:type="dxa"/>
            <w:vAlign w:val="bottom"/>
            <w:tcBorders>
              <w:right w:val="single" w:sz="8" w:color="auto"/>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34.1%</w:t>
            </w: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28.1%</w:t>
            </w:r>
          </w:p>
        </w:tc>
        <w:tc>
          <w:tcPr>
            <w:tcW w:w="9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660" w:type="dxa"/>
            <w:vAlign w:val="bottom"/>
            <w:gridSpan w:val="2"/>
          </w:tcPr>
          <w:p>
            <w:pPr>
              <w:spacing w:after="0"/>
              <w:rPr>
                <w:sz w:val="20"/>
                <w:szCs w:val="20"/>
                <w:color w:val="auto"/>
              </w:rPr>
            </w:pPr>
            <w:r>
              <w:rPr>
                <w:rFonts w:ascii="Arial" w:cs="Arial" w:eastAsia="Arial" w:hAnsi="Arial"/>
                <w:sz w:val="18"/>
                <w:szCs w:val="18"/>
                <w:color w:val="auto"/>
              </w:rPr>
              <w:t xml:space="preserve">Assets under management </w:t>
            </w:r>
            <w:r>
              <w:rPr>
                <w:rFonts w:ascii="Arial" w:cs="Arial" w:eastAsia="Arial" w:hAnsi="Arial"/>
                <w:sz w:val="18"/>
                <w:szCs w:val="18"/>
                <w:i w:val="1"/>
                <w:iCs w:val="1"/>
                <w:color w:val="auto"/>
              </w:rPr>
              <w:t>(billions)</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148.9</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167.1</w:t>
            </w:r>
          </w:p>
        </w:tc>
        <w:tc>
          <w:tcPr>
            <w:tcW w:w="13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$44.4 million primarily due to higher combined net revenue.</w:t>
      </w:r>
    </w:p>
    <w:p>
      <w:pPr>
        <w:spacing w:after="0" w:line="225" w:lineRule="exact"/>
        <w:rPr>
          <w:rFonts w:ascii="Arial" w:cs="Arial" w:eastAsia="Arial" w:hAnsi="Arial"/>
          <w:sz w:val="18"/>
          <w:szCs w:val="18"/>
          <w:color w:val="auto"/>
        </w:rPr>
      </w:pPr>
    </w:p>
    <w:p>
      <w:pPr>
        <w:ind w:left="660" w:right="60" w:hanging="328"/>
        <w:spacing w:after="0" w:line="282"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Combined net revenue (at PFG share) </w:t>
      </w:r>
      <w:r>
        <w:rPr>
          <w:rFonts w:ascii="Arial" w:cs="Arial" w:eastAsia="Arial" w:hAnsi="Arial"/>
          <w:sz w:val="18"/>
          <w:szCs w:val="18"/>
          <w:color w:val="auto"/>
        </w:rPr>
        <w:t>increased $31.1 million as favorable impacts from inflation and more favorable encaje performance were</w:t>
      </w:r>
      <w:r>
        <w:rPr>
          <w:rFonts w:ascii="Arial" w:cs="Arial" w:eastAsia="Arial" w:hAnsi="Arial"/>
          <w:sz w:val="18"/>
          <w:szCs w:val="18"/>
          <w:b w:val="1"/>
          <w:bCs w:val="1"/>
          <w:color w:val="auto"/>
        </w:rPr>
        <w:t xml:space="preserve"> </w:t>
      </w:r>
      <w:r>
        <w:rPr>
          <w:rFonts w:ascii="Arial" w:cs="Arial" w:eastAsia="Arial" w:hAnsi="Arial"/>
          <w:sz w:val="18"/>
          <w:szCs w:val="18"/>
          <w:color w:val="auto"/>
        </w:rPr>
        <w:t>partially offset by headwinds from foreign currency translation and the regulatory fee reduction in Mexico.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178308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321" w:lineRule="exact"/>
        <w:rPr>
          <w:sz w:val="20"/>
          <w:szCs w:val="20"/>
          <w:color w:val="auto"/>
        </w:rPr>
      </w:pPr>
    </w:p>
    <w:p>
      <w:pPr>
        <w:jc w:val="both"/>
        <w:ind w:right="260" w:firstLine="8"/>
        <w:spacing w:after="0" w:line="234" w:lineRule="auto"/>
        <w:tabs>
          <w:tab w:leader="none" w:pos="120" w:val="left"/>
        </w:tabs>
        <w:numPr>
          <w:ilvl w:val="0"/>
          <w:numId w:val="16"/>
        </w:numPr>
        <w:rPr>
          <w:rFonts w:ascii="Arial" w:cs="Arial" w:eastAsia="Arial" w:hAnsi="Arial"/>
          <w:sz w:val="27"/>
          <w:szCs w:val="27"/>
          <w:color w:val="auto"/>
          <w:vertAlign w:val="superscript"/>
        </w:rPr>
      </w:pPr>
      <w:r>
        <w:rPr>
          <w:rFonts w:ascii="Arial" w:cs="Arial" w:eastAsia="Arial" w:hAnsi="Arial"/>
          <w:sz w:val="16"/>
          <w:szCs w:val="16"/>
          <w:color w:val="auto"/>
        </w:rPr>
        <w:t>The company has provided reconciliations of the non-GAAP measures to the most directly comparable U.S. GAAP measures at the end of the release. The company has determined this measure is more representative of underlying operating revenues growth for PGI as it removes commissions and other expenses that are collected through fee revenue and passed through expenses with no impact to pre-tax operating earnings.</w:t>
      </w:r>
    </w:p>
    <w:p>
      <w:pPr>
        <w:spacing w:after="0" w:line="27" w:lineRule="exact"/>
        <w:rPr>
          <w:sz w:val="20"/>
          <w:szCs w:val="20"/>
          <w:color w:val="auto"/>
        </w:rPr>
      </w:pPr>
    </w:p>
    <w:p>
      <w:pPr>
        <w:jc w:val="both"/>
        <w:ind w:right="280" w:firstLine="8"/>
        <w:spacing w:after="0" w:line="234" w:lineRule="auto"/>
        <w:tabs>
          <w:tab w:leader="none" w:pos="120" w:val="left"/>
        </w:tabs>
        <w:numPr>
          <w:ilvl w:val="0"/>
          <w:numId w:val="17"/>
        </w:numPr>
        <w:rPr>
          <w:rFonts w:ascii="Arial" w:cs="Arial" w:eastAsia="Arial" w:hAnsi="Arial"/>
          <w:sz w:val="27"/>
          <w:szCs w:val="27"/>
          <w:color w:val="auto"/>
          <w:vertAlign w:val="superscript"/>
        </w:rPr>
      </w:pPr>
      <w:r>
        <w:rPr>
          <w:rFonts w:ascii="Arial" w:cs="Arial" w:eastAsia="Arial" w:hAnsi="Arial"/>
          <w:sz w:val="16"/>
          <w:szCs w:val="16"/>
          <w:color w:val="auto"/>
        </w:rPr>
        <w:t>Combined net revenue (a non-GAAP financial measure): net revenue for all PI companies at 100% less pass-through commissions. The company has determined combined net revenue (at PFG share) is more representative of underlying net revenue growth for PI as it reflects our proportionate share of consolidated and equity method subsidiaries. In addition, using this net revenue metric provides a more meaningful representation of our profit margins.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437515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gridSpan w:val="2"/>
          </w:tcPr>
          <w:p>
            <w:pPr>
              <w:spacing w:after="0"/>
              <w:rPr>
                <w:sz w:val="20"/>
                <w:szCs w:val="20"/>
                <w:color w:val="auto"/>
              </w:rPr>
            </w:pPr>
            <w:r>
              <w:rPr>
                <w:rFonts w:ascii="Arial" w:cs="Arial" w:eastAsia="Arial" w:hAnsi="Arial"/>
                <w:sz w:val="18"/>
                <w:szCs w:val="18"/>
                <w:b w:val="1"/>
                <w:bCs w:val="1"/>
                <w:color w:val="auto"/>
              </w:rPr>
              <w:t>Specialty Benefits Insurance</w:t>
            </w: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8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vMerge w:val="restart"/>
          </w:tcPr>
          <w:p>
            <w:pPr>
              <w:jc w:val="right"/>
              <w:ind w:right="480"/>
              <w:spacing w:after="0"/>
              <w:rPr>
                <w:sz w:val="20"/>
                <w:szCs w:val="20"/>
                <w:color w:val="auto"/>
              </w:rPr>
            </w:pPr>
            <w:r>
              <w:rPr>
                <w:rFonts w:ascii="Arial" w:cs="Arial" w:eastAsia="Arial" w:hAnsi="Arial"/>
                <w:sz w:val="18"/>
                <w:szCs w:val="18"/>
                <w:b w:val="1"/>
                <w:bCs w:val="1"/>
                <w:i w:val="1"/>
                <w:iCs w:val="1"/>
                <w:color w:val="auto"/>
                <w:w w:val="95"/>
              </w:rPr>
              <w:t>Quarter</w:t>
            </w: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60" w:type="dxa"/>
            <w:vAlign w:val="bottom"/>
            <w:gridSpan w:val="7"/>
            <w:vMerge w:val="restart"/>
          </w:tcPr>
          <w:p>
            <w:pPr>
              <w:jc w:val="center"/>
              <w:ind w:right="340"/>
              <w:spacing w:after="0"/>
              <w:rPr>
                <w:sz w:val="20"/>
                <w:szCs w:val="20"/>
                <w:color w:val="auto"/>
              </w:rPr>
            </w:pPr>
            <w:r>
              <w:rPr>
                <w:rFonts w:ascii="Arial" w:cs="Arial" w:eastAsia="Arial" w:hAnsi="Arial"/>
                <w:sz w:val="18"/>
                <w:szCs w:val="18"/>
                <w:b w:val="1"/>
                <w:bCs w:val="1"/>
                <w:i w:val="1"/>
                <w:iCs w:val="1"/>
                <w:color w:val="auto"/>
                <w:w w:val="88"/>
              </w:rPr>
              <w:t>Trailing Twelve Months</w:t>
            </w:r>
          </w:p>
        </w:tc>
        <w:tc>
          <w:tcPr>
            <w:tcW w:w="0" w:type="dxa"/>
            <w:vAlign w:val="bottom"/>
          </w:tcPr>
          <w:p>
            <w:pPr>
              <w:spacing w:after="0"/>
              <w:rPr>
                <w:sz w:val="1"/>
                <w:szCs w:val="1"/>
                <w:color w:val="auto"/>
              </w:rPr>
            </w:pPr>
          </w:p>
        </w:tc>
      </w:tr>
      <w:tr>
        <w:trPr>
          <w:trHeight w:val="229"/>
        </w:trPr>
        <w:tc>
          <w:tcPr>
            <w:tcW w:w="368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9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60" w:type="dxa"/>
            <w:vAlign w:val="bottom"/>
            <w:gridSpan w:val="7"/>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80" w:type="dxa"/>
            <w:vAlign w:val="bottom"/>
            <w:gridSpan w:val="2"/>
            <w:vMerge w:val="continue"/>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5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noted)</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2Q22</w:t>
            </w:r>
          </w:p>
        </w:tc>
        <w:tc>
          <w:tcPr>
            <w:tcW w:w="22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2Q21</w:t>
            </w:r>
          </w:p>
        </w:tc>
        <w:tc>
          <w:tcPr>
            <w:tcW w:w="28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w w:val="99"/>
              </w:rPr>
              <w:t>% Change</w:t>
            </w:r>
          </w:p>
        </w:tc>
        <w:tc>
          <w:tcPr>
            <w:tcW w:w="280" w:type="dxa"/>
            <w:vAlign w:val="bottom"/>
            <w:tcBorders>
              <w:bottom w:val="single" w:sz="8" w:color="CCEEFF"/>
              <w:right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2Q22</w:t>
            </w:r>
          </w:p>
        </w:tc>
        <w:tc>
          <w:tcPr>
            <w:tcW w:w="26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0"/>
              </w:rPr>
              <w:t>2Q21</w:t>
            </w:r>
          </w:p>
        </w:tc>
        <w:tc>
          <w:tcPr>
            <w:tcW w:w="28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 Change</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358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98.8</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61.7</w:t>
            </w:r>
          </w:p>
        </w:tc>
        <w:tc>
          <w:tcPr>
            <w:tcW w:w="28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310.4</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197.4</w:t>
            </w:r>
          </w:p>
        </w:tc>
        <w:tc>
          <w:tcPr>
            <w:tcW w:w="2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6"/>
        </w:trPr>
        <w:tc>
          <w:tcPr>
            <w:tcW w:w="3680" w:type="dxa"/>
            <w:vAlign w:val="bottom"/>
            <w:gridSpan w:val="2"/>
          </w:tcPr>
          <w:p>
            <w:pPr>
              <w:spacing w:after="0"/>
              <w:rPr>
                <w:sz w:val="20"/>
                <w:szCs w:val="20"/>
                <w:color w:val="auto"/>
              </w:rPr>
            </w:pPr>
            <w:r>
              <w:rPr>
                <w:rFonts w:ascii="Arial" w:cs="Arial" w:eastAsia="Arial" w:hAnsi="Arial"/>
                <w:sz w:val="18"/>
                <w:szCs w:val="18"/>
                <w:color w:val="auto"/>
              </w:rPr>
              <w:t>Premium and fees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695.0</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625.3</w:t>
            </w:r>
          </w:p>
        </w:tc>
        <w:tc>
          <w:tcPr>
            <w:tcW w:w="126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8"/>
                <w:szCs w:val="18"/>
                <w:color w:val="auto"/>
              </w:rPr>
              <w:t>11%</w:t>
            </w:r>
          </w:p>
        </w:tc>
        <w:tc>
          <w:tcPr>
            <w:tcW w:w="3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2,660.5</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2,416.2</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57"/>
        </w:trPr>
        <w:tc>
          <w:tcPr>
            <w:tcW w:w="3680" w:type="dxa"/>
            <w:vAlign w:val="bottom"/>
            <w:gridSpan w:val="2"/>
            <w:shd w:val="clear" w:color="auto" w:fill="CCEEFF"/>
          </w:tcPr>
          <w:p>
            <w:pPr>
              <w:spacing w:after="0" w:line="256" w:lineRule="exact"/>
              <w:rPr>
                <w:sz w:val="20"/>
                <w:szCs w:val="20"/>
                <w:color w:val="auto"/>
              </w:rPr>
            </w:pPr>
            <w:r>
              <w:rPr>
                <w:rFonts w:ascii="Arial" w:cs="Arial" w:eastAsia="Arial" w:hAnsi="Arial"/>
                <w:sz w:val="18"/>
                <w:szCs w:val="18"/>
                <w:color w:val="auto"/>
              </w:rPr>
              <w:t>Pre-tax return on premium and fees</w:t>
            </w:r>
            <w:r>
              <w:rPr>
                <w:rFonts w:ascii="Arial" w:cs="Arial" w:eastAsia="Arial" w:hAnsi="Arial"/>
                <w:sz w:val="29"/>
                <w:szCs w:val="29"/>
                <w:color w:val="auto"/>
                <w:vertAlign w:val="superscript"/>
              </w:rPr>
              <w:t>10</w:t>
            </w:r>
          </w:p>
        </w:tc>
        <w:tc>
          <w:tcPr>
            <w:tcW w:w="220" w:type="dxa"/>
            <w:vAlign w:val="bottom"/>
            <w:shd w:val="clear" w:color="auto" w:fill="CCEEFF"/>
          </w:tcPr>
          <w:p>
            <w:pPr>
              <w:spacing w:after="0"/>
              <w:rPr>
                <w:sz w:val="22"/>
                <w:szCs w:val="22"/>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14.2%</w:t>
            </w: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w:t>
            </w:r>
          </w:p>
        </w:tc>
        <w:tc>
          <w:tcPr>
            <w:tcW w:w="980" w:type="dxa"/>
            <w:vAlign w:val="bottom"/>
            <w:shd w:val="clear" w:color="auto" w:fill="CCEEFF"/>
          </w:tcPr>
          <w:p>
            <w:pPr>
              <w:spacing w:after="0"/>
              <w:rPr>
                <w:sz w:val="22"/>
                <w:szCs w:val="22"/>
                <w:color w:val="auto"/>
              </w:rPr>
            </w:pPr>
          </w:p>
        </w:tc>
        <w:tc>
          <w:tcPr>
            <w:tcW w:w="280" w:type="dxa"/>
            <w:vAlign w:val="bottom"/>
            <w:tcBorders>
              <w:right w:val="single" w:sz="8" w:color="auto"/>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w:t>
            </w:r>
          </w:p>
        </w:tc>
        <w:tc>
          <w:tcPr>
            <w:tcW w:w="220" w:type="dxa"/>
            <w:vAlign w:val="bottom"/>
            <w:shd w:val="clear" w:color="auto" w:fill="CCEEFF"/>
          </w:tcPr>
          <w:p>
            <w:pPr>
              <w:spacing w:after="0"/>
              <w:rPr>
                <w:sz w:val="22"/>
                <w:szCs w:val="22"/>
                <w:color w:val="auto"/>
              </w:rPr>
            </w:pPr>
          </w:p>
        </w:tc>
        <w:tc>
          <w:tcPr>
            <w:tcW w:w="10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8.2%</w:t>
            </w:r>
          </w:p>
        </w:tc>
        <w:tc>
          <w:tcPr>
            <w:tcW w:w="10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680" w:type="dxa"/>
            <w:vAlign w:val="bottom"/>
            <w:gridSpan w:val="2"/>
          </w:tcPr>
          <w:p>
            <w:pPr>
              <w:spacing w:after="0"/>
              <w:rPr>
                <w:sz w:val="20"/>
                <w:szCs w:val="20"/>
                <w:color w:val="auto"/>
              </w:rPr>
            </w:pPr>
            <w:r>
              <w:rPr>
                <w:rFonts w:ascii="Arial" w:cs="Arial" w:eastAsia="Arial" w:hAnsi="Arial"/>
                <w:sz w:val="18"/>
                <w:szCs w:val="18"/>
                <w:color w:val="auto"/>
              </w:rPr>
              <w:t>Incurred loss ratio</w:t>
            </w:r>
          </w:p>
        </w:tc>
        <w:tc>
          <w:tcPr>
            <w:tcW w:w="220" w:type="dxa"/>
            <w:vAlign w:val="bottom"/>
          </w:tcPr>
          <w:p>
            <w:pPr>
              <w:spacing w:after="0"/>
              <w:rPr>
                <w:sz w:val="19"/>
                <w:szCs w:val="19"/>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62.9%</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65.2%</w:t>
            </w:r>
          </w:p>
        </w:tc>
        <w:tc>
          <w:tcPr>
            <w:tcW w:w="9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64.1%</w:t>
            </w:r>
          </w:p>
        </w:tc>
        <w:tc>
          <w:tcPr>
            <w:tcW w:w="220" w:type="dxa"/>
            <w:vAlign w:val="bottom"/>
          </w:tcPr>
          <w:p>
            <w:pPr>
              <w:spacing w:after="0"/>
              <w:rPr>
                <w:sz w:val="19"/>
                <w:szCs w:val="19"/>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66.6%</w:t>
            </w:r>
          </w:p>
        </w:tc>
        <w:tc>
          <w:tcPr>
            <w:tcW w:w="10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00" w:right="360" w:hanging="322"/>
        <w:spacing w:after="0" w:line="282" w:lineRule="auto"/>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$37.1 million as a result of growth in the business, improved claim experience, and disciplined expense</w:t>
      </w:r>
      <w:r>
        <w:rPr>
          <w:rFonts w:ascii="Arial" w:cs="Arial" w:eastAsia="Arial" w:hAnsi="Arial"/>
          <w:sz w:val="18"/>
          <w:szCs w:val="18"/>
          <w:b w:val="1"/>
          <w:bCs w:val="1"/>
          <w:color w:val="auto"/>
        </w:rPr>
        <w:t xml:space="preserve"> </w:t>
      </w:r>
      <w:r>
        <w:rPr>
          <w:rFonts w:ascii="Arial" w:cs="Arial" w:eastAsia="Arial" w:hAnsi="Arial"/>
          <w:sz w:val="18"/>
          <w:szCs w:val="18"/>
          <w:color w:val="auto"/>
        </w:rPr>
        <w:t>management.</w:t>
      </w:r>
    </w:p>
    <w:p>
      <w:pPr>
        <w:spacing w:after="0" w:line="188" w:lineRule="exact"/>
        <w:rPr>
          <w:rFonts w:ascii="Arial" w:cs="Arial" w:eastAsia="Arial" w:hAnsi="Arial"/>
          <w:sz w:val="18"/>
          <w:szCs w:val="18"/>
          <w:color w:val="auto"/>
        </w:rPr>
      </w:pPr>
    </w:p>
    <w:p>
      <w:pPr>
        <w:ind w:left="660" w:hanging="328"/>
        <w:spacing w:after="0"/>
        <w:tabs>
          <w:tab w:leader="none" w:pos="660" w:val="left"/>
        </w:tabs>
        <w:numPr>
          <w:ilvl w:val="1"/>
          <w:numId w:val="18"/>
        </w:numPr>
        <w:rPr>
          <w:rFonts w:ascii="Arial" w:cs="Arial" w:eastAsia="Arial" w:hAnsi="Arial"/>
          <w:sz w:val="18"/>
          <w:szCs w:val="18"/>
          <w:color w:val="auto"/>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increased $69.7 million driven by record sales, strong retention and employment growth.</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18"/>
        </w:numPr>
        <w:rPr>
          <w:rFonts w:ascii="Arial" w:cs="Arial" w:eastAsia="Arial" w:hAnsi="Arial"/>
          <w:sz w:val="18"/>
          <w:szCs w:val="18"/>
          <w:color w:val="auto"/>
        </w:rPr>
      </w:pPr>
      <w:r>
        <w:rPr>
          <w:rFonts w:ascii="Arial" w:cs="Arial" w:eastAsia="Arial" w:hAnsi="Arial"/>
          <w:sz w:val="18"/>
          <w:szCs w:val="18"/>
          <w:b w:val="1"/>
          <w:bCs w:val="1"/>
          <w:color w:val="auto"/>
        </w:rPr>
        <w:t xml:space="preserve">Incurred loss ratio </w:t>
      </w:r>
      <w:r>
        <w:rPr>
          <w:rFonts w:ascii="Arial" w:cs="Arial" w:eastAsia="Arial" w:hAnsi="Arial"/>
          <w:sz w:val="18"/>
          <w:szCs w:val="18"/>
          <w:color w:val="auto"/>
        </w:rPr>
        <w:t>decreased due to improved claims experience, driven by lower Group Life mortality.</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80" w:type="dxa"/>
            <w:vAlign w:val="bottom"/>
          </w:tcPr>
          <w:p>
            <w:pPr>
              <w:spacing w:after="0"/>
              <w:rPr>
                <w:sz w:val="20"/>
                <w:szCs w:val="20"/>
                <w:color w:val="auto"/>
              </w:rPr>
            </w:pPr>
            <w:r>
              <w:rPr>
                <w:rFonts w:ascii="Arial" w:cs="Arial" w:eastAsia="Arial" w:hAnsi="Arial"/>
                <w:sz w:val="18"/>
                <w:szCs w:val="18"/>
                <w:b w:val="1"/>
                <w:bCs w:val="1"/>
                <w:color w:val="auto"/>
              </w:rPr>
              <w:t>Individual Life Insurance</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480" w:type="dxa"/>
            <w:vAlign w:val="bottom"/>
            <w:vMerge w:val="restart"/>
          </w:tcPr>
          <w:p>
            <w:pPr>
              <w:spacing w:after="0"/>
              <w:rPr>
                <w:sz w:val="20"/>
                <w:szCs w:val="20"/>
                <w:color w:val="auto"/>
              </w:rPr>
            </w:pPr>
            <w:r>
              <w:rPr>
                <w:rFonts w:ascii="Arial" w:cs="Arial" w:eastAsia="Arial" w:hAnsi="Arial"/>
                <w:sz w:val="18"/>
                <w:szCs w:val="18"/>
                <w:i w:val="1"/>
                <w:iCs w:val="1"/>
                <w:color w:val="auto"/>
                <w:w w:val="98"/>
              </w:rPr>
              <w:t>(in millions except percentages or otherwise</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vMerge w:val="restart"/>
          </w:tcPr>
          <w:p>
            <w:pPr>
              <w:jc w:val="right"/>
              <w:ind w:right="460"/>
              <w:spacing w:after="0"/>
              <w:rPr>
                <w:sz w:val="20"/>
                <w:szCs w:val="20"/>
                <w:color w:val="auto"/>
              </w:rPr>
            </w:pPr>
            <w:r>
              <w:rPr>
                <w:rFonts w:ascii="Arial" w:cs="Arial" w:eastAsia="Arial" w:hAnsi="Arial"/>
                <w:sz w:val="18"/>
                <w:szCs w:val="18"/>
                <w:b w:val="1"/>
                <w:bCs w:val="1"/>
                <w:i w:val="1"/>
                <w:iCs w:val="1"/>
                <w:color w:val="auto"/>
                <w:w w:val="95"/>
              </w:rPr>
              <w:t>Quarter</w:t>
            </w: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60" w:type="dxa"/>
            <w:vAlign w:val="bottom"/>
            <w:gridSpan w:val="6"/>
            <w:vMerge w:val="restart"/>
          </w:tcPr>
          <w:p>
            <w:pPr>
              <w:ind w:left="680"/>
              <w:spacing w:after="0"/>
              <w:rPr>
                <w:sz w:val="20"/>
                <w:szCs w:val="20"/>
                <w:color w:val="auto"/>
              </w:rPr>
            </w:pPr>
            <w:r>
              <w:rPr>
                <w:rFonts w:ascii="Arial" w:cs="Arial" w:eastAsia="Arial" w:hAnsi="Arial"/>
                <w:sz w:val="18"/>
                <w:szCs w:val="18"/>
                <w:b w:val="1"/>
                <w:bCs w:val="1"/>
                <w:i w:val="1"/>
                <w:iCs w:val="1"/>
                <w:color w:val="auto"/>
                <w:w w:val="88"/>
              </w:rPr>
              <w:t>Trailing Twelve Months</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4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vMerge w:val="continue"/>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460" w:type="dxa"/>
            <w:vAlign w:val="bottom"/>
            <w:tcBorders>
              <w:bottom w:val="single" w:sz="8" w:color="auto"/>
            </w:tcBorders>
            <w:gridSpan w:val="6"/>
            <w:vMerge w:val="continue"/>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4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3480" w:type="dxa"/>
            <w:vAlign w:val="bottom"/>
          </w:tcPr>
          <w:p>
            <w:pPr>
              <w:spacing w:after="0"/>
              <w:rPr>
                <w:sz w:val="20"/>
                <w:szCs w:val="20"/>
                <w:color w:val="auto"/>
              </w:rPr>
            </w:pPr>
            <w:r>
              <w:rPr>
                <w:rFonts w:ascii="Arial" w:cs="Arial" w:eastAsia="Arial" w:hAnsi="Arial"/>
                <w:sz w:val="18"/>
                <w:szCs w:val="18"/>
                <w:i w:val="1"/>
                <w:iCs w:val="1"/>
                <w:color w:val="auto"/>
              </w:rPr>
              <w:t>noted)</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6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2Q22</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2Q21</w:t>
            </w:r>
          </w:p>
        </w:tc>
        <w:tc>
          <w:tcPr>
            <w:tcW w:w="1320" w:type="dxa"/>
            <w:vAlign w:val="bottom"/>
            <w:tcBorders>
              <w:right w:val="single" w:sz="8" w:color="auto"/>
            </w:tcBorders>
            <w:gridSpan w:val="2"/>
          </w:tcPr>
          <w:p>
            <w:pPr>
              <w:jc w:val="right"/>
              <w:ind w:right="370"/>
              <w:spacing w:after="0"/>
              <w:rPr>
                <w:sz w:val="20"/>
                <w:szCs w:val="20"/>
                <w:color w:val="auto"/>
              </w:rPr>
            </w:pPr>
            <w:r>
              <w:rPr>
                <w:rFonts w:ascii="Arial" w:cs="Arial" w:eastAsia="Arial" w:hAnsi="Arial"/>
                <w:sz w:val="18"/>
                <w:szCs w:val="18"/>
                <w:color w:val="auto"/>
                <w:w w:val="99"/>
              </w:rPr>
              <w:t>% Change</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2Q22</w:t>
            </w:r>
          </w:p>
        </w:tc>
        <w:tc>
          <w:tcPr>
            <w:tcW w:w="220" w:type="dxa"/>
            <w:vAlign w:val="bottom"/>
          </w:tcPr>
          <w:p>
            <w:pPr>
              <w:spacing w:after="0"/>
              <w:rPr>
                <w:sz w:val="21"/>
                <w:szCs w:val="21"/>
                <w:color w:val="auto"/>
              </w:rPr>
            </w:pPr>
          </w:p>
        </w:tc>
        <w:tc>
          <w:tcPr>
            <w:tcW w:w="1200" w:type="dxa"/>
            <w:vAlign w:val="bottom"/>
            <w:gridSpan w:val="3"/>
          </w:tcPr>
          <w:p>
            <w:pPr>
              <w:ind w:left="140"/>
              <w:spacing w:after="0"/>
              <w:rPr>
                <w:sz w:val="20"/>
                <w:szCs w:val="20"/>
                <w:color w:val="auto"/>
              </w:rPr>
            </w:pPr>
            <w:r>
              <w:rPr>
                <w:rFonts w:ascii="Arial" w:cs="Arial" w:eastAsia="Arial" w:hAnsi="Arial"/>
                <w:sz w:val="18"/>
                <w:szCs w:val="18"/>
                <w:b w:val="1"/>
                <w:bCs w:val="1"/>
                <w:color w:val="auto"/>
              </w:rPr>
              <w:t>2Q21</w:t>
            </w:r>
          </w:p>
        </w:tc>
        <w:tc>
          <w:tcPr>
            <w:tcW w:w="1100" w:type="dxa"/>
            <w:vAlign w:val="bottom"/>
            <w:gridSpan w:val="2"/>
          </w:tcPr>
          <w:p>
            <w:pPr>
              <w:jc w:val="right"/>
              <w:ind w:right="340"/>
              <w:spacing w:after="0"/>
              <w:rPr>
                <w:sz w:val="20"/>
                <w:szCs w:val="20"/>
                <w:color w:val="auto"/>
              </w:rPr>
            </w:pPr>
            <w:r>
              <w:rPr>
                <w:rFonts w:ascii="Arial" w:cs="Arial" w:eastAsia="Arial" w:hAnsi="Arial"/>
                <w:sz w:val="18"/>
                <w:szCs w:val="18"/>
                <w:color w:val="auto"/>
                <w:w w:val="87"/>
              </w:rPr>
              <w:t>% Change</w:t>
            </w:r>
          </w:p>
        </w:tc>
        <w:tc>
          <w:tcPr>
            <w:tcW w:w="0" w:type="dxa"/>
            <w:vAlign w:val="bottom"/>
          </w:tcPr>
          <w:p>
            <w:pPr>
              <w:spacing w:after="0"/>
              <w:rPr>
                <w:sz w:val="1"/>
                <w:szCs w:val="1"/>
                <w:color w:val="auto"/>
              </w:rPr>
            </w:pPr>
          </w:p>
        </w:tc>
      </w:tr>
      <w:tr>
        <w:trPr>
          <w:trHeight w:val="210"/>
        </w:trPr>
        <w:tc>
          <w:tcPr>
            <w:tcW w:w="34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Pre-tax operating earnings (losses)</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52.9</w:t>
            </w:r>
          </w:p>
        </w:tc>
        <w:tc>
          <w:tcPr>
            <w:tcW w:w="2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26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40" w:type="dxa"/>
            <w:vAlign w:val="bottom"/>
            <w:tcBorders>
              <w:top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206.1</w:t>
            </w:r>
          </w:p>
        </w:tc>
        <w:tc>
          <w:tcPr>
            <w:tcW w:w="2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w:t>
            </w: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NM</w:t>
            </w:r>
          </w:p>
        </w:tc>
        <w:tc>
          <w:tcPr>
            <w:tcW w:w="2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Premium and fees</w:t>
            </w:r>
          </w:p>
        </w:tc>
        <w:tc>
          <w:tcPr>
            <w:tcW w:w="3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135.8</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312.5</w:t>
            </w:r>
          </w:p>
        </w:tc>
        <w:tc>
          <w:tcPr>
            <w:tcW w:w="1320" w:type="dxa"/>
            <w:vAlign w:val="bottom"/>
            <w:tcBorders>
              <w:right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(57)%</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1,076.2</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320"/>
              <w:spacing w:after="0"/>
              <w:rPr>
                <w:sz w:val="20"/>
                <w:szCs w:val="20"/>
                <w:color w:val="auto"/>
              </w:rPr>
            </w:pPr>
            <w:r>
              <w:rPr>
                <w:rFonts w:ascii="Arial" w:cs="Arial" w:eastAsia="Arial" w:hAnsi="Arial"/>
                <w:sz w:val="18"/>
                <w:szCs w:val="18"/>
                <w:color w:val="auto"/>
              </w:rPr>
              <w:t>1,269.2</w:t>
            </w:r>
          </w:p>
        </w:tc>
        <w:tc>
          <w:tcPr>
            <w:tcW w:w="10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Pre-tax return on premium and fees</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39.0%</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20.8%</w:t>
            </w:r>
          </w:p>
        </w:tc>
        <w:tc>
          <w:tcPr>
            <w:tcW w:w="980" w:type="dxa"/>
            <w:vAlign w:val="bottom"/>
            <w:shd w:val="clear" w:color="auto" w:fill="CCEEFF"/>
          </w:tcPr>
          <w:p>
            <w:pPr>
              <w:spacing w:after="0"/>
              <w:rPr>
                <w:sz w:val="19"/>
                <w:szCs w:val="19"/>
                <w:color w:val="auto"/>
              </w:rPr>
            </w:pPr>
          </w:p>
        </w:tc>
        <w:tc>
          <w:tcPr>
            <w:tcW w:w="340" w:type="dxa"/>
            <w:vAlign w:val="bottom"/>
            <w:tcBorders>
              <w:righ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19.2%</w:t>
            </w:r>
          </w:p>
        </w:tc>
        <w:tc>
          <w:tcPr>
            <w:tcW w:w="22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00" w:right="460" w:hanging="322"/>
        <w:spacing w:after="0" w:line="282" w:lineRule="auto"/>
        <w:tabs>
          <w:tab w:leader="none" w:pos="60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$12.0 million primarily due to less favorable net investment income and impacts from the reinsurance</w:t>
      </w:r>
      <w:r>
        <w:rPr>
          <w:rFonts w:ascii="Arial" w:cs="Arial" w:eastAsia="Arial" w:hAnsi="Arial"/>
          <w:sz w:val="18"/>
          <w:szCs w:val="18"/>
          <w:b w:val="1"/>
          <w:bCs w:val="1"/>
          <w:color w:val="auto"/>
        </w:rPr>
        <w:t xml:space="preserve"> </w:t>
      </w:r>
      <w:r>
        <w:rPr>
          <w:rFonts w:ascii="Arial" w:cs="Arial" w:eastAsia="Arial" w:hAnsi="Arial"/>
          <w:sz w:val="18"/>
          <w:szCs w:val="18"/>
          <w:color w:val="auto"/>
        </w:rPr>
        <w:t>transaction.</w:t>
      </w:r>
    </w:p>
    <w:p>
      <w:pPr>
        <w:spacing w:after="0" w:line="188" w:lineRule="exact"/>
        <w:rPr>
          <w:rFonts w:ascii="Arial" w:cs="Arial" w:eastAsia="Arial" w:hAnsi="Arial"/>
          <w:sz w:val="18"/>
          <w:szCs w:val="18"/>
          <w:color w:val="auto"/>
        </w:rPr>
      </w:pPr>
    </w:p>
    <w:p>
      <w:pPr>
        <w:ind w:left="600" w:hanging="322"/>
        <w:spacing w:after="0"/>
        <w:tabs>
          <w:tab w:leader="none" w:pos="60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decreased $176.7 million primarily due to impacts from the reinsurance transaction.</w:t>
      </w:r>
    </w:p>
    <w:p>
      <w:pPr>
        <w:sectPr>
          <w:pgSz w:w="11900" w:h="16838" w:orient="portrait"/>
          <w:cols w:equalWidth="0" w:num="1">
            <w:col w:w="11240"/>
          </w:cols>
          <w:pgMar w:left="320" w:top="1440" w:right="339" w:bottom="144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w:t>
      </w:r>
    </w:p>
    <w:p>
      <w:pPr>
        <w:spacing w:after="0" w:line="200" w:lineRule="exact"/>
        <w:rPr>
          <w:sz w:val="20"/>
          <w:szCs w:val="20"/>
          <w:color w:val="auto"/>
        </w:rPr>
      </w:pPr>
    </w:p>
    <w:p>
      <w:pPr>
        <w:spacing w:after="0" w:line="259" w:lineRule="exact"/>
        <w:rPr>
          <w:sz w:val="20"/>
          <w:szCs w:val="20"/>
          <w:color w:val="auto"/>
        </w:rPr>
      </w:pPr>
    </w:p>
    <w:p>
      <w:pPr>
        <w:spacing w:after="0" w:line="266" w:lineRule="auto"/>
        <w:rPr>
          <w:sz w:val="20"/>
          <w:szCs w:val="20"/>
          <w:color w:val="auto"/>
        </w:rPr>
      </w:pPr>
      <w:r>
        <w:rPr>
          <w:rFonts w:ascii="Arial" w:cs="Arial" w:eastAsia="Arial" w:hAnsi="Arial"/>
          <w:sz w:val="18"/>
          <w:szCs w:val="18"/>
          <w:i w:val="1"/>
          <w:iCs w:val="1"/>
          <w:color w:val="auto"/>
        </w:rPr>
        <w:t>(in millions except percentages or otherwise noted)</w:t>
      </w:r>
    </w:p>
    <w:p>
      <w:pPr>
        <w:spacing w:after="0"/>
        <w:rPr>
          <w:sz w:val="20"/>
          <w:szCs w:val="20"/>
          <w:color w:val="auto"/>
        </w:rPr>
      </w:pPr>
      <w:r>
        <w:rPr>
          <w:rFonts w:ascii="Arial" w:cs="Arial" w:eastAsia="Arial" w:hAnsi="Arial"/>
          <w:sz w:val="18"/>
          <w:szCs w:val="18"/>
          <w:color w:val="auto"/>
        </w:rPr>
        <w:t>Pre-tax operating losses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2"/>
          </w:tcPr>
          <w:p>
            <w:pPr>
              <w:jc w:val="right"/>
              <w:ind w:right="341"/>
              <w:spacing w:after="0"/>
              <w:rPr>
                <w:sz w:val="20"/>
                <w:szCs w:val="20"/>
                <w:color w:val="auto"/>
              </w:rPr>
            </w:pPr>
            <w:r>
              <w:rPr>
                <w:rFonts w:ascii="Arial" w:cs="Arial" w:eastAsia="Arial" w:hAnsi="Arial"/>
                <w:sz w:val="18"/>
                <w:szCs w:val="18"/>
                <w:b w:val="1"/>
                <w:bCs w:val="1"/>
                <w:i w:val="1"/>
                <w:iCs w:val="1"/>
                <w:color w:val="auto"/>
                <w:w w:val="95"/>
              </w:rPr>
              <w:t>Quarter</w:t>
            </w:r>
          </w:p>
        </w:tc>
        <w:tc>
          <w:tcPr>
            <w:tcW w:w="1000" w:type="dxa"/>
            <w:vAlign w:val="bottom"/>
            <w:tcBorders>
              <w:bottom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200" w:type="dxa"/>
            <w:vAlign w:val="bottom"/>
            <w:tcBorders>
              <w:bottom w:val="single" w:sz="8" w:color="auto"/>
            </w:tcBorders>
            <w:gridSpan w:val="6"/>
          </w:tcPr>
          <w:p>
            <w:pPr>
              <w:jc w:val="right"/>
              <w:ind w:right="730"/>
              <w:spacing w:after="0"/>
              <w:rPr>
                <w:sz w:val="20"/>
                <w:szCs w:val="20"/>
                <w:color w:val="auto"/>
              </w:rPr>
            </w:pPr>
            <w:r>
              <w:rPr>
                <w:rFonts w:ascii="Arial" w:cs="Arial" w:eastAsia="Arial" w:hAnsi="Arial"/>
                <w:sz w:val="18"/>
                <w:szCs w:val="18"/>
                <w:b w:val="1"/>
                <w:bCs w:val="1"/>
                <w:i w:val="1"/>
                <w:iCs w:val="1"/>
                <w:color w:val="auto"/>
              </w:rPr>
              <w:t>Trailing Twelve Months</w:t>
            </w:r>
          </w:p>
        </w:tc>
        <w:tc>
          <w:tcPr>
            <w:tcW w:w="220" w:type="dxa"/>
            <w:vAlign w:val="bottom"/>
          </w:tcPr>
          <w:p>
            <w:pPr>
              <w:spacing w:after="0"/>
              <w:rPr>
                <w:sz w:val="19"/>
                <w:szCs w:val="19"/>
                <w:color w:val="auto"/>
              </w:rPr>
            </w:pPr>
          </w:p>
        </w:tc>
      </w:tr>
      <w:tr>
        <w:trPr>
          <w:trHeight w:val="425"/>
        </w:trPr>
        <w:tc>
          <w:tcPr>
            <w:tcW w:w="220" w:type="dxa"/>
            <w:vAlign w:val="bottom"/>
          </w:tcPr>
          <w:p>
            <w:pPr>
              <w:spacing w:after="0"/>
              <w:rPr>
                <w:sz w:val="24"/>
                <w:szCs w:val="24"/>
                <w:color w:val="auto"/>
              </w:rPr>
            </w:pPr>
          </w:p>
        </w:tc>
        <w:tc>
          <w:tcPr>
            <w:tcW w:w="1140" w:type="dxa"/>
            <w:vAlign w:val="bottom"/>
            <w:gridSpan w:val="3"/>
          </w:tcPr>
          <w:p>
            <w:pPr>
              <w:jc w:val="right"/>
              <w:ind w:right="510"/>
              <w:spacing w:after="0"/>
              <w:rPr>
                <w:sz w:val="20"/>
                <w:szCs w:val="20"/>
                <w:color w:val="auto"/>
              </w:rPr>
            </w:pPr>
            <w:r>
              <w:rPr>
                <w:rFonts w:ascii="Arial" w:cs="Arial" w:eastAsia="Arial" w:hAnsi="Arial"/>
                <w:sz w:val="18"/>
                <w:szCs w:val="18"/>
                <w:b w:val="1"/>
                <w:bCs w:val="1"/>
                <w:color w:val="auto"/>
              </w:rPr>
              <w:t>2Q22</w:t>
            </w:r>
          </w:p>
        </w:tc>
        <w:tc>
          <w:tcPr>
            <w:tcW w:w="1060" w:type="dxa"/>
            <w:vAlign w:val="bottom"/>
            <w:gridSpan w:val="2"/>
          </w:tcPr>
          <w:p>
            <w:pPr>
              <w:jc w:val="right"/>
              <w:ind w:right="381"/>
              <w:spacing w:after="0"/>
              <w:rPr>
                <w:sz w:val="20"/>
                <w:szCs w:val="20"/>
                <w:color w:val="auto"/>
              </w:rPr>
            </w:pPr>
            <w:r>
              <w:rPr>
                <w:rFonts w:ascii="Arial" w:cs="Arial" w:eastAsia="Arial" w:hAnsi="Arial"/>
                <w:sz w:val="18"/>
                <w:szCs w:val="18"/>
                <w:b w:val="1"/>
                <w:bCs w:val="1"/>
                <w:color w:val="auto"/>
              </w:rPr>
              <w:t>2Q21</w:t>
            </w:r>
          </w:p>
        </w:tc>
        <w:tc>
          <w:tcPr>
            <w:tcW w:w="1340" w:type="dxa"/>
            <w:vAlign w:val="bottom"/>
            <w:tcBorders>
              <w:right w:val="single" w:sz="8" w:color="auto"/>
            </w:tcBorders>
            <w:gridSpan w:val="2"/>
          </w:tcPr>
          <w:p>
            <w:pPr>
              <w:jc w:val="right"/>
              <w:ind w:right="370"/>
              <w:spacing w:after="0"/>
              <w:rPr>
                <w:sz w:val="20"/>
                <w:szCs w:val="20"/>
                <w:color w:val="auto"/>
              </w:rPr>
            </w:pPr>
            <w:r>
              <w:rPr>
                <w:rFonts w:ascii="Arial" w:cs="Arial" w:eastAsia="Arial" w:hAnsi="Arial"/>
                <w:sz w:val="18"/>
                <w:szCs w:val="18"/>
                <w:color w:val="auto"/>
              </w:rPr>
              <w:t>% Change</w:t>
            </w:r>
          </w:p>
        </w:tc>
        <w:tc>
          <w:tcPr>
            <w:tcW w:w="320" w:type="dxa"/>
            <w:vAlign w:val="bottom"/>
            <w:gridSpan w:val="2"/>
          </w:tcPr>
          <w:p>
            <w:pPr>
              <w:spacing w:after="0"/>
              <w:rPr>
                <w:sz w:val="24"/>
                <w:szCs w:val="24"/>
                <w:color w:val="auto"/>
              </w:rPr>
            </w:pPr>
          </w:p>
        </w:tc>
        <w:tc>
          <w:tcPr>
            <w:tcW w:w="120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2Q22</w:t>
            </w:r>
          </w:p>
        </w:tc>
        <w:tc>
          <w:tcPr>
            <w:tcW w:w="1000" w:type="dxa"/>
            <w:vAlign w:val="bottom"/>
            <w:gridSpan w:val="2"/>
          </w:tcPr>
          <w:p>
            <w:pPr>
              <w:jc w:val="right"/>
              <w:ind w:right="381"/>
              <w:spacing w:after="0"/>
              <w:rPr>
                <w:sz w:val="20"/>
                <w:szCs w:val="20"/>
                <w:color w:val="auto"/>
              </w:rPr>
            </w:pPr>
            <w:r>
              <w:rPr>
                <w:rFonts w:ascii="Arial" w:cs="Arial" w:eastAsia="Arial" w:hAnsi="Arial"/>
                <w:sz w:val="18"/>
                <w:szCs w:val="18"/>
                <w:b w:val="1"/>
                <w:bCs w:val="1"/>
                <w:color w:val="auto"/>
              </w:rPr>
              <w:t>2Q21</w:t>
            </w:r>
          </w:p>
        </w:tc>
        <w:tc>
          <w:tcPr>
            <w:tcW w:w="1220" w:type="dxa"/>
            <w:vAlign w:val="bottom"/>
            <w:gridSpan w:val="2"/>
          </w:tcPr>
          <w:p>
            <w:pPr>
              <w:jc w:val="right"/>
              <w:ind w:right="250"/>
              <w:spacing w:after="0"/>
              <w:rPr>
                <w:sz w:val="20"/>
                <w:szCs w:val="20"/>
                <w:color w:val="auto"/>
              </w:rPr>
            </w:pPr>
            <w:r>
              <w:rPr>
                <w:rFonts w:ascii="Arial" w:cs="Arial" w:eastAsia="Arial" w:hAnsi="Arial"/>
                <w:sz w:val="18"/>
                <w:szCs w:val="18"/>
                <w:color w:val="auto"/>
              </w:rPr>
              <w:t>% Change</w:t>
            </w:r>
          </w:p>
        </w:tc>
      </w:tr>
      <w:tr>
        <w:trPr>
          <w:trHeight w:val="223"/>
        </w:trPr>
        <w:tc>
          <w:tcPr>
            <w:tcW w:w="220" w:type="dxa"/>
            <w:vAlign w:val="bottom"/>
            <w:tcBorders>
              <w:top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(152.9</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(82.7</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w:t>
            </w: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w w:val="90"/>
              </w:rPr>
              <w:t>)%</w:t>
            </w:r>
          </w:p>
        </w:tc>
        <w:tc>
          <w:tcPr>
            <w:tcW w:w="100" w:type="dxa"/>
            <w:vAlign w:val="bottom"/>
          </w:tcPr>
          <w:p>
            <w:pPr>
              <w:spacing w:after="0"/>
              <w:rPr>
                <w:sz w:val="19"/>
                <w:szCs w:val="19"/>
                <w:color w:val="auto"/>
              </w:rPr>
            </w:pPr>
          </w:p>
        </w:tc>
        <w:tc>
          <w:tcPr>
            <w:tcW w:w="220" w:type="dxa"/>
            <w:vAlign w:val="bottom"/>
            <w:tcBorders>
              <w:top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(473.4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(327.8</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220" w:type="dxa"/>
            <w:vAlign w:val="bottom"/>
          </w:tcPr>
          <w:p>
            <w:pPr>
              <w:jc w:val="right"/>
              <w:spacing w:after="0"/>
              <w:rPr>
                <w:sz w:val="20"/>
                <w:szCs w:val="20"/>
                <w:color w:val="auto"/>
              </w:rPr>
            </w:pPr>
            <w:r>
              <w:rPr>
                <w:rFonts w:ascii="Arial" w:cs="Arial" w:eastAsia="Arial" w:hAnsi="Arial"/>
                <w:sz w:val="18"/>
                <w:szCs w:val="18"/>
                <w:color w:val="auto"/>
                <w:w w:val="90"/>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-2369185</wp:posOffset>
            </wp:positionH>
            <wp:positionV relativeFrom="paragraph">
              <wp:posOffset>-153670</wp:posOffset>
            </wp:positionV>
            <wp:extent cx="7132320" cy="1543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98" w:lineRule="exact"/>
        <w:rPr>
          <w:sz w:val="20"/>
          <w:szCs w:val="20"/>
          <w:color w:val="auto"/>
        </w:rPr>
      </w:pPr>
    </w:p>
    <w:p>
      <w:pPr>
        <w:sectPr>
          <w:pgSz w:w="11900" w:h="16838" w:orient="portrait"/>
          <w:cols w:equalWidth="0" w:num="2">
            <w:col w:w="3200" w:space="540"/>
            <w:col w:w="7500"/>
          </w:cols>
          <w:pgMar w:left="320" w:top="1440" w:right="339" w:bottom="1440" w:gutter="0" w:footer="0" w:header="0"/>
          <w:type w:val="continuous"/>
        </w:sectPr>
      </w:pPr>
    </w:p>
    <w:p>
      <w:pPr>
        <w:ind w:left="600" w:hanging="322"/>
        <w:spacing w:after="0"/>
        <w:tabs>
          <w:tab w:leader="none" w:pos="600" w:val="left"/>
        </w:tabs>
        <w:numPr>
          <w:ilvl w:val="0"/>
          <w:numId w:val="20"/>
        </w:numPr>
        <w:rPr>
          <w:rFonts w:ascii="Arial" w:cs="Arial" w:eastAsia="Arial" w:hAnsi="Arial"/>
          <w:sz w:val="16"/>
          <w:szCs w:val="16"/>
          <w:color w:val="auto"/>
        </w:rPr>
      </w:pPr>
      <w:r>
        <w:rPr>
          <w:rFonts w:ascii="Arial" w:cs="Arial" w:eastAsia="Arial" w:hAnsi="Arial"/>
          <w:sz w:val="16"/>
          <w:szCs w:val="16"/>
          <w:b w:val="1"/>
          <w:bCs w:val="1"/>
          <w:color w:val="auto"/>
        </w:rPr>
        <w:t xml:space="preserve">Pre-tax operating losses </w:t>
      </w:r>
      <w:r>
        <w:rPr>
          <w:rFonts w:ascii="Arial" w:cs="Arial" w:eastAsia="Arial" w:hAnsi="Arial"/>
          <w:sz w:val="16"/>
          <w:szCs w:val="16"/>
          <w:color w:val="auto"/>
        </w:rPr>
        <w:t>increased $70.2 million primarily due to higher operating expenses and unfavorable variable investment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194945</wp:posOffset>
            </wp:positionV>
            <wp:extent cx="178308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37" w:lineRule="exact"/>
        <w:rPr>
          <w:sz w:val="20"/>
          <w:szCs w:val="20"/>
          <w:color w:val="auto"/>
        </w:rPr>
      </w:pPr>
    </w:p>
    <w:p>
      <w:pPr>
        <w:ind w:left="200" w:hanging="192"/>
        <w:spacing w:after="0"/>
        <w:tabs>
          <w:tab w:leader="none" w:pos="200" w:val="left"/>
        </w:tabs>
        <w:numPr>
          <w:ilvl w:val="0"/>
          <w:numId w:val="21"/>
        </w:numPr>
        <w:rPr>
          <w:rFonts w:ascii="Arial" w:cs="Arial" w:eastAsia="Arial" w:hAnsi="Arial"/>
          <w:sz w:val="25"/>
          <w:szCs w:val="25"/>
          <w:color w:val="auto"/>
          <w:vertAlign w:val="superscript"/>
        </w:rPr>
      </w:pPr>
      <w:r>
        <w:rPr>
          <w:rFonts w:ascii="Arial" w:cs="Arial" w:eastAsia="Arial" w:hAnsi="Arial"/>
          <w:sz w:val="15"/>
          <w:szCs w:val="15"/>
          <w:color w:val="auto"/>
        </w:rPr>
        <w:t>Pre-tax return on premium and fees = pre-tax operating earnings divided by premium and fees.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436880</wp:posOffset>
            </wp:positionV>
            <wp:extent cx="71323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and cautionary statements</w:t>
      </w:r>
    </w:p>
    <w:p>
      <w:pPr>
        <w:spacing w:after="0" w:line="229"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Certain statements made by the company which are not historical facts may be considered forward-looking statements, including, without limitation, statements as to non-GAAP operating earnings, net income attributable to PFG, net cash flow,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2021, and in the company’s quarterly report on Form 10-Q for the quarter ended Mar. 31, 2022,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elimination of the London Inter-Bank Offered Rate (“LIBOR”);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for insurance and annuity products could differ significantly from its pricing and reserving assumptions; the pattern of amortizing the company’s DAC asset and other actuarial balances on its universal life-type insurance contracts, participating life insurance policies and certain investment contracts may change; changes in laws, regulations or accounting standards; the company may not be able to protect its intellectual property and may be subject to infringement claims; the company’s ability to pay stockholder dividends, make share repurchases and meet its obligations may be constrained by the limitations on dividends or other distributions Iowa insurance laws impose on Principal Life;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including from companies that may have greater financial resources, broader arrays of products, higher ratings and stronger financial performance; technological and societal changes may disrupt the company’s business model and impair its ability to retain existing customers, attract new customers and maintain its profitability; damage to the company’s reputation; a downgrade in the company’s financial strength or credit ratings; client terminations, withdrawals or changes in investor preferences; the company’s hedging or risk management strategies prove ineffective or insufficient; inability to attract, develop and retain qualified employees and sales representatives and develop new distribution sources; an interruption in information technology, infrastructure or other internal or external systems used for business operations, or a failure to maintain the confidentiality, integrity or availability of data residing on such systems; international business risks including changes to mandatory pension schemes; risks arising from participation in joint ventures; the company may need to fund deficiencies in its “Closed Block” assets; a pandemic, terrorist attack, military action or other catastrophic event; the ongoing COVID-19 pandemic and the resulting financial market impacts; the company’s reinsurers could default on their obligations or increase their rates; risks arising from acquisitions of businesses; risks related to the company’s acquisition of Wells Fargo Bank, N.A.’s IRT business; risks related to existing reinsurance arrangements, including counterparty risk, yearly renewable term mortality reinsurance rate increases, and recapture risk; loss of key vendor relationships or failure of a vendor to protect information of our customers or employees; the company’s enterprise risk management framework may not be fully effective in identifying or mitigating all of the risks to which the company is exposed; and global climate change.</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Non-GAAP financial measures</w:t>
      </w:r>
    </w:p>
    <w:p>
      <w:pPr>
        <w:spacing w:after="0" w:line="229"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 future reporting periods. Management also uses non-GAAP measures for goal setting, as a basis for determining employee and senior management awards and compensation and evaluating performance on a basis comparable to that used by investors and securities analysts.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229" w:lineRule="exact"/>
        <w:rPr>
          <w:sz w:val="20"/>
          <w:szCs w:val="20"/>
          <w:color w:val="auto"/>
        </w:rPr>
      </w:pPr>
    </w:p>
    <w:p>
      <w:pPr>
        <w:jc w:val="both"/>
        <w:ind w:right="400"/>
        <w:spacing w:after="0" w:line="263" w:lineRule="auto"/>
        <w:rPr>
          <w:sz w:val="20"/>
          <w:szCs w:val="20"/>
          <w:color w:val="auto"/>
        </w:rPr>
      </w:pPr>
      <w:r>
        <w:rPr>
          <w:rFonts w:ascii="Arial" w:cs="Arial" w:eastAsia="Arial" w:hAnsi="Arial"/>
          <w:sz w:val="18"/>
          <w:szCs w:val="18"/>
          <w:color w:val="auto"/>
        </w:rPr>
        <w:t>On Tuesday, Aug. 9, 2022,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p>
      <w:pPr>
        <w:spacing w:after="0" w:line="184" w:lineRule="exact"/>
        <w:rPr>
          <w:sz w:val="20"/>
          <w:szCs w:val="20"/>
          <w:color w:val="auto"/>
        </w:rPr>
      </w:pPr>
    </w:p>
    <w:p>
      <w:pPr>
        <w:ind w:left="660" w:right="220" w:hanging="328"/>
        <w:spacing w:after="0" w:line="258"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Via live Internet webcast. Please go to </w:t>
      </w:r>
      <w:r>
        <w:rPr>
          <w:rFonts w:ascii="Arial" w:cs="Arial" w:eastAsia="Arial" w:hAnsi="Arial"/>
          <w:sz w:val="18"/>
          <w:szCs w:val="18"/>
          <w:u w:val="single" w:color="auto"/>
          <w:color w:val="auto"/>
        </w:rPr>
        <w:t>principal.com/investor</w:t>
      </w:r>
      <w:r>
        <w:rPr>
          <w:rFonts w:ascii="Arial" w:cs="Arial" w:eastAsia="Arial" w:hAnsi="Arial"/>
          <w:sz w:val="18"/>
          <w:szCs w:val="18"/>
          <w:color w:val="auto"/>
        </w:rPr>
        <w:t xml:space="preserve"> at least 10-15 minutes prior to the start of the call to register, and to download and install any necessary audio software.</w:t>
      </w:r>
    </w:p>
    <w:p>
      <w:pPr>
        <w:spacing w:after="0" w:line="1" w:lineRule="exact"/>
        <w:rPr>
          <w:rFonts w:ascii="Arial" w:cs="Arial" w:eastAsia="Arial" w:hAnsi="Arial"/>
          <w:sz w:val="18"/>
          <w:szCs w:val="18"/>
          <w:color w:val="auto"/>
        </w:rPr>
      </w:pPr>
    </w:p>
    <w:p>
      <w:pPr>
        <w:ind w:left="660" w:right="120" w:hanging="328"/>
        <w:spacing w:after="0" w:line="250"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Via telephone by dialing 877-407-0832 (U.S. and Canadian callers) or 201-689-8433 (international callers) approximately 10 minutes prior to the start of the call.</w:t>
      </w:r>
    </w:p>
    <w:p>
      <w:pPr>
        <w:ind w:left="660" w:right="40" w:hanging="328"/>
        <w:spacing w:after="0" w:line="250"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Replay of the earnings call via telephone is available by dialing 877-660-6853 (U.S. and Canadian callers) or 201-612-7415 (international callers). The access code is 13731251. This replay will be available approximately two hours after the completion of the live earnings call through the end of day Aug. 12, 2022.</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Replay of the earnings call via webcast as well as a transcript of the call will be available after the call at </w:t>
      </w:r>
      <w:r>
        <w:rPr>
          <w:rFonts w:ascii="Arial" w:cs="Arial" w:eastAsia="Arial" w:hAnsi="Arial"/>
          <w:sz w:val="18"/>
          <w:szCs w:val="18"/>
          <w:u w:val="single" w:color="auto"/>
          <w:color w:val="auto"/>
        </w:rPr>
        <w:t>principal.com/investor</w:t>
      </w:r>
      <w:r>
        <w:rPr>
          <w:rFonts w:ascii="Arial" w:cs="Arial" w:eastAsia="Arial" w:hAnsi="Arial"/>
          <w:sz w:val="18"/>
          <w:szCs w:val="18"/>
          <w:color w:val="auto"/>
        </w:rPr>
        <w:t>.</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The company’s financial supplement and slide presentation is currently available at </w:t>
      </w:r>
      <w:r>
        <w:rPr>
          <w:rFonts w:ascii="Arial" w:cs="Arial" w:eastAsia="Arial" w:hAnsi="Arial"/>
          <w:sz w:val="17"/>
          <w:szCs w:val="17"/>
          <w:u w:val="single" w:color="auto"/>
          <w:color w:val="auto"/>
        </w:rPr>
        <w:t>principal.com/investor</w:t>
      </w:r>
      <w:r>
        <w:rPr>
          <w:rFonts w:ascii="Arial" w:cs="Arial" w:eastAsia="Arial" w:hAnsi="Arial"/>
          <w:sz w:val="17"/>
          <w:szCs w:val="17"/>
          <w:color w:val="auto"/>
        </w:rPr>
        <w:t>, and may be referred to during the call.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450850</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522"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Principal</w:t>
      </w:r>
      <w:r>
        <w:rPr>
          <w:rFonts w:ascii="Arial" w:cs="Arial" w:eastAsia="Arial" w:hAnsi="Arial"/>
          <w:sz w:val="29"/>
          <w:szCs w:val="29"/>
          <w:b w:val="1"/>
          <w:bCs w:val="1"/>
          <w:color w:val="auto"/>
          <w:vertAlign w:val="superscript"/>
        </w:rPr>
        <w:t>®</w:t>
      </w:r>
      <w:r>
        <w:rPr>
          <w:rFonts w:ascii="Arial" w:cs="Arial" w:eastAsia="Arial" w:hAnsi="Arial"/>
          <w:sz w:val="35"/>
          <w:szCs w:val="35"/>
          <w:b w:val="1"/>
          <w:bCs w:val="1"/>
          <w:color w:val="auto"/>
          <w:vertAlign w:val="superscript"/>
        </w:rPr>
        <w:t>11</w:t>
      </w:r>
    </w:p>
    <w:p>
      <w:pPr>
        <w:spacing w:after="0" w:line="91" w:lineRule="exact"/>
        <w:rPr>
          <w:sz w:val="20"/>
          <w:szCs w:val="20"/>
          <w:color w:val="auto"/>
        </w:rPr>
      </w:pPr>
    </w:p>
    <w:p>
      <w:pPr>
        <w:ind w:right="100"/>
        <w:spacing w:after="0" w:line="227" w:lineRule="auto"/>
        <w:rPr>
          <w:sz w:val="20"/>
          <w:szCs w:val="20"/>
          <w:color w:val="auto"/>
        </w:rPr>
      </w:pPr>
      <w:r>
        <w:rPr>
          <w:rFonts w:ascii="Arial" w:cs="Arial" w:eastAsia="Arial" w:hAnsi="Arial"/>
          <w:sz w:val="16"/>
          <w:szCs w:val="16"/>
          <w:color w:val="auto"/>
        </w:rPr>
        <w:t>Principal Financial Group</w:t>
      </w:r>
      <w:r>
        <w:rPr>
          <w:rFonts w:ascii="Arial" w:cs="Arial" w:eastAsia="Arial" w:hAnsi="Arial"/>
          <w:sz w:val="26"/>
          <w:szCs w:val="26"/>
          <w:color w:val="auto"/>
          <w:vertAlign w:val="superscript"/>
        </w:rPr>
        <w:t>®</w:t>
      </w:r>
      <w:r>
        <w:rPr>
          <w:rFonts w:ascii="Arial" w:cs="Arial" w:eastAsia="Arial" w:hAnsi="Arial"/>
          <w:sz w:val="16"/>
          <w:szCs w:val="16"/>
          <w:color w:val="auto"/>
        </w:rPr>
        <w:t xml:space="preserve"> (Nasdaq: PFG) is a global financial company with over 18,500 employees</w:t>
      </w:r>
      <w:r>
        <w:rPr>
          <w:rFonts w:ascii="Arial" w:cs="Arial" w:eastAsia="Arial" w:hAnsi="Arial"/>
          <w:sz w:val="26"/>
          <w:szCs w:val="26"/>
          <w:color w:val="auto"/>
          <w:vertAlign w:val="superscript"/>
        </w:rPr>
        <w:t>12</w:t>
      </w:r>
      <w:r>
        <w:rPr>
          <w:rFonts w:ascii="Arial" w:cs="Arial" w:eastAsia="Arial" w:hAnsi="Arial"/>
          <w:sz w:val="16"/>
          <w:szCs w:val="16"/>
          <w:color w:val="auto"/>
        </w:rPr>
        <w:t xml:space="preserve"> passionate about improving the wealth and well-being of people and businesses. In business for more than 140 years, we’re helping more than 54 million customers</w:t>
      </w:r>
      <w:r>
        <w:rPr>
          <w:rFonts w:ascii="Arial" w:cs="Arial" w:eastAsia="Arial" w:hAnsi="Arial"/>
          <w:sz w:val="26"/>
          <w:szCs w:val="26"/>
          <w:color w:val="auto"/>
          <w:vertAlign w:val="superscript"/>
        </w:rPr>
        <w:t>12</w:t>
      </w:r>
      <w:r>
        <w:rPr>
          <w:rFonts w:ascii="Arial" w:cs="Arial" w:eastAsia="Arial" w:hAnsi="Arial"/>
          <w:sz w:val="16"/>
          <w:szCs w:val="16"/>
          <w:color w:val="auto"/>
        </w:rPr>
        <w:t xml:space="preserve"> plan, insure, invest, and retire, while working to improve our planet, support the communities where we do business, and build a diverse, inclusive workforce. Principal</w:t>
      </w:r>
      <w:r>
        <w:rPr>
          <w:rFonts w:ascii="Arial" w:cs="Arial" w:eastAsia="Arial" w:hAnsi="Arial"/>
          <w:sz w:val="26"/>
          <w:szCs w:val="26"/>
          <w:color w:val="auto"/>
          <w:vertAlign w:val="superscript"/>
        </w:rPr>
        <w:t>®</w:t>
      </w:r>
      <w:r>
        <w:rPr>
          <w:rFonts w:ascii="Arial" w:cs="Arial" w:eastAsia="Arial" w:hAnsi="Arial"/>
          <w:sz w:val="16"/>
          <w:szCs w:val="16"/>
          <w:color w:val="auto"/>
        </w:rPr>
        <w:t xml:space="preserve"> is proud to be recognized as one of America’s 100 Most Sustainable Companies</w:t>
      </w:r>
      <w:r>
        <w:rPr>
          <w:rFonts w:ascii="Arial" w:cs="Arial" w:eastAsia="Arial" w:hAnsi="Arial"/>
          <w:sz w:val="26"/>
          <w:szCs w:val="26"/>
          <w:color w:val="auto"/>
          <w:vertAlign w:val="superscript"/>
        </w:rPr>
        <w:t>13</w:t>
      </w:r>
      <w:r>
        <w:rPr>
          <w:rFonts w:ascii="Arial" w:cs="Arial" w:eastAsia="Arial" w:hAnsi="Arial"/>
          <w:sz w:val="16"/>
          <w:szCs w:val="16"/>
          <w:color w:val="auto"/>
        </w:rPr>
        <w:t>, a member of the Bloomberg Gender Equality Index, and a Top 10 “Best Places to Work in Money Management</w:t>
      </w:r>
      <w:r>
        <w:rPr>
          <w:rFonts w:ascii="Arial" w:cs="Arial" w:eastAsia="Arial" w:hAnsi="Arial"/>
          <w:sz w:val="26"/>
          <w:szCs w:val="26"/>
          <w:color w:val="auto"/>
          <w:vertAlign w:val="superscript"/>
        </w:rPr>
        <w:t>14</w:t>
      </w:r>
      <w:r>
        <w:rPr>
          <w:rFonts w:ascii="Arial" w:cs="Arial" w:eastAsia="Arial" w:hAnsi="Arial"/>
          <w:sz w:val="16"/>
          <w:szCs w:val="16"/>
          <w:color w:val="auto"/>
        </w:rPr>
        <w:t xml:space="preserve">.” Learn more about Principal and our commitment to sustainability, inclusion, and purpose at </w:t>
      </w:r>
      <w:r>
        <w:rPr>
          <w:rFonts w:ascii="Arial" w:cs="Arial" w:eastAsia="Arial" w:hAnsi="Arial"/>
          <w:sz w:val="16"/>
          <w:szCs w:val="16"/>
          <w:u w:val="single" w:color="auto"/>
          <w:color w:val="auto"/>
        </w:rPr>
        <w:t>principal.com</w:t>
      </w:r>
      <w:r>
        <w:rPr>
          <w:rFonts w:ascii="Arial" w:cs="Arial" w:eastAsia="Arial" w:hAnsi="Arial"/>
          <w:sz w:val="16"/>
          <w:szCs w:val="16"/>
          <w:color w:val="auto"/>
        </w:rPr>
        <w:t>.</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400" w:type="dxa"/>
            <w:vAlign w:val="bottom"/>
          </w:tcPr>
          <w:p>
            <w:pPr>
              <w:spacing w:after="0"/>
              <w:rPr>
                <w:sz w:val="20"/>
                <w:szCs w:val="20"/>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5400" w:type="dxa"/>
            <w:vAlign w:val="bottom"/>
          </w:tcPr>
          <w:p>
            <w:pPr>
              <w:spacing w:after="0"/>
              <w:rPr>
                <w:sz w:val="20"/>
                <w:szCs w:val="20"/>
                <w:color w:val="auto"/>
              </w:rPr>
            </w:pPr>
            <w:r>
              <w:rPr>
                <w:rFonts w:ascii="Arial" w:cs="Arial" w:eastAsia="Arial" w:hAnsi="Arial"/>
                <w:sz w:val="18"/>
                <w:szCs w:val="18"/>
                <w:b w:val="1"/>
                <w:bCs w:val="1"/>
                <w:i w:val="1"/>
                <w:iCs w:val="1"/>
                <w:color w:val="auto"/>
                <w:w w:val="96"/>
              </w:rPr>
              <w:t>Summary of Principal Financial Group, Inc. and Segment Results</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46"/>
        </w:trPr>
        <w:tc>
          <w:tcPr>
            <w:tcW w:w="5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i w:val="1"/>
                <w:iCs w:val="1"/>
                <w:color w:val="auto"/>
              </w:rPr>
              <w:t>(in millions)</w:t>
            </w:r>
          </w:p>
        </w:tc>
        <w:tc>
          <w:tcPr>
            <w:tcW w:w="8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23"/>
        </w:trPr>
        <w:tc>
          <w:tcPr>
            <w:tcW w:w="5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40" w:type="dxa"/>
            <w:vAlign w:val="bottom"/>
            <w:gridSpan w:val="6"/>
          </w:tcPr>
          <w:p>
            <w:pPr>
              <w:jc w:val="right"/>
              <w:ind w:right="800"/>
              <w:spacing w:after="0"/>
              <w:rPr>
                <w:sz w:val="20"/>
                <w:szCs w:val="20"/>
                <w:color w:val="auto"/>
              </w:rPr>
            </w:pPr>
            <w:r>
              <w:rPr>
                <w:rFonts w:ascii="Arial" w:cs="Arial" w:eastAsia="Arial" w:hAnsi="Arial"/>
                <w:sz w:val="18"/>
                <w:szCs w:val="18"/>
                <w:i w:val="1"/>
                <w:iCs w:val="1"/>
                <w:color w:val="auto"/>
              </w:rPr>
              <w:t>Three Months Ended,</w:t>
            </w:r>
          </w:p>
        </w:tc>
        <w:tc>
          <w:tcPr>
            <w:tcW w:w="340" w:type="dxa"/>
            <w:vAlign w:val="bottom"/>
          </w:tcPr>
          <w:p>
            <w:pPr>
              <w:spacing w:after="0"/>
              <w:rPr>
                <w:sz w:val="19"/>
                <w:szCs w:val="19"/>
                <w:color w:val="auto"/>
              </w:rPr>
            </w:pPr>
          </w:p>
        </w:tc>
        <w:tc>
          <w:tcPr>
            <w:tcW w:w="2340" w:type="dxa"/>
            <w:vAlign w:val="bottom"/>
            <w:gridSpan w:val="5"/>
          </w:tcPr>
          <w:p>
            <w:pPr>
              <w:jc w:val="right"/>
              <w:ind w:right="370"/>
              <w:spacing w:after="0"/>
              <w:rPr>
                <w:sz w:val="20"/>
                <w:szCs w:val="20"/>
                <w:color w:val="auto"/>
              </w:rPr>
            </w:pPr>
            <w:r>
              <w:rPr>
                <w:rFonts w:ascii="Arial" w:cs="Arial" w:eastAsia="Arial" w:hAnsi="Arial"/>
                <w:sz w:val="18"/>
                <w:szCs w:val="18"/>
                <w:i w:val="1"/>
                <w:iCs w:val="1"/>
                <w:color w:val="auto"/>
                <w:w w:val="97"/>
              </w:rPr>
              <w:t>Trailing Twelve Months,</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23"/>
        </w:trPr>
        <w:tc>
          <w:tcPr>
            <w:tcW w:w="54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i w:val="1"/>
                <w:iCs w:val="1"/>
                <w:color w:val="auto"/>
              </w:rPr>
              <w:t>Principal Financial Group, Inc. Results:</w:t>
            </w:r>
          </w:p>
        </w:tc>
        <w:tc>
          <w:tcPr>
            <w:tcW w:w="12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99"/>
              </w:rPr>
              <w:t>6/30/22</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6/30/21</w:t>
            </w:r>
          </w:p>
        </w:tc>
        <w:tc>
          <w:tcPr>
            <w:tcW w:w="220" w:type="dxa"/>
            <w:vAlign w:val="bottom"/>
            <w:tcBorders>
              <w:bottom w:val="single" w:sz="8" w:color="CCEEFF"/>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86"/>
              </w:rPr>
              <w:t>6/30/22</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6/30/21</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r>
      <w:tr>
        <w:trPr>
          <w:trHeight w:val="223"/>
        </w:trPr>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Net income attributable to PFG</w:t>
            </w:r>
          </w:p>
        </w:tc>
        <w:tc>
          <w:tcPr>
            <w:tcW w:w="1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3,059.4</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361.8</w:t>
            </w:r>
          </w:p>
        </w:tc>
        <w:tc>
          <w:tcPr>
            <w:tcW w:w="2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4,267.3</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1,587.5</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0"/>
        </w:trPr>
        <w:tc>
          <w:tcPr>
            <w:tcW w:w="5400" w:type="dxa"/>
            <w:vAlign w:val="bottom"/>
          </w:tcPr>
          <w:p>
            <w:pPr>
              <w:spacing w:after="0"/>
              <w:rPr>
                <w:sz w:val="20"/>
                <w:szCs w:val="20"/>
                <w:color w:val="auto"/>
              </w:rPr>
            </w:pPr>
            <w:r>
              <w:rPr>
                <w:rFonts w:ascii="Arial" w:cs="Arial" w:eastAsia="Arial" w:hAnsi="Arial"/>
                <w:sz w:val="18"/>
                <w:szCs w:val="18"/>
                <w:i w:val="1"/>
                <w:iCs w:val="1"/>
                <w:color w:val="auto"/>
              </w:rPr>
              <w:t>Net realized capital (gains) losses, as adjusted</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190.8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105.5</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368.5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(52.6)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29"/>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(Income) loss from exited business</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(2,827.2)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(2,827.2)</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r>
      <w:tr>
        <w:trPr>
          <w:trHeight w:val="210"/>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12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423.0</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467.3</w:t>
            </w:r>
          </w:p>
        </w:tc>
        <w:tc>
          <w:tcPr>
            <w:tcW w:w="220" w:type="dxa"/>
            <w:vAlign w:val="bottom"/>
            <w:tcBorders>
              <w:bottom w:val="single" w:sz="8" w:color="CCEEFF"/>
            </w:tcBorders>
          </w:tcPr>
          <w:p>
            <w:pPr>
              <w:spacing w:after="0"/>
              <w:rPr>
                <w:sz w:val="18"/>
                <w:szCs w:val="18"/>
                <w:color w:val="auto"/>
              </w:rPr>
            </w:pPr>
          </w:p>
        </w:tc>
        <w:tc>
          <w:tcPr>
            <w:tcW w:w="340" w:type="dxa"/>
            <w:vAlign w:val="bottom"/>
            <w:tcBorders>
              <w:top w:val="single" w:sz="8" w:color="auto"/>
              <w:bottom w:val="single" w:sz="8" w:color="auto"/>
            </w:tcBorders>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1,808.6</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1,534.9</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r>
      <w:tr>
        <w:trPr>
          <w:trHeight w:val="209"/>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Income taxes</w:t>
            </w:r>
          </w:p>
        </w:tc>
        <w:tc>
          <w:tcPr>
            <w:tcW w:w="1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88.9</w:t>
            </w:r>
          </w:p>
        </w:tc>
        <w:tc>
          <w:tcPr>
            <w:tcW w:w="2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290.0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0"/>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i w:val="1"/>
                <w:iCs w:val="1"/>
                <w:color w:val="auto"/>
              </w:rPr>
              <w:t>Non-GAAP Pre-Tax Operating Earnings</w:t>
            </w:r>
          </w:p>
        </w:tc>
        <w:tc>
          <w:tcPr>
            <w:tcW w:w="12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526.8</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556.2</w:t>
            </w:r>
          </w:p>
        </w:tc>
        <w:tc>
          <w:tcPr>
            <w:tcW w:w="2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2,232.6</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1,824.9</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r>
      <w:tr>
        <w:trPr>
          <w:trHeight w:val="209"/>
        </w:trPr>
        <w:tc>
          <w:tcPr>
            <w:tcW w:w="5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b w:val="1"/>
                <w:bCs w:val="1"/>
                <w:i w:val="1"/>
                <w:iCs w:val="1"/>
                <w:color w:val="auto"/>
              </w:rPr>
              <w:t>Segment Pre-Tax Operating Earnings (Losses):</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Retirement and Income Solutions</w:t>
            </w:r>
          </w:p>
        </w:tc>
        <w:tc>
          <w:tcPr>
            <w:tcW w:w="42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255.9</w:t>
            </w:r>
          </w:p>
        </w:tc>
        <w:tc>
          <w:tcPr>
            <w:tcW w:w="30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280.2</w:t>
            </w:r>
          </w:p>
        </w:tc>
        <w:tc>
          <w:tcPr>
            <w:tcW w:w="340" w:type="dxa"/>
            <w:vAlign w:val="bottom"/>
            <w:shd w:val="clear" w:color="auto" w:fill="CCEEFF"/>
          </w:tcPr>
          <w:p>
            <w:pPr>
              <w:jc w:val="right"/>
              <w:ind w:right="187"/>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1,146.8</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1,116.1</w:t>
            </w:r>
          </w:p>
        </w:tc>
        <w:tc>
          <w:tcPr>
            <w:tcW w:w="80" w:type="dxa"/>
            <w:vAlign w:val="bottom"/>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i w:val="1"/>
                <w:iCs w:val="1"/>
                <w:color w:val="auto"/>
              </w:rPr>
              <w:t>Principal Global Investors</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180.0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184.4</w:t>
            </w:r>
          </w:p>
        </w:tc>
        <w:tc>
          <w:tcPr>
            <w:tcW w:w="34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706.3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618.3</w:t>
            </w:r>
          </w:p>
        </w:tc>
        <w:tc>
          <w:tcPr>
            <w:tcW w:w="8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Principal International</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47.7</w:t>
            </w:r>
          </w:p>
        </w:tc>
        <w:tc>
          <w:tcPr>
            <w:tcW w:w="3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336.4</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241.1</w:t>
            </w:r>
          </w:p>
        </w:tc>
        <w:tc>
          <w:tcPr>
            <w:tcW w:w="80" w:type="dxa"/>
            <w:vAlign w:val="bottom"/>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i w:val="1"/>
                <w:iCs w:val="1"/>
                <w:color w:val="auto"/>
              </w:rPr>
              <w:t>U.S. Insurance Solutions</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151.7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126.6</w:t>
            </w:r>
          </w:p>
        </w:tc>
        <w:tc>
          <w:tcPr>
            <w:tcW w:w="34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516.5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177.2</w:t>
            </w:r>
          </w:p>
        </w:tc>
        <w:tc>
          <w:tcPr>
            <w:tcW w:w="80" w:type="dxa"/>
            <w:vAlign w:val="bottom"/>
          </w:tcPr>
          <w:p>
            <w:pPr>
              <w:spacing w:after="0"/>
              <w:rPr>
                <w:sz w:val="18"/>
                <w:szCs w:val="18"/>
                <w:color w:val="auto"/>
              </w:rPr>
            </w:pPr>
          </w:p>
        </w:tc>
      </w:tr>
      <w:tr>
        <w:trPr>
          <w:trHeight w:val="230"/>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Corporate</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(152.9)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(82.7)</w:t>
            </w:r>
          </w:p>
        </w:tc>
        <w:tc>
          <w:tcPr>
            <w:tcW w:w="34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(473.4)</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(327.8)</w:t>
            </w:r>
          </w:p>
        </w:tc>
      </w:tr>
      <w:tr>
        <w:trPr>
          <w:trHeight w:val="210"/>
        </w:trPr>
        <w:tc>
          <w:tcPr>
            <w:tcW w:w="5400" w:type="dxa"/>
            <w:vAlign w:val="bottom"/>
          </w:tcPr>
          <w:p>
            <w:pPr>
              <w:spacing w:after="0"/>
              <w:rPr>
                <w:sz w:val="20"/>
                <w:szCs w:val="20"/>
                <w:color w:val="auto"/>
              </w:rPr>
            </w:pPr>
            <w:r>
              <w:rPr>
                <w:rFonts w:ascii="Arial" w:cs="Arial" w:eastAsia="Arial" w:hAnsi="Arial"/>
                <w:sz w:val="18"/>
                <w:szCs w:val="18"/>
                <w:b w:val="1"/>
                <w:bCs w:val="1"/>
                <w:i w:val="1"/>
                <w:iCs w:val="1"/>
                <w:color w:val="auto"/>
              </w:rPr>
              <w:t>Total Segment Pre-Tax Operating Earnings</w:t>
            </w:r>
          </w:p>
        </w:tc>
        <w:tc>
          <w:tcPr>
            <w:tcW w:w="12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526.8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556.2</w:t>
            </w:r>
          </w:p>
        </w:tc>
        <w:tc>
          <w:tcPr>
            <w:tcW w:w="22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2,232.6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1,824.9</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439"/>
        </w:trPr>
        <w:tc>
          <w:tcPr>
            <w:tcW w:w="5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5"/>
          </w:tcPr>
          <w:p>
            <w:pPr>
              <w:jc w:val="right"/>
              <w:ind w:right="800"/>
              <w:spacing w:after="0"/>
              <w:rPr>
                <w:sz w:val="20"/>
                <w:szCs w:val="20"/>
                <w:color w:val="auto"/>
              </w:rPr>
            </w:pPr>
            <w:r>
              <w:rPr>
                <w:rFonts w:ascii="Arial" w:cs="Arial" w:eastAsia="Arial" w:hAnsi="Arial"/>
                <w:sz w:val="18"/>
                <w:szCs w:val="18"/>
                <w:b w:val="1"/>
                <w:bCs w:val="1"/>
                <w:color w:val="auto"/>
              </w:rPr>
              <w:t>Per Diluted Share</w:t>
            </w: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23"/>
        </w:trPr>
        <w:tc>
          <w:tcPr>
            <w:tcW w:w="5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40" w:type="dxa"/>
            <w:vAlign w:val="bottom"/>
            <w:gridSpan w:val="6"/>
          </w:tcPr>
          <w:p>
            <w:pPr>
              <w:jc w:val="right"/>
              <w:ind w:right="800"/>
              <w:spacing w:after="0"/>
              <w:rPr>
                <w:sz w:val="20"/>
                <w:szCs w:val="20"/>
                <w:color w:val="auto"/>
              </w:rPr>
            </w:pPr>
            <w:r>
              <w:rPr>
                <w:rFonts w:ascii="Arial" w:cs="Arial" w:eastAsia="Arial" w:hAnsi="Arial"/>
                <w:sz w:val="18"/>
                <w:szCs w:val="18"/>
                <w:i w:val="1"/>
                <w:iCs w:val="1"/>
                <w:color w:val="auto"/>
              </w:rPr>
              <w:t>Three Months Ended,</w:t>
            </w:r>
          </w:p>
        </w:tc>
        <w:tc>
          <w:tcPr>
            <w:tcW w:w="340" w:type="dxa"/>
            <w:vAlign w:val="bottom"/>
          </w:tcPr>
          <w:p>
            <w:pPr>
              <w:spacing w:after="0"/>
              <w:rPr>
                <w:sz w:val="19"/>
                <w:szCs w:val="19"/>
                <w:color w:val="auto"/>
              </w:rPr>
            </w:pPr>
          </w:p>
        </w:tc>
        <w:tc>
          <w:tcPr>
            <w:tcW w:w="2340" w:type="dxa"/>
            <w:vAlign w:val="bottom"/>
            <w:gridSpan w:val="5"/>
          </w:tcPr>
          <w:p>
            <w:pPr>
              <w:jc w:val="right"/>
              <w:ind w:right="570"/>
              <w:spacing w:after="0"/>
              <w:rPr>
                <w:sz w:val="20"/>
                <w:szCs w:val="20"/>
                <w:color w:val="auto"/>
              </w:rPr>
            </w:pPr>
            <w:r>
              <w:rPr>
                <w:rFonts w:ascii="Arial" w:cs="Arial" w:eastAsia="Arial" w:hAnsi="Arial"/>
                <w:sz w:val="18"/>
                <w:szCs w:val="18"/>
                <w:i w:val="1"/>
                <w:iCs w:val="1"/>
                <w:color w:val="auto"/>
              </w:rPr>
              <w:t>Six Months Ended,</w:t>
            </w:r>
          </w:p>
        </w:tc>
        <w:tc>
          <w:tcPr>
            <w:tcW w:w="100" w:type="dxa"/>
            <w:vAlign w:val="bottom"/>
            <w:gridSpan w:val="2"/>
          </w:tcPr>
          <w:p>
            <w:pPr>
              <w:spacing w:after="0"/>
              <w:rPr>
                <w:sz w:val="19"/>
                <w:szCs w:val="19"/>
                <w:color w:val="auto"/>
              </w:rPr>
            </w:pPr>
          </w:p>
        </w:tc>
      </w:tr>
      <w:tr>
        <w:trPr>
          <w:trHeight w:val="223"/>
        </w:trPr>
        <w:tc>
          <w:tcPr>
            <w:tcW w:w="54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99"/>
              </w:rPr>
              <w:t>6/30/22</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6/30/21</w:t>
            </w:r>
          </w:p>
        </w:tc>
        <w:tc>
          <w:tcPr>
            <w:tcW w:w="220" w:type="dxa"/>
            <w:vAlign w:val="bottom"/>
            <w:tcBorders>
              <w:bottom w:val="single" w:sz="8" w:color="CCEEFF"/>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86"/>
              </w:rPr>
              <w:t>6/30/22</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6/30/21</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r>
      <w:tr>
        <w:trPr>
          <w:trHeight w:val="209"/>
        </w:trPr>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Net income</w:t>
            </w:r>
          </w:p>
        </w:tc>
        <w:tc>
          <w:tcPr>
            <w:tcW w:w="1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11.94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1.32</w:t>
            </w:r>
          </w:p>
        </w:tc>
        <w:tc>
          <w:tcPr>
            <w:tcW w:w="2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13.21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3.19</w:t>
            </w:r>
          </w:p>
        </w:tc>
        <w:tc>
          <w:tcPr>
            <w:tcW w:w="100" w:type="dxa"/>
            <w:vAlign w:val="bottom"/>
            <w:gridSpan w:val="2"/>
            <w:shd w:val="clear" w:color="auto" w:fill="CCEEFF"/>
          </w:tcPr>
          <w:p>
            <w:pPr>
              <w:spacing w:after="0"/>
              <w:rPr>
                <w:sz w:val="18"/>
                <w:szCs w:val="18"/>
                <w:color w:val="auto"/>
              </w:rPr>
            </w:pPr>
          </w:p>
        </w:tc>
      </w:tr>
      <w:tr>
        <w:trPr>
          <w:trHeight w:val="210"/>
        </w:trPr>
        <w:tc>
          <w:tcPr>
            <w:tcW w:w="5400" w:type="dxa"/>
            <w:vAlign w:val="bottom"/>
          </w:tcPr>
          <w:p>
            <w:pPr>
              <w:spacing w:after="0"/>
              <w:rPr>
                <w:sz w:val="20"/>
                <w:szCs w:val="20"/>
                <w:color w:val="auto"/>
              </w:rPr>
            </w:pPr>
            <w:r>
              <w:rPr>
                <w:rFonts w:ascii="Arial" w:cs="Arial" w:eastAsia="Arial" w:hAnsi="Arial"/>
                <w:sz w:val="18"/>
                <w:szCs w:val="18"/>
                <w:i w:val="1"/>
                <w:iCs w:val="1"/>
                <w:color w:val="auto"/>
              </w:rPr>
              <w:t>Net realized capital (gains) losses, as adjusted</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0.74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0.39</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0.94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0.04</w:t>
            </w:r>
          </w:p>
        </w:tc>
        <w:tc>
          <w:tcPr>
            <w:tcW w:w="100" w:type="dxa"/>
            <w:vAlign w:val="bottom"/>
            <w:gridSpan w:val="2"/>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(Income) loss from exited business</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(11.03)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0.00</w:t>
            </w:r>
          </w:p>
        </w:tc>
        <w:tc>
          <w:tcPr>
            <w:tcW w:w="3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(10.87)</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0.00</w:t>
            </w:r>
          </w:p>
        </w:tc>
      </w:tr>
      <w:tr>
        <w:trPr>
          <w:trHeight w:val="229"/>
        </w:trPr>
        <w:tc>
          <w:tcPr>
            <w:tcW w:w="5400" w:type="dxa"/>
            <w:vAlign w:val="bottom"/>
          </w:tcPr>
          <w:p>
            <w:pPr>
              <w:spacing w:after="0"/>
              <w:rPr>
                <w:sz w:val="20"/>
                <w:szCs w:val="20"/>
                <w:color w:val="auto"/>
              </w:rPr>
            </w:pPr>
            <w:r>
              <w:rPr>
                <w:rFonts w:ascii="Arial" w:cs="Arial" w:eastAsia="Arial" w:hAnsi="Arial"/>
                <w:sz w:val="18"/>
                <w:szCs w:val="18"/>
                <w:i w:val="1"/>
                <w:iCs w:val="1"/>
                <w:color w:val="auto"/>
              </w:rPr>
              <w:t>Adjustment for redeemable noncontrolling interest</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0.00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(0.01)</w:t>
            </w:r>
          </w:p>
        </w:tc>
        <w:tc>
          <w:tcPr>
            <w:tcW w:w="340" w:type="dxa"/>
            <w:vAlign w:val="bottom"/>
          </w:tcPr>
          <w:p>
            <w:pPr>
              <w:spacing w:after="0"/>
              <w:rPr>
                <w:sz w:val="19"/>
                <w:szCs w:val="19"/>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0.00</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0.00</w:t>
            </w:r>
          </w:p>
        </w:tc>
      </w:tr>
      <w:tr>
        <w:trPr>
          <w:trHeight w:val="210"/>
        </w:trPr>
        <w:tc>
          <w:tcPr>
            <w:tcW w:w="5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1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1.70</w:t>
            </w:r>
          </w:p>
        </w:tc>
        <w:tc>
          <w:tcPr>
            <w:tcW w:w="2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3.28</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3.23</w:t>
            </w:r>
          </w:p>
        </w:tc>
        <w:tc>
          <w:tcPr>
            <w:tcW w:w="100" w:type="dxa"/>
            <w:vAlign w:val="bottom"/>
            <w:tcBorders>
              <w:top w:val="single" w:sz="8" w:color="CCEEFF"/>
            </w:tcBorders>
            <w:gridSpan w:val="2"/>
            <w:shd w:val="clear" w:color="auto" w:fill="CCEEFF"/>
          </w:tcPr>
          <w:p>
            <w:pPr>
              <w:spacing w:after="0"/>
              <w:rPr>
                <w:sz w:val="18"/>
                <w:szCs w:val="18"/>
                <w:color w:val="auto"/>
              </w:rPr>
            </w:pPr>
          </w:p>
        </w:tc>
      </w:tr>
      <w:tr>
        <w:trPr>
          <w:trHeight w:val="210"/>
        </w:trPr>
        <w:tc>
          <w:tcPr>
            <w:tcW w:w="5400" w:type="dxa"/>
            <w:vAlign w:val="bottom"/>
          </w:tcPr>
          <w:p>
            <w:pPr>
              <w:spacing w:after="0"/>
              <w:rPr>
                <w:sz w:val="20"/>
                <w:szCs w:val="20"/>
                <w:color w:val="auto"/>
              </w:rPr>
            </w:pPr>
            <w:r>
              <w:rPr>
                <w:rFonts w:ascii="Arial" w:cs="Arial" w:eastAsia="Arial" w:hAnsi="Arial"/>
                <w:sz w:val="18"/>
                <w:szCs w:val="18"/>
                <w:b w:val="1"/>
                <w:bCs w:val="1"/>
                <w:i w:val="1"/>
                <w:iCs w:val="1"/>
                <w:color w:val="auto"/>
                <w:w w:val="95"/>
              </w:rPr>
              <w:t xml:space="preserve">Weighted-average diluted common shares outstanding </w:t>
            </w:r>
            <w:r>
              <w:rPr>
                <w:rFonts w:ascii="Arial" w:cs="Arial" w:eastAsia="Arial" w:hAnsi="Arial"/>
                <w:sz w:val="18"/>
                <w:szCs w:val="18"/>
                <w:i w:val="1"/>
                <w:iCs w:val="1"/>
                <w:color w:val="auto"/>
                <w:w w:val="95"/>
              </w:rPr>
              <w:t>(in millions)</w:t>
            </w:r>
          </w:p>
        </w:tc>
        <w:tc>
          <w:tcPr>
            <w:tcW w:w="1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256.3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275.1</w:t>
            </w:r>
          </w:p>
        </w:tc>
        <w:tc>
          <w:tcPr>
            <w:tcW w:w="2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260.0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275.7</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17830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357" w:lineRule="exact"/>
        <w:rPr>
          <w:sz w:val="20"/>
          <w:szCs w:val="20"/>
          <w:color w:val="auto"/>
        </w:rPr>
      </w:pPr>
    </w:p>
    <w:p>
      <w:pPr>
        <w:ind w:right="160" w:firstLine="8"/>
        <w:spacing w:after="0" w:line="245" w:lineRule="auto"/>
        <w:tabs>
          <w:tab w:leader="none" w:pos="189" w:val="left"/>
        </w:tabs>
        <w:numPr>
          <w:ilvl w:val="0"/>
          <w:numId w:val="23"/>
        </w:numPr>
        <w:rPr>
          <w:rFonts w:ascii="Arial" w:cs="Arial" w:eastAsia="Arial" w:hAnsi="Arial"/>
          <w:sz w:val="23"/>
          <w:szCs w:val="23"/>
          <w:color w:val="auto"/>
          <w:vertAlign w:val="superscript"/>
        </w:rPr>
      </w:pPr>
      <w:r>
        <w:rPr>
          <w:rFonts w:ascii="Arial" w:cs="Arial" w:eastAsia="Arial" w:hAnsi="Arial"/>
          <w:sz w:val="15"/>
          <w:szCs w:val="15"/>
          <w:color w:val="auto"/>
        </w:rPr>
        <w:t>Principal, Principal and symbol design and Principal Financial Group are trademarks and service marks of Principal Financial Services, Inc., a member of the Principal Financial Group.</w:t>
      </w:r>
    </w:p>
    <w:p>
      <w:pPr>
        <w:ind w:left="200" w:hanging="192"/>
        <w:spacing w:after="0" w:line="214" w:lineRule="auto"/>
        <w:tabs>
          <w:tab w:leader="none" w:pos="200" w:val="left"/>
        </w:tabs>
        <w:numPr>
          <w:ilvl w:val="0"/>
          <w:numId w:val="23"/>
        </w:numPr>
        <w:rPr>
          <w:rFonts w:ascii="Arial" w:cs="Arial" w:eastAsia="Arial" w:hAnsi="Arial"/>
          <w:sz w:val="25"/>
          <w:szCs w:val="25"/>
          <w:color w:val="auto"/>
          <w:vertAlign w:val="superscript"/>
        </w:rPr>
      </w:pPr>
      <w:r>
        <w:rPr>
          <w:rFonts w:ascii="Arial" w:cs="Arial" w:eastAsia="Arial" w:hAnsi="Arial"/>
          <w:sz w:val="15"/>
          <w:szCs w:val="15"/>
          <w:color w:val="auto"/>
        </w:rPr>
        <w:t>As of June 30, 2022</w:t>
      </w:r>
    </w:p>
    <w:p>
      <w:pPr>
        <w:spacing w:after="0" w:line="42" w:lineRule="exact"/>
        <w:rPr>
          <w:rFonts w:ascii="Arial" w:cs="Arial" w:eastAsia="Arial" w:hAnsi="Arial"/>
          <w:sz w:val="25"/>
          <w:szCs w:val="25"/>
          <w:color w:val="auto"/>
          <w:vertAlign w:val="superscript"/>
        </w:rPr>
      </w:pPr>
    </w:p>
    <w:p>
      <w:pPr>
        <w:ind w:left="200" w:hanging="192"/>
        <w:spacing w:after="0" w:line="194" w:lineRule="auto"/>
        <w:tabs>
          <w:tab w:leader="none" w:pos="200" w:val="left"/>
        </w:tabs>
        <w:numPr>
          <w:ilvl w:val="0"/>
          <w:numId w:val="23"/>
        </w:numPr>
        <w:rPr>
          <w:rFonts w:ascii="Arial" w:cs="Arial" w:eastAsia="Arial" w:hAnsi="Arial"/>
          <w:sz w:val="23"/>
          <w:szCs w:val="23"/>
          <w:color w:val="auto"/>
          <w:vertAlign w:val="superscript"/>
        </w:rPr>
      </w:pPr>
      <w:r>
        <w:rPr>
          <w:rFonts w:ascii="Arial" w:cs="Arial" w:eastAsia="Arial" w:hAnsi="Arial"/>
          <w:sz w:val="15"/>
          <w:szCs w:val="15"/>
          <w:color w:val="auto"/>
        </w:rPr>
        <w:t>Barron’s, 2022</w:t>
      </w:r>
    </w:p>
    <w:p>
      <w:pPr>
        <w:spacing w:after="0" w:line="42" w:lineRule="exact"/>
        <w:rPr>
          <w:rFonts w:ascii="Arial" w:cs="Arial" w:eastAsia="Arial" w:hAnsi="Arial"/>
          <w:sz w:val="23"/>
          <w:szCs w:val="23"/>
          <w:color w:val="auto"/>
          <w:vertAlign w:val="superscript"/>
        </w:rPr>
      </w:pPr>
    </w:p>
    <w:p>
      <w:pPr>
        <w:ind w:left="200" w:hanging="192"/>
        <w:spacing w:after="0" w:line="194" w:lineRule="auto"/>
        <w:tabs>
          <w:tab w:leader="none" w:pos="200" w:val="left"/>
        </w:tabs>
        <w:numPr>
          <w:ilvl w:val="0"/>
          <w:numId w:val="23"/>
        </w:numPr>
        <w:rPr>
          <w:rFonts w:ascii="Arial" w:cs="Arial" w:eastAsia="Arial" w:hAnsi="Arial"/>
          <w:sz w:val="23"/>
          <w:szCs w:val="23"/>
          <w:color w:val="auto"/>
          <w:vertAlign w:val="superscript"/>
        </w:rPr>
      </w:pPr>
      <w:r>
        <w:rPr>
          <w:rFonts w:ascii="Arial" w:cs="Arial" w:eastAsia="Arial" w:hAnsi="Arial"/>
          <w:sz w:val="15"/>
          <w:szCs w:val="15"/>
          <w:color w:val="auto"/>
        </w:rPr>
        <w:t>Pensions &amp; Investments,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437515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0" w:name="page11"/>
    <w:bookmarkEnd w:id="10"/>
    <w:p>
      <w:pPr>
        <w:spacing w:after="0" w:line="28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448945</wp:posOffset>
            </wp:positionV>
            <wp:extent cx="1543050" cy="4883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*U.S. GAAP (GAAP) net income attributable to PFG versus non-GAAP operating earnings</w:t>
      </w:r>
    </w:p>
    <w:p>
      <w:pPr>
        <w:spacing w:after="0" w:line="229"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Management uses non-GAAP operating earnings, which is a financial measure that excludes the effect of net realized capital gains and losses, as adjusted, income (loss) from exited business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non-GAAP operating earnings enhances the understanding of results of operations by highlighting earnings attributable to the normal, ongoing operations of the company’s businesses.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00" w:type="dxa"/>
            <w:vAlign w:val="bottom"/>
          </w:tcPr>
          <w:p>
            <w:pPr>
              <w:jc w:val="center"/>
              <w:ind w:left="2870"/>
              <w:spacing w:after="0"/>
              <w:rPr>
                <w:sz w:val="20"/>
                <w:szCs w:val="20"/>
                <w:color w:val="auto"/>
              </w:rPr>
            </w:pPr>
            <w:r>
              <w:rPr>
                <w:rFonts w:ascii="Arial" w:cs="Arial" w:eastAsia="Arial" w:hAnsi="Arial"/>
                <w:sz w:val="18"/>
                <w:szCs w:val="18"/>
                <w:b w:val="1"/>
                <w:bCs w:val="1"/>
                <w:i w:val="1"/>
                <w:iCs w:val="1"/>
                <w:color w:val="auto"/>
                <w:w w:val="84"/>
              </w:rPr>
              <w:t>Selected Balance Sheet Statistics</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46"/>
        </w:trPr>
        <w:tc>
          <w:tcPr>
            <w:tcW w:w="8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540" w:type="dxa"/>
            <w:vAlign w:val="bottom"/>
            <w:gridSpan w:val="5"/>
          </w:tcPr>
          <w:p>
            <w:pPr>
              <w:ind w:left="540"/>
              <w:spacing w:after="0"/>
              <w:rPr>
                <w:sz w:val="20"/>
                <w:szCs w:val="20"/>
                <w:color w:val="auto"/>
              </w:rPr>
            </w:pPr>
            <w:r>
              <w:rPr>
                <w:rFonts w:ascii="Arial" w:cs="Arial" w:eastAsia="Arial" w:hAnsi="Arial"/>
                <w:sz w:val="18"/>
                <w:szCs w:val="18"/>
                <w:b w:val="1"/>
                <w:bCs w:val="1"/>
                <w:color w:val="auto"/>
              </w:rPr>
              <w:t>Period Ended,</w:t>
            </w:r>
          </w:p>
        </w:tc>
      </w:tr>
      <w:tr>
        <w:trPr>
          <w:trHeight w:val="209"/>
        </w:trPr>
        <w:tc>
          <w:tcPr>
            <w:tcW w:w="830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6/30/22</w:t>
            </w:r>
          </w:p>
        </w:tc>
        <w:tc>
          <w:tcPr>
            <w:tcW w:w="12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CCEEFF"/>
            </w:tcBorders>
          </w:tcPr>
          <w:p>
            <w:pPr>
              <w:spacing w:after="0"/>
              <w:rPr>
                <w:sz w:val="18"/>
                <w:szCs w:val="18"/>
                <w:color w:val="auto"/>
              </w:rPr>
            </w:pPr>
          </w:p>
        </w:tc>
        <w:tc>
          <w:tcPr>
            <w:tcW w:w="11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12/31/21</w:t>
            </w:r>
          </w:p>
        </w:tc>
        <w:tc>
          <w:tcPr>
            <w:tcW w:w="100" w:type="dxa"/>
            <w:vAlign w:val="bottom"/>
            <w:tcBorders>
              <w:bottom w:val="single" w:sz="8" w:color="CCEEFF"/>
            </w:tcBorders>
          </w:tcPr>
          <w:p>
            <w:pPr>
              <w:spacing w:after="0"/>
              <w:rPr>
                <w:sz w:val="18"/>
                <w:szCs w:val="18"/>
                <w:color w:val="auto"/>
              </w:rPr>
            </w:pPr>
          </w:p>
        </w:tc>
      </w:tr>
      <w:tr>
        <w:trPr>
          <w:trHeight w:val="209"/>
        </w:trPr>
        <w:tc>
          <w:tcPr>
            <w:tcW w:w="8300" w:type="dxa"/>
            <w:vAlign w:val="bottom"/>
            <w:shd w:val="clear" w:color="auto" w:fill="CCEEFF"/>
          </w:tcPr>
          <w:p>
            <w:pPr>
              <w:spacing w:after="0"/>
              <w:rPr>
                <w:sz w:val="20"/>
                <w:szCs w:val="20"/>
                <w:color w:val="auto"/>
              </w:rPr>
            </w:pPr>
            <w:r>
              <w:rPr>
                <w:rFonts w:ascii="Arial" w:cs="Arial" w:eastAsia="Arial" w:hAnsi="Arial"/>
                <w:sz w:val="18"/>
                <w:szCs w:val="18"/>
                <w:color w:val="auto"/>
              </w:rPr>
              <w:t>Total assets (in billions)</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293.2</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304.7</w:t>
            </w:r>
          </w:p>
        </w:tc>
        <w:tc>
          <w:tcPr>
            <w:tcW w:w="100" w:type="dxa"/>
            <w:vAlign w:val="bottom"/>
            <w:shd w:val="clear" w:color="auto" w:fill="CCEEFF"/>
          </w:tcPr>
          <w:p>
            <w:pPr>
              <w:spacing w:after="0"/>
              <w:rPr>
                <w:sz w:val="18"/>
                <w:szCs w:val="18"/>
                <w:color w:val="auto"/>
              </w:rPr>
            </w:pPr>
          </w:p>
        </w:tc>
      </w:tr>
      <w:tr>
        <w:trPr>
          <w:trHeight w:val="216"/>
        </w:trPr>
        <w:tc>
          <w:tcPr>
            <w:tcW w:w="8300" w:type="dxa"/>
            <w:vAlign w:val="bottom"/>
          </w:tcPr>
          <w:p>
            <w:pPr>
              <w:spacing w:after="0"/>
              <w:rPr>
                <w:sz w:val="20"/>
                <w:szCs w:val="20"/>
                <w:color w:val="auto"/>
              </w:rPr>
            </w:pPr>
            <w:r>
              <w:rPr>
                <w:rFonts w:ascii="Arial" w:cs="Arial" w:eastAsia="Arial" w:hAnsi="Arial"/>
                <w:sz w:val="18"/>
                <w:szCs w:val="18"/>
                <w:color w:val="auto"/>
              </w:rPr>
              <w:t>Stockholders’ equity (in millions)</w:t>
            </w:r>
          </w:p>
        </w:tc>
        <w:tc>
          <w:tcPr>
            <w:tcW w:w="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11,078.6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16,125.8</w:t>
            </w:r>
          </w:p>
        </w:tc>
      </w:tr>
      <w:tr>
        <w:trPr>
          <w:trHeight w:val="216"/>
        </w:trPr>
        <w:tc>
          <w:tcPr>
            <w:tcW w:w="8300" w:type="dxa"/>
            <w:vAlign w:val="bottom"/>
            <w:shd w:val="clear" w:color="auto" w:fill="CCEEFF"/>
          </w:tcPr>
          <w:p>
            <w:pPr>
              <w:spacing w:after="0"/>
              <w:rPr>
                <w:sz w:val="20"/>
                <w:szCs w:val="20"/>
                <w:color w:val="auto"/>
              </w:rPr>
            </w:pPr>
            <w:r>
              <w:rPr>
                <w:rFonts w:ascii="Arial" w:cs="Arial" w:eastAsia="Arial" w:hAnsi="Arial"/>
                <w:sz w:val="18"/>
                <w:szCs w:val="18"/>
                <w:color w:val="auto"/>
              </w:rPr>
              <w:t>Total common equity (in millions)</w:t>
            </w:r>
          </w:p>
        </w:tc>
        <w:tc>
          <w:tcPr>
            <w:tcW w:w="4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11,036.8</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16,069.4</w:t>
            </w:r>
          </w:p>
        </w:tc>
      </w:tr>
      <w:tr>
        <w:trPr>
          <w:trHeight w:val="202"/>
        </w:trPr>
        <w:tc>
          <w:tcPr>
            <w:tcW w:w="8300" w:type="dxa"/>
            <w:vAlign w:val="bottom"/>
          </w:tcPr>
          <w:p>
            <w:pPr>
              <w:spacing w:after="0" w:line="201" w:lineRule="exact"/>
              <w:rPr>
                <w:sz w:val="20"/>
                <w:szCs w:val="20"/>
                <w:color w:val="auto"/>
              </w:rPr>
            </w:pPr>
            <w:r>
              <w:rPr>
                <w:rFonts w:ascii="Arial" w:cs="Arial" w:eastAsia="Arial" w:hAnsi="Arial"/>
                <w:sz w:val="18"/>
                <w:szCs w:val="18"/>
                <w:color w:val="auto"/>
                <w:w w:val="97"/>
              </w:rPr>
              <w:t>Total common equity excluding cumulative change in fair value of funds withheld embedded derivative and</w:t>
            </w: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8300" w:type="dxa"/>
            <w:vAlign w:val="bottom"/>
          </w:tcPr>
          <w:p>
            <w:pPr>
              <w:ind w:left="180"/>
              <w:spacing w:after="0"/>
              <w:rPr>
                <w:sz w:val="20"/>
                <w:szCs w:val="20"/>
                <w:color w:val="auto"/>
              </w:rPr>
            </w:pPr>
            <w:r>
              <w:rPr>
                <w:rFonts w:ascii="Arial" w:cs="Arial" w:eastAsia="Arial" w:hAnsi="Arial"/>
                <w:sz w:val="18"/>
                <w:szCs w:val="18"/>
                <w:color w:val="auto"/>
                <w:w w:val="98"/>
              </w:rPr>
              <w:t>accumulated other comprehensive income (AOCI) other than foreign currency translation adjustment (in</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8300" w:type="dxa"/>
            <w:vAlign w:val="bottom"/>
          </w:tcPr>
          <w:p>
            <w:pPr>
              <w:ind w:left="180"/>
              <w:spacing w:after="0"/>
              <w:rPr>
                <w:sz w:val="20"/>
                <w:szCs w:val="20"/>
                <w:color w:val="auto"/>
              </w:rPr>
            </w:pPr>
            <w:r>
              <w:rPr>
                <w:rFonts w:ascii="Arial" w:cs="Arial" w:eastAsia="Arial" w:hAnsi="Arial"/>
                <w:sz w:val="18"/>
                <w:szCs w:val="18"/>
                <w:color w:val="auto"/>
              </w:rPr>
              <w:t>millions)</w:t>
            </w:r>
          </w:p>
        </w:tc>
        <w:tc>
          <w:tcPr>
            <w:tcW w:w="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12,561.5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12,894.9</w:t>
            </w:r>
          </w:p>
        </w:tc>
      </w:tr>
      <w:tr>
        <w:trPr>
          <w:trHeight w:val="216"/>
        </w:trPr>
        <w:tc>
          <w:tcPr>
            <w:tcW w:w="8300" w:type="dxa"/>
            <w:vAlign w:val="bottom"/>
            <w:shd w:val="clear" w:color="auto" w:fill="CCEEFF"/>
          </w:tcPr>
          <w:p>
            <w:pPr>
              <w:spacing w:after="0"/>
              <w:rPr>
                <w:sz w:val="20"/>
                <w:szCs w:val="20"/>
                <w:color w:val="auto"/>
              </w:rPr>
            </w:pPr>
            <w:r>
              <w:rPr>
                <w:rFonts w:ascii="Arial" w:cs="Arial" w:eastAsia="Arial" w:hAnsi="Arial"/>
                <w:sz w:val="18"/>
                <w:szCs w:val="18"/>
                <w:color w:val="auto"/>
              </w:rPr>
              <w:t>End of period common shares outstanding (in millions)</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249.9</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261.7</w:t>
            </w:r>
          </w:p>
        </w:tc>
      </w:tr>
      <w:tr>
        <w:trPr>
          <w:trHeight w:val="216"/>
        </w:trPr>
        <w:tc>
          <w:tcPr>
            <w:tcW w:w="8300" w:type="dxa"/>
            <w:vAlign w:val="bottom"/>
          </w:tcPr>
          <w:p>
            <w:pPr>
              <w:spacing w:after="0"/>
              <w:rPr>
                <w:sz w:val="20"/>
                <w:szCs w:val="20"/>
                <w:color w:val="auto"/>
              </w:rPr>
            </w:pPr>
            <w:r>
              <w:rPr>
                <w:rFonts w:ascii="Arial" w:cs="Arial" w:eastAsia="Arial" w:hAnsi="Arial"/>
                <w:sz w:val="18"/>
                <w:szCs w:val="18"/>
                <w:color w:val="auto"/>
              </w:rPr>
              <w:t>Book value per common share</w:t>
            </w:r>
          </w:p>
        </w:tc>
        <w:tc>
          <w:tcPr>
            <w:tcW w:w="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44.16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61.40</w:t>
            </w:r>
          </w:p>
        </w:tc>
      </w:tr>
      <w:tr>
        <w:trPr>
          <w:trHeight w:val="202"/>
        </w:trPr>
        <w:tc>
          <w:tcPr>
            <w:tcW w:w="83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Book value per common share excluding cumulative change in fair value of funds withheld embedded derivative</w:t>
            </w: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3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and AOCI other than foreign currency translation adjustment</w:t>
            </w:r>
          </w:p>
        </w:tc>
        <w:tc>
          <w:tcPr>
            <w:tcW w:w="4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50.27</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49.27</w:t>
            </w:r>
          </w:p>
        </w:tc>
      </w:tr>
      <w:tr>
        <w:trPr>
          <w:trHeight w:val="414"/>
        </w:trPr>
        <w:tc>
          <w:tcPr>
            <w:tcW w:w="8300" w:type="dxa"/>
            <w:vAlign w:val="bottom"/>
          </w:tcPr>
          <w:p>
            <w:pPr>
              <w:jc w:val="center"/>
              <w:ind w:left="2850"/>
              <w:spacing w:after="0"/>
              <w:rPr>
                <w:sz w:val="20"/>
                <w:szCs w:val="20"/>
                <w:color w:val="auto"/>
              </w:rPr>
            </w:pPr>
            <w:r>
              <w:rPr>
                <w:rFonts w:ascii="Arial" w:cs="Arial" w:eastAsia="Arial" w:hAnsi="Arial"/>
                <w:sz w:val="18"/>
                <w:szCs w:val="18"/>
                <w:b w:val="1"/>
                <w:bCs w:val="1"/>
                <w:color w:val="auto"/>
                <w:w w:val="92"/>
              </w:rPr>
              <w:t>Principal Financial Group, Inc.</w:t>
            </w: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8300" w:type="dxa"/>
            <w:vAlign w:val="bottom"/>
          </w:tcPr>
          <w:p>
            <w:pPr>
              <w:jc w:val="center"/>
              <w:ind w:left="2850"/>
              <w:spacing w:after="0"/>
              <w:rPr>
                <w:sz w:val="20"/>
                <w:szCs w:val="20"/>
                <w:color w:val="auto"/>
              </w:rPr>
            </w:pPr>
            <w:r>
              <w:rPr>
                <w:rFonts w:ascii="Arial" w:cs="Arial" w:eastAsia="Arial" w:hAnsi="Arial"/>
                <w:sz w:val="18"/>
                <w:szCs w:val="18"/>
                <w:b w:val="1"/>
                <w:bCs w:val="1"/>
                <w:color w:val="auto"/>
                <w:w w:val="91"/>
              </w:rPr>
              <w:t>Reconciliation of U.S. GAAP to Non-GAAP Financial Measures</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8300" w:type="dxa"/>
            <w:vAlign w:val="bottom"/>
          </w:tcPr>
          <w:p>
            <w:pPr>
              <w:jc w:val="center"/>
              <w:ind w:left="2870"/>
              <w:spacing w:after="0"/>
              <w:rPr>
                <w:sz w:val="20"/>
                <w:szCs w:val="20"/>
                <w:color w:val="auto"/>
              </w:rPr>
            </w:pPr>
            <w:r>
              <w:rPr>
                <w:rFonts w:ascii="Arial" w:cs="Arial" w:eastAsia="Arial" w:hAnsi="Arial"/>
                <w:sz w:val="18"/>
                <w:szCs w:val="18"/>
                <w:b w:val="1"/>
                <w:bCs w:val="1"/>
                <w:color w:val="auto"/>
                <w:w w:val="88"/>
              </w:rPr>
              <w:t>(in millions, except as indicated)</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40" w:type="dxa"/>
            <w:vAlign w:val="bottom"/>
            <w:gridSpan w:val="6"/>
          </w:tcPr>
          <w:p>
            <w:pPr>
              <w:jc w:val="right"/>
              <w:ind w:right="900"/>
              <w:spacing w:after="0"/>
              <w:rPr>
                <w:sz w:val="20"/>
                <w:szCs w:val="20"/>
                <w:color w:val="auto"/>
              </w:rPr>
            </w:pPr>
            <w:r>
              <w:rPr>
                <w:rFonts w:ascii="Arial" w:cs="Arial" w:eastAsia="Arial" w:hAnsi="Arial"/>
                <w:sz w:val="18"/>
                <w:szCs w:val="18"/>
                <w:b w:val="1"/>
                <w:bCs w:val="1"/>
                <w:color w:val="auto"/>
              </w:rPr>
              <w:t>Period Ended,</w:t>
            </w:r>
          </w:p>
        </w:tc>
      </w:tr>
      <w:tr>
        <w:trPr>
          <w:trHeight w:val="223"/>
        </w:trPr>
        <w:tc>
          <w:tcPr>
            <w:tcW w:w="836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6/30/22</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12/31/21</w:t>
            </w:r>
          </w:p>
        </w:tc>
        <w:tc>
          <w:tcPr>
            <w:tcW w:w="100" w:type="dxa"/>
            <w:vAlign w:val="bottom"/>
            <w:tcBorders>
              <w:bottom w:val="single" w:sz="8" w:color="CCEEFF"/>
            </w:tcBorders>
          </w:tcPr>
          <w:p>
            <w:pPr>
              <w:spacing w:after="0"/>
              <w:rPr>
                <w:sz w:val="19"/>
                <w:szCs w:val="19"/>
                <w:color w:val="auto"/>
              </w:rPr>
            </w:pPr>
          </w:p>
        </w:tc>
      </w:tr>
      <w:tr>
        <w:trPr>
          <w:trHeight w:val="178"/>
        </w:trPr>
        <w:tc>
          <w:tcPr>
            <w:tcW w:w="8360" w:type="dxa"/>
            <w:vAlign w:val="bottom"/>
            <w:shd w:val="clear" w:color="auto" w:fill="CCEEFF"/>
          </w:tcPr>
          <w:p>
            <w:pPr>
              <w:spacing w:after="0" w:line="177" w:lineRule="exact"/>
              <w:rPr>
                <w:sz w:val="20"/>
                <w:szCs w:val="20"/>
                <w:color w:val="auto"/>
              </w:rPr>
            </w:pPr>
            <w:r>
              <w:rPr>
                <w:rFonts w:ascii="Arial" w:cs="Arial" w:eastAsia="Arial" w:hAnsi="Arial"/>
                <w:sz w:val="18"/>
                <w:szCs w:val="18"/>
                <w:b w:val="1"/>
                <w:bCs w:val="1"/>
                <w:color w:val="auto"/>
                <w:w w:val="92"/>
              </w:rPr>
              <w:t>Stockholders’ Equity, Excluding AOCI Other Than Foreign Currency Translation Adjustment, Available to</w:t>
            </w:r>
          </w:p>
        </w:tc>
        <w:tc>
          <w:tcPr>
            <w:tcW w:w="8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34"/>
        </w:trPr>
        <w:tc>
          <w:tcPr>
            <w:tcW w:w="836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Common Stockholders:</w:t>
            </w:r>
          </w:p>
        </w:tc>
        <w:tc>
          <w:tcPr>
            <w:tcW w:w="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Stockholders’ equity</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11,078.6</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16,125.8</w:t>
            </w:r>
          </w:p>
        </w:tc>
      </w:tr>
      <w:tr>
        <w:trPr>
          <w:trHeight w:val="229"/>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(41.8)</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(56.4)</w:t>
            </w:r>
          </w:p>
        </w:tc>
      </w:tr>
      <w:tr>
        <w:trPr>
          <w:trHeight w:val="210"/>
        </w:trPr>
        <w:tc>
          <w:tcPr>
            <w:tcW w:w="8360" w:type="dxa"/>
            <w:vAlign w:val="bottom"/>
          </w:tcPr>
          <w:p>
            <w:pPr>
              <w:spacing w:after="0"/>
              <w:rPr>
                <w:sz w:val="20"/>
                <w:szCs w:val="20"/>
                <w:color w:val="auto"/>
              </w:rPr>
            </w:pPr>
            <w:r>
              <w:rPr>
                <w:rFonts w:ascii="Arial" w:cs="Arial" w:eastAsia="Arial" w:hAnsi="Arial"/>
                <w:sz w:val="18"/>
                <w:szCs w:val="18"/>
                <w:color w:val="auto"/>
              </w:rPr>
              <w:t>Stockholders’ equity available to common stockholders</w:t>
            </w:r>
          </w:p>
        </w:tc>
        <w:tc>
          <w:tcPr>
            <w:tcW w:w="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11,036.8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16,069.4</w:t>
            </w:r>
          </w:p>
        </w:tc>
        <w:tc>
          <w:tcPr>
            <w:tcW w:w="100" w:type="dxa"/>
            <w:vAlign w:val="bottom"/>
          </w:tcPr>
          <w:p>
            <w:pPr>
              <w:spacing w:after="0"/>
              <w:rPr>
                <w:sz w:val="18"/>
                <w:szCs w:val="18"/>
                <w:color w:val="auto"/>
              </w:rPr>
            </w:pP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Cumulative change in fair value of funds withheld embedded derivative</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(2,423.2)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Net unrealized capital (gains) losses</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3,618.2</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(3,519.2)</w:t>
            </w:r>
          </w:p>
        </w:tc>
      </w:tr>
      <w:tr>
        <w:trPr>
          <w:trHeight w:val="230"/>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Net unrecognized postretirement benefit obligation</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329.7</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344.7</w:t>
            </w:r>
          </w:p>
        </w:tc>
      </w:tr>
      <w:tr>
        <w:trPr>
          <w:trHeight w:val="182"/>
        </w:trPr>
        <w:tc>
          <w:tcPr>
            <w:tcW w:w="8360" w:type="dxa"/>
            <w:vAlign w:val="bottom"/>
          </w:tcPr>
          <w:p>
            <w:pPr>
              <w:spacing w:after="0" w:line="182" w:lineRule="exact"/>
              <w:rPr>
                <w:sz w:val="20"/>
                <w:szCs w:val="20"/>
                <w:color w:val="auto"/>
              </w:rPr>
            </w:pPr>
            <w:r>
              <w:rPr>
                <w:rFonts w:ascii="Arial" w:cs="Arial" w:eastAsia="Arial" w:hAnsi="Arial"/>
                <w:sz w:val="18"/>
                <w:szCs w:val="18"/>
                <w:color w:val="auto"/>
                <w:w w:val="96"/>
              </w:rPr>
              <w:t>Stockholders’ equity, excluding AOCI other than cumulative change in fair value of funds withheld embedded</w:t>
            </w:r>
          </w:p>
        </w:tc>
        <w:tc>
          <w:tcPr>
            <w:tcW w:w="8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r>
      <w:tr>
        <w:trPr>
          <w:trHeight w:val="297"/>
        </w:trPr>
        <w:tc>
          <w:tcPr>
            <w:tcW w:w="8360" w:type="dxa"/>
            <w:vAlign w:val="bottom"/>
          </w:tcPr>
          <w:p>
            <w:pPr>
              <w:ind w:left="180"/>
              <w:spacing w:after="0"/>
              <w:rPr>
                <w:sz w:val="20"/>
                <w:szCs w:val="20"/>
                <w:color w:val="auto"/>
              </w:rPr>
            </w:pPr>
            <w:r>
              <w:rPr>
                <w:rFonts w:ascii="Arial" w:cs="Arial" w:eastAsia="Arial" w:hAnsi="Arial"/>
                <w:sz w:val="18"/>
                <w:szCs w:val="18"/>
                <w:color w:val="auto"/>
              </w:rPr>
              <w:t>derivative and foreign currency translation adjustment, available to common stockholders</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12,561.5</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12,894.9</w:t>
            </w:r>
          </w:p>
        </w:tc>
      </w:tr>
      <w:tr>
        <w:trPr>
          <w:trHeight w:val="197"/>
        </w:trPr>
        <w:tc>
          <w:tcPr>
            <w:tcW w:w="83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b w:val="1"/>
                <w:bCs w:val="1"/>
                <w:color w:val="auto"/>
                <w:w w:val="94"/>
              </w:rPr>
              <w:t>Book Value Per Common Share, Excluding AOCI Other Than Foreign Currency Translation Adjustment: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Book value per common share</w:t>
            </w:r>
          </w:p>
        </w:tc>
        <w:tc>
          <w:tcPr>
            <w:tcW w:w="3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44.16</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61.40</w:t>
            </w: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Cumulative change in fair value of funds withheld embedded derivative</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(9.69)</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capital (gains) losses</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14.48</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(13.45)</w:t>
            </w:r>
          </w:p>
        </w:tc>
      </w:tr>
      <w:tr>
        <w:trPr>
          <w:trHeight w:val="230"/>
        </w:trPr>
        <w:tc>
          <w:tcPr>
            <w:tcW w:w="8360" w:type="dxa"/>
            <w:vAlign w:val="bottom"/>
          </w:tcPr>
          <w:p>
            <w:pPr>
              <w:spacing w:after="0"/>
              <w:rPr>
                <w:sz w:val="20"/>
                <w:szCs w:val="20"/>
                <w:color w:val="auto"/>
              </w:rPr>
            </w:pPr>
            <w:r>
              <w:rPr>
                <w:rFonts w:ascii="Arial" w:cs="Arial" w:eastAsia="Arial" w:hAnsi="Arial"/>
                <w:sz w:val="18"/>
                <w:szCs w:val="18"/>
                <w:color w:val="auto"/>
              </w:rPr>
              <w:t>Net unrecognized postretirement benefit obligation</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1.32</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1.32</w:t>
            </w:r>
          </w:p>
        </w:tc>
      </w:tr>
      <w:tr>
        <w:trPr>
          <w:trHeight w:val="223"/>
        </w:trPr>
        <w:tc>
          <w:tcPr>
            <w:tcW w:w="83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Book value per common share, excluding AOCI other than foreign currency translation adjustment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50.27</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49.27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8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55"/>
        </w:trPr>
        <w:tc>
          <w:tcPr>
            <w:tcW w:w="83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60" w:type="dxa"/>
            <w:vAlign w:val="bottom"/>
            <w:gridSpan w:val="3"/>
          </w:tcPr>
          <w:p>
            <w:pPr>
              <w:ind w:left="5120"/>
              <w:spacing w:after="0"/>
              <w:rPr>
                <w:sz w:val="20"/>
                <w:szCs w:val="20"/>
                <w:color w:val="auto"/>
              </w:rPr>
            </w:pPr>
            <w:r>
              <w:rPr>
                <w:rFonts w:ascii="Arial" w:cs="Arial" w:eastAsia="Arial" w:hAnsi="Arial"/>
                <w:sz w:val="18"/>
                <w:szCs w:val="18"/>
                <w:b w:val="1"/>
                <w:bCs w:val="1"/>
                <w:color w:val="auto"/>
              </w:rPr>
              <w:t>(in millions)</w:t>
            </w: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27"/>
        </w:trPr>
        <w:tc>
          <w:tcPr>
            <w:tcW w:w="5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60" w:type="dxa"/>
            <w:vAlign w:val="bottom"/>
            <w:gridSpan w:val="5"/>
          </w:tcPr>
          <w:p>
            <w:pPr>
              <w:jc w:val="right"/>
              <w:ind w:right="521"/>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24"/>
                <w:szCs w:val="24"/>
                <w:color w:val="auto"/>
              </w:rPr>
            </w:pPr>
          </w:p>
        </w:tc>
        <w:tc>
          <w:tcPr>
            <w:tcW w:w="2420" w:type="dxa"/>
            <w:vAlign w:val="bottom"/>
            <w:gridSpan w:val="6"/>
          </w:tcPr>
          <w:p>
            <w:pPr>
              <w:jc w:val="right"/>
              <w:ind w:right="420"/>
              <w:spacing w:after="0"/>
              <w:rPr>
                <w:sz w:val="20"/>
                <w:szCs w:val="20"/>
                <w:color w:val="auto"/>
              </w:rPr>
            </w:pPr>
            <w:r>
              <w:rPr>
                <w:rFonts w:ascii="Arial" w:cs="Arial" w:eastAsia="Arial" w:hAnsi="Arial"/>
                <w:sz w:val="18"/>
                <w:szCs w:val="18"/>
                <w:b w:val="1"/>
                <w:bCs w:val="1"/>
                <w:color w:val="auto"/>
                <w:w w:val="97"/>
              </w:rPr>
              <w:t>Trailing Twelve Months,</w:t>
            </w:r>
          </w:p>
        </w:tc>
      </w:tr>
      <w:tr>
        <w:trPr>
          <w:trHeight w:val="223"/>
        </w:trPr>
        <w:tc>
          <w:tcPr>
            <w:tcW w:w="590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6/30/22</w:t>
            </w:r>
          </w:p>
        </w:tc>
        <w:tc>
          <w:tcPr>
            <w:tcW w:w="22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6/30/21</w:t>
            </w:r>
          </w:p>
        </w:tc>
        <w:tc>
          <w:tcPr>
            <w:tcW w:w="22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6/30/22</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6/30/21</w:t>
            </w:r>
          </w:p>
        </w:tc>
        <w:tc>
          <w:tcPr>
            <w:tcW w:w="100" w:type="dxa"/>
            <w:vAlign w:val="bottom"/>
            <w:tcBorders>
              <w:bottom w:val="single" w:sz="8" w:color="CCEEFF"/>
            </w:tcBorders>
          </w:tcPr>
          <w:p>
            <w:pPr>
              <w:spacing w:after="0"/>
              <w:rPr>
                <w:sz w:val="19"/>
                <w:szCs w:val="19"/>
                <w:color w:val="auto"/>
              </w:rPr>
            </w:pPr>
          </w:p>
        </w:tc>
      </w:tr>
      <w:tr>
        <w:trPr>
          <w:trHeight w:val="209"/>
        </w:trPr>
        <w:tc>
          <w:tcPr>
            <w:tcW w:w="5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Taxes: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Total GAAP income taxes</w:t>
            </w:r>
          </w:p>
        </w:tc>
        <w:tc>
          <w:tcPr>
            <w:tcW w:w="260" w:type="dxa"/>
            <w:vAlign w:val="bottom"/>
            <w:gridSpan w:val="2"/>
          </w:tcPr>
          <w:p>
            <w:pPr>
              <w:jc w:val="right"/>
              <w:ind w:right="67"/>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822.5</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61.0</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61"/>
              <w:spacing w:after="0"/>
              <w:rPr>
                <w:sz w:val="20"/>
                <w:szCs w:val="20"/>
                <w:color w:val="auto"/>
              </w:rPr>
            </w:pPr>
            <w:r>
              <w:rPr>
                <w:rFonts w:ascii="Arial" w:cs="Arial" w:eastAsia="Arial" w:hAnsi="Arial"/>
                <w:sz w:val="18"/>
                <w:szCs w:val="18"/>
                <w:color w:val="auto"/>
              </w:rPr>
              <w:t>1,037.4</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297.9</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tax adjustments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62.7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25.2</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133.7</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(33.6)</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Exited business tax adjustments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(791.3)</w:t>
            </w: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(791.3)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w w:val="94"/>
              </w:rPr>
              <w:t>Income taxes related to equity method investments and noncontrolling interest</w:t>
            </w: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9.9</w:t>
            </w: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2.7</w:t>
            </w:r>
          </w:p>
        </w:tc>
        <w:tc>
          <w:tcPr>
            <w:tcW w:w="2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44.2</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25.7</w:t>
            </w:r>
          </w:p>
        </w:tc>
      </w:tr>
      <w:tr>
        <w:trPr>
          <w:trHeight w:val="263"/>
        </w:trPr>
        <w:tc>
          <w:tcPr>
            <w:tcW w:w="59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taxes</w:t>
            </w:r>
          </w:p>
        </w:tc>
        <w:tc>
          <w:tcPr>
            <w:tcW w:w="4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103.8</w:t>
            </w:r>
          </w:p>
        </w:tc>
        <w:tc>
          <w:tcPr>
            <w:tcW w:w="2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88.9</w:t>
            </w:r>
          </w:p>
        </w:tc>
        <w:tc>
          <w:tcPr>
            <w:tcW w:w="2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424.0</w:t>
            </w:r>
          </w:p>
        </w:tc>
        <w:tc>
          <w:tcPr>
            <w:tcW w:w="14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290.0</w:t>
            </w:r>
          </w:p>
        </w:tc>
        <w:tc>
          <w:tcPr>
            <w:tcW w:w="100" w:type="dxa"/>
            <w:vAlign w:val="bottom"/>
            <w:tcBorders>
              <w:bottom w:val="single" w:sz="8" w:color="CCEEFF"/>
            </w:tcBorders>
          </w:tcPr>
          <w:p>
            <w:pPr>
              <w:spacing w:after="0"/>
              <w:rPr>
                <w:sz w:val="22"/>
                <w:szCs w:val="22"/>
                <w:color w:val="auto"/>
              </w:rPr>
            </w:pPr>
          </w:p>
        </w:tc>
      </w:tr>
      <w:tr>
        <w:trPr>
          <w:trHeight w:val="197"/>
        </w:trPr>
        <w:tc>
          <w:tcPr>
            <w:tcW w:w="59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b w:val="1"/>
                <w:bCs w:val="1"/>
                <w:color w:val="auto"/>
              </w:rPr>
              <w:t>Net Realized Capital Gains (Losses):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GAAP net realized capital gains (losses)</w:t>
            </w:r>
          </w:p>
        </w:tc>
        <w:tc>
          <w:tcPr>
            <w:tcW w:w="26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(227.9)</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(41.1)</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(446.2)</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308.9</w:t>
            </w:r>
          </w:p>
        </w:tc>
      </w:tr>
      <w:tr>
        <w:trPr>
          <w:trHeight w:val="216"/>
        </w:trPr>
        <w:tc>
          <w:tcPr>
            <w:tcW w:w="5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Recognition of front-end fee revenues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4.0</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(2.8)</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Market value adjustments to fee revenues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0.1</w:t>
            </w: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(0.1)</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related to equity method investments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(9.0)</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(0.4)</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(29.1)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Derivative and hedging-related revenue adjustments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(33.7)</w:t>
            </w:r>
          </w:p>
        </w:tc>
        <w:tc>
          <w:tcPr>
            <w:tcW w:w="200" w:type="dxa"/>
            <w:vAlign w:val="bottom"/>
          </w:tcPr>
          <w:p>
            <w:pPr>
              <w:spacing w:after="0"/>
              <w:rPr>
                <w:sz w:val="18"/>
                <w:szCs w:val="18"/>
                <w:color w:val="auto"/>
              </w:rPr>
            </w:pPr>
          </w:p>
        </w:tc>
        <w:tc>
          <w:tcPr>
            <w:tcW w:w="1140" w:type="dxa"/>
            <w:vAlign w:val="bottom"/>
            <w:gridSpan w:val="2"/>
          </w:tcPr>
          <w:p>
            <w:pPr>
              <w:jc w:val="right"/>
              <w:ind w:right="81"/>
              <w:spacing w:after="0"/>
              <w:rPr>
                <w:sz w:val="20"/>
                <w:szCs w:val="20"/>
                <w:color w:val="auto"/>
              </w:rPr>
            </w:pPr>
            <w:r>
              <w:rPr>
                <w:rFonts w:ascii="Arial" w:cs="Arial" w:eastAsia="Arial" w:hAnsi="Arial"/>
                <w:sz w:val="18"/>
                <w:szCs w:val="18"/>
                <w:color w:val="auto"/>
              </w:rPr>
              <w:t>(39.4)</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(156.3)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(162.0)</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Sponsored investment fund adjustments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5.9</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5.1</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22.9</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20.0</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Amortization of deferred acquisition costs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(7.6)</w:t>
            </w:r>
          </w:p>
        </w:tc>
        <w:tc>
          <w:tcPr>
            <w:tcW w:w="200" w:type="dxa"/>
            <w:vAlign w:val="bottom"/>
          </w:tcPr>
          <w:p>
            <w:pPr>
              <w:spacing w:after="0"/>
              <w:rPr>
                <w:sz w:val="18"/>
                <w:szCs w:val="18"/>
                <w:color w:val="auto"/>
              </w:rPr>
            </w:pPr>
          </w:p>
        </w:tc>
        <w:tc>
          <w:tcPr>
            <w:tcW w:w="1140" w:type="dxa"/>
            <w:vAlign w:val="bottom"/>
            <w:gridSpan w:val="2"/>
          </w:tcPr>
          <w:p>
            <w:pPr>
              <w:jc w:val="right"/>
              <w:ind w:right="81"/>
              <w:spacing w:after="0"/>
              <w:rPr>
                <w:sz w:val="20"/>
                <w:szCs w:val="20"/>
                <w:color w:val="auto"/>
              </w:rPr>
            </w:pPr>
            <w:r>
              <w:rPr>
                <w:rFonts w:ascii="Arial" w:cs="Arial" w:eastAsia="Arial" w:hAnsi="Arial"/>
                <w:sz w:val="18"/>
                <w:szCs w:val="18"/>
                <w:color w:val="auto"/>
              </w:rPr>
              <w:t>(10.7)</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(17.1)</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84.4</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Capital gains distributed – operating expenses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35.0</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(32.6)</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70.1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(109.5)</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Amortization of other actuarial balances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(11.8)</w:t>
            </w:r>
          </w:p>
        </w:tc>
        <w:tc>
          <w:tcPr>
            <w:tcW w:w="200" w:type="dxa"/>
            <w:vAlign w:val="bottom"/>
          </w:tcPr>
          <w:p>
            <w:pPr>
              <w:spacing w:after="0"/>
              <w:rPr>
                <w:sz w:val="18"/>
                <w:szCs w:val="18"/>
                <w:color w:val="auto"/>
              </w:rPr>
            </w:pPr>
          </w:p>
        </w:tc>
        <w:tc>
          <w:tcPr>
            <w:tcW w:w="1140" w:type="dxa"/>
            <w:vAlign w:val="bottom"/>
            <w:gridSpan w:val="2"/>
          </w:tcPr>
          <w:p>
            <w:pPr>
              <w:jc w:val="right"/>
              <w:ind w:right="81"/>
              <w:spacing w:after="0"/>
              <w:rPr>
                <w:sz w:val="20"/>
                <w:szCs w:val="20"/>
                <w:color w:val="auto"/>
              </w:rPr>
            </w:pPr>
            <w:r>
              <w:rPr>
                <w:rFonts w:ascii="Arial" w:cs="Arial" w:eastAsia="Arial" w:hAnsi="Arial"/>
                <w:sz w:val="18"/>
                <w:szCs w:val="18"/>
                <w:color w:val="auto"/>
              </w:rPr>
              <w:t>(10.2)</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(5.4)</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31.5</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Market value adjustments of embedded derivatives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(21.5)</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2.5</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37.5</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(31.0)</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Capital gains distributed – cost of interest credited</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(5.4)</w:t>
            </w:r>
          </w:p>
        </w:tc>
        <w:tc>
          <w:tcPr>
            <w:tcW w:w="200" w:type="dxa"/>
            <w:vAlign w:val="bottom"/>
          </w:tcPr>
          <w:p>
            <w:pPr>
              <w:spacing w:after="0"/>
              <w:rPr>
                <w:sz w:val="18"/>
                <w:szCs w:val="18"/>
                <w:color w:val="auto"/>
              </w:rPr>
            </w:pPr>
          </w:p>
        </w:tc>
        <w:tc>
          <w:tcPr>
            <w:tcW w:w="1140" w:type="dxa"/>
            <w:vAlign w:val="bottom"/>
            <w:gridSpan w:val="2"/>
          </w:tcPr>
          <w:p>
            <w:pPr>
              <w:jc w:val="right"/>
              <w:ind w:right="81"/>
              <w:spacing w:after="0"/>
              <w:rPr>
                <w:sz w:val="20"/>
                <w:szCs w:val="20"/>
                <w:color w:val="auto"/>
              </w:rPr>
            </w:pPr>
            <w:r>
              <w:rPr>
                <w:rFonts w:ascii="Arial" w:cs="Arial" w:eastAsia="Arial" w:hAnsi="Arial"/>
                <w:sz w:val="18"/>
                <w:szCs w:val="18"/>
                <w:color w:val="auto"/>
              </w:rPr>
              <w:t>(0.3)</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(2.9)</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(21.7)</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tax adjustments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62.7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25.2</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133.7</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(33.6)</w:t>
            </w:r>
          </w:p>
        </w:tc>
      </w:tr>
      <w:tr>
        <w:trPr>
          <w:trHeight w:val="230"/>
        </w:trPr>
        <w:tc>
          <w:tcPr>
            <w:tcW w:w="5900" w:type="dxa"/>
            <w:vAlign w:val="bottom"/>
          </w:tcPr>
          <w:p>
            <w:pPr>
              <w:spacing w:after="0"/>
              <w:rPr>
                <w:sz w:val="20"/>
                <w:szCs w:val="20"/>
                <w:color w:val="auto"/>
              </w:rPr>
            </w:pPr>
            <w:r>
              <w:rPr>
                <w:rFonts w:ascii="Arial" w:cs="Arial" w:eastAsia="Arial" w:hAnsi="Arial"/>
                <w:sz w:val="18"/>
                <w:szCs w:val="18"/>
                <w:color w:val="auto"/>
                <w:w w:val="91"/>
              </w:rPr>
              <w:t>Net realized capital gains (losses) attributable to noncontrolling interest, after-tax</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23.9</w:t>
            </w:r>
          </w:p>
        </w:tc>
        <w:tc>
          <w:tcPr>
            <w:tcW w:w="200" w:type="dxa"/>
            <w:vAlign w:val="bottom"/>
          </w:tcPr>
          <w:p>
            <w:pPr>
              <w:spacing w:after="0"/>
              <w:rPr>
                <w:sz w:val="19"/>
                <w:szCs w:val="19"/>
                <w:color w:val="auto"/>
              </w:rPr>
            </w:pPr>
          </w:p>
        </w:tc>
        <w:tc>
          <w:tcPr>
            <w:tcW w:w="1140" w:type="dxa"/>
            <w:vAlign w:val="bottom"/>
            <w:gridSpan w:val="2"/>
          </w:tcPr>
          <w:p>
            <w:pPr>
              <w:jc w:val="right"/>
              <w:ind w:right="81"/>
              <w:spacing w:after="0"/>
              <w:rPr>
                <w:sz w:val="20"/>
                <w:szCs w:val="20"/>
                <w:color w:val="auto"/>
              </w:rPr>
            </w:pPr>
            <w:r>
              <w:rPr>
                <w:rFonts w:ascii="Arial" w:cs="Arial" w:eastAsia="Arial" w:hAnsi="Arial"/>
                <w:sz w:val="18"/>
                <w:szCs w:val="18"/>
                <w:color w:val="auto"/>
              </w:rPr>
              <w:t>(7.6)</w:t>
            </w:r>
          </w:p>
        </w:tc>
        <w:tc>
          <w:tcPr>
            <w:tcW w:w="200" w:type="dxa"/>
            <w:vAlign w:val="bottom"/>
          </w:tcPr>
          <w:p>
            <w:pPr>
              <w:spacing w:after="0"/>
              <w:rPr>
                <w:sz w:val="19"/>
                <w:szCs w:val="19"/>
                <w:color w:val="auto"/>
              </w:rPr>
            </w:pPr>
          </w:p>
        </w:tc>
        <w:tc>
          <w:tcPr>
            <w:tcW w:w="1080" w:type="dxa"/>
            <w:vAlign w:val="bottom"/>
            <w:gridSpan w:val="2"/>
          </w:tcPr>
          <w:p>
            <w:pPr>
              <w:jc w:val="right"/>
              <w:ind w:right="61"/>
              <w:spacing w:after="0"/>
              <w:rPr>
                <w:sz w:val="20"/>
                <w:szCs w:val="20"/>
                <w:color w:val="auto"/>
              </w:rPr>
            </w:pPr>
            <w:r>
              <w:rPr>
                <w:rFonts w:ascii="Arial" w:cs="Arial" w:eastAsia="Arial" w:hAnsi="Arial"/>
                <w:sz w:val="18"/>
                <w:szCs w:val="18"/>
                <w:color w:val="auto"/>
              </w:rPr>
              <w:t>27.2</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(20.2)</w:t>
            </w:r>
          </w:p>
        </w:tc>
      </w:tr>
      <w:tr>
        <w:trPr>
          <w:trHeight w:val="210"/>
        </w:trPr>
        <w:tc>
          <w:tcPr>
            <w:tcW w:w="5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realized capital gains (losses) after-tax adjustments</w:t>
            </w:r>
          </w:p>
        </w:tc>
        <w:tc>
          <w:tcPr>
            <w:tcW w:w="4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37.1</w:t>
            </w:r>
          </w:p>
        </w:tc>
        <w:tc>
          <w:tcPr>
            <w:tcW w:w="2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(64.4)</w:t>
            </w:r>
          </w:p>
        </w:tc>
        <w:tc>
          <w:tcPr>
            <w:tcW w:w="2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77.7</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(256.3)</w:t>
            </w:r>
          </w:p>
        </w:tc>
        <w:tc>
          <w:tcPr>
            <w:tcW w:w="100" w:type="dxa"/>
            <w:vAlign w:val="bottom"/>
            <w:tcBorders>
              <w:top w:val="single" w:sz="8" w:color="CCEEFF"/>
            </w:tcBorders>
            <w:shd w:val="clear" w:color="auto" w:fill="CCEEFF"/>
          </w:tcPr>
          <w:p>
            <w:pPr>
              <w:spacing w:after="0"/>
              <w:rPr>
                <w:sz w:val="18"/>
                <w:szCs w:val="18"/>
                <w:color w:val="auto"/>
              </w:rPr>
            </w:pPr>
          </w:p>
        </w:tc>
      </w:tr>
      <w:tr>
        <w:trPr>
          <w:trHeight w:val="229"/>
        </w:trPr>
        <w:tc>
          <w:tcPr>
            <w:tcW w:w="590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r>
      <w:tr>
        <w:trPr>
          <w:trHeight w:val="223"/>
        </w:trPr>
        <w:tc>
          <w:tcPr>
            <w:tcW w:w="5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realized capital gains (losses), as adjusted</w:t>
            </w:r>
          </w:p>
        </w:tc>
        <w:tc>
          <w:tcPr>
            <w:tcW w:w="4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(190.8</w:t>
            </w:r>
          </w:p>
        </w:tc>
        <w:tc>
          <w:tcPr>
            <w:tcW w:w="22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22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(368.5</w:t>
            </w:r>
          </w:p>
        </w:tc>
        <w:tc>
          <w:tcPr>
            <w:tcW w:w="1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52.6</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0"/>
        </w:trPr>
        <w:tc>
          <w:tcPr>
            <w:tcW w:w="5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9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(Loss) from Exited Business: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Pre-tax impacts of exited business: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Strategic review costs and impacts</w:t>
            </w:r>
          </w:p>
        </w:tc>
        <w:tc>
          <w:tcPr>
            <w:tcW w:w="26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(67.4)</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(67.4)</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00" w:type="dxa"/>
            <w:vAlign w:val="bottom"/>
          </w:tcPr>
          <w:p>
            <w:pPr>
              <w:ind w:left="180"/>
              <w:spacing w:after="0"/>
              <w:rPr>
                <w:sz w:val="20"/>
                <w:szCs w:val="20"/>
                <w:color w:val="auto"/>
              </w:rPr>
            </w:pPr>
            <w:r>
              <w:rPr>
                <w:rFonts w:ascii="Arial" w:cs="Arial" w:eastAsia="Arial" w:hAnsi="Arial"/>
                <w:sz w:val="18"/>
                <w:szCs w:val="18"/>
                <w:color w:val="auto"/>
              </w:rPr>
              <w:t>Amortization of reinsurance losses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(41.4)</w:t>
            </w: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(41.4)</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Impacts to actuarial balances of reinsured business</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(29.0)</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(29.0)</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00" w:type="dxa"/>
            <w:vAlign w:val="bottom"/>
          </w:tcPr>
          <w:p>
            <w:pPr>
              <w:ind w:left="180"/>
              <w:spacing w:after="0"/>
              <w:rPr>
                <w:sz w:val="20"/>
                <w:szCs w:val="20"/>
                <w:color w:val="auto"/>
              </w:rPr>
            </w:pPr>
            <w:r>
              <w:rPr>
                <w:rFonts w:ascii="Arial" w:cs="Arial" w:eastAsia="Arial" w:hAnsi="Arial"/>
                <w:sz w:val="18"/>
                <w:szCs w:val="18"/>
                <w:color w:val="auto"/>
              </w:rPr>
              <w:t>Net realized capital gains (losses) on funds withheld assets</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689.0</w:t>
            </w: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61"/>
              <w:spacing w:after="0"/>
              <w:rPr>
                <w:sz w:val="20"/>
                <w:szCs w:val="20"/>
                <w:color w:val="auto"/>
              </w:rPr>
            </w:pPr>
            <w:r>
              <w:rPr>
                <w:rFonts w:ascii="Arial" w:cs="Arial" w:eastAsia="Arial" w:hAnsi="Arial"/>
                <w:sz w:val="18"/>
                <w:szCs w:val="18"/>
                <w:color w:val="auto"/>
              </w:rPr>
              <w:t>689.0</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Change in fair value of funds withheld embedded derivative</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3,067.3</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3,067.3</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5900" w:type="dxa"/>
            <w:vAlign w:val="bottom"/>
          </w:tcPr>
          <w:p>
            <w:pPr>
              <w:spacing w:after="0"/>
              <w:rPr>
                <w:sz w:val="20"/>
                <w:szCs w:val="20"/>
                <w:color w:val="auto"/>
              </w:rPr>
            </w:pPr>
            <w:r>
              <w:rPr>
                <w:rFonts w:ascii="Arial" w:cs="Arial" w:eastAsia="Arial" w:hAnsi="Arial"/>
                <w:sz w:val="18"/>
                <w:szCs w:val="18"/>
                <w:color w:val="auto"/>
              </w:rPr>
              <w:t>Tax impacts of exited business</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(791.3)</w:t>
            </w:r>
          </w:p>
        </w:tc>
        <w:tc>
          <w:tcPr>
            <w:tcW w:w="200" w:type="dxa"/>
            <w:vAlign w:val="bottom"/>
          </w:tcPr>
          <w:p>
            <w:pPr>
              <w:spacing w:after="0"/>
              <w:rPr>
                <w:sz w:val="19"/>
                <w:szCs w:val="19"/>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80" w:type="dxa"/>
            <w:vAlign w:val="bottom"/>
            <w:gridSpan w:val="2"/>
          </w:tcPr>
          <w:p>
            <w:pPr>
              <w:jc w:val="right"/>
              <w:ind w:right="1"/>
              <w:spacing w:after="0"/>
              <w:rPr>
                <w:sz w:val="20"/>
                <w:szCs w:val="20"/>
                <w:color w:val="auto"/>
              </w:rPr>
            </w:pPr>
            <w:r>
              <w:rPr>
                <w:rFonts w:ascii="Arial" w:cs="Arial" w:eastAsia="Arial" w:hAnsi="Arial"/>
                <w:sz w:val="18"/>
                <w:szCs w:val="18"/>
                <w:color w:val="auto"/>
              </w:rPr>
              <w:t>(791.3)</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59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income (loss) from exited business</w:t>
            </w:r>
          </w:p>
        </w:tc>
        <w:tc>
          <w:tcPr>
            <w:tcW w:w="4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2,827.2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2,827.2</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5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55"/>
        </w:trPr>
        <w:tc>
          <w:tcPr>
            <w:tcW w:w="59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12" w:name="page13"/>
    <w:bookmarkEnd w:id="1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5771515</wp:posOffset>
            </wp:positionH>
            <wp:positionV relativeFrom="page">
              <wp:posOffset>586105</wp:posOffset>
            </wp:positionV>
            <wp:extent cx="1543050" cy="4883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1543050" cy="488315"/>
                    </a:xfrm>
                    <a:prstGeom prst="rect">
                      <a:avLst/>
                    </a:prstGeom>
                    <a:noFill/>
                  </pic:spPr>
                </pic:pic>
              </a:graphicData>
            </a:graphic>
          </wp:anchor>
        </w:drawing>
      </w: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40" w:type="dxa"/>
            <w:vAlign w:val="bottom"/>
            <w:gridSpan w:val="6"/>
          </w:tcPr>
          <w:p>
            <w:pPr>
              <w:jc w:val="right"/>
              <w:ind w:right="500"/>
              <w:spacing w:after="0"/>
              <w:rPr>
                <w:sz w:val="20"/>
                <w:szCs w:val="20"/>
                <w:color w:val="auto"/>
              </w:rPr>
            </w:pPr>
            <w:r>
              <w:rPr>
                <w:rFonts w:ascii="Arial" w:cs="Arial" w:eastAsia="Arial" w:hAnsi="Arial"/>
                <w:sz w:val="18"/>
                <w:szCs w:val="18"/>
                <w:b w:val="1"/>
                <w:bCs w:val="1"/>
                <w:color w:val="auto"/>
                <w:w w:val="99"/>
              </w:rPr>
              <w:t>Three Months Ended,</w:t>
            </w: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60" w:type="dxa"/>
            <w:vAlign w:val="bottom"/>
            <w:gridSpan w:val="6"/>
          </w:tcPr>
          <w:p>
            <w:pPr>
              <w:jc w:val="right"/>
              <w:ind w:right="400"/>
              <w:spacing w:after="0"/>
              <w:rPr>
                <w:sz w:val="20"/>
                <w:szCs w:val="20"/>
                <w:color w:val="auto"/>
              </w:rPr>
            </w:pPr>
            <w:r>
              <w:rPr>
                <w:rFonts w:ascii="Arial" w:cs="Arial" w:eastAsia="Arial" w:hAnsi="Arial"/>
                <w:sz w:val="18"/>
                <w:szCs w:val="18"/>
                <w:b w:val="1"/>
                <w:bCs w:val="1"/>
                <w:color w:val="auto"/>
                <w:w w:val="95"/>
              </w:rPr>
              <w:t>Trailing Twelve Months,</w:t>
            </w:r>
          </w:p>
        </w:tc>
      </w:tr>
      <w:tr>
        <w:trPr>
          <w:trHeight w:val="223"/>
        </w:trPr>
        <w:tc>
          <w:tcPr>
            <w:tcW w:w="608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6/30/22</w:t>
            </w:r>
          </w:p>
        </w:tc>
        <w:tc>
          <w:tcPr>
            <w:tcW w:w="140" w:type="dxa"/>
            <w:vAlign w:val="bottom"/>
            <w:tcBorders>
              <w:top w:val="single" w:sz="8" w:color="auto"/>
              <w:bottom w:val="single" w:sz="8" w:color="CCEEFF"/>
            </w:tcBorders>
          </w:tcPr>
          <w:p>
            <w:pPr>
              <w:spacing w:after="0"/>
              <w:rPr>
                <w:sz w:val="19"/>
                <w:szCs w:val="19"/>
                <w:color w:val="auto"/>
              </w:rPr>
            </w:pPr>
          </w:p>
        </w:tc>
        <w:tc>
          <w:tcPr>
            <w:tcW w:w="6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6/30/21</w:t>
            </w:r>
          </w:p>
        </w:tc>
        <w:tc>
          <w:tcPr>
            <w:tcW w:w="1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6/30/22</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6/30/21</w:t>
            </w:r>
          </w:p>
        </w:tc>
        <w:tc>
          <w:tcPr>
            <w:tcW w:w="100" w:type="dxa"/>
            <w:vAlign w:val="bottom"/>
            <w:tcBorders>
              <w:bottom w:val="single" w:sz="8" w:color="CCEEFF"/>
            </w:tcBorders>
          </w:tcPr>
          <w:p>
            <w:pPr>
              <w:spacing w:after="0"/>
              <w:rPr>
                <w:sz w:val="19"/>
                <w:szCs w:val="19"/>
                <w:color w:val="auto"/>
              </w:rPr>
            </w:pPr>
          </w:p>
        </w:tc>
      </w:tr>
      <w:tr>
        <w:trPr>
          <w:trHeight w:val="209"/>
        </w:trPr>
        <w:tc>
          <w:tcPr>
            <w:tcW w:w="6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0"/>
              </w:rPr>
              <w:t>Principal Global Investors Operating Revenues Less Pass-Through Expenses:</w:t>
            </w: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080" w:type="dxa"/>
            <w:vAlign w:val="bottom"/>
          </w:tcPr>
          <w:p>
            <w:pPr>
              <w:spacing w:after="0"/>
              <w:rPr>
                <w:sz w:val="20"/>
                <w:szCs w:val="20"/>
                <w:color w:val="auto"/>
              </w:rPr>
            </w:pPr>
            <w:r>
              <w:rPr>
                <w:rFonts w:ascii="Arial" w:cs="Arial" w:eastAsia="Arial" w:hAnsi="Arial"/>
                <w:sz w:val="18"/>
                <w:szCs w:val="18"/>
                <w:color w:val="auto"/>
              </w:rPr>
              <w:t>Operating revenues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463.6</w:t>
            </w:r>
          </w:p>
        </w:tc>
        <w:tc>
          <w:tcPr>
            <w:tcW w:w="28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453.7</w:t>
            </w:r>
          </w:p>
        </w:tc>
        <w:tc>
          <w:tcPr>
            <w:tcW w:w="2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1,858.0</w:t>
            </w:r>
          </w:p>
        </w:tc>
        <w:tc>
          <w:tcPr>
            <w:tcW w:w="28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1,664.3</w:t>
            </w:r>
          </w:p>
        </w:tc>
      </w:tr>
      <w:tr>
        <w:trPr>
          <w:trHeight w:val="230"/>
        </w:trPr>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Commissions and other expenses</w:t>
            </w:r>
          </w:p>
        </w:tc>
        <w:tc>
          <w:tcPr>
            <w:tcW w:w="2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(34.9)</w:t>
            </w: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(39.6)</w:t>
            </w:r>
          </w:p>
        </w:tc>
        <w:tc>
          <w:tcPr>
            <w:tcW w:w="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(154.6)</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(154.6)</w:t>
            </w:r>
          </w:p>
        </w:tc>
      </w:tr>
      <w:tr>
        <w:trPr>
          <w:trHeight w:val="263"/>
        </w:trPr>
        <w:tc>
          <w:tcPr>
            <w:tcW w:w="60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Operating revenues less pass-through expenses</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428.7</w:t>
            </w:r>
          </w:p>
        </w:tc>
        <w:tc>
          <w:tcPr>
            <w:tcW w:w="140" w:type="dxa"/>
            <w:vAlign w:val="bottom"/>
            <w:tcBorders>
              <w:bottom w:val="single" w:sz="8" w:color="CCEEFF"/>
            </w:tcBorders>
          </w:tcPr>
          <w:p>
            <w:pPr>
              <w:spacing w:after="0"/>
              <w:rPr>
                <w:sz w:val="22"/>
                <w:szCs w:val="22"/>
                <w:color w:val="auto"/>
              </w:rPr>
            </w:pPr>
          </w:p>
        </w:tc>
        <w:tc>
          <w:tcPr>
            <w:tcW w:w="6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414.1</w:t>
            </w:r>
          </w:p>
        </w:tc>
        <w:tc>
          <w:tcPr>
            <w:tcW w:w="140" w:type="dxa"/>
            <w:vAlign w:val="bottom"/>
            <w:tcBorders>
              <w:bottom w:val="single" w:sz="8" w:color="CCEEFF"/>
            </w:tcBorders>
          </w:tcPr>
          <w:p>
            <w:pPr>
              <w:spacing w:after="0"/>
              <w:rPr>
                <w:sz w:val="22"/>
                <w:szCs w:val="22"/>
                <w:color w:val="auto"/>
              </w:rPr>
            </w:pPr>
          </w:p>
        </w:tc>
        <w:tc>
          <w:tcPr>
            <w:tcW w:w="6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1,703.4</w:t>
            </w:r>
          </w:p>
        </w:tc>
        <w:tc>
          <w:tcPr>
            <w:tcW w:w="14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1,509.7</w:t>
            </w:r>
          </w:p>
        </w:tc>
        <w:tc>
          <w:tcPr>
            <w:tcW w:w="100" w:type="dxa"/>
            <w:vAlign w:val="bottom"/>
            <w:tcBorders>
              <w:bottom w:val="single" w:sz="8" w:color="CCEEFF"/>
            </w:tcBorders>
          </w:tcPr>
          <w:p>
            <w:pPr>
              <w:spacing w:after="0"/>
              <w:rPr>
                <w:sz w:val="22"/>
                <w:szCs w:val="22"/>
                <w:color w:val="auto"/>
              </w:rPr>
            </w:pPr>
          </w:p>
        </w:tc>
      </w:tr>
      <w:tr>
        <w:trPr>
          <w:trHeight w:val="197"/>
        </w:trPr>
        <w:tc>
          <w:tcPr>
            <w:tcW w:w="60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6080" w:type="dxa"/>
            <w:vAlign w:val="bottom"/>
          </w:tcPr>
          <w:p>
            <w:pPr>
              <w:spacing w:after="0"/>
              <w:rPr>
                <w:sz w:val="20"/>
                <w:szCs w:val="20"/>
                <w:color w:val="auto"/>
              </w:rPr>
            </w:pPr>
            <w:r>
              <w:rPr>
                <w:rFonts w:ascii="Arial" w:cs="Arial" w:eastAsia="Arial" w:hAnsi="Arial"/>
                <w:sz w:val="18"/>
                <w:szCs w:val="18"/>
                <w:b w:val="1"/>
                <w:bCs w:val="1"/>
                <w:color w:val="auto"/>
              </w:rPr>
              <w:t>Principal International Combined Net Revenue (at PFG Share)</w:t>
            </w: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92.1</w:t>
            </w:r>
          </w:p>
        </w:tc>
        <w:tc>
          <w:tcPr>
            <w:tcW w:w="28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47.7</w:t>
            </w:r>
          </w:p>
        </w:tc>
        <w:tc>
          <w:tcPr>
            <w:tcW w:w="2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336.4</w:t>
            </w:r>
          </w:p>
        </w:tc>
        <w:tc>
          <w:tcPr>
            <w:tcW w:w="28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241.1</w:t>
            </w:r>
          </w:p>
        </w:tc>
      </w:tr>
      <w:tr>
        <w:trPr>
          <w:trHeight w:val="229"/>
        </w:trPr>
        <w:tc>
          <w:tcPr>
            <w:tcW w:w="6080" w:type="dxa"/>
            <w:vAlign w:val="bottom"/>
          </w:tcPr>
          <w:p>
            <w:pPr>
              <w:spacing w:after="0"/>
              <w:rPr>
                <w:sz w:val="20"/>
                <w:szCs w:val="20"/>
                <w:color w:val="auto"/>
              </w:rPr>
            </w:pPr>
            <w:r>
              <w:rPr>
                <w:rFonts w:ascii="Arial" w:cs="Arial" w:eastAsia="Arial" w:hAnsi="Arial"/>
                <w:sz w:val="18"/>
                <w:szCs w:val="18"/>
                <w:color w:val="auto"/>
                <w:w w:val="90"/>
              </w:rPr>
              <w:t>Combined operating expenses other than pass-through commissions (at PFG share)</w:t>
            </w:r>
          </w:p>
        </w:tc>
        <w:tc>
          <w:tcPr>
            <w:tcW w:w="200" w:type="dxa"/>
            <w:vAlign w:val="bottom"/>
          </w:tcPr>
          <w:p>
            <w:pPr>
              <w:spacing w:after="0"/>
              <w:rPr>
                <w:sz w:val="19"/>
                <w:szCs w:val="19"/>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153.9</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167.2</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651.2</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617.8</w:t>
            </w:r>
          </w:p>
        </w:tc>
      </w:tr>
      <w:tr>
        <w:trPr>
          <w:trHeight w:val="223"/>
        </w:trPr>
        <w:tc>
          <w:tcPr>
            <w:tcW w:w="60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Combined net revenue (at PFG share)</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246.0</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214.9</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987.6</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858.9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6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55"/>
        </w:trPr>
        <w:tc>
          <w:tcPr>
            <w:tcW w:w="60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
      <w:numFmt w:val="bullet"/>
      <w:start w:val="1"/>
    </w:lvl>
  </w:abstractNum>
  <w:abstractNum w:abstractNumId="2">
    <w:nsid w:val="3352255A"/>
    <w:multiLevelType w:val="hybridMultilevel"/>
    <w:lvl w:ilvl="0">
      <w:lvlJc w:val="left"/>
      <w:lvlText w:val="·"/>
      <w:numFmt w:val="bullet"/>
      <w:start w:val="1"/>
    </w:lvl>
  </w:abstractNum>
  <w:abstractNum w:abstractNumId="3">
    <w:nsid w:val="109CF92E"/>
    <w:multiLevelType w:val="hybridMultilevel"/>
    <w:lvl w:ilvl="0">
      <w:lvlJc w:val="left"/>
      <w:lvlText w:val="·"/>
      <w:numFmt w:val="bullet"/>
      <w:start w:val="1"/>
    </w:lvl>
  </w:abstractNum>
  <w:abstractNum w:abstractNumId="4">
    <w:nsid w:val="DED7263"/>
    <w:multiLevelType w:val="hybridMultilevel"/>
    <w:lvl w:ilvl="0">
      <w:lvlJc w:val="left"/>
      <w:lvlText w:val="1"/>
      <w:numFmt w:val="bullet"/>
      <w:start w:val="1"/>
    </w:lvl>
  </w:abstractNum>
  <w:abstractNum w:abstractNumId="5">
    <w:nsid w:val="7FDCC233"/>
    <w:multiLevelType w:val="hybridMultilevel"/>
    <w:lvl w:ilvl="0">
      <w:lvlJc w:val="left"/>
      <w:lvlText w:val="·"/>
      <w:numFmt w:val="bullet"/>
      <w:start w:val="1"/>
    </w:lvl>
  </w:abstractNum>
  <w:abstractNum w:abstractNumId="6">
    <w:nsid w:val="1BEFD79F"/>
    <w:multiLevelType w:val="hybridMultilevel"/>
    <w:lvl w:ilvl="0">
      <w:lvlJc w:val="left"/>
      <w:lvlText w:val="·"/>
      <w:numFmt w:val="bullet"/>
      <w:start w:val="1"/>
    </w:lvl>
    <w:lvl w:ilvl="1">
      <w:lvlJc w:val="left"/>
      <w:lvlText w:val="o"/>
      <w:numFmt w:val="bullet"/>
      <w:start w:val="1"/>
    </w:lvl>
  </w:abstractNum>
  <w:abstractNum w:abstractNumId="7">
    <w:nsid w:val="41A7C4C9"/>
    <w:multiLevelType w:val="hybridMultilevel"/>
    <w:lvl w:ilvl="0">
      <w:lvlJc w:val="left"/>
      <w:lvlText w:val="·"/>
      <w:numFmt w:val="bullet"/>
      <w:start w:val="1"/>
    </w:lvl>
  </w:abstractNum>
  <w:abstractNum w:abstractNumId="8">
    <w:nsid w:val="6B68079A"/>
    <w:multiLevelType w:val="hybridMultilevel"/>
    <w:lvl w:ilvl="0">
      <w:lvlJc w:val="left"/>
      <w:lvlText w:val="2"/>
      <w:numFmt w:val="bullet"/>
      <w:start w:val="1"/>
    </w:lvl>
  </w:abstractNum>
  <w:abstractNum w:abstractNumId="9">
    <w:nsid w:val="4E6AFB66"/>
    <w:multiLevelType w:val="hybridMultilevel"/>
    <w:lvl w:ilvl="0">
      <w:lvlJc w:val="left"/>
      <w:lvlText w:val="·"/>
      <w:numFmt w:val="bullet"/>
      <w:start w:val="1"/>
    </w:lvl>
  </w:abstractNum>
  <w:abstractNum w:abstractNumId="10">
    <w:nsid w:val="25E45D32"/>
    <w:multiLevelType w:val="hybridMultilevel"/>
    <w:lvl w:ilvl="0">
      <w:lvlJc w:val="left"/>
      <w:lvlText w:val="·"/>
      <w:numFmt w:val="bullet"/>
      <w:start w:val="1"/>
    </w:lvl>
  </w:abstractNum>
  <w:abstractNum w:abstractNumId="11">
    <w:nsid w:val="519B500D"/>
    <w:multiLevelType w:val="hybridMultilevel"/>
    <w:lvl w:ilvl="0">
      <w:lvlJc w:val="left"/>
      <w:lvlText w:val="5"/>
      <w:numFmt w:val="bullet"/>
      <w:start w:val="1"/>
    </w:lvl>
  </w:abstractNum>
  <w:abstractNum w:abstractNumId="12">
    <w:nsid w:val="431BD7B7"/>
    <w:multiLevelType w:val="hybridMultilevel"/>
    <w:lvl w:ilvl="0">
      <w:lvlJc w:val="left"/>
      <w:lvlText w:val="6"/>
      <w:numFmt w:val="bullet"/>
      <w:start w:val="1"/>
    </w:lvl>
  </w:abstractNum>
  <w:abstractNum w:abstractNumId="13">
    <w:nsid w:val="3F2DBA31"/>
    <w:multiLevelType w:val="hybridMultilevel"/>
    <w:lvl w:ilvl="0">
      <w:lvlJc w:val="left"/>
      <w:lvlText w:val="·"/>
      <w:numFmt w:val="bullet"/>
      <w:start w:val="1"/>
    </w:lvl>
  </w:abstractNum>
  <w:abstractNum w:abstractNumId="14">
    <w:nsid w:val="7C83E458"/>
    <w:multiLevelType w:val="hybridMultilevel"/>
    <w:lvl w:ilvl="0">
      <w:lvlJc w:val="left"/>
      <w:lvlText w:val="·"/>
      <w:numFmt w:val="bullet"/>
      <w:start w:val="1"/>
    </w:lvl>
  </w:abstractNum>
  <w:abstractNum w:abstractNumId="15">
    <w:nsid w:val="257130A3"/>
    <w:multiLevelType w:val="hybridMultilevel"/>
    <w:lvl w:ilvl="0">
      <w:lvlJc w:val="left"/>
      <w:lvlText w:val="8"/>
      <w:numFmt w:val="bullet"/>
      <w:start w:val="1"/>
    </w:lvl>
  </w:abstractNum>
  <w:abstractNum w:abstractNumId="16">
    <w:nsid w:val="62BBD95A"/>
    <w:multiLevelType w:val="hybridMultilevel"/>
    <w:lvl w:ilvl="0">
      <w:lvlJc w:val="left"/>
      <w:lvlText w:val="9"/>
      <w:numFmt w:val="bullet"/>
      <w:start w:val="1"/>
    </w:lvl>
  </w:abstractNum>
  <w:abstractNum w:abstractNumId="17">
    <w:nsid w:val="436C6125"/>
    <w:multiLevelType w:val="hybridMultilevel"/>
    <w:lvl w:ilvl="0">
      <w:lvlJc w:val="left"/>
      <w:lvlText w:val="·"/>
      <w:numFmt w:val="bullet"/>
      <w:start w:val="1"/>
    </w:lvl>
    <w:lvl w:ilvl="1">
      <w:lvlJc w:val="left"/>
      <w:lvlText w:val="·"/>
      <w:numFmt w:val="bullet"/>
      <w:start w:val="1"/>
    </w:lvl>
  </w:abstractNum>
  <w:abstractNum w:abstractNumId="18">
    <w:nsid w:val="628C895D"/>
    <w:multiLevelType w:val="hybridMultilevel"/>
    <w:lvl w:ilvl="0">
      <w:lvlJc w:val="left"/>
      <w:lvlText w:val="·"/>
      <w:numFmt w:val="bullet"/>
      <w:start w:val="1"/>
    </w:lvl>
  </w:abstractNum>
  <w:abstractNum w:abstractNumId="19">
    <w:nsid w:val="333AB105"/>
    <w:multiLevelType w:val="hybridMultilevel"/>
    <w:lvl w:ilvl="0">
      <w:lvlJc w:val="left"/>
      <w:lvlText w:val="·"/>
      <w:numFmt w:val="bullet"/>
      <w:start w:val="1"/>
    </w:lvl>
  </w:abstractNum>
  <w:abstractNum w:abstractNumId="20">
    <w:nsid w:val="721DA317"/>
    <w:multiLevelType w:val="hybridMultilevel"/>
    <w:lvl w:ilvl="0">
      <w:lvlJc w:val="left"/>
      <w:lvlText w:val="%1"/>
      <w:numFmt w:val="decimal"/>
      <w:start w:val="10"/>
    </w:lvl>
  </w:abstractNum>
  <w:abstractNum w:abstractNumId="21">
    <w:nsid w:val="2443A858"/>
    <w:multiLevelType w:val="hybridMultilevel"/>
    <w:lvl w:ilvl="0">
      <w:lvlJc w:val="left"/>
      <w:lvlText w:val="·"/>
      <w:numFmt w:val="bullet"/>
      <w:start w:val="1"/>
    </w:lvl>
  </w:abstractNum>
  <w:abstractNum w:abstractNumId="22">
    <w:nsid w:val="2D1D5AE9"/>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2022-08-09T02:25:06Z</dcterms:created>
  <dcterms:modified xsi:type="dcterms:W3CDTF">2022-08-09T02:25:06Z</dcterms:modified>
</cp:coreProperties>
</file>