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3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-237490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34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-632460</wp:posOffset>
            </wp:positionV>
            <wp:extent cx="58420" cy="645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4008120</wp:posOffset>
            </wp:positionH>
            <wp:positionV relativeFrom="paragraph">
              <wp:posOffset>-632460</wp:posOffset>
            </wp:positionV>
            <wp:extent cx="58420" cy="645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24765</wp:posOffset>
            </wp:positionV>
            <wp:extent cx="7045960" cy="46507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465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Mills Scott</w:t>
        </w:r>
      </w:hyperlink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 xml:space="preserve">PFG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05/27/2022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4" w:right="600" w:firstLine="4"/>
        <w:spacing w:after="0" w:line="261" w:lineRule="auto"/>
        <w:tabs>
          <w:tab w:leader="none" w:pos="14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6"/>
        <w:spacing w:after="0"/>
        <w:tabs>
          <w:tab w:leader="none" w:pos="495" w:val="left"/>
          <w:tab w:leader="none" w:pos="2055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516"/>
        <w:spacing w:after="0"/>
        <w:tabs>
          <w:tab w:leader="none" w:pos="205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7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520" w:space="304"/>
            <w:col w:w="3336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15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6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6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848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right"/>
              <w:ind w:right="2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05/27/2022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848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72.94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11,169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3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units convert to common stock on a one-for-one basis.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320" w:firstLine="3"/>
        <w:spacing w:after="0" w:line="260" w:lineRule="auto"/>
        <w:tabs>
          <w:tab w:leader="none" w:pos="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reported phantom stock units were acquired pursuant to the Principal Deferred Compensation Plan for Non-Employee Directors and may be transferred at any time into another investment alternative under the Plan. Interests under the Plan will be settled upon the reporting person's retirement.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Alex Montz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06/01/2022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20" w:firstLine="3"/>
        <w:spacing w:after="0" w:line="313" w:lineRule="auto"/>
        <w:tabs>
          <w:tab w:leader="none" w:pos="178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59855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2022-06-01T14:59:04Z</dcterms:created>
  <dcterms:modified xsi:type="dcterms:W3CDTF">2022-06-01T14:59:04Z</dcterms:modified>
</cp:coreProperties>
</file>