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5280025</wp:posOffset>
            </wp:positionH>
            <wp:positionV relativeFrom="paragraph">
              <wp:posOffset>-596900</wp:posOffset>
            </wp:positionV>
            <wp:extent cx="8255" cy="5975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3971290</wp:posOffset>
            </wp:positionH>
            <wp:positionV relativeFrom="paragraph">
              <wp:posOffset>-605155</wp:posOffset>
            </wp:positionV>
            <wp:extent cx="8255" cy="6057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3995420</wp:posOffset>
            </wp:positionH>
            <wp:positionV relativeFrom="paragraph">
              <wp:posOffset>-581025</wp:posOffset>
            </wp:positionV>
            <wp:extent cx="1268095" cy="557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26670</wp:posOffset>
            </wp:positionV>
            <wp:extent cx="6969760" cy="15913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20" w:right="359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Houston Daniel Joseph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4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3840" w:type="dxa"/>
            <w:vAlign w:val="bottom"/>
          </w:tcPr>
          <w:p>
            <w:pPr>
              <w:ind w:left="60"/>
              <w:spacing w:after="0" w:line="136" w:lineRule="exact"/>
              <w:rPr>
                <w:rFonts w:ascii="Arial" w:cs="Arial" w:eastAsia="Arial" w:hAnsi="Arial"/>
                <w:sz w:val="15"/>
                <w:szCs w:val="15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5"/>
                  <w:szCs w:val="15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5"/>
                  <w:szCs w:val="15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5"/>
                <w:szCs w:val="15"/>
                <w:color w:val="000000"/>
              </w:rPr>
              <w:t>[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840" w:type="dxa"/>
            <w:vAlign w:val="bottom"/>
            <w:vMerge w:val="restart"/>
          </w:tcPr>
          <w:p>
            <w:pPr>
              <w:ind w:left="60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24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Chairman, President &amp; CEO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1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-2436495</wp:posOffset>
            </wp:positionH>
            <wp:positionV relativeFrom="paragraph">
              <wp:posOffset>123825</wp:posOffset>
            </wp:positionV>
            <wp:extent cx="6969760" cy="18821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0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60" w:type="dxa"/>
            <w:vAlign w:val="bottom"/>
            <w:gridSpan w:val="3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88,959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125,000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(2)</w:t>
            </w:r>
          </w:p>
        </w:tc>
        <w:tc>
          <w:tcPr>
            <w:tcW w:w="1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3,515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0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271,220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60" w:type="dxa"/>
            <w:vAlign w:val="bottom"/>
          </w:tcPr>
          <w:p>
            <w:pPr>
              <w:ind w:lef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58.68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81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03/05/2021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271,220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03/05/2031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271,220</w:t>
            </w:r>
          </w:p>
        </w:tc>
        <w:tc>
          <w:tcPr>
            <w:tcW w:w="660" w:type="dxa"/>
            <w:vAlign w:val="bottom"/>
          </w:tcPr>
          <w:p>
            <w:pPr>
              <w:ind w:left="3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-1776730</wp:posOffset>
            </wp:positionV>
            <wp:extent cx="7034530" cy="1913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080"/>
          </w:cols>
          <w:pgMar w:left="460" w:top="220" w:right="359" w:bottom="1440" w:gutter="0" w:footer="0" w:header="0"/>
          <w:type w:val="continuous"/>
        </w:sectPr>
      </w:pP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5,238 shares acquired pursuant to the Principal Financial Group, Inc. Employee Stock Purchase Plan.</w:t>
      </w:r>
    </w:p>
    <w:p>
      <w:pPr>
        <w:spacing w:after="0" w:line="4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Daniel J. Houston 2019 DGT Exempt Trust</w:t>
      </w:r>
    </w:p>
    <w:p>
      <w:pPr>
        <w:spacing w:after="0" w:line="4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20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March 5, 2022.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8255</wp:posOffset>
            </wp:positionV>
            <wp:extent cx="116903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-16510</wp:posOffset>
            </wp:positionV>
            <wp:extent cx="373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03/09/2021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8255</wp:posOffset>
            </wp:positionV>
            <wp:extent cx="47815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440" w:space="360"/>
            <w:col w:w="2280"/>
          </w:cols>
          <w:pgMar w:left="460" w:top="220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28" w:lineRule="auto"/>
        <w:tabs>
          <w:tab w:leader="none" w:pos="174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326278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2021-03-09T17:31:04Z</dcterms:created>
  <dcterms:modified xsi:type="dcterms:W3CDTF">2021-03-09T17:31:04Z</dcterms:modified>
</cp:coreProperties>
</file>