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40640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Halter Patrick Gregory</w:t>
        </w:r>
      </w:hyperlink>
    </w:p>
    <w:p>
      <w:pPr>
        <w:spacing w:after="0" w:line="30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9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820" w:type="dxa"/>
            <w:vAlign w:val="bottom"/>
          </w:tcPr>
          <w:p>
            <w:pPr>
              <w:ind w:left="80"/>
              <w:spacing w:after="0" w:line="213" w:lineRule="exact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Times New Roman" w:cs="Times New Roman" w:eastAsia="Times New Roman" w:hAnsi="Times New Roman"/>
                  <w:sz w:val="21"/>
                  <w:szCs w:val="21"/>
                  <w:u w:val="single" w:color="auto"/>
                  <w:color w:val="0000EE"/>
                </w:rPr>
                <w:t>PRINCIPAL FINANCIAL GROUP INC</w:t>
              </w:r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 xml:space="preserve"> </w:t>
              </w:r>
            </w:hyperlink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[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8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]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3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3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38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3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Pres-Principal Global Asset Mg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38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02/23/2021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8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100"/>
        <w:spacing w:after="0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-2433320</wp:posOffset>
            </wp:positionH>
            <wp:positionV relativeFrom="paragraph">
              <wp:posOffset>159385</wp:posOffset>
            </wp:positionV>
            <wp:extent cx="6964045" cy="16160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02/23/2021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2,543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vertAlign w:val="subscript"/>
              </w:rPr>
              <w:t>$</w:t>
            </w:r>
            <w:r>
              <w:rPr>
                <w:rFonts w:ascii="Times New Roman" w:cs="Times New Roman" w:eastAsia="Times New Roman" w:hAnsi="Times New Roman"/>
                <w:sz w:val="34"/>
                <w:szCs w:val="34"/>
                <w:color w:val="0000FF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82,745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ind w:right="4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474</w:t>
            </w:r>
          </w:p>
        </w:tc>
        <w:tc>
          <w:tcPr>
            <w:tcW w:w="9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-1753235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080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Settlement of performance-based restricted stock units granted February 26, 2018.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Includes 1,080 shares acquired pursuant to the Principal Financial Group, Inc. Employee Stock Purchase Plan.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2249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9116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02/25/2021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50101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19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579709" TargetMode="External"/><Relationship Id="rId14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2021-02-25T11:27:11Z</dcterms:created>
  <dcterms:modified xsi:type="dcterms:W3CDTF">2021-02-25T11:27:11Z</dcterms:modified>
</cp:coreProperties>
</file>