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spacing w:after="0" w:line="9" w:lineRule="exact"/>
        <w:rPr>
          <w:sz w:val="24"/>
          <w:szCs w:val="24"/>
          <w:color w:val="auto"/>
        </w:rPr>
      </w:pPr>
    </w:p>
    <w:p>
      <w:pPr>
        <w:ind w:left="360" w:right="120" w:hanging="273"/>
        <w:spacing w:after="0" w:line="191" w:lineRule="auto"/>
        <w:tabs>
          <w:tab w:leader="none" w:pos="360" w:val="left"/>
        </w:tabs>
        <w:numPr>
          <w:ilvl w:val="0"/>
          <w:numId w:val="1"/>
        </w:numPr>
        <w:rPr>
          <w:rFonts w:ascii="Times New Roman" w:cs="Times New Roman" w:eastAsia="Times New Roman" w:hAnsi="Times New Roman"/>
          <w:sz w:val="25"/>
          <w:szCs w:val="25"/>
          <w:color w:val="0000FF"/>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-259715</wp:posOffset>
            </wp:positionV>
            <wp:extent cx="118745" cy="169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8745" cy="1695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180" w:space="28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LAWLER JULIA M</w:t>
        </w:r>
      </w:hyperlink>
    </w:p>
    <w:p>
      <w:pPr>
        <w:spacing w:after="0" w:line="305"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40" w:type="dxa"/>
            <w:vAlign w:val="bottom"/>
          </w:tcPr>
          <w:p>
            <w:pPr>
              <w:spacing w:after="0"/>
              <w:rPr>
                <w:sz w:val="15"/>
                <w:szCs w:val="15"/>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900" w:type="dxa"/>
            <w:vAlign w:val="bottom"/>
          </w:tcPr>
          <w:p>
            <w:pPr>
              <w:ind w:left="80"/>
              <w:spacing w:after="0"/>
              <w:rPr>
                <w:sz w:val="20"/>
                <w:szCs w:val="20"/>
                <w:color w:val="auto"/>
              </w:rPr>
            </w:pPr>
            <w:r>
              <w:rPr>
                <w:rFonts w:ascii="Arial" w:cs="Arial" w:eastAsia="Arial" w:hAnsi="Arial"/>
                <w:sz w:val="13"/>
                <w:szCs w:val="13"/>
                <w:color w:val="auto"/>
              </w:rPr>
              <w:t>(First)</w:t>
            </w:r>
          </w:p>
        </w:tc>
        <w:tc>
          <w:tcPr>
            <w:tcW w:w="1600" w:type="dxa"/>
            <w:vAlign w:val="bottom"/>
          </w:tcPr>
          <w:p>
            <w:pPr>
              <w:ind w:left="40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20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711 HIGH STREET</w:t>
            </w:r>
          </w:p>
        </w:tc>
        <w:tc>
          <w:tcPr>
            <w:tcW w:w="1600" w:type="dxa"/>
            <w:vAlign w:val="bottom"/>
          </w:tcPr>
          <w:p>
            <w:pPr>
              <w:spacing w:after="0"/>
              <w:rPr>
                <w:sz w:val="24"/>
                <w:szCs w:val="24"/>
                <w:color w:val="auto"/>
              </w:rPr>
            </w:pPr>
          </w:p>
        </w:tc>
      </w:tr>
      <w:tr>
        <w:trPr>
          <w:trHeight w:val="208"/>
        </w:trPr>
        <w:tc>
          <w:tcPr>
            <w:tcW w:w="40" w:type="dxa"/>
            <w:vAlign w:val="bottom"/>
          </w:tcPr>
          <w:p>
            <w:pPr>
              <w:spacing w:after="0"/>
              <w:rPr>
                <w:sz w:val="18"/>
                <w:szCs w:val="18"/>
                <w:color w:val="auto"/>
              </w:rPr>
            </w:pPr>
          </w:p>
        </w:tc>
        <w:tc>
          <w:tcPr>
            <w:tcW w:w="114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600" w:type="dxa"/>
            <w:vAlign w:val="bottom"/>
            <w:tcBorders>
              <w:bottom w:val="single" w:sz="8" w:color="9A9A9A"/>
            </w:tcBorders>
          </w:tcPr>
          <w:p>
            <w:pPr>
              <w:spacing w:after="0"/>
              <w:rPr>
                <w:sz w:val="18"/>
                <w:szCs w:val="18"/>
                <w:color w:val="auto"/>
              </w:rPr>
            </w:pPr>
          </w:p>
        </w:tc>
      </w:tr>
      <w:tr>
        <w:trPr>
          <w:trHeight w:val="269"/>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23"/>
                <w:szCs w:val="23"/>
                <w:color w:val="auto"/>
              </w:rPr>
            </w:pPr>
          </w:p>
        </w:tc>
        <w:tc>
          <w:tcPr>
            <w:tcW w:w="1600" w:type="dxa"/>
            <w:vAlign w:val="bottom"/>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DES MOINES</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IA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50392</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3820" w:type="dxa"/>
            <w:vAlign w:val="bottom"/>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13"/>
        </w:trPr>
        <w:tc>
          <w:tcPr>
            <w:tcW w:w="3820" w:type="dxa"/>
            <w:vAlign w:val="bottom"/>
          </w:tcPr>
          <w:p>
            <w:pPr>
              <w:ind w:left="80"/>
              <w:spacing w:after="0" w:line="213"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PRINCIPAL FINANCIAL GROUP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p>
        </w:tc>
        <w:tc>
          <w:tcPr>
            <w:tcW w:w="1700" w:type="dxa"/>
            <w:vAlign w:val="bottom"/>
          </w:tcPr>
          <w:p>
            <w:pPr>
              <w:ind w:left="80"/>
              <w:spacing w:after="0"/>
              <w:rPr>
                <w:sz w:val="20"/>
                <w:szCs w:val="20"/>
                <w:color w:val="auto"/>
              </w:rPr>
            </w:pPr>
            <w:r>
              <w:rPr>
                <w:rFonts w:ascii="Arial" w:cs="Arial" w:eastAsia="Arial" w:hAnsi="Arial"/>
                <w:sz w:val="13"/>
                <w:szCs w:val="13"/>
                <w:color w:val="auto"/>
              </w:rPr>
              <w:t>(Check all applicable)</w:t>
            </w:r>
          </w:p>
        </w:tc>
        <w:tc>
          <w:tcPr>
            <w:tcW w:w="360" w:type="dxa"/>
            <w:vAlign w:val="bottom"/>
          </w:tcPr>
          <w:p>
            <w:pPr>
              <w:spacing w:after="0"/>
              <w:rPr>
                <w:sz w:val="18"/>
                <w:szCs w:val="18"/>
                <w:color w:val="auto"/>
              </w:rPr>
            </w:pPr>
          </w:p>
        </w:tc>
        <w:tc>
          <w:tcPr>
            <w:tcW w:w="1240" w:type="dxa"/>
            <w:vAlign w:val="bottom"/>
            <w:vMerge w:val="restart"/>
          </w:tcPr>
          <w:p>
            <w:pPr>
              <w:ind w:left="1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9"/>
        </w:trPr>
        <w:tc>
          <w:tcPr>
            <w:tcW w:w="3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PFG </w:t>
            </w:r>
            <w:r>
              <w:rPr>
                <w:rFonts w:ascii="Times New Roman" w:cs="Times New Roman" w:eastAsia="Times New Roman" w:hAnsi="Times New Roman"/>
                <w:sz w:val="21"/>
                <w:szCs w:val="21"/>
                <w:color w:val="000000"/>
              </w:rPr>
              <w:t>]</w:t>
            </w:r>
          </w:p>
        </w:tc>
        <w:tc>
          <w:tcPr>
            <w:tcW w:w="1700" w:type="dxa"/>
            <w:vAlign w:val="bottom"/>
          </w:tcPr>
          <w:p>
            <w:pPr>
              <w:ind w:left="600"/>
              <w:spacing w:after="0"/>
              <w:rPr>
                <w:sz w:val="20"/>
                <w:szCs w:val="20"/>
                <w:color w:val="auto"/>
              </w:rPr>
            </w:pPr>
            <w:r>
              <w:rPr>
                <w:rFonts w:ascii="Arial" w:cs="Arial" w:eastAsia="Arial" w:hAnsi="Arial"/>
                <w:sz w:val="13"/>
                <w:szCs w:val="13"/>
                <w:color w:val="auto"/>
              </w:rPr>
              <w:t>Director</w:t>
            </w:r>
          </w:p>
        </w:tc>
        <w:tc>
          <w:tcPr>
            <w:tcW w:w="360" w:type="dxa"/>
            <w:vAlign w:val="bottom"/>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3820" w:type="dxa"/>
            <w:vAlign w:val="bottom"/>
            <w:vMerge w:val="continue"/>
          </w:tcPr>
          <w:p>
            <w:pPr>
              <w:spacing w:after="0"/>
              <w:rPr>
                <w:sz w:val="10"/>
                <w:szCs w:val="10"/>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Officer (give title</w:t>
            </w:r>
          </w:p>
        </w:tc>
        <w:tc>
          <w:tcPr>
            <w:tcW w:w="3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X</w:t>
            </w:r>
          </w:p>
        </w:tc>
        <w:tc>
          <w:tcPr>
            <w:tcW w:w="1240" w:type="dxa"/>
            <w:vAlign w:val="bottom"/>
            <w:vMerge w:val="restart"/>
          </w:tcPr>
          <w:p>
            <w:pPr>
              <w:ind w:left="1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6"/>
        </w:trPr>
        <w:tc>
          <w:tcPr>
            <w:tcW w:w="3820" w:type="dxa"/>
            <w:vAlign w:val="bottom"/>
          </w:tcPr>
          <w:p>
            <w:pPr>
              <w:spacing w:after="0"/>
              <w:rPr>
                <w:sz w:val="2"/>
                <w:szCs w:val="2"/>
                <w:color w:val="auto"/>
              </w:rPr>
            </w:pPr>
          </w:p>
        </w:tc>
        <w:tc>
          <w:tcPr>
            <w:tcW w:w="1700" w:type="dxa"/>
            <w:vAlign w:val="bottom"/>
            <w:vMerge w:val="continue"/>
          </w:tcPr>
          <w:p>
            <w:pPr>
              <w:spacing w:after="0"/>
              <w:rPr>
                <w:sz w:val="2"/>
                <w:szCs w:val="2"/>
                <w:color w:val="auto"/>
              </w:rPr>
            </w:pPr>
          </w:p>
        </w:tc>
        <w:tc>
          <w:tcPr>
            <w:tcW w:w="360" w:type="dxa"/>
            <w:vAlign w:val="bottom"/>
            <w:vMerge w:val="continue"/>
          </w:tcPr>
          <w:p>
            <w:pPr>
              <w:spacing w:after="0"/>
              <w:rPr>
                <w:sz w:val="2"/>
                <w:szCs w:val="2"/>
                <w:color w:val="auto"/>
              </w:rPr>
            </w:pPr>
          </w:p>
        </w:tc>
        <w:tc>
          <w:tcPr>
            <w:tcW w:w="12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03"/>
        </w:trPr>
        <w:tc>
          <w:tcPr>
            <w:tcW w:w="3820" w:type="dxa"/>
            <w:vAlign w:val="bottom"/>
            <w:tcBorders>
              <w:bottom w:val="single" w:sz="8" w:color="2C2C2C"/>
            </w:tcBorders>
          </w:tcPr>
          <w:p>
            <w:pPr>
              <w:spacing w:after="0"/>
              <w:rPr>
                <w:sz w:val="8"/>
                <w:szCs w:val="8"/>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below)</w:t>
            </w:r>
          </w:p>
        </w:tc>
        <w:tc>
          <w:tcPr>
            <w:tcW w:w="360" w:type="dxa"/>
            <w:vAlign w:val="bottom"/>
            <w:vMerge w:val="continue"/>
          </w:tcPr>
          <w:p>
            <w:pPr>
              <w:spacing w:after="0"/>
              <w:rPr>
                <w:sz w:val="8"/>
                <w:szCs w:val="8"/>
                <w:color w:val="auto"/>
              </w:rPr>
            </w:pPr>
          </w:p>
        </w:tc>
        <w:tc>
          <w:tcPr>
            <w:tcW w:w="12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3820" w:type="dxa"/>
            <w:vAlign w:val="bottom"/>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1700" w:type="dxa"/>
            <w:vAlign w:val="bottom"/>
            <w:vMerge w:val="continue"/>
          </w:tcPr>
          <w:p>
            <w:pPr>
              <w:spacing w:after="0"/>
              <w:rPr>
                <w:sz w:val="4"/>
                <w:szCs w:val="4"/>
                <w:color w:val="auto"/>
              </w:rPr>
            </w:pPr>
          </w:p>
        </w:tc>
        <w:tc>
          <w:tcPr>
            <w:tcW w:w="360" w:type="dxa"/>
            <w:vAlign w:val="bottom"/>
          </w:tcPr>
          <w:p>
            <w:pPr>
              <w:spacing w:after="0"/>
              <w:rPr>
                <w:sz w:val="4"/>
                <w:szCs w:val="4"/>
                <w:color w:val="auto"/>
              </w:rPr>
            </w:pPr>
          </w:p>
        </w:tc>
        <w:tc>
          <w:tcPr>
            <w:tcW w:w="12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0"/>
        </w:trPr>
        <w:tc>
          <w:tcPr>
            <w:tcW w:w="3820" w:type="dxa"/>
            <w:vAlign w:val="bottom"/>
            <w:vMerge w:val="continue"/>
          </w:tcPr>
          <w:p>
            <w:pPr>
              <w:spacing w:after="0"/>
              <w:rPr>
                <w:sz w:val="11"/>
                <w:szCs w:val="11"/>
                <w:color w:val="auto"/>
              </w:rPr>
            </w:pPr>
          </w:p>
        </w:tc>
        <w:tc>
          <w:tcPr>
            <w:tcW w:w="3300" w:type="dxa"/>
            <w:vAlign w:val="bottom"/>
            <w:gridSpan w:val="3"/>
            <w:vMerge w:val="restart"/>
          </w:tcPr>
          <w:p>
            <w:pPr>
              <w:ind w:left="1120"/>
              <w:spacing w:after="0"/>
              <w:rPr>
                <w:sz w:val="20"/>
                <w:szCs w:val="20"/>
                <w:color w:val="auto"/>
              </w:rPr>
            </w:pPr>
            <w:r>
              <w:rPr>
                <w:rFonts w:ascii="Times New Roman" w:cs="Times New Roman" w:eastAsia="Times New Roman" w:hAnsi="Times New Roman"/>
                <w:sz w:val="17"/>
                <w:szCs w:val="17"/>
                <w:color w:val="0000FF"/>
              </w:rPr>
              <w:t>Retired Officer</w:t>
            </w:r>
          </w:p>
        </w:tc>
        <w:tc>
          <w:tcPr>
            <w:tcW w:w="0" w:type="dxa"/>
            <w:vAlign w:val="bottom"/>
          </w:tcPr>
          <w:p>
            <w:pPr>
              <w:spacing w:after="0"/>
              <w:rPr>
                <w:sz w:val="1"/>
                <w:szCs w:val="1"/>
                <w:color w:val="auto"/>
              </w:rPr>
            </w:pPr>
          </w:p>
        </w:tc>
      </w:tr>
      <w:tr>
        <w:trPr>
          <w:trHeight w:val="120"/>
        </w:trPr>
        <w:tc>
          <w:tcPr>
            <w:tcW w:w="3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02/22/2021</w:t>
            </w:r>
          </w:p>
        </w:tc>
        <w:tc>
          <w:tcPr>
            <w:tcW w:w="33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3820" w:type="dxa"/>
            <w:vAlign w:val="bottom"/>
            <w:vMerge w:val="continue"/>
          </w:tcPr>
          <w:p>
            <w:pPr>
              <w:spacing w:after="0"/>
              <w:rPr>
                <w:sz w:val="9"/>
                <w:szCs w:val="9"/>
                <w:color w:val="auto"/>
              </w:rPr>
            </w:pPr>
          </w:p>
        </w:tc>
        <w:tc>
          <w:tcPr>
            <w:tcW w:w="17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2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3820" w:type="dxa"/>
            <w:vAlign w:val="bottom"/>
            <w:tcBorders>
              <w:bottom w:val="single" w:sz="8" w:color="2C2C2C"/>
            </w:tcBorders>
          </w:tcPr>
          <w:p>
            <w:pPr>
              <w:spacing w:after="0"/>
              <w:rPr>
                <w:sz w:val="11"/>
                <w:szCs w:val="11"/>
                <w:color w:val="auto"/>
              </w:rPr>
            </w:pPr>
          </w:p>
        </w:tc>
        <w:tc>
          <w:tcPr>
            <w:tcW w:w="330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199"/>
        </w:trPr>
        <w:tc>
          <w:tcPr>
            <w:tcW w:w="3820" w:type="dxa"/>
            <w:vAlign w:val="bottom"/>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159385</wp:posOffset>
            </wp:positionV>
            <wp:extent cx="6964045" cy="16160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616075"/>
                    </a:xfrm>
                    <a:prstGeom prst="rect">
                      <a:avLst/>
                    </a:prstGeom>
                    <a:noFill/>
                  </pic:spPr>
                </pic:pic>
              </a:graphicData>
            </a:graphic>
          </wp:anchor>
        </w:drawing>
      </w:r>
    </w:p>
    <w:p>
      <w:pPr>
        <w:spacing w:after="0" w:line="310"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29"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w w:val="99"/>
              </w:rPr>
              <w:t>(A) or</w:t>
            </w: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20" w:type="dxa"/>
            <w:vAlign w:val="bottom"/>
            <w:vMerge w:val="continue"/>
          </w:tcPr>
          <w:p>
            <w:pPr>
              <w:spacing w:after="0"/>
              <w:rPr>
                <w:sz w:val="11"/>
                <w:szCs w:val="11"/>
                <w:color w:val="auto"/>
              </w:rPr>
            </w:pP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8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60"/>
              <w:spacing w:after="0"/>
              <w:rPr>
                <w:sz w:val="20"/>
                <w:szCs w:val="20"/>
                <w:color w:val="auto"/>
              </w:rPr>
            </w:pPr>
            <w:r>
              <w:rPr>
                <w:rFonts w:ascii="Times New Roman" w:cs="Times New Roman" w:eastAsia="Times New Roman" w:hAnsi="Times New Roman"/>
                <w:sz w:val="17"/>
                <w:szCs w:val="17"/>
                <w:color w:val="0000FF"/>
              </w:rPr>
              <w:t>02/22/2021</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3,000</w:t>
            </w:r>
          </w:p>
        </w:tc>
        <w:tc>
          <w:tcPr>
            <w:tcW w:w="42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8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59.85</w:t>
            </w:r>
            <w:r>
              <w:rPr>
                <w:rFonts w:ascii="Times New Roman" w:cs="Times New Roman" w:eastAsia="Times New Roman" w:hAnsi="Times New Roman"/>
                <w:sz w:val="22"/>
                <w:szCs w:val="22"/>
                <w:color w:val="008000"/>
                <w:vertAlign w:val="superscript"/>
              </w:rPr>
              <w:t>(1)</w:t>
            </w:r>
          </w:p>
        </w:tc>
        <w:tc>
          <w:tcPr>
            <w:tcW w:w="1200" w:type="dxa"/>
            <w:vAlign w:val="bottom"/>
            <w:tcBorders>
              <w:bottom w:val="single" w:sz="8" w:color="2C2C2C"/>
            </w:tcBorders>
            <w:gridSpan w:val="2"/>
          </w:tcPr>
          <w:p>
            <w:pPr>
              <w:jc w:val="center"/>
              <w:ind w:right="237"/>
              <w:spacing w:after="0"/>
              <w:rPr>
                <w:sz w:val="20"/>
                <w:szCs w:val="20"/>
                <w:color w:val="auto"/>
              </w:rPr>
            </w:pPr>
            <w:r>
              <w:rPr>
                <w:rFonts w:ascii="Times New Roman" w:cs="Times New Roman" w:eastAsia="Times New Roman" w:hAnsi="Times New Roman"/>
                <w:sz w:val="17"/>
                <w:szCs w:val="17"/>
                <w:color w:val="0000FF"/>
              </w:rPr>
              <w:t>48,610</w:t>
            </w:r>
            <w:r>
              <w:rPr>
                <w:rFonts w:ascii="Times New Roman" w:cs="Times New Roman" w:eastAsia="Times New Roman" w:hAnsi="Times New Roman"/>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20" w:type="dxa"/>
            <w:vAlign w:val="bottom"/>
          </w:tcPr>
          <w:p>
            <w:pPr>
              <w:jc w:val="right"/>
              <w:ind w:right="377"/>
              <w:spacing w:after="0"/>
              <w:rPr>
                <w:sz w:val="20"/>
                <w:szCs w:val="20"/>
                <w:color w:val="auto"/>
              </w:rPr>
            </w:pPr>
            <w:r>
              <w:rPr>
                <w:rFonts w:ascii="Times New Roman" w:cs="Times New Roman" w:eastAsia="Times New Roman" w:hAnsi="Times New Roman"/>
                <w:sz w:val="17"/>
                <w:szCs w:val="17"/>
                <w:color w:val="0000FF"/>
                <w:w w:val="93"/>
              </w:rPr>
              <w:t>1,388</w:t>
            </w:r>
          </w:p>
        </w:tc>
        <w:tc>
          <w:tcPr>
            <w:tcW w:w="9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401(k)</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Plan</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9"/>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20" w:type="dxa"/>
            <w:vAlign w:val="bottom"/>
            <w:vMerge w:val="continue"/>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52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$59.83 to $59.86, inclusive. The reporting person undertakes to provide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2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1,012 shares acquired pursuant to the Principal Financial Group, Inc. Employee Stock Purchase Plan.</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Alex P. Montz, by Power of</w:t>
            </w:r>
          </w:p>
        </w:tc>
        <w:tc>
          <w:tcPr>
            <w:tcW w:w="14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02/24/2021</w:t>
            </w:r>
          </w:p>
        </w:tc>
        <w:tc>
          <w:tcPr>
            <w:tcW w:w="0" w:type="dxa"/>
            <w:vAlign w:val="bottom"/>
          </w:tcPr>
          <w:p>
            <w:pPr>
              <w:spacing w:after="0"/>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620" w:type="dxa"/>
            <w:vAlign w:val="bottom"/>
            <w:shd w:val="clear" w:color="auto" w:fill="000000"/>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213419" TargetMode="External"/><Relationship Id="rId14"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2021-02-24T12:24:00Z</dcterms:created>
  <dcterms:modified xsi:type="dcterms:W3CDTF">2021-02-24T12:24:00Z</dcterms:modified>
</cp:coreProperties>
</file>