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FORM 8-K</w:t>
      </w:r>
    </w:p>
    <w:p>
      <w:pPr>
        <w:spacing w:after="0" w:line="2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Exchange Act of 1934</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w:t>
      </w:r>
      <w:r>
        <w:rPr>
          <w:rFonts w:ascii="Times New Roman" w:cs="Times New Roman" w:eastAsia="Times New Roman" w:hAnsi="Times New Roman"/>
          <w:sz w:val="18"/>
          <w:szCs w:val="18"/>
          <w:b w:val="1"/>
          <w:bCs w:val="1"/>
          <w:color w:val="auto"/>
        </w:rPr>
        <w:t>January 15, 2021</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earliest event reported)</w:t>
      </w:r>
    </w:p>
    <w:p>
      <w:pPr>
        <w:spacing w:after="0" w:line="19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PRINCIPAL FINANCIAL GROUP, INC.</w:t>
      </w:r>
    </w:p>
    <w:p>
      <w:pPr>
        <w:spacing w:after="0" w:line="4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its charter)</w:t>
      </w:r>
    </w:p>
    <w:p>
      <w:pPr>
        <w:sectPr>
          <w:pgSz w:w="11900" w:h="16838" w:orient="portrait"/>
          <w:cols w:equalWidth="0" w:num="1">
            <w:col w:w="11240"/>
          </w:cols>
          <w:pgMar w:left="320" w:top="772" w:right="339" w:bottom="1440" w:gutter="0" w:footer="0" w:header="0"/>
        </w:sectPr>
      </w:pPr>
    </w:p>
    <w:p>
      <w:pPr>
        <w:spacing w:after="0" w:line="228"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18"/>
          <w:szCs w:val="18"/>
          <w:b w:val="1"/>
          <w:bCs w:val="1"/>
          <w:color w:val="auto"/>
        </w:rPr>
        <w:t>Delaware</w:t>
      </w:r>
    </w:p>
    <w:p>
      <w:pPr>
        <w:spacing w:after="0" w:line="31" w:lineRule="exact"/>
        <w:rPr>
          <w:sz w:val="24"/>
          <w:szCs w:val="24"/>
          <w:color w:val="auto"/>
        </w:rPr>
      </w:pPr>
    </w:p>
    <w:p>
      <w:pPr>
        <w:ind w:left="860"/>
        <w:spacing w:after="0"/>
        <w:rPr>
          <w:sz w:val="20"/>
          <w:szCs w:val="20"/>
          <w:color w:val="auto"/>
        </w:rPr>
      </w:pPr>
      <w:r>
        <w:rPr>
          <w:rFonts w:ascii="Times New Roman" w:cs="Times New Roman" w:eastAsia="Times New Roman" w:hAnsi="Times New Roman"/>
          <w:sz w:val="18"/>
          <w:szCs w:val="18"/>
          <w:color w:val="auto"/>
        </w:rPr>
        <w:t>(State or other jurisdiction</w:t>
      </w:r>
    </w:p>
    <w:p>
      <w:pPr>
        <w:spacing w:after="0" w:line="9" w:lineRule="exact"/>
        <w:rPr>
          <w:sz w:val="24"/>
          <w:szCs w:val="24"/>
          <w:color w:val="auto"/>
        </w:rPr>
      </w:pPr>
    </w:p>
    <w:p>
      <w:pPr>
        <w:ind w:left="1200"/>
        <w:spacing w:after="0"/>
        <w:rPr>
          <w:sz w:val="20"/>
          <w:szCs w:val="20"/>
          <w:color w:val="auto"/>
        </w:rPr>
      </w:pPr>
      <w:r>
        <w:rPr>
          <w:rFonts w:ascii="Times New Roman" w:cs="Times New Roman" w:eastAsia="Times New Roman" w:hAnsi="Times New Roman"/>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1300"/>
        <w:spacing w:after="0"/>
        <w:rPr>
          <w:sz w:val="20"/>
          <w:szCs w:val="20"/>
          <w:color w:val="auto"/>
        </w:rPr>
      </w:pPr>
      <w:r>
        <w:rPr>
          <w:rFonts w:ascii="Times New Roman" w:cs="Times New Roman" w:eastAsia="Times New Roman" w:hAnsi="Times New Roman"/>
          <w:sz w:val="18"/>
          <w:szCs w:val="18"/>
          <w:b w:val="1"/>
          <w:bCs w:val="1"/>
          <w:color w:val="auto"/>
        </w:rPr>
        <w:t>1-16725</w:t>
      </w:r>
    </w:p>
    <w:p>
      <w:pPr>
        <w:spacing w:after="0" w:line="31" w:lineRule="exact"/>
        <w:rPr>
          <w:sz w:val="24"/>
          <w:szCs w:val="24"/>
          <w:color w:val="auto"/>
        </w:rPr>
      </w:pPr>
    </w:p>
    <w:p>
      <w:pPr>
        <w:jc w:val="center"/>
        <w:ind w:right="1300"/>
        <w:spacing w:after="0"/>
        <w:rPr>
          <w:sz w:val="20"/>
          <w:szCs w:val="20"/>
          <w:color w:val="auto"/>
        </w:rPr>
      </w:pPr>
      <w:r>
        <w:rPr>
          <w:rFonts w:ascii="Times New Roman" w:cs="Times New Roman" w:eastAsia="Times New Roman" w:hAnsi="Times New Roman"/>
          <w:sz w:val="18"/>
          <w:szCs w:val="18"/>
          <w:color w:val="auto"/>
        </w:rPr>
        <w:t>(Commission file number)</w:t>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jc w:val="center"/>
        <w:ind w:right="960"/>
        <w:spacing w:after="0"/>
        <w:rPr>
          <w:sz w:val="20"/>
          <w:szCs w:val="20"/>
          <w:color w:val="auto"/>
        </w:rPr>
      </w:pPr>
      <w:r>
        <w:rPr>
          <w:rFonts w:ascii="Times New Roman" w:cs="Times New Roman" w:eastAsia="Times New Roman" w:hAnsi="Times New Roman"/>
          <w:sz w:val="18"/>
          <w:szCs w:val="18"/>
          <w:b w:val="1"/>
          <w:bCs w:val="1"/>
          <w:color w:val="auto"/>
        </w:rPr>
        <w:t>42-1520346</w:t>
      </w:r>
    </w:p>
    <w:p>
      <w:pPr>
        <w:spacing w:after="0" w:line="31" w:lineRule="exact"/>
        <w:rPr>
          <w:sz w:val="24"/>
          <w:szCs w:val="24"/>
          <w:color w:val="auto"/>
        </w:rPr>
      </w:pPr>
    </w:p>
    <w:p>
      <w:pPr>
        <w:jc w:val="center"/>
        <w:ind w:right="960"/>
        <w:spacing w:after="0"/>
        <w:rPr>
          <w:sz w:val="20"/>
          <w:szCs w:val="20"/>
          <w:color w:val="auto"/>
        </w:rPr>
      </w:pPr>
      <w:r>
        <w:rPr>
          <w:rFonts w:ascii="Times New Roman" w:cs="Times New Roman" w:eastAsia="Times New Roman" w:hAnsi="Times New Roman"/>
          <w:sz w:val="18"/>
          <w:szCs w:val="18"/>
          <w:color w:val="auto"/>
        </w:rPr>
        <w:t>(I.R.S. Employer</w:t>
      </w:r>
    </w:p>
    <w:p>
      <w:pPr>
        <w:spacing w:after="0" w:line="9" w:lineRule="exact"/>
        <w:rPr>
          <w:sz w:val="24"/>
          <w:szCs w:val="24"/>
          <w:color w:val="auto"/>
        </w:rPr>
      </w:pPr>
    </w:p>
    <w:p>
      <w:pPr>
        <w:jc w:val="center"/>
        <w:ind w:right="960"/>
        <w:spacing w:after="0"/>
        <w:rPr>
          <w:sz w:val="20"/>
          <w:szCs w:val="20"/>
          <w:color w:val="auto"/>
        </w:rPr>
      </w:pPr>
      <w:r>
        <w:rPr>
          <w:rFonts w:ascii="Times New Roman" w:cs="Times New Roman" w:eastAsia="Times New Roman" w:hAnsi="Times New Roman"/>
          <w:sz w:val="17"/>
          <w:szCs w:val="17"/>
          <w:color w:val="auto"/>
        </w:rPr>
        <w:t>Identification Number)</w:t>
      </w:r>
    </w:p>
    <w:p>
      <w:pPr>
        <w:spacing w:after="0" w:line="211" w:lineRule="exact"/>
        <w:rPr>
          <w:sz w:val="24"/>
          <w:szCs w:val="24"/>
          <w:color w:val="auto"/>
        </w:rPr>
      </w:pPr>
    </w:p>
    <w:p>
      <w:pPr>
        <w:sectPr>
          <w:pgSz w:w="11900" w:h="16838" w:orient="portrait"/>
          <w:cols w:equalWidth="0" w:num="3">
            <w:col w:w="3960" w:space="720"/>
            <w:col w:w="3220" w:space="720"/>
            <w:col w:w="2620"/>
          </w:cols>
          <w:pgMar w:left="320" w:top="772" w:right="339" w:bottom="1440" w:gutter="0" w:footer="0" w:header="0"/>
          <w:type w:val="continuous"/>
        </w:sectPr>
      </w:pPr>
    </w:p>
    <w:p>
      <w:pPr>
        <w:spacing w:after="0" w:line="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711 High Street, Des Moines, Iowa 50392</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(515) 247-5111</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7"/>
          <w:szCs w:val="17"/>
          <w:color w:val="auto"/>
        </w:rPr>
        <w:t>(Registrant’s telephone number, including area code)</w:t>
      </w:r>
    </w:p>
    <w:p>
      <w:pPr>
        <w:sectPr>
          <w:pgSz w:w="11900" w:h="16838" w:orient="portrait"/>
          <w:cols w:equalWidth="0" w:num="1">
            <w:col w:w="11240"/>
          </w:cols>
          <w:pgMar w:left="320" w:top="772" w:right="339" w:bottom="1440" w:gutter="0" w:footer="0" w:header="0"/>
          <w:type w:val="continuous"/>
        </w:sectPr>
      </w:pPr>
    </w:p>
    <w:p>
      <w:pPr>
        <w:spacing w:after="0" w:line="218" w:lineRule="exact"/>
        <w:rPr>
          <w:sz w:val="24"/>
          <w:szCs w:val="24"/>
          <w:color w:val="auto"/>
        </w:rPr>
      </w:pPr>
    </w:p>
    <w:p>
      <w:pPr>
        <w:ind w:right="680"/>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the registrant under any of the following provisions:</w:t>
      </w:r>
    </w:p>
    <w:p>
      <w:pPr>
        <w:spacing w:after="0" w:line="175" w:lineRule="exact"/>
        <w:rPr>
          <w:sz w:val="24"/>
          <w:szCs w:val="24"/>
          <w:color w:val="auto"/>
        </w:rPr>
      </w:pPr>
    </w:p>
    <w:p>
      <w:pPr>
        <w:ind w:left="660" w:hanging="652"/>
        <w:spacing w:after="0"/>
        <w:tabs>
          <w:tab w:leader="none" w:pos="6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47" w:lineRule="exact"/>
        <w:rPr>
          <w:rFonts w:ascii="MS PGothic" w:cs="MS PGothic" w:eastAsia="MS PGothic" w:hAnsi="MS PGothic"/>
          <w:sz w:val="18"/>
          <w:szCs w:val="18"/>
          <w:color w:val="auto"/>
        </w:rPr>
      </w:pPr>
    </w:p>
    <w:p>
      <w:pPr>
        <w:ind w:left="660" w:hanging="652"/>
        <w:spacing w:after="0"/>
        <w:tabs>
          <w:tab w:leader="none" w:pos="6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36" w:lineRule="exact"/>
        <w:rPr>
          <w:rFonts w:ascii="MS PGothic" w:cs="MS PGothic" w:eastAsia="MS PGothic" w:hAnsi="MS PGothic"/>
          <w:sz w:val="18"/>
          <w:szCs w:val="18"/>
          <w:color w:val="auto"/>
        </w:rPr>
      </w:pPr>
    </w:p>
    <w:p>
      <w:pPr>
        <w:ind w:left="660" w:hanging="652"/>
        <w:spacing w:after="0"/>
        <w:tabs>
          <w:tab w:leader="none" w:pos="6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36" w:lineRule="exact"/>
        <w:rPr>
          <w:rFonts w:ascii="MS PGothic" w:cs="MS PGothic" w:eastAsia="MS PGothic" w:hAnsi="MS PGothic"/>
          <w:sz w:val="18"/>
          <w:szCs w:val="18"/>
          <w:color w:val="auto"/>
        </w:rPr>
      </w:pPr>
    </w:p>
    <w:p>
      <w:pPr>
        <w:ind w:left="660" w:hanging="652"/>
        <w:spacing w:after="0"/>
        <w:tabs>
          <w:tab w:leader="none" w:pos="6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w:t>
      </w:r>
    </w:p>
    <w:p>
      <w:pPr>
        <w:spacing w:after="0" w:line="36" w:lineRule="exact"/>
        <w:rPr>
          <w:rFonts w:ascii="MS PGothic" w:cs="MS PGothic" w:eastAsia="MS PGothic" w:hAnsi="MS PGothic"/>
          <w:sz w:val="18"/>
          <w:szCs w:val="18"/>
          <w:color w:val="auto"/>
        </w:rPr>
      </w:pPr>
    </w:p>
    <w:p>
      <w:pPr>
        <w:ind w:left="660" w:right="160" w:hanging="652"/>
        <w:spacing w:after="0" w:line="254" w:lineRule="auto"/>
        <w:tabs>
          <w:tab w:leader="none" w:pos="66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(§203.405 of this chapter) or rule 12b-2 of the Securities Exchange Act of 1934 (§240.12b-2 of this chapter).</w:t>
      </w:r>
    </w:p>
    <w:p>
      <w:pPr>
        <w:spacing w:after="0" w:line="1" w:lineRule="exact"/>
        <w:rPr>
          <w:sz w:val="24"/>
          <w:szCs w:val="24"/>
          <w:color w:val="auto"/>
        </w:rPr>
      </w:pPr>
    </w:p>
    <w:p>
      <w:pPr>
        <w:jc w:val="right"/>
        <w:spacing w:after="0" w:line="207" w:lineRule="exact"/>
        <w:tabs>
          <w:tab w:leader="none" w:pos="140" w:val="left"/>
        </w:tabs>
        <w:rPr>
          <w:sz w:val="20"/>
          <w:szCs w:val="20"/>
          <w:color w:val="auto"/>
        </w:rPr>
      </w:pPr>
      <w:r>
        <w:rPr>
          <w:rFonts w:ascii="Times New Roman" w:cs="Times New Roman" w:eastAsia="Times New Roman" w:hAnsi="Times New Roman"/>
          <w:sz w:val="18"/>
          <w:szCs w:val="18"/>
          <w:color w:val="auto"/>
        </w:rPr>
        <w:t>Emerging growth company</w:t>
      </w:r>
      <w:r>
        <w:rPr>
          <w:sz w:val="20"/>
          <w:szCs w:val="20"/>
          <w:color w:val="auto"/>
        </w:rPr>
        <w:tab/>
      </w:r>
      <w:r>
        <w:rPr>
          <w:rFonts w:ascii="MS PGothic" w:cs="MS PGothic" w:eastAsia="MS PGothic" w:hAnsi="MS PGothic"/>
          <w:sz w:val="16"/>
          <w:szCs w:val="16"/>
          <w:color w:val="auto"/>
        </w:rPr>
        <w:t>☐</w:t>
      </w:r>
    </w:p>
    <w:p>
      <w:pPr>
        <w:spacing w:after="0" w:line="56" w:lineRule="exact"/>
        <w:rPr>
          <w:sz w:val="24"/>
          <w:szCs w:val="24"/>
          <w:color w:val="auto"/>
        </w:rPr>
      </w:pPr>
    </w:p>
    <w:p>
      <w:pPr>
        <w:ind w:left="660" w:right="160" w:hanging="652"/>
        <w:spacing w:after="0" w:line="269" w:lineRule="auto"/>
        <w:tabs>
          <w:tab w:leader="none" w:pos="660" w:val="left"/>
        </w:tabs>
        <w:numPr>
          <w:ilvl w:val="0"/>
          <w:numId w:val="2"/>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w:t>
      </w:r>
    </w:p>
    <w:p>
      <w:pPr>
        <w:spacing w:after="0" w:line="209"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36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Title of each class</w:t>
            </w:r>
          </w:p>
        </w:tc>
        <w:tc>
          <w:tcPr>
            <w:tcW w:w="22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symbol(s)</w:t>
            </w:r>
          </w:p>
        </w:tc>
        <w:tc>
          <w:tcPr>
            <w:tcW w:w="200" w:type="dxa"/>
            <w:vAlign w:val="bottom"/>
          </w:tcPr>
          <w:p>
            <w:pPr>
              <w:spacing w:after="0"/>
              <w:rPr>
                <w:sz w:val="20"/>
                <w:szCs w:val="20"/>
                <w:color w:val="auto"/>
              </w:rPr>
            </w:pPr>
          </w:p>
        </w:tc>
        <w:tc>
          <w:tcPr>
            <w:tcW w:w="36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37"/>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rPr>
              <w:t>Common Stock</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6"/>
              </w:rPr>
              <w:t>PFG</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Nasdaq Global Select Market</w:t>
            </w:r>
          </w:p>
        </w:tc>
      </w:tr>
      <w:tr>
        <w:trPr>
          <w:trHeight w:val="243"/>
        </w:trPr>
        <w:tc>
          <w:tcPr>
            <w:tcW w:w="362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360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3600" w:type="dxa"/>
            <w:vAlign w:val="bottom"/>
            <w:tcBorders>
              <w:bottom w:val="single" w:sz="8" w:color="auto"/>
            </w:tcBorders>
          </w:tcPr>
          <w:p>
            <w:pPr>
              <w:spacing w:after="0"/>
              <w:rPr>
                <w:sz w:val="21"/>
                <w:szCs w:val="21"/>
                <w:color w:val="auto"/>
              </w:rPr>
            </w:pPr>
          </w:p>
        </w:tc>
      </w:tr>
      <w:tr>
        <w:trPr>
          <w:trHeight w:val="28"/>
        </w:trPr>
        <w:tc>
          <w:tcPr>
            <w:tcW w:w="36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3600" w:type="dxa"/>
            <w:vAlign w:val="bottom"/>
            <w:tcBorders>
              <w:bottom w:val="single" w:sz="8" w:color="auto"/>
            </w:tcBorders>
          </w:tcPr>
          <w:p>
            <w:pPr>
              <w:spacing w:after="0"/>
              <w:rPr>
                <w:sz w:val="2"/>
                <w:szCs w:val="2"/>
                <w:color w:val="auto"/>
              </w:rPr>
            </w:pPr>
          </w:p>
        </w:tc>
      </w:tr>
      <w:tr>
        <w:trPr>
          <w:trHeight w:val="689"/>
        </w:trPr>
        <w:tc>
          <w:tcPr>
            <w:tcW w:w="36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36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72" w:right="339" w:bottom="1440" w:gutter="0" w:footer="0" w:header="0"/>
          <w:type w:val="continuous"/>
        </w:sectPr>
      </w:pPr>
    </w:p>
    <w:bookmarkStart w:id="1" w:name="page2"/>
    <w:bookmarkEnd w:id="1"/>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7.01</w:t>
      </w:r>
      <w:r>
        <w:rPr>
          <w:sz w:val="20"/>
          <w:szCs w:val="20"/>
          <w:color w:val="auto"/>
        </w:rPr>
        <w:tab/>
      </w:r>
      <w:r>
        <w:rPr>
          <w:rFonts w:ascii="Times New Roman" w:cs="Times New Roman" w:eastAsia="Times New Roman" w:hAnsi="Times New Roman"/>
          <w:sz w:val="18"/>
          <w:szCs w:val="18"/>
          <w:b w:val="1"/>
          <w:bCs w:val="1"/>
          <w:color w:val="auto"/>
        </w:rPr>
        <w:t>Regulation FD Disclosure</w:t>
      </w:r>
    </w:p>
    <w:p>
      <w:pPr>
        <w:spacing w:after="0" w:line="229"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This report is filed quarterly to disclose assets under management (“AUM”) by asset manager, prior to the availability of Principal Financial Group, Inc's (the “Company”) quarterly earnings release. The amounts presented herein will be consistent with the format of AUM by asset manager and presented again in such format within the Company's financial supplement for the quarter ended December 31, 2020 when that document is posted to the Company's investor relations web site on or about January 28, 2021.</w:t>
      </w:r>
    </w:p>
    <w:p>
      <w:pPr>
        <w:spacing w:after="0" w:line="180"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As of December 31, 2020, the assets under management by asset manager were $502.1 billion for Principal Global Investors and $162.4 billion for Other Entities of Principal Financial Group. Other Entities of Principal Financial Group includes Principal International, Principal Bank, assets managed by segments of the insurance company and sub-advised assets within the RIS segment.</w:t>
      </w:r>
    </w:p>
    <w:p>
      <w:pPr>
        <w:spacing w:after="0" w:line="176"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Note: Principal Global Investors delivers products and services through our network of focused investment teams. During times of market dislocations and a wider dispersion of returns, it is important to note our exposure to small and mid-cap products in US equity AUM and high yield and preferred securities exposure in fixed income AUM. Other Entities of Principal Financial Group includes AUM associated with Principal International where AUM is translated to U.S. dollar equivalents using end of reporting period spot foreign exchange rates.</w:t>
      </w:r>
    </w:p>
    <w:p>
      <w:pPr>
        <w:spacing w:after="0" w:line="17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62"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PRINCIPAL FINANCIAL GROUP, INC.</w:t>
      </w:r>
    </w:p>
    <w:p>
      <w:pPr>
        <w:spacing w:after="0" w:line="225" w:lineRule="exact"/>
        <w:rPr>
          <w:sz w:val="20"/>
          <w:szCs w:val="20"/>
          <w:color w:val="auto"/>
        </w:rPr>
      </w:pPr>
    </w:p>
    <w:p>
      <w:pPr>
        <w:ind w:left="5740"/>
        <w:spacing w:after="0"/>
        <w:tabs>
          <w:tab w:leader="none" w:pos="628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 John 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3999865</wp:posOffset>
            </wp:positionH>
            <wp:positionV relativeFrom="paragraph">
              <wp:posOffset>17145</wp:posOffset>
            </wp:positionV>
            <wp:extent cx="31375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137535" cy="8255"/>
                    </a:xfrm>
                    <a:prstGeom prst="rect">
                      <a:avLst/>
                    </a:prstGeom>
                    <a:noFill/>
                  </pic:spPr>
                </pic:pic>
              </a:graphicData>
            </a:graphic>
          </wp:anchor>
        </w:drawing>
      </w:r>
    </w:p>
    <w:p>
      <w:pPr>
        <w:spacing w:after="0" w:line="7" w:lineRule="exact"/>
        <w:rPr>
          <w:sz w:val="20"/>
          <w:szCs w:val="20"/>
          <w:color w:val="auto"/>
        </w:rPr>
      </w:pPr>
    </w:p>
    <w:p>
      <w:pPr>
        <w:ind w:left="5740"/>
        <w:spacing w:after="0"/>
        <w:rPr>
          <w:sz w:val="20"/>
          <w:szCs w:val="20"/>
          <w:color w:val="auto"/>
        </w:rPr>
      </w:pPr>
      <w:r>
        <w:rPr>
          <w:rFonts w:ascii="Times New Roman" w:cs="Times New Roman" w:eastAsia="Times New Roman" w:hAnsi="Times New Roman"/>
          <w:sz w:val="18"/>
          <w:szCs w:val="18"/>
          <w:color w:val="auto"/>
        </w:rPr>
        <w:t>Name: John Egan</w:t>
      </w:r>
    </w:p>
    <w:p>
      <w:pPr>
        <w:spacing w:after="0" w:line="23" w:lineRule="exact"/>
        <w:rPr>
          <w:sz w:val="20"/>
          <w:szCs w:val="20"/>
          <w:color w:val="auto"/>
        </w:rPr>
      </w:pPr>
    </w:p>
    <w:p>
      <w:pPr>
        <w:ind w:left="5740"/>
        <w:spacing w:after="0"/>
        <w:tabs>
          <w:tab w:leader="none" w:pos="6280" w:val="left"/>
        </w:tabs>
        <w:rPr>
          <w:sz w:val="20"/>
          <w:szCs w:val="20"/>
          <w:color w:val="auto"/>
        </w:rPr>
      </w:pPr>
      <w:r>
        <w:rPr>
          <w:rFonts w:ascii="Times New Roman" w:cs="Times New Roman" w:eastAsia="Times New Roman" w:hAnsi="Times New Roman"/>
          <w:sz w:val="18"/>
          <w:szCs w:val="18"/>
          <w:color w:val="auto"/>
        </w:rPr>
        <w:t>Title:</w:t>
      </w:r>
      <w:r>
        <w:rPr>
          <w:sz w:val="20"/>
          <w:szCs w:val="20"/>
          <w:color w:val="auto"/>
        </w:rPr>
        <w:tab/>
      </w:r>
      <w:r>
        <w:rPr>
          <w:rFonts w:ascii="Times New Roman" w:cs="Times New Roman" w:eastAsia="Times New Roman" w:hAnsi="Times New Roman"/>
          <w:sz w:val="17"/>
          <w:szCs w:val="17"/>
          <w:color w:val="auto"/>
        </w:rPr>
        <w:t>Vice President – Investor Relations</w:t>
      </w:r>
    </w:p>
    <w:p>
      <w:pPr>
        <w:spacing w:after="0" w:line="207" w:lineRule="exact"/>
        <w:rPr>
          <w:sz w:val="20"/>
          <w:szCs w:val="20"/>
          <w:color w:val="auto"/>
        </w:rPr>
      </w:pPr>
    </w:p>
    <w:p>
      <w:pPr>
        <w:spacing w:after="0"/>
        <w:tabs>
          <w:tab w:leader="none" w:pos="640" w:val="left"/>
        </w:tabs>
        <w:rPr>
          <w:sz w:val="20"/>
          <w:szCs w:val="20"/>
          <w:color w:val="auto"/>
        </w:rPr>
      </w:pPr>
      <w:r>
        <w:rPr>
          <w:rFonts w:ascii="Times New Roman" w:cs="Times New Roman" w:eastAsia="Times New Roman" w:hAnsi="Times New Roman"/>
          <w:sz w:val="18"/>
          <w:szCs w:val="18"/>
          <w:color w:val="auto"/>
        </w:rPr>
        <w:t>Date:</w:t>
        <w:tab/>
        <w:t>January 19,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445770</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00"/>
      </w:cols>
      <w:pgMar w:left="320" w:top="900"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2021-01-19T08:57:52Z</dcterms:created>
  <dcterms:modified xsi:type="dcterms:W3CDTF">2021-01-19T08:57:52Z</dcterms:modified>
</cp:coreProperties>
</file>