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340" w:type="dxa"/>
            <w:vAlign w:val="bottom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5328285</wp:posOffset>
            </wp:positionH>
            <wp:positionV relativeFrom="paragraph">
              <wp:posOffset>-611505</wp:posOffset>
            </wp:positionV>
            <wp:extent cx="8255" cy="6121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4020820</wp:posOffset>
            </wp:positionH>
            <wp:positionV relativeFrom="paragraph">
              <wp:posOffset>-619760</wp:posOffset>
            </wp:positionV>
            <wp:extent cx="8255" cy="6203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4045585</wp:posOffset>
            </wp:positionH>
            <wp:positionV relativeFrom="paragraph">
              <wp:posOffset>-594995</wp:posOffset>
            </wp:positionV>
            <wp:extent cx="1266190" cy="5708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-1597025</wp:posOffset>
            </wp:positionH>
            <wp:positionV relativeFrom="paragraph">
              <wp:posOffset>29845</wp:posOffset>
            </wp:positionV>
            <wp:extent cx="6967220" cy="16300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163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1440" w:gutter="0" w:footer="0" w:header="0"/>
        </w:sectPr>
      </w:pP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HOCHSCHILD ROGER C</w:t>
        </w:r>
      </w:hyperlink>
    </w:p>
    <w:p>
      <w:pPr>
        <w:spacing w:after="0" w:line="30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0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3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840" w:type="dxa"/>
            <w:vAlign w:val="bottom"/>
          </w:tcPr>
          <w:p>
            <w:pPr>
              <w:ind w:left="80"/>
              <w:spacing w:after="0" w:line="138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6"/>
                  <w:szCs w:val="16"/>
                  <w:u w:val="single" w:color="auto"/>
                  <w:color w:val="0000EE"/>
                </w:rPr>
                <w:t>PRINCIPAL FINANCIAL GROUP INC</w:t>
              </w:r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840" w:type="dxa"/>
            <w:vAlign w:val="bottom"/>
            <w:vMerge w:val="restart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]</w:t>
            </w: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8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26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3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840" w:type="dxa"/>
            <w:vAlign w:val="bottom"/>
            <w:tcBorders>
              <w:top w:val="single" w:sz="8" w:color="2C2C2C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38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09/25/2020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3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22" w:lineRule="auto"/>
        <w:tabs>
          <w:tab w:leader="none" w:pos="4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-2435225</wp:posOffset>
            </wp:positionH>
            <wp:positionV relativeFrom="paragraph">
              <wp:posOffset>153670</wp:posOffset>
            </wp:positionV>
            <wp:extent cx="6967220" cy="11004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2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6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09/25/2020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294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color w:val="000000"/>
                <w:w w:val="79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3"/>
                <w:szCs w:val="33"/>
                <w:color w:val="0000FF"/>
                <w:w w:val="79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9"/>
              </w:rPr>
              <w:t>(1)</w:t>
            </w: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20,579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380" w:type="dxa"/>
            <w:vAlign w:val="bottom"/>
            <w:gridSpan w:val="11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09/25/2020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200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38.63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14,031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-2066925</wp:posOffset>
            </wp:positionV>
            <wp:extent cx="7033260" cy="21101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11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units.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units convert to common stock on a one-for-one basis.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320" w:firstLine="3"/>
        <w:spacing w:after="0" w:line="253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reported phantom stock units were acquired pursuant to the Principal Deferred Compensation Plan for Non-Employee Directors and may be transferred at any time into another investment alternative under the Plan. Interests under the Plan will be settled upon the reporting person's retirement.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Alex P. Montz, by Power of</w:t>
            </w: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09/29/2020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Attorney</w:t>
            </w: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0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20" w:firstLine="3"/>
        <w:spacing w:after="0" w:line="312" w:lineRule="auto"/>
        <w:tabs>
          <w:tab w:leader="none" w:pos="178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183833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2020-09-29T16:08:38Z</dcterms:created>
  <dcterms:modified xsi:type="dcterms:W3CDTF">2020-09-29T16:08:38Z</dcterms:modified>
</cp:coreProperties>
</file>