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207010</wp:posOffset>
            </wp:positionH>
            <wp:positionV relativeFrom="page">
              <wp:posOffset>156210</wp:posOffset>
            </wp:positionV>
            <wp:extent cx="713486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4860" cy="25400"/>
                    </a:xfrm>
                    <a:prstGeom prst="rect">
                      <a:avLst/>
                    </a:prstGeom>
                    <a:noFill/>
                  </pic:spPr>
                </pic:pic>
              </a:graphicData>
            </a:graphic>
          </wp:anchor>
        </w:drawing>
        <w:drawing>
          <wp:anchor simplePos="0" relativeHeight="251657728" behindDoc="1" locked="0" layoutInCell="0" allowOverlap="1">
            <wp:simplePos x="0" y="0"/>
            <wp:positionH relativeFrom="page">
              <wp:posOffset>207010</wp:posOffset>
            </wp:positionH>
            <wp:positionV relativeFrom="page">
              <wp:posOffset>189865</wp:posOffset>
            </wp:positionV>
            <wp:extent cx="71348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4860" cy="8255"/>
                    </a:xfrm>
                    <a:prstGeom prst="rect">
                      <a:avLst/>
                    </a:prstGeom>
                    <a:noFill/>
                  </pic:spPr>
                </pic:pic>
              </a:graphicData>
            </a:graphic>
          </wp:anchor>
        </w:drawing>
        <w:t>UNITED STATES</w:t>
      </w:r>
    </w:p>
    <w:p>
      <w:pPr>
        <w:spacing w:after="0" w:line="2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2679065</wp:posOffset>
            </wp:positionH>
            <wp:positionV relativeFrom="paragraph">
              <wp:posOffset>172085</wp:posOffset>
            </wp:positionV>
            <wp:extent cx="178371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715" cy="8255"/>
                    </a:xfrm>
                    <a:prstGeom prst="rect">
                      <a:avLst/>
                    </a:prstGeom>
                    <a:noFill/>
                  </pic:spPr>
                </pic:pic>
              </a:graphicData>
            </a:graphic>
          </wp:anchor>
        </w:drawing>
      </w:r>
    </w:p>
    <w:p>
      <w:pPr>
        <w:spacing w:after="0" w:line="200" w:lineRule="exact"/>
        <w:rPr>
          <w:sz w:val="24"/>
          <w:szCs w:val="24"/>
          <w:color w:val="auto"/>
        </w:rPr>
      </w:pPr>
    </w:p>
    <w:p>
      <w:pPr>
        <w:spacing w:after="0" w:line="32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21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1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w:t>
      </w:r>
    </w:p>
    <w:p>
      <w:pPr>
        <w:spacing w:after="0" w:line="2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Exchange Act of 1934</w:t>
      </w:r>
    </w:p>
    <w:p>
      <w:pPr>
        <w:spacing w:after="0" w:line="200" w:lineRule="exact"/>
        <w:rPr>
          <w:sz w:val="24"/>
          <w:szCs w:val="24"/>
          <w:color w:val="auto"/>
        </w:rPr>
      </w:pPr>
    </w:p>
    <w:p>
      <w:pPr>
        <w:ind w:left="4560"/>
        <w:spacing w:after="0"/>
        <w:rPr>
          <w:sz w:val="20"/>
          <w:szCs w:val="20"/>
          <w:color w:val="auto"/>
        </w:rPr>
      </w:pPr>
      <w:r>
        <w:rPr>
          <w:rFonts w:ascii="Arial" w:cs="Arial" w:eastAsia="Arial" w:hAnsi="Arial"/>
          <w:sz w:val="18"/>
          <w:szCs w:val="18"/>
          <w:color w:val="auto"/>
        </w:rPr>
        <w:t xml:space="preserve">Date of Report: </w:t>
      </w:r>
      <w:r>
        <w:rPr>
          <w:rFonts w:ascii="Arial" w:cs="Arial" w:eastAsia="Arial" w:hAnsi="Arial"/>
          <w:sz w:val="18"/>
          <w:szCs w:val="18"/>
          <w:b w:val="1"/>
          <w:bCs w:val="1"/>
          <w:color w:val="auto"/>
        </w:rPr>
        <w:t>July 27, 2020</w:t>
      </w:r>
    </w:p>
    <w:p>
      <w:pPr>
        <w:spacing w:after="0" w:line="22" w:lineRule="exact"/>
        <w:rPr>
          <w:sz w:val="24"/>
          <w:szCs w:val="24"/>
          <w:color w:val="auto"/>
        </w:rPr>
      </w:pPr>
    </w:p>
    <w:p>
      <w:pPr>
        <w:ind w:left="4500"/>
        <w:spacing w:after="0"/>
        <w:rPr>
          <w:sz w:val="20"/>
          <w:szCs w:val="20"/>
          <w:color w:val="auto"/>
        </w:rPr>
      </w:pPr>
      <w:r>
        <w:rPr>
          <w:rFonts w:ascii="Arial" w:cs="Arial" w:eastAsia="Arial" w:hAnsi="Arial"/>
          <w:sz w:val="18"/>
          <w:szCs w:val="18"/>
          <w:color w:val="auto"/>
        </w:rPr>
        <w:t>(Date of earliest event reported)</w:t>
      </w:r>
    </w:p>
    <w:p>
      <w:pPr>
        <w:spacing w:after="0" w:line="195"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PRINCIPAL FINANCIAL GROUP, INC.</w:t>
      </w:r>
    </w:p>
    <w:p>
      <w:pPr>
        <w:spacing w:after="0" w:line="2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24" w:lineRule="exact"/>
        <w:rPr>
          <w:sz w:val="24"/>
          <w:szCs w:val="24"/>
          <w:color w:val="auto"/>
        </w:rPr>
      </w:pPr>
    </w:p>
    <w:tbl>
      <w:tblPr>
        <w:tblLayout w:type="fixed"/>
        <w:tblInd w:w="2140" w:type="dxa"/>
        <w:tblCellMar>
          <w:top w:w="0" w:type="dxa"/>
          <w:left w:w="0" w:type="dxa"/>
          <w:bottom w:w="0" w:type="dxa"/>
          <w:right w:w="0" w:type="dxa"/>
        </w:tblCellMar>
      </w:tblPr>
      <w:tr>
        <w:trPr>
          <w:trHeight w:val="218"/>
        </w:trPr>
        <w:tc>
          <w:tcPr>
            <w:tcW w:w="2220" w:type="dxa"/>
            <w:vAlign w:val="bottom"/>
          </w:tcPr>
          <w:p>
            <w:pPr>
              <w:jc w:val="center"/>
              <w:ind w:right="272"/>
              <w:spacing w:after="0"/>
              <w:rPr>
                <w:sz w:val="20"/>
                <w:szCs w:val="20"/>
                <w:color w:val="auto"/>
              </w:rPr>
            </w:pPr>
            <w:r>
              <w:rPr>
                <w:rFonts w:ascii="Arial" w:cs="Arial" w:eastAsia="Arial" w:hAnsi="Arial"/>
                <w:sz w:val="18"/>
                <w:szCs w:val="18"/>
                <w:b w:val="1"/>
                <w:bCs w:val="1"/>
                <w:color w:val="auto"/>
                <w:w w:val="88"/>
              </w:rPr>
              <w:t>Delaware</w:t>
            </w:r>
          </w:p>
        </w:tc>
        <w:tc>
          <w:tcPr>
            <w:tcW w:w="2640" w:type="dxa"/>
            <w:vAlign w:val="bottom"/>
          </w:tcPr>
          <w:p>
            <w:pPr>
              <w:jc w:val="right"/>
              <w:ind w:right="952"/>
              <w:spacing w:after="0"/>
              <w:rPr>
                <w:sz w:val="20"/>
                <w:szCs w:val="20"/>
                <w:color w:val="auto"/>
              </w:rPr>
            </w:pPr>
            <w:r>
              <w:rPr>
                <w:rFonts w:ascii="Arial" w:cs="Arial" w:eastAsia="Arial" w:hAnsi="Arial"/>
                <w:sz w:val="18"/>
                <w:szCs w:val="18"/>
                <w:b w:val="1"/>
                <w:bCs w:val="1"/>
                <w:color w:val="auto"/>
              </w:rPr>
              <w:t>1-16725</w:t>
            </w:r>
          </w:p>
        </w:tc>
        <w:tc>
          <w:tcPr>
            <w:tcW w:w="2040" w:type="dxa"/>
            <w:vAlign w:val="bottom"/>
          </w:tcPr>
          <w:p>
            <w:pPr>
              <w:jc w:val="center"/>
              <w:ind w:left="312"/>
              <w:spacing w:after="0"/>
              <w:rPr>
                <w:sz w:val="20"/>
                <w:szCs w:val="20"/>
                <w:color w:val="auto"/>
              </w:rPr>
            </w:pPr>
            <w:r>
              <w:rPr>
                <w:rFonts w:ascii="Arial" w:cs="Arial" w:eastAsia="Arial" w:hAnsi="Arial"/>
                <w:sz w:val="18"/>
                <w:szCs w:val="18"/>
                <w:b w:val="1"/>
                <w:bCs w:val="1"/>
                <w:color w:val="auto"/>
                <w:w w:val="87"/>
              </w:rPr>
              <w:t>42-1520346</w:t>
            </w:r>
          </w:p>
        </w:tc>
      </w:tr>
      <w:tr>
        <w:trPr>
          <w:trHeight w:val="212"/>
        </w:trPr>
        <w:tc>
          <w:tcPr>
            <w:tcW w:w="2220" w:type="dxa"/>
            <w:vAlign w:val="bottom"/>
          </w:tcPr>
          <w:p>
            <w:pPr>
              <w:jc w:val="center"/>
              <w:ind w:right="272"/>
              <w:spacing w:after="0"/>
              <w:rPr>
                <w:sz w:val="20"/>
                <w:szCs w:val="20"/>
                <w:color w:val="auto"/>
              </w:rPr>
            </w:pPr>
            <w:r>
              <w:rPr>
                <w:rFonts w:ascii="Arial" w:cs="Arial" w:eastAsia="Arial" w:hAnsi="Arial"/>
                <w:sz w:val="18"/>
                <w:szCs w:val="18"/>
                <w:color w:val="auto"/>
                <w:w w:val="90"/>
              </w:rPr>
              <w:t>(State or other jurisdiction</w:t>
            </w:r>
          </w:p>
        </w:tc>
        <w:tc>
          <w:tcPr>
            <w:tcW w:w="2640" w:type="dxa"/>
            <w:vAlign w:val="bottom"/>
          </w:tcPr>
          <w:p>
            <w:pPr>
              <w:jc w:val="center"/>
              <w:spacing w:after="0"/>
              <w:rPr>
                <w:sz w:val="20"/>
                <w:szCs w:val="20"/>
                <w:color w:val="auto"/>
              </w:rPr>
            </w:pPr>
            <w:r>
              <w:rPr>
                <w:rFonts w:ascii="Arial" w:cs="Arial" w:eastAsia="Arial" w:hAnsi="Arial"/>
                <w:sz w:val="18"/>
                <w:szCs w:val="18"/>
                <w:color w:val="auto"/>
                <w:w w:val="91"/>
              </w:rPr>
              <w:t>(Commission file number)</w:t>
            </w:r>
          </w:p>
        </w:tc>
        <w:tc>
          <w:tcPr>
            <w:tcW w:w="2040" w:type="dxa"/>
            <w:vAlign w:val="bottom"/>
          </w:tcPr>
          <w:p>
            <w:pPr>
              <w:jc w:val="center"/>
              <w:ind w:left="312"/>
              <w:spacing w:after="0"/>
              <w:rPr>
                <w:sz w:val="20"/>
                <w:szCs w:val="20"/>
                <w:color w:val="auto"/>
              </w:rPr>
            </w:pPr>
            <w:r>
              <w:rPr>
                <w:rFonts w:ascii="Arial" w:cs="Arial" w:eastAsia="Arial" w:hAnsi="Arial"/>
                <w:sz w:val="18"/>
                <w:szCs w:val="18"/>
                <w:color w:val="auto"/>
                <w:w w:val="90"/>
              </w:rPr>
              <w:t>(I.R.S. Employer</w:t>
            </w:r>
          </w:p>
        </w:tc>
      </w:tr>
      <w:tr>
        <w:trPr>
          <w:trHeight w:val="223"/>
        </w:trPr>
        <w:tc>
          <w:tcPr>
            <w:tcW w:w="2220" w:type="dxa"/>
            <w:vAlign w:val="bottom"/>
          </w:tcPr>
          <w:p>
            <w:pPr>
              <w:jc w:val="center"/>
              <w:ind w:right="292"/>
              <w:spacing w:after="0"/>
              <w:rPr>
                <w:sz w:val="20"/>
                <w:szCs w:val="20"/>
                <w:color w:val="auto"/>
              </w:rPr>
            </w:pPr>
            <w:r>
              <w:rPr>
                <w:rFonts w:ascii="Arial" w:cs="Arial" w:eastAsia="Arial" w:hAnsi="Arial"/>
                <w:sz w:val="18"/>
                <w:szCs w:val="18"/>
                <w:color w:val="auto"/>
                <w:w w:val="92"/>
              </w:rPr>
              <w:t>of incorporation)</w:t>
            </w:r>
          </w:p>
        </w:tc>
        <w:tc>
          <w:tcPr>
            <w:tcW w:w="2640" w:type="dxa"/>
            <w:vAlign w:val="bottom"/>
          </w:tcPr>
          <w:p>
            <w:pPr>
              <w:spacing w:after="0"/>
              <w:rPr>
                <w:sz w:val="19"/>
                <w:szCs w:val="19"/>
                <w:color w:val="auto"/>
              </w:rPr>
            </w:pPr>
          </w:p>
        </w:tc>
        <w:tc>
          <w:tcPr>
            <w:tcW w:w="2040" w:type="dxa"/>
            <w:vAlign w:val="bottom"/>
          </w:tcPr>
          <w:p>
            <w:pPr>
              <w:jc w:val="center"/>
              <w:ind w:left="312"/>
              <w:spacing w:after="0"/>
              <w:rPr>
                <w:sz w:val="20"/>
                <w:szCs w:val="20"/>
                <w:color w:val="auto"/>
              </w:rPr>
            </w:pPr>
            <w:r>
              <w:rPr>
                <w:rFonts w:ascii="Arial" w:cs="Arial" w:eastAsia="Arial" w:hAnsi="Arial"/>
                <w:sz w:val="18"/>
                <w:szCs w:val="18"/>
                <w:color w:val="auto"/>
                <w:w w:val="93"/>
              </w:rPr>
              <w:t>Identification Number)</w:t>
            </w:r>
          </w:p>
        </w:tc>
      </w:tr>
    </w:tbl>
    <w:p>
      <w:pPr>
        <w:spacing w:after="0" w:line="19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22"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w:t>
      </w:r>
    </w:p>
    <w:p>
      <w:pPr>
        <w:spacing w:after="0" w:line="20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(515) 247-5111</w:t>
      </w:r>
    </w:p>
    <w:p>
      <w:pPr>
        <w:spacing w:after="0" w:line="22"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6" w:lineRule="exact"/>
        <w:rPr>
          <w:sz w:val="24"/>
          <w:szCs w:val="24"/>
          <w:color w:val="auto"/>
        </w:rPr>
      </w:pPr>
    </w:p>
    <w:p>
      <w:pPr>
        <w:ind w:right="160"/>
        <w:spacing w:after="0" w:line="264"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81" w:lineRule="exact"/>
        <w:rPr>
          <w:sz w:val="24"/>
          <w:szCs w:val="24"/>
          <w:color w:val="auto"/>
        </w:rPr>
      </w:pPr>
    </w:p>
    <w:p>
      <w:pPr>
        <w:ind w:left="320" w:hanging="314"/>
        <w:spacing w:after="0"/>
        <w:tabs>
          <w:tab w:leader="none" w:pos="3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9" w:lineRule="exact"/>
        <w:rPr>
          <w:rFonts w:ascii="MS PGothic" w:cs="MS PGothic" w:eastAsia="MS PGothic" w:hAnsi="MS PGothic"/>
          <w:sz w:val="18"/>
          <w:szCs w:val="18"/>
          <w:color w:val="auto"/>
        </w:rPr>
      </w:pPr>
    </w:p>
    <w:p>
      <w:pPr>
        <w:ind w:left="320" w:hanging="314"/>
        <w:spacing w:after="0"/>
        <w:tabs>
          <w:tab w:leader="none" w:pos="3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5" w:lineRule="exact"/>
        <w:rPr>
          <w:rFonts w:ascii="MS PGothic" w:cs="MS PGothic" w:eastAsia="MS PGothic" w:hAnsi="MS PGothic"/>
          <w:sz w:val="18"/>
          <w:szCs w:val="18"/>
          <w:color w:val="auto"/>
        </w:rPr>
      </w:pPr>
    </w:p>
    <w:p>
      <w:pPr>
        <w:ind w:left="320" w:hanging="314"/>
        <w:spacing w:after="0"/>
        <w:tabs>
          <w:tab w:leader="none" w:pos="3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5" w:lineRule="exact"/>
        <w:rPr>
          <w:rFonts w:ascii="MS PGothic" w:cs="MS PGothic" w:eastAsia="MS PGothic" w:hAnsi="MS PGothic"/>
          <w:sz w:val="18"/>
          <w:szCs w:val="18"/>
          <w:color w:val="auto"/>
        </w:rPr>
      </w:pPr>
    </w:p>
    <w:p>
      <w:pPr>
        <w:ind w:left="320" w:hanging="314"/>
        <w:spacing w:after="0"/>
        <w:tabs>
          <w:tab w:leader="none" w:pos="3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5" w:lineRule="exact"/>
        <w:rPr>
          <w:rFonts w:ascii="MS PGothic" w:cs="MS PGothic" w:eastAsia="MS PGothic" w:hAnsi="MS PGothic"/>
          <w:sz w:val="18"/>
          <w:szCs w:val="18"/>
          <w:color w:val="auto"/>
        </w:rPr>
      </w:pPr>
    </w:p>
    <w:p>
      <w:pPr>
        <w:ind w:left="320" w:hanging="314"/>
        <w:spacing w:after="0"/>
        <w:tabs>
          <w:tab w:leader="none" w:pos="32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Indicate by check mark whether the registrant is an emerging growth company as defined in Rule 405 of the Securities Act of 1933 (§203.405 of this</w:t>
      </w:r>
    </w:p>
    <w:p>
      <w:pPr>
        <w:spacing w:after="0" w:line="33" w:lineRule="exact"/>
        <w:rPr>
          <w:sz w:val="24"/>
          <w:szCs w:val="24"/>
          <w:color w:val="auto"/>
        </w:rPr>
      </w:pPr>
    </w:p>
    <w:p>
      <w:pPr>
        <w:ind w:left="320"/>
        <w:spacing w:after="0" w:line="207" w:lineRule="exact"/>
        <w:tabs>
          <w:tab w:leader="none" w:pos="8160" w:val="left"/>
          <w:tab w:leader="none" w:pos="10260" w:val="left"/>
        </w:tabs>
        <w:rPr>
          <w:sz w:val="20"/>
          <w:szCs w:val="20"/>
          <w:color w:val="auto"/>
        </w:rPr>
      </w:pPr>
      <w:r>
        <w:rPr>
          <w:rFonts w:ascii="Arial" w:cs="Arial" w:eastAsia="Arial" w:hAnsi="Arial"/>
          <w:sz w:val="18"/>
          <w:szCs w:val="18"/>
          <w:color w:val="auto"/>
        </w:rPr>
        <w:t>chapter) or rule 12b-2 of the Securities Exchange Act of 1934 (§240.12b-2 of this chapter).</w:t>
      </w:r>
      <w:r>
        <w:rPr>
          <w:sz w:val="20"/>
          <w:szCs w:val="20"/>
          <w:color w:val="auto"/>
        </w:rPr>
        <w:tab/>
      </w:r>
      <w:r>
        <w:rPr>
          <w:rFonts w:ascii="Arial" w:cs="Arial" w:eastAsia="Arial" w:hAnsi="Arial"/>
          <w:sz w:val="18"/>
          <w:szCs w:val="18"/>
          <w:color w:val="auto"/>
        </w:rPr>
        <w:t>Emerging growth company</w:t>
      </w:r>
      <w:r>
        <w:rPr>
          <w:sz w:val="20"/>
          <w:szCs w:val="20"/>
          <w:color w:val="auto"/>
        </w:rPr>
        <w:tab/>
      </w:r>
      <w:r>
        <w:rPr>
          <w:rFonts w:ascii="MS PGothic" w:cs="MS PGothic" w:eastAsia="MS PGothic" w:hAnsi="MS PGothic"/>
          <w:sz w:val="15"/>
          <w:szCs w:val="15"/>
          <w:color w:val="auto"/>
        </w:rPr>
        <w:t>☐</w:t>
      </w:r>
    </w:p>
    <w:p>
      <w:pPr>
        <w:spacing w:after="0" w:line="5" w:lineRule="exact"/>
        <w:rPr>
          <w:sz w:val="24"/>
          <w:szCs w:val="24"/>
          <w:color w:val="auto"/>
        </w:rPr>
      </w:pPr>
    </w:p>
    <w:p>
      <w:pPr>
        <w:ind w:left="320" w:right="60" w:hanging="314"/>
        <w:spacing w:after="0" w:line="256" w:lineRule="auto"/>
        <w:tabs>
          <w:tab w:leader="none" w:pos="32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207"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36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6"/>
              </w:rPr>
              <w:t>Title of each class</w:t>
            </w:r>
          </w:p>
        </w:tc>
        <w:tc>
          <w:tcPr>
            <w:tcW w:w="240" w:type="dxa"/>
            <w:vAlign w:val="bottom"/>
          </w:tcPr>
          <w:p>
            <w:pPr>
              <w:spacing w:after="0"/>
              <w:rPr>
                <w:sz w:val="19"/>
                <w:szCs w:val="19"/>
                <w:color w:val="auto"/>
              </w:rPr>
            </w:pPr>
          </w:p>
        </w:tc>
        <w:tc>
          <w:tcPr>
            <w:tcW w:w="36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Trading symbol(s)</w:t>
            </w:r>
          </w:p>
        </w:tc>
        <w:tc>
          <w:tcPr>
            <w:tcW w:w="220" w:type="dxa"/>
            <w:vAlign w:val="bottom"/>
          </w:tcPr>
          <w:p>
            <w:pPr>
              <w:spacing w:after="0"/>
              <w:rPr>
                <w:sz w:val="19"/>
                <w:szCs w:val="19"/>
                <w:color w:val="auto"/>
              </w:rPr>
            </w:pPr>
          </w:p>
        </w:tc>
        <w:tc>
          <w:tcPr>
            <w:tcW w:w="35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6"/>
              </w:rPr>
              <w:t>Name of each exchange on which registered</w:t>
            </w:r>
          </w:p>
        </w:tc>
      </w:tr>
      <w:tr>
        <w:trPr>
          <w:trHeight w:val="231"/>
        </w:trPr>
        <w:tc>
          <w:tcPr>
            <w:tcW w:w="3840" w:type="dxa"/>
            <w:vAlign w:val="bottom"/>
            <w:gridSpan w:val="2"/>
          </w:tcPr>
          <w:p>
            <w:pPr>
              <w:jc w:val="center"/>
              <w:ind w:right="220"/>
              <w:spacing w:after="0"/>
              <w:rPr>
                <w:sz w:val="20"/>
                <w:szCs w:val="20"/>
                <w:color w:val="auto"/>
              </w:rPr>
            </w:pPr>
            <w:r>
              <w:rPr>
                <w:rFonts w:ascii="Arial" w:cs="Arial" w:eastAsia="Arial" w:hAnsi="Arial"/>
                <w:sz w:val="18"/>
                <w:szCs w:val="18"/>
                <w:color w:val="auto"/>
                <w:w w:val="89"/>
              </w:rPr>
              <w:t>Common Stock</w:t>
            </w:r>
          </w:p>
        </w:tc>
        <w:tc>
          <w:tcPr>
            <w:tcW w:w="3820" w:type="dxa"/>
            <w:vAlign w:val="bottom"/>
            <w:gridSpan w:val="2"/>
          </w:tcPr>
          <w:p>
            <w:pPr>
              <w:jc w:val="center"/>
              <w:ind w:right="220"/>
              <w:spacing w:after="0"/>
              <w:rPr>
                <w:sz w:val="20"/>
                <w:szCs w:val="20"/>
                <w:color w:val="auto"/>
              </w:rPr>
            </w:pPr>
            <w:r>
              <w:rPr>
                <w:rFonts w:ascii="Arial" w:cs="Arial" w:eastAsia="Arial" w:hAnsi="Arial"/>
                <w:sz w:val="18"/>
                <w:szCs w:val="18"/>
                <w:color w:val="auto"/>
                <w:w w:val="86"/>
              </w:rPr>
              <w:t>PFG</w:t>
            </w:r>
          </w:p>
        </w:tc>
        <w:tc>
          <w:tcPr>
            <w:tcW w:w="3580" w:type="dxa"/>
            <w:vAlign w:val="bottom"/>
          </w:tcPr>
          <w:p>
            <w:pPr>
              <w:jc w:val="center"/>
              <w:spacing w:after="0"/>
              <w:rPr>
                <w:sz w:val="20"/>
                <w:szCs w:val="20"/>
                <w:color w:val="auto"/>
              </w:rPr>
            </w:pPr>
            <w:r>
              <w:rPr>
                <w:rFonts w:ascii="Arial" w:cs="Arial" w:eastAsia="Arial" w:hAnsi="Arial"/>
                <w:sz w:val="18"/>
                <w:szCs w:val="18"/>
                <w:color w:val="auto"/>
                <w:w w:val="88"/>
              </w:rPr>
              <w:t>Nasdaq Global Select Market</w:t>
            </w:r>
          </w:p>
        </w:tc>
      </w:tr>
      <w:tr>
        <w:trPr>
          <w:trHeight w:val="293"/>
        </w:trPr>
        <w:tc>
          <w:tcPr>
            <w:tcW w:w="36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580" w:type="dxa"/>
            <w:vAlign w:val="bottom"/>
            <w:tcBorders>
              <w:bottom w:val="single" w:sz="8" w:color="auto"/>
            </w:tcBorders>
          </w:tcPr>
          <w:p>
            <w:pPr>
              <w:spacing w:after="0"/>
              <w:rPr>
                <w:sz w:val="24"/>
                <w:szCs w:val="24"/>
                <w:color w:val="auto"/>
              </w:rPr>
            </w:pPr>
          </w:p>
        </w:tc>
      </w:tr>
      <w:tr>
        <w:trPr>
          <w:trHeight w:val="26"/>
        </w:trPr>
        <w:tc>
          <w:tcPr>
            <w:tcW w:w="36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36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580" w:type="dxa"/>
            <w:vAlign w:val="bottom"/>
            <w:tcBorders>
              <w:bottom w:val="single" w:sz="8" w:color="auto"/>
            </w:tcBorders>
          </w:tcPr>
          <w:p>
            <w:pPr>
              <w:spacing w:after="0"/>
              <w:rPr>
                <w:sz w:val="2"/>
                <w:szCs w:val="2"/>
                <w:color w:val="auto"/>
              </w:rPr>
            </w:pPr>
          </w:p>
        </w:tc>
      </w:tr>
      <w:tr>
        <w:trPr>
          <w:trHeight w:val="437"/>
        </w:trPr>
        <w:tc>
          <w:tcPr>
            <w:tcW w:w="36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5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585" w:right="339" w:bottom="1440" w:gutter="0" w:footer="0" w:header="0"/>
        </w:sectPr>
      </w:pPr>
    </w:p>
    <w:bookmarkStart w:id="1" w:name="page2"/>
    <w:bookmarkEnd w:id="1"/>
    <w:p>
      <w:pPr>
        <w:spacing w:after="0"/>
        <w:tabs>
          <w:tab w:leader="none" w:pos="126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5"/>
          <w:szCs w:val="15"/>
          <w:b w:val="1"/>
          <w:bCs w:val="1"/>
          <w:color w:val="auto"/>
        </w:rPr>
        <w:t>Results of Operations and Financial Condition</w:t>
      </w:r>
    </w:p>
    <w:p>
      <w:pPr>
        <w:spacing w:after="0" w:line="223"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On July 27, 2020, Principal Financial Group, Inc. publicly announced information regarding its results of operations and financial condition for the quarter ended June 30, 2020. The text of the announcement is included herewith as Exhibit 99.</w:t>
      </w:r>
    </w:p>
    <w:p>
      <w:pPr>
        <w:spacing w:after="0" w:line="175" w:lineRule="exact"/>
        <w:rPr>
          <w:sz w:val="20"/>
          <w:szCs w:val="20"/>
          <w:color w:val="auto"/>
        </w:rPr>
      </w:pPr>
    </w:p>
    <w:p>
      <w:pPr>
        <w:spacing w:after="0"/>
        <w:tabs>
          <w:tab w:leader="none" w:pos="126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5"/>
          <w:szCs w:val="15"/>
          <w:b w:val="1"/>
          <w:bCs w:val="1"/>
          <w:color w:val="auto"/>
        </w:rPr>
        <w:t>Financial Statements and Exhibits</w:t>
      </w:r>
    </w:p>
    <w:p>
      <w:pPr>
        <w:spacing w:after="0" w:line="223" w:lineRule="exact"/>
        <w:rPr>
          <w:sz w:val="20"/>
          <w:szCs w:val="20"/>
          <w:color w:val="auto"/>
        </w:rPr>
      </w:pPr>
    </w:p>
    <w:p>
      <w:pPr>
        <w:spacing w:after="0"/>
        <w:tabs>
          <w:tab w:leader="none" w:pos="620" w:val="left"/>
        </w:tabs>
        <w:rPr>
          <w:rFonts w:ascii="Arial" w:cs="Arial" w:eastAsia="Arial" w:hAnsi="Arial"/>
          <w:sz w:val="18"/>
          <w:szCs w:val="18"/>
          <w:u w:val="single" w:color="auto"/>
          <w:color w:val="0000EE"/>
        </w:rPr>
      </w:pPr>
      <w:r>
        <w:rPr>
          <w:rFonts w:ascii="Arial" w:cs="Arial" w:eastAsia="Arial" w:hAnsi="Arial"/>
          <w:sz w:val="18"/>
          <w:szCs w:val="18"/>
          <w:u w:val="single" w:color="auto"/>
          <w:color w:val="0000EE"/>
        </w:rPr>
        <w:t>99</w:t>
      </w:r>
      <w:r>
        <w:rPr>
          <w:sz w:val="20"/>
          <w:szCs w:val="20"/>
          <w:color w:val="auto"/>
        </w:rPr>
        <w:tab/>
      </w:r>
      <w:hyperlink w:anchor="page4">
        <w:r>
          <w:rPr>
            <w:rFonts w:ascii="Arial" w:cs="Arial" w:eastAsia="Arial" w:hAnsi="Arial"/>
            <w:sz w:val="18"/>
            <w:szCs w:val="18"/>
            <w:u w:val="single" w:color="auto"/>
            <w:color w:val="0000EE"/>
          </w:rPr>
          <w:t>Second Quarter 2020 Earnings Release</w:t>
        </w:r>
      </w:hyperlink>
    </w:p>
    <w:p>
      <w:pPr>
        <w:spacing w:after="0" w:line="16" w:lineRule="exact"/>
        <w:rPr>
          <w:sz w:val="20"/>
          <w:szCs w:val="20"/>
          <w:color w:val="auto"/>
        </w:rPr>
      </w:pPr>
    </w:p>
    <w:p>
      <w:pPr>
        <w:spacing w:after="0"/>
        <w:tabs>
          <w:tab w:leader="none" w:pos="62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Cover Page to this Current Report on Form 8-K in Inline XBRL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273050</wp:posOffset>
            </wp:positionV>
            <wp:extent cx="713486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4860" cy="8255"/>
                    </a:xfrm>
                    <a:prstGeom prst="rect">
                      <a:avLst/>
                    </a:prstGeom>
                    <a:noFill/>
                  </pic:spPr>
                </pic:pic>
              </a:graphicData>
            </a:graphic>
          </wp:anchor>
        </w:drawing>
      </w:r>
    </w:p>
    <w:p>
      <w:pPr>
        <w:sectPr>
          <w:pgSz w:w="11900" w:h="16838" w:orient="portrait"/>
          <w:cols w:equalWidth="0" w:num="1">
            <w:col w:w="10940"/>
          </w:cols>
          <w:pgMar w:left="320" w:top="890" w:right="6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w:t>
      </w:r>
    </w:p>
    <w:p>
      <w:pPr>
        <w:spacing w:after="0" w:line="223"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81"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PRINCIPAL FINANCIAL GROUP, INC.</w:t>
      </w:r>
    </w:p>
    <w:p>
      <w:pPr>
        <w:spacing w:after="0" w:line="217" w:lineRule="exact"/>
        <w:rPr>
          <w:sz w:val="20"/>
          <w:szCs w:val="20"/>
          <w:color w:val="auto"/>
        </w:rPr>
      </w:pPr>
    </w:p>
    <w:tbl>
      <w:tblPr>
        <w:tblLayout w:type="fixed"/>
        <w:tblInd w:w="5640" w:type="dxa"/>
        <w:tblCellMar>
          <w:top w:w="0" w:type="dxa"/>
          <w:left w:w="0" w:type="dxa"/>
          <w:bottom w:w="0" w:type="dxa"/>
          <w:right w:w="0" w:type="dxa"/>
        </w:tblCellMar>
      </w:tblPr>
      <w:tr>
        <w:trPr>
          <w:trHeight w:val="223"/>
        </w:trPr>
        <w:tc>
          <w:tcPr>
            <w:tcW w:w="560" w:type="dxa"/>
            <w:vAlign w:val="bottom"/>
          </w:tcPr>
          <w:p>
            <w:pPr>
              <w:spacing w:after="0"/>
              <w:rPr>
                <w:sz w:val="20"/>
                <w:szCs w:val="20"/>
                <w:color w:val="auto"/>
              </w:rPr>
            </w:pPr>
            <w:r>
              <w:rPr>
                <w:rFonts w:ascii="Arial" w:cs="Arial" w:eastAsia="Arial" w:hAnsi="Arial"/>
                <w:sz w:val="18"/>
                <w:szCs w:val="18"/>
                <w:color w:val="auto"/>
              </w:rPr>
              <w:t>By:</w:t>
            </w:r>
          </w:p>
        </w:tc>
        <w:tc>
          <w:tcPr>
            <w:tcW w:w="5040" w:type="dxa"/>
            <w:vAlign w:val="bottom"/>
            <w:tcBorders>
              <w:bottom w:val="single" w:sz="8" w:color="auto"/>
            </w:tcBorders>
          </w:tcPr>
          <w:p>
            <w:pPr>
              <w:ind w:left="400"/>
              <w:spacing w:after="0"/>
              <w:rPr>
                <w:sz w:val="20"/>
                <w:szCs w:val="20"/>
                <w:color w:val="auto"/>
              </w:rPr>
            </w:pPr>
            <w:r>
              <w:rPr>
                <w:rFonts w:ascii="Arial" w:cs="Arial" w:eastAsia="Arial" w:hAnsi="Arial"/>
                <w:sz w:val="18"/>
                <w:szCs w:val="18"/>
                <w:color w:val="auto"/>
              </w:rPr>
              <w:t>/s/ Deanna D. Strable-Soethout</w:t>
            </w:r>
          </w:p>
        </w:tc>
      </w:tr>
      <w:tr>
        <w:trPr>
          <w:trHeight w:val="194"/>
        </w:trPr>
        <w:tc>
          <w:tcPr>
            <w:tcW w:w="560" w:type="dxa"/>
            <w:vAlign w:val="bottom"/>
          </w:tcPr>
          <w:p>
            <w:pPr>
              <w:spacing w:after="0" w:line="194" w:lineRule="exact"/>
              <w:rPr>
                <w:sz w:val="20"/>
                <w:szCs w:val="20"/>
                <w:color w:val="auto"/>
              </w:rPr>
            </w:pPr>
            <w:r>
              <w:rPr>
                <w:rFonts w:ascii="Arial" w:cs="Arial" w:eastAsia="Arial" w:hAnsi="Arial"/>
                <w:sz w:val="18"/>
                <w:szCs w:val="18"/>
                <w:color w:val="auto"/>
              </w:rPr>
              <w:t>Name:</w:t>
            </w:r>
          </w:p>
        </w:tc>
        <w:tc>
          <w:tcPr>
            <w:tcW w:w="5040" w:type="dxa"/>
            <w:vAlign w:val="bottom"/>
          </w:tcPr>
          <w:p>
            <w:pPr>
              <w:spacing w:after="0" w:line="194" w:lineRule="exact"/>
              <w:rPr>
                <w:sz w:val="20"/>
                <w:szCs w:val="20"/>
                <w:color w:val="auto"/>
              </w:rPr>
            </w:pPr>
            <w:r>
              <w:rPr>
                <w:rFonts w:ascii="Arial" w:cs="Arial" w:eastAsia="Arial" w:hAnsi="Arial"/>
                <w:sz w:val="18"/>
                <w:szCs w:val="18"/>
                <w:color w:val="auto"/>
              </w:rPr>
              <w:t>Deanna D. Strable-Soethout</w:t>
            </w:r>
          </w:p>
        </w:tc>
      </w:tr>
      <w:tr>
        <w:trPr>
          <w:trHeight w:val="223"/>
        </w:trPr>
        <w:tc>
          <w:tcPr>
            <w:tcW w:w="560" w:type="dxa"/>
            <w:vAlign w:val="bottom"/>
          </w:tcPr>
          <w:p>
            <w:pPr>
              <w:spacing w:after="0"/>
              <w:rPr>
                <w:sz w:val="20"/>
                <w:szCs w:val="20"/>
                <w:color w:val="auto"/>
              </w:rPr>
            </w:pPr>
            <w:r>
              <w:rPr>
                <w:rFonts w:ascii="Arial" w:cs="Arial" w:eastAsia="Arial" w:hAnsi="Arial"/>
                <w:sz w:val="18"/>
                <w:szCs w:val="18"/>
                <w:color w:val="auto"/>
              </w:rPr>
              <w:t>Title:</w:t>
            </w:r>
          </w:p>
        </w:tc>
        <w:tc>
          <w:tcPr>
            <w:tcW w:w="5040" w:type="dxa"/>
            <w:vAlign w:val="bottom"/>
          </w:tcPr>
          <w:p>
            <w:pPr>
              <w:spacing w:after="0"/>
              <w:rPr>
                <w:sz w:val="20"/>
                <w:szCs w:val="20"/>
                <w:color w:val="auto"/>
              </w:rPr>
            </w:pPr>
            <w:r>
              <w:rPr>
                <w:rFonts w:ascii="Arial" w:cs="Arial" w:eastAsia="Arial" w:hAnsi="Arial"/>
                <w:sz w:val="18"/>
                <w:szCs w:val="18"/>
                <w:color w:val="auto"/>
              </w:rPr>
              <w:t>Executive Vice President and Chief Financial Officer</w:t>
            </w:r>
          </w:p>
        </w:tc>
      </w:tr>
    </w:tbl>
    <w:p>
      <w:pPr>
        <w:spacing w:after="0" w:line="201"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July 27,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280035</wp:posOffset>
            </wp:positionV>
            <wp:extent cx="713486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4860" cy="8255"/>
                    </a:xfrm>
                    <a:prstGeom prst="rect">
                      <a:avLst/>
                    </a:prstGeom>
                    <a:noFill/>
                  </pic:spPr>
                </pic:pic>
              </a:graphicData>
            </a:graphic>
          </wp:anchor>
        </w:drawing>
      </w:r>
    </w:p>
    <w:p>
      <w:pPr>
        <w:sectPr>
          <w:pgSz w:w="11900" w:h="16838" w:orient="portrait"/>
          <w:cols w:equalWidth="0" w:num="1">
            <w:col w:w="11240"/>
          </w:cols>
          <w:pgMar w:left="320" w:top="890"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21"/>
          <w:szCs w:val="21"/>
          <w:b w:val="1"/>
          <w:bCs w:val="1"/>
          <w:color w:val="auto"/>
        </w:rPr>
        <w:t>Exhibit 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1967230</wp:posOffset>
            </wp:positionV>
            <wp:extent cx="7134860" cy="22040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4860" cy="22040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2300" w:type="dxa"/>
            <w:vAlign w:val="bottom"/>
          </w:tcPr>
          <w:p>
            <w:pPr>
              <w:spacing w:after="0"/>
              <w:rPr>
                <w:sz w:val="20"/>
                <w:szCs w:val="20"/>
                <w:color w:val="auto"/>
              </w:rPr>
            </w:pPr>
            <w:r>
              <w:rPr>
                <w:rFonts w:ascii="Arial" w:cs="Arial" w:eastAsia="Arial" w:hAnsi="Arial"/>
                <w:sz w:val="18"/>
                <w:szCs w:val="18"/>
                <w:color w:val="auto"/>
              </w:rPr>
              <w:t>Release:</w:t>
            </w:r>
          </w:p>
        </w:tc>
        <w:tc>
          <w:tcPr>
            <w:tcW w:w="5120" w:type="dxa"/>
            <w:vAlign w:val="bottom"/>
            <w:gridSpan w:val="4"/>
          </w:tcPr>
          <w:p>
            <w:pPr>
              <w:ind w:left="1080"/>
              <w:spacing w:after="0"/>
              <w:rPr>
                <w:sz w:val="20"/>
                <w:szCs w:val="20"/>
                <w:color w:val="auto"/>
              </w:rPr>
            </w:pPr>
            <w:r>
              <w:rPr>
                <w:rFonts w:ascii="Arial" w:cs="Arial" w:eastAsia="Arial" w:hAnsi="Arial"/>
                <w:sz w:val="18"/>
                <w:szCs w:val="18"/>
                <w:color w:val="auto"/>
              </w:rPr>
              <w:t>On receipt, Jul. 27, 2020</w:t>
            </w:r>
          </w:p>
        </w:tc>
      </w:tr>
      <w:tr>
        <w:trPr>
          <w:trHeight w:val="185"/>
        </w:trPr>
        <w:tc>
          <w:tcPr>
            <w:tcW w:w="2300" w:type="dxa"/>
            <w:vAlign w:val="bottom"/>
          </w:tcPr>
          <w:p>
            <w:pPr>
              <w:spacing w:after="0" w:line="185" w:lineRule="exact"/>
              <w:rPr>
                <w:sz w:val="20"/>
                <w:szCs w:val="20"/>
                <w:color w:val="auto"/>
              </w:rPr>
            </w:pPr>
            <w:r>
              <w:rPr>
                <w:rFonts w:ascii="Arial" w:cs="Arial" w:eastAsia="Arial" w:hAnsi="Arial"/>
                <w:sz w:val="18"/>
                <w:szCs w:val="18"/>
                <w:color w:val="auto"/>
              </w:rPr>
              <w:t>Media Contact:</w:t>
            </w:r>
          </w:p>
        </w:tc>
        <w:tc>
          <w:tcPr>
            <w:tcW w:w="5120" w:type="dxa"/>
            <w:vAlign w:val="bottom"/>
            <w:gridSpan w:val="4"/>
          </w:tcPr>
          <w:p>
            <w:pPr>
              <w:ind w:left="1080"/>
              <w:spacing w:after="0" w:line="185" w:lineRule="exact"/>
              <w:rPr>
                <w:sz w:val="20"/>
                <w:szCs w:val="20"/>
                <w:color w:val="auto"/>
              </w:rPr>
            </w:pPr>
            <w:r>
              <w:rPr>
                <w:rFonts w:ascii="Arial" w:cs="Arial" w:eastAsia="Arial" w:hAnsi="Arial"/>
                <w:sz w:val="18"/>
                <w:szCs w:val="18"/>
                <w:color w:val="auto"/>
                <w:w w:val="88"/>
              </w:rPr>
              <w:t>Jane Slusark, 515-362-0482, slusark.jane@principal.com</w:t>
            </w:r>
          </w:p>
        </w:tc>
      </w:tr>
      <w:tr>
        <w:trPr>
          <w:trHeight w:val="20"/>
        </w:trPr>
        <w:tc>
          <w:tcPr>
            <w:tcW w:w="2300" w:type="dxa"/>
            <w:vAlign w:val="bottom"/>
          </w:tcPr>
          <w:p>
            <w:pPr>
              <w:spacing w:after="0" w:line="20" w:lineRule="exact"/>
              <w:rPr>
                <w:sz w:val="1"/>
                <w:szCs w:val="1"/>
                <w:color w:val="auto"/>
              </w:rPr>
            </w:pPr>
          </w:p>
        </w:tc>
        <w:tc>
          <w:tcPr>
            <w:tcW w:w="30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70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r>
      <w:tr>
        <w:trPr>
          <w:trHeight w:val="192"/>
        </w:trPr>
        <w:tc>
          <w:tcPr>
            <w:tcW w:w="2300" w:type="dxa"/>
            <w:vAlign w:val="bottom"/>
          </w:tcPr>
          <w:p>
            <w:pPr>
              <w:spacing w:after="0" w:line="192" w:lineRule="exact"/>
              <w:rPr>
                <w:sz w:val="20"/>
                <w:szCs w:val="20"/>
                <w:color w:val="auto"/>
              </w:rPr>
            </w:pPr>
            <w:r>
              <w:rPr>
                <w:rFonts w:ascii="Arial" w:cs="Arial" w:eastAsia="Arial" w:hAnsi="Arial"/>
                <w:sz w:val="18"/>
                <w:szCs w:val="18"/>
                <w:color w:val="auto"/>
              </w:rPr>
              <w:t>Investor Contact:</w:t>
            </w:r>
          </w:p>
        </w:tc>
        <w:tc>
          <w:tcPr>
            <w:tcW w:w="5120" w:type="dxa"/>
            <w:vAlign w:val="bottom"/>
            <w:gridSpan w:val="4"/>
          </w:tcPr>
          <w:p>
            <w:pPr>
              <w:ind w:left="1080"/>
              <w:spacing w:after="0" w:line="192" w:lineRule="exact"/>
              <w:rPr>
                <w:sz w:val="20"/>
                <w:szCs w:val="20"/>
                <w:color w:val="auto"/>
              </w:rPr>
            </w:pPr>
            <w:r>
              <w:rPr>
                <w:rFonts w:ascii="Arial" w:cs="Arial" w:eastAsia="Arial" w:hAnsi="Arial"/>
                <w:sz w:val="18"/>
                <w:szCs w:val="18"/>
                <w:color w:val="auto"/>
                <w:w w:val="95"/>
              </w:rPr>
              <w:t>John Egan, 515-235-9500, egan.john@principal.com</w:t>
            </w:r>
          </w:p>
        </w:tc>
      </w:tr>
      <w:tr>
        <w:trPr>
          <w:trHeight w:val="20"/>
        </w:trPr>
        <w:tc>
          <w:tcPr>
            <w:tcW w:w="2300" w:type="dxa"/>
            <w:vAlign w:val="bottom"/>
          </w:tcPr>
          <w:p>
            <w:pPr>
              <w:spacing w:after="0" w:line="20" w:lineRule="exact"/>
              <w:rPr>
                <w:sz w:val="1"/>
                <w:szCs w:val="1"/>
                <w:color w:val="auto"/>
              </w:rPr>
            </w:pPr>
          </w:p>
        </w:tc>
        <w:tc>
          <w:tcPr>
            <w:tcW w:w="30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7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r>
    </w:tbl>
    <w:p>
      <w:pPr>
        <w:spacing w:after="0" w:line="158" w:lineRule="exact"/>
        <w:rPr>
          <w:sz w:val="20"/>
          <w:szCs w:val="20"/>
          <w:color w:val="auto"/>
        </w:rPr>
      </w:pPr>
    </w:p>
    <w:p>
      <w:pPr>
        <w:ind w:left="3700"/>
        <w:spacing w:after="0"/>
        <w:rPr>
          <w:sz w:val="20"/>
          <w:szCs w:val="20"/>
          <w:color w:val="auto"/>
        </w:rPr>
      </w:pPr>
      <w:r>
        <w:rPr>
          <w:rFonts w:ascii="Arial" w:cs="Arial" w:eastAsia="Arial" w:hAnsi="Arial"/>
          <w:sz w:val="18"/>
          <w:szCs w:val="18"/>
          <w:b w:val="1"/>
          <w:bCs w:val="1"/>
          <w:color w:val="auto"/>
        </w:rPr>
        <w:t>Principal</w:t>
      </w:r>
      <w:r>
        <w:rPr>
          <w:rFonts w:ascii="Arial" w:cs="Arial" w:eastAsia="Arial" w:hAnsi="Arial"/>
          <w:sz w:val="29"/>
          <w:szCs w:val="29"/>
          <w:color w:val="auto"/>
          <w:vertAlign w:val="superscript"/>
        </w:rPr>
        <w:t>®</w:t>
      </w:r>
      <w:r>
        <w:rPr>
          <w:rFonts w:ascii="Arial" w:cs="Arial" w:eastAsia="Arial" w:hAnsi="Arial"/>
          <w:sz w:val="18"/>
          <w:szCs w:val="18"/>
          <w:b w:val="1"/>
          <w:bCs w:val="1"/>
          <w:color w:val="auto"/>
        </w:rPr>
        <w:t xml:space="preserve"> announces Second Quarter 2020 results</w:t>
      </w:r>
    </w:p>
    <w:p>
      <w:pPr>
        <w:ind w:left="3760"/>
        <w:spacing w:after="0"/>
        <w:rPr>
          <w:sz w:val="20"/>
          <w:szCs w:val="20"/>
          <w:color w:val="auto"/>
        </w:rPr>
      </w:pPr>
      <w:r>
        <w:rPr>
          <w:rFonts w:ascii="Arial" w:cs="Arial" w:eastAsia="Arial" w:hAnsi="Arial"/>
          <w:sz w:val="18"/>
          <w:szCs w:val="18"/>
          <w:b w:val="1"/>
          <w:bCs w:val="1"/>
          <w:color w:val="auto"/>
        </w:rPr>
        <w:t>Company also announces common stock dividend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136525</wp:posOffset>
            </wp:positionV>
            <wp:extent cx="7134860" cy="8750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4860" cy="875030"/>
                    </a:xfrm>
                    <a:prstGeom prst="rect">
                      <a:avLst/>
                    </a:prstGeom>
                    <a:noFill/>
                  </pic:spPr>
                </pic:pic>
              </a:graphicData>
            </a:graphic>
          </wp:anchor>
        </w:drawing>
      </w:r>
    </w:p>
    <w:p>
      <w:pPr>
        <w:spacing w:after="0" w:line="196" w:lineRule="exact"/>
        <w:rPr>
          <w:sz w:val="20"/>
          <w:szCs w:val="20"/>
          <w:color w:val="auto"/>
        </w:rPr>
      </w:pPr>
    </w:p>
    <w:p>
      <w:pPr>
        <w:jc w:val="center"/>
        <w:ind w:right="-79"/>
        <w:spacing w:after="0"/>
        <w:rPr>
          <w:sz w:val="20"/>
          <w:szCs w:val="20"/>
          <w:color w:val="auto"/>
        </w:rPr>
      </w:pPr>
      <w:r>
        <w:rPr>
          <w:rFonts w:ascii="Arial" w:cs="Arial" w:eastAsia="Arial" w:hAnsi="Arial"/>
          <w:sz w:val="18"/>
          <w:szCs w:val="18"/>
          <w:i w:val="1"/>
          <w:iCs w:val="1"/>
          <w:color w:val="auto"/>
        </w:rPr>
        <w:t>Company Highlights</w:t>
      </w:r>
    </w:p>
    <w:p>
      <w:pPr>
        <w:spacing w:after="0" w:line="132" w:lineRule="exact"/>
        <w:rPr>
          <w:sz w:val="20"/>
          <w:szCs w:val="20"/>
          <w:color w:val="auto"/>
        </w:rPr>
      </w:pPr>
    </w:p>
    <w:p>
      <w:pPr>
        <w:ind w:left="660" w:hanging="186"/>
        <w:spacing w:after="0"/>
        <w:tabs>
          <w:tab w:leader="none" w:pos="660" w:val="left"/>
        </w:tabs>
        <w:numPr>
          <w:ilvl w:val="0"/>
          <w:numId w:val="3"/>
        </w:numPr>
        <w:rPr>
          <w:rFonts w:ascii="Arial" w:cs="Arial" w:eastAsia="Arial" w:hAnsi="Arial"/>
          <w:sz w:val="34"/>
          <w:szCs w:val="34"/>
          <w:color w:val="auto"/>
          <w:vertAlign w:val="superscript"/>
        </w:rPr>
      </w:pPr>
      <w:r>
        <w:rPr>
          <w:rFonts w:ascii="Arial" w:cs="Arial" w:eastAsia="Arial" w:hAnsi="Arial"/>
          <w:sz w:val="17"/>
          <w:szCs w:val="17"/>
          <w:b w:val="1"/>
          <w:bCs w:val="1"/>
          <w:color w:val="auto"/>
        </w:rPr>
        <w:t>Second quarter 2020 net income attributable to Principal Financial Group</w:t>
      </w:r>
      <w:r>
        <w:rPr>
          <w:rFonts w:ascii="Arial" w:cs="Arial" w:eastAsia="Arial" w:hAnsi="Arial"/>
          <w:sz w:val="28"/>
          <w:szCs w:val="28"/>
          <w:color w:val="auto"/>
          <w:vertAlign w:val="superscript"/>
        </w:rPr>
        <w:t>®</w:t>
      </w:r>
      <w:r>
        <w:rPr>
          <w:rFonts w:ascii="Arial" w:cs="Arial" w:eastAsia="Arial" w:hAnsi="Arial"/>
          <w:sz w:val="17"/>
          <w:szCs w:val="17"/>
          <w:b w:val="1"/>
          <w:bCs w:val="1"/>
          <w:color w:val="auto"/>
        </w:rPr>
        <w:t>, Inc. (PFG) of $398.3 million, or $1.45 per diluted share</w:t>
      </w:r>
    </w:p>
    <w:p>
      <w:pPr>
        <w:ind w:left="660" w:hanging="186"/>
        <w:spacing w:after="0" w:line="184" w:lineRule="auto"/>
        <w:tabs>
          <w:tab w:leader="none" w:pos="660" w:val="left"/>
        </w:tabs>
        <w:numPr>
          <w:ilvl w:val="0"/>
          <w:numId w:val="3"/>
        </w:numPr>
        <w:rPr>
          <w:rFonts w:ascii="Arial" w:cs="Arial" w:eastAsia="Arial" w:hAnsi="Arial"/>
          <w:sz w:val="24"/>
          <w:szCs w:val="24"/>
          <w:color w:val="auto"/>
          <w:vertAlign w:val="superscript"/>
        </w:rPr>
      </w:pPr>
      <w:r>
        <w:rPr>
          <w:rFonts w:ascii="Arial" w:cs="Arial" w:eastAsia="Arial" w:hAnsi="Arial"/>
          <w:sz w:val="14"/>
          <w:szCs w:val="14"/>
          <w:b w:val="1"/>
          <w:bCs w:val="1"/>
          <w:color w:val="auto"/>
        </w:rPr>
        <w:t>Second quarter 2020 non-GAAP operating earnings</w:t>
      </w:r>
      <w:r>
        <w:rPr>
          <w:rFonts w:ascii="Arial" w:cs="Arial" w:eastAsia="Arial" w:hAnsi="Arial"/>
          <w:sz w:val="20"/>
          <w:szCs w:val="20"/>
          <w:b w:val="1"/>
          <w:bCs w:val="1"/>
          <w:color w:val="auto"/>
          <w:vertAlign w:val="superscript"/>
        </w:rPr>
        <w:t>1</w:t>
      </w:r>
      <w:r>
        <w:rPr>
          <w:rFonts w:ascii="Arial" w:cs="Arial" w:eastAsia="Arial" w:hAnsi="Arial"/>
          <w:sz w:val="14"/>
          <w:szCs w:val="14"/>
          <w:b w:val="1"/>
          <w:bCs w:val="1"/>
          <w:color w:val="auto"/>
        </w:rPr>
        <w:t xml:space="preserve"> of $402.7 million, or $1.46 per diluted share</w:t>
      </w:r>
    </w:p>
    <w:p>
      <w:pPr>
        <w:ind w:left="660" w:hanging="186"/>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Assets under management (AUM) of $701.8 billion</w:t>
      </w:r>
    </w:p>
    <w:p>
      <w:pPr>
        <w:spacing w:after="0" w:line="2" w:lineRule="exact"/>
        <w:rPr>
          <w:rFonts w:ascii="Arial" w:cs="Arial" w:eastAsia="Arial" w:hAnsi="Arial"/>
          <w:sz w:val="18"/>
          <w:szCs w:val="18"/>
          <w:color w:val="auto"/>
        </w:rPr>
      </w:pPr>
    </w:p>
    <w:p>
      <w:pPr>
        <w:ind w:left="660" w:hanging="186"/>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Company declares third quarter 2020 common stock dividend of $0.56 per share; a 2% increase over third quarter 2019</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(Des Moines, Iowa) – Principal Financial Group® (Nasdaq: PFG) announced results for second quarter 2020.</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Second quarter 2020 financial results</w:t>
      </w:r>
    </w:p>
    <w:p>
      <w:pPr>
        <w:spacing w:after="0" w:line="217" w:lineRule="exact"/>
        <w:rPr>
          <w:sz w:val="20"/>
          <w:szCs w:val="20"/>
          <w:color w:val="auto"/>
        </w:rPr>
      </w:pPr>
    </w:p>
    <w:p>
      <w:pPr>
        <w:ind w:left="800" w:right="240" w:hanging="317"/>
        <w:spacing w:after="0" w:line="271" w:lineRule="auto"/>
        <w:tabs>
          <w:tab w:leader="none" w:pos="800"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Net income attributable to PFG for second quarter 2020 of $398.3 million</w:t>
      </w:r>
      <w:r>
        <w:rPr>
          <w:rFonts w:ascii="Arial" w:cs="Arial" w:eastAsia="Arial" w:hAnsi="Arial"/>
          <w:sz w:val="18"/>
          <w:szCs w:val="18"/>
          <w:color w:val="auto"/>
        </w:rPr>
        <w:t>, compared to $386.3 million for second quarter 2019. Net income</w:t>
      </w:r>
      <w:r>
        <w:rPr>
          <w:rFonts w:ascii="Arial" w:cs="Arial" w:eastAsia="Arial" w:hAnsi="Arial"/>
          <w:sz w:val="18"/>
          <w:szCs w:val="18"/>
          <w:b w:val="1"/>
          <w:bCs w:val="1"/>
          <w:color w:val="auto"/>
        </w:rPr>
        <w:t xml:space="preserve"> </w:t>
      </w:r>
      <w:r>
        <w:rPr>
          <w:rFonts w:ascii="Arial" w:cs="Arial" w:eastAsia="Arial" w:hAnsi="Arial"/>
          <w:sz w:val="18"/>
          <w:szCs w:val="18"/>
          <w:color w:val="auto"/>
        </w:rPr>
        <w:t>per diluted share of $1.45 for second quarter 2020 compared to $1.37 in the prior year quarter.</w:t>
      </w:r>
    </w:p>
    <w:p>
      <w:pPr>
        <w:spacing w:after="0" w:line="168" w:lineRule="exact"/>
        <w:rPr>
          <w:rFonts w:ascii="Arial" w:cs="Arial" w:eastAsia="Arial" w:hAnsi="Arial"/>
          <w:sz w:val="18"/>
          <w:szCs w:val="18"/>
          <w:color w:val="auto"/>
        </w:rPr>
      </w:pPr>
    </w:p>
    <w:p>
      <w:pPr>
        <w:ind w:left="800" w:right="260" w:hanging="317"/>
        <w:spacing w:after="0" w:line="301" w:lineRule="auto"/>
        <w:tabs>
          <w:tab w:leader="none" w:pos="800" w:val="left"/>
        </w:tabs>
        <w:numPr>
          <w:ilvl w:val="0"/>
          <w:numId w:val="4"/>
        </w:numPr>
        <w:rPr>
          <w:rFonts w:ascii="Arial" w:cs="Arial" w:eastAsia="Arial" w:hAnsi="Arial"/>
          <w:sz w:val="17"/>
          <w:szCs w:val="17"/>
          <w:color w:val="auto"/>
        </w:rPr>
      </w:pPr>
      <w:r>
        <w:rPr>
          <w:rFonts w:ascii="Arial" w:cs="Arial" w:eastAsia="Arial" w:hAnsi="Arial"/>
          <w:sz w:val="17"/>
          <w:szCs w:val="17"/>
          <w:b w:val="1"/>
          <w:bCs w:val="1"/>
          <w:color w:val="auto"/>
        </w:rPr>
        <w:t xml:space="preserve">Non-GAAP operating earnings for second quarter 2020 of $402.7 million, </w:t>
      </w:r>
      <w:r>
        <w:rPr>
          <w:rFonts w:ascii="Arial" w:cs="Arial" w:eastAsia="Arial" w:hAnsi="Arial"/>
          <w:sz w:val="17"/>
          <w:szCs w:val="17"/>
          <w:color w:val="auto"/>
        </w:rPr>
        <w:t>compared to $427.1 million for second quarter 2019. Non-GAAP</w:t>
      </w:r>
      <w:r>
        <w:rPr>
          <w:rFonts w:ascii="Arial" w:cs="Arial" w:eastAsia="Arial" w:hAnsi="Arial"/>
          <w:sz w:val="17"/>
          <w:szCs w:val="17"/>
          <w:b w:val="1"/>
          <w:bCs w:val="1"/>
          <w:color w:val="auto"/>
        </w:rPr>
        <w:t xml:space="preserve"> </w:t>
      </w:r>
      <w:r>
        <w:rPr>
          <w:rFonts w:ascii="Arial" w:cs="Arial" w:eastAsia="Arial" w:hAnsi="Arial"/>
          <w:sz w:val="17"/>
          <w:szCs w:val="17"/>
          <w:color w:val="auto"/>
        </w:rPr>
        <w:t>operating earnings per diluted share of $1.46 for second quarter 2020 compared to $1.52 for second quarter 2019.</w:t>
      </w:r>
    </w:p>
    <w:p>
      <w:pPr>
        <w:spacing w:after="0" w:line="145" w:lineRule="exact"/>
        <w:rPr>
          <w:rFonts w:ascii="Arial" w:cs="Arial" w:eastAsia="Arial" w:hAnsi="Arial"/>
          <w:sz w:val="17"/>
          <w:szCs w:val="17"/>
          <w:color w:val="auto"/>
        </w:rPr>
      </w:pPr>
    </w:p>
    <w:p>
      <w:pPr>
        <w:ind w:left="800" w:right="180" w:hanging="317"/>
        <w:spacing w:after="0" w:line="258" w:lineRule="auto"/>
        <w:tabs>
          <w:tab w:leader="none" w:pos="800"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 xml:space="preserve">Quarterly common stock dividend of $0.56 per share </w:t>
      </w:r>
      <w:r>
        <w:rPr>
          <w:rFonts w:ascii="Arial" w:cs="Arial" w:eastAsia="Arial" w:hAnsi="Arial"/>
          <w:sz w:val="18"/>
          <w:szCs w:val="18"/>
          <w:color w:val="auto"/>
        </w:rPr>
        <w:t>for third quarter 2020 was authorized by the company’s Board of Directors, bringing the</w:t>
      </w:r>
      <w:r>
        <w:rPr>
          <w:rFonts w:ascii="Arial" w:cs="Arial" w:eastAsia="Arial" w:hAnsi="Arial"/>
          <w:sz w:val="18"/>
          <w:szCs w:val="18"/>
          <w:b w:val="1"/>
          <w:bCs w:val="1"/>
          <w:color w:val="auto"/>
        </w:rPr>
        <w:t xml:space="preserve"> </w:t>
      </w:r>
      <w:r>
        <w:rPr>
          <w:rFonts w:ascii="Arial" w:cs="Arial" w:eastAsia="Arial" w:hAnsi="Arial"/>
          <w:sz w:val="18"/>
          <w:szCs w:val="18"/>
          <w:color w:val="auto"/>
        </w:rPr>
        <w:t>trailing twelve-month dividend to $2.23 per share, a 3% increase compared to the prior year trailing twelve-month period. The dividend will be payable on Sept. 25, 2020, to shareholders of record as of Sept. 1, 2020.</w:t>
      </w:r>
    </w:p>
    <w:p>
      <w:pPr>
        <w:sectPr>
          <w:pgSz w:w="11900" w:h="16838" w:orient="portrait"/>
          <w:cols w:equalWidth="0" w:num="1">
            <w:col w:w="11240"/>
          </w:cols>
          <w:pgMar w:left="320" w:top="351" w:right="339" w:bottom="0" w:gutter="0" w:footer="0" w:header="0"/>
        </w:sectPr>
      </w:pPr>
    </w:p>
    <w:bookmarkStart w:id="4" w:name="page5"/>
    <w:bookmarkEnd w:id="4"/>
    <w:p>
      <w:pPr>
        <w:ind w:right="180"/>
        <w:spacing w:after="0" w:line="252" w:lineRule="auto"/>
        <w:rPr>
          <w:sz w:val="20"/>
          <w:szCs w:val="20"/>
          <w:color w:val="auto"/>
        </w:rPr>
      </w:pPr>
      <w:r>
        <w:rPr>
          <w:rFonts w:ascii="Arial" w:cs="Arial" w:eastAsia="Arial" w:hAnsi="Arial"/>
          <w:sz w:val="18"/>
          <w:szCs w:val="18"/>
          <w:color w:val="auto"/>
        </w:rPr>
        <w:t>“Swift and proactive management decisions early on in response to COVID-19 have put our employees and our business in a favorable position to continue serving our customers and delivering results despite ongoing disruption caused by the pandemic,” said Dan Houston, chairman, president, and CEO of Principal. “I’m confident we have the right team, strategy, and financial foundation in place to continue navigating the challenges and opportunities ahead – meeting the needs of our 32 million customers around the world.”</w:t>
      </w:r>
    </w:p>
    <w:p>
      <w:pPr>
        <w:spacing w:after="0" w:line="191" w:lineRule="exact"/>
        <w:rPr>
          <w:sz w:val="20"/>
          <w:szCs w:val="20"/>
          <w:color w:val="auto"/>
        </w:rPr>
      </w:pPr>
    </w:p>
    <w:p>
      <w:pPr>
        <w:spacing w:after="0" w:line="250" w:lineRule="auto"/>
        <w:rPr>
          <w:sz w:val="20"/>
          <w:szCs w:val="20"/>
          <w:color w:val="auto"/>
        </w:rPr>
      </w:pPr>
      <w:r>
        <w:rPr>
          <w:rFonts w:ascii="Arial" w:cs="Arial" w:eastAsia="Arial" w:hAnsi="Arial"/>
          <w:sz w:val="18"/>
          <w:szCs w:val="18"/>
          <w:color w:val="auto"/>
        </w:rPr>
        <w:t>“I’m very pleased with Principal’s second quarter results. We reported non-GAAP operating earnings of $403 million, delivered $6 billion of positive net cash flow and continue to deliver outstanding investment performance across a wide array of investment options and platforms. We continue to focus on creating long-term shareholder value through a balanced approach to organic growth and capital deployment with a keen focus on expense management. During these volatile times, our position of financial strength and stability with a solid balance sheet, high quality investment portfolio, and ample liquidity has and will continue to serve us well.”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164465</wp:posOffset>
            </wp:positionV>
            <wp:extent cx="17837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783715" cy="8255"/>
                    </a:xfrm>
                    <a:prstGeom prst="rect">
                      <a:avLst/>
                    </a:prstGeom>
                    <a:noFill/>
                  </pic:spPr>
                </pic:pic>
              </a:graphicData>
            </a:graphic>
          </wp:anchor>
        </w:drawing>
      </w:r>
    </w:p>
    <w:p>
      <w:pPr>
        <w:spacing w:after="0" w:line="346" w:lineRule="exact"/>
        <w:rPr>
          <w:sz w:val="20"/>
          <w:szCs w:val="20"/>
          <w:color w:val="auto"/>
        </w:rPr>
      </w:pPr>
    </w:p>
    <w:p>
      <w:pPr>
        <w:ind w:right="580" w:firstLine="6"/>
        <w:spacing w:after="0" w:line="659" w:lineRule="auto"/>
        <w:tabs>
          <w:tab w:leader="none" w:pos="110" w:val="left"/>
        </w:tabs>
        <w:numPr>
          <w:ilvl w:val="0"/>
          <w:numId w:val="5"/>
        </w:numPr>
        <w:rPr>
          <w:rFonts w:ascii="Arial" w:cs="Arial" w:eastAsia="Arial" w:hAnsi="Arial"/>
          <w:sz w:val="28"/>
          <w:szCs w:val="28"/>
          <w:color w:val="auto"/>
          <w:vertAlign w:val="superscript"/>
        </w:rPr>
      </w:pPr>
      <w:r>
        <w:rPr>
          <w:rFonts w:ascii="Arial" w:cs="Arial" w:eastAsia="Arial" w:hAnsi="Arial"/>
          <w:sz w:val="17"/>
          <w:szCs w:val="17"/>
          <w:color w:val="auto"/>
        </w:rPr>
        <w:t>Use of non-GAAP financial measures is discussed in this release after segment results. Non-GAAP operating earnings for total company is after tax. Classification: Company Confidential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-346710</wp:posOffset>
            </wp:positionV>
            <wp:extent cx="713486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4860" cy="8255"/>
                    </a:xfrm>
                    <a:prstGeom prst="rect">
                      <a:avLst/>
                    </a:prstGeom>
                    <a:noFill/>
                  </pic:spPr>
                </pic:pic>
              </a:graphicData>
            </a:graphic>
          </wp:anchor>
        </w:drawing>
      </w:r>
    </w:p>
    <w:p>
      <w:pPr>
        <w:sectPr>
          <w:pgSz w:w="11900" w:h="16838" w:orient="portrait"/>
          <w:cols w:equalWidth="0" w:num="1">
            <w:col w:w="11200"/>
          </w:cols>
          <w:pgMar w:left="320" w:top="127" w:right="379" w:bottom="1440" w:gutter="0" w:footer="0" w:header="0"/>
        </w:sectPr>
      </w:pPr>
    </w:p>
    <w:bookmarkStart w:id="5" w:name="page6"/>
    <w:bookmarkEnd w:id="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509905</wp:posOffset>
            </wp:positionH>
            <wp:positionV relativeFrom="page">
              <wp:posOffset>2427605</wp:posOffset>
            </wp:positionV>
            <wp:extent cx="6831965" cy="21037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831965" cy="21037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 xml:space="preserve">Additional details on the impacts of COVID-19 to Principal </w:t>
      </w:r>
      <w:r>
        <w:rPr>
          <w:rFonts w:ascii="Arial" w:cs="Arial" w:eastAsia="Arial" w:hAnsi="Arial"/>
          <w:sz w:val="15"/>
          <w:szCs w:val="15"/>
          <w:color w:val="auto"/>
        </w:rPr>
        <w:t>can be found in our second quarter 2020 earnings call slide presentation and details of our U.S.</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investment portfolio are available in a supplemental slide presentation, both available at </w:t>
      </w:r>
      <w:r>
        <w:rPr>
          <w:rFonts w:ascii="Arial" w:cs="Arial" w:eastAsia="Arial" w:hAnsi="Arial"/>
          <w:sz w:val="18"/>
          <w:szCs w:val="18"/>
          <w:u w:val="single" w:color="auto"/>
          <w:color w:val="auto"/>
        </w:rPr>
        <w:t>principal.com/investor</w:t>
      </w:r>
      <w:r>
        <w:rPr>
          <w:rFonts w:ascii="Arial" w:cs="Arial" w:eastAsia="Arial" w:hAnsi="Arial"/>
          <w:sz w:val="18"/>
          <w:szCs w:val="18"/>
          <w:color w:val="auto"/>
        </w:rPr>
        <w:t>.</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second quarter highlights</w:t>
      </w:r>
    </w:p>
    <w:p>
      <w:pPr>
        <w:spacing w:after="0" w:line="200" w:lineRule="exact"/>
        <w:rPr>
          <w:sz w:val="20"/>
          <w:szCs w:val="20"/>
          <w:color w:val="auto"/>
        </w:rPr>
      </w:pPr>
    </w:p>
    <w:p>
      <w:pPr>
        <w:spacing w:after="0" w:line="237" w:lineRule="exact"/>
        <w:rPr>
          <w:sz w:val="20"/>
          <w:szCs w:val="20"/>
          <w:color w:val="auto"/>
        </w:rPr>
      </w:pPr>
    </w:p>
    <w:p>
      <w:pPr>
        <w:ind w:left="640" w:right="400" w:hanging="272"/>
        <w:spacing w:after="0" w:line="186" w:lineRule="auto"/>
        <w:tabs>
          <w:tab w:leader="none" w:pos="640" w:val="left"/>
        </w:tabs>
        <w:numPr>
          <w:ilvl w:val="1"/>
          <w:numId w:val="6"/>
        </w:numPr>
        <w:rPr>
          <w:rFonts w:ascii="Arial" w:cs="Arial" w:eastAsia="Arial" w:hAnsi="Arial"/>
          <w:sz w:val="35"/>
          <w:szCs w:val="35"/>
          <w:color w:val="auto"/>
          <w:vertAlign w:val="superscript"/>
        </w:rPr>
      </w:pPr>
      <w:r>
        <w:rPr>
          <w:rFonts w:ascii="Arial" w:cs="Arial" w:eastAsia="Arial" w:hAnsi="Arial"/>
          <w:sz w:val="18"/>
          <w:szCs w:val="18"/>
          <w:color w:val="auto"/>
        </w:rPr>
        <w:t>Strong Morningstar investment performance</w:t>
      </w:r>
      <w:r>
        <w:rPr>
          <w:rFonts w:ascii="Arial" w:cs="Arial" w:eastAsia="Arial" w:hAnsi="Arial"/>
          <w:sz w:val="29"/>
          <w:szCs w:val="29"/>
          <w:color w:val="auto"/>
          <w:vertAlign w:val="superscript"/>
        </w:rPr>
        <w:t>2</w:t>
      </w:r>
      <w:r>
        <w:rPr>
          <w:rFonts w:ascii="Arial" w:cs="Arial" w:eastAsia="Arial" w:hAnsi="Arial"/>
          <w:sz w:val="18"/>
          <w:szCs w:val="18"/>
          <w:color w:val="auto"/>
        </w:rPr>
        <w:t>, with 75% of Principal investment options above median on a one-year basis, 81% on a three-year basis, and 80% on a five-year basis. Additionally, 77% of fund level AUM had a 4- or 5-star rating.</w:t>
      </w:r>
    </w:p>
    <w:p>
      <w:pPr>
        <w:spacing w:after="0" w:line="203" w:lineRule="exact"/>
        <w:rPr>
          <w:rFonts w:ascii="Arial" w:cs="Arial" w:eastAsia="Arial" w:hAnsi="Arial"/>
          <w:sz w:val="35"/>
          <w:szCs w:val="35"/>
          <w:color w:val="auto"/>
          <w:vertAlign w:val="superscript"/>
        </w:rPr>
      </w:pPr>
    </w:p>
    <w:p>
      <w:pPr>
        <w:ind w:left="640" w:right="40" w:hanging="272"/>
        <w:spacing w:after="0" w:line="186" w:lineRule="auto"/>
        <w:tabs>
          <w:tab w:leader="none" w:pos="640" w:val="left"/>
        </w:tabs>
        <w:numPr>
          <w:ilvl w:val="1"/>
          <w:numId w:val="6"/>
        </w:numPr>
        <w:rPr>
          <w:rFonts w:ascii="Arial" w:cs="Arial" w:eastAsia="Arial" w:hAnsi="Arial"/>
          <w:sz w:val="35"/>
          <w:szCs w:val="35"/>
          <w:color w:val="auto"/>
          <w:vertAlign w:val="superscript"/>
        </w:rPr>
      </w:pPr>
      <w:r>
        <w:rPr>
          <w:rFonts w:ascii="Arial" w:cs="Arial" w:eastAsia="Arial" w:hAnsi="Arial"/>
          <w:sz w:val="18"/>
          <w:szCs w:val="18"/>
          <w:color w:val="auto"/>
        </w:rPr>
        <w:t>Retirement and Income Solutions (RIS) - Fee sales</w:t>
      </w:r>
      <w:r>
        <w:rPr>
          <w:rFonts w:ascii="Arial" w:cs="Arial" w:eastAsia="Arial" w:hAnsi="Arial"/>
          <w:sz w:val="29"/>
          <w:szCs w:val="29"/>
          <w:color w:val="auto"/>
          <w:vertAlign w:val="superscript"/>
        </w:rPr>
        <w:t>3</w:t>
      </w:r>
      <w:r>
        <w:rPr>
          <w:rFonts w:ascii="Arial" w:cs="Arial" w:eastAsia="Arial" w:hAnsi="Arial"/>
          <w:sz w:val="18"/>
          <w:szCs w:val="18"/>
          <w:color w:val="auto"/>
        </w:rPr>
        <w:t xml:space="preserve"> were $2.8 billion and net cash flow was $0.7 billion. Coupled with strong asset appreciation, end of period account values increased $14.9 billion to $264.0 billion, or 6 percent compared to a year ago.</w:t>
      </w:r>
    </w:p>
    <w:p>
      <w:pPr>
        <w:spacing w:after="0" w:line="201" w:lineRule="exact"/>
        <w:rPr>
          <w:rFonts w:ascii="Arial" w:cs="Arial" w:eastAsia="Arial" w:hAnsi="Arial"/>
          <w:sz w:val="35"/>
          <w:szCs w:val="35"/>
          <w:color w:val="auto"/>
          <w:vertAlign w:val="superscript"/>
        </w:rPr>
      </w:pPr>
    </w:p>
    <w:p>
      <w:pPr>
        <w:ind w:left="640" w:right="180" w:hanging="272"/>
        <w:spacing w:after="0" w:line="264" w:lineRule="auto"/>
        <w:tabs>
          <w:tab w:leader="none" w:pos="640" w:val="left"/>
        </w:tabs>
        <w:numPr>
          <w:ilvl w:val="1"/>
          <w:numId w:val="6"/>
        </w:numPr>
        <w:rPr>
          <w:rFonts w:ascii="Arial" w:cs="Arial" w:eastAsia="Arial" w:hAnsi="Arial"/>
          <w:sz w:val="18"/>
          <w:szCs w:val="18"/>
          <w:color w:val="auto"/>
        </w:rPr>
      </w:pPr>
      <w:r>
        <w:rPr>
          <w:rFonts w:ascii="Arial" w:cs="Arial" w:eastAsia="Arial" w:hAnsi="Arial"/>
          <w:sz w:val="18"/>
          <w:szCs w:val="18"/>
          <w:color w:val="auto"/>
        </w:rPr>
        <w:t>RIS-Spread account values of $52.9 billion increased 11% over the prior year quarter. Second quarter sales were $2.1 billion, including $1.1 billion of opportunistic Investment Only issuances and $0.4 billion of pension risk transfer sales.</w:t>
      </w:r>
    </w:p>
    <w:p>
      <w:pPr>
        <w:spacing w:after="0" w:line="180" w:lineRule="exact"/>
        <w:rPr>
          <w:rFonts w:ascii="Arial" w:cs="Arial" w:eastAsia="Arial" w:hAnsi="Arial"/>
          <w:sz w:val="18"/>
          <w:szCs w:val="18"/>
          <w:color w:val="auto"/>
        </w:rPr>
      </w:pPr>
    </w:p>
    <w:p>
      <w:pPr>
        <w:ind w:left="640" w:right="200" w:hanging="272"/>
        <w:spacing w:after="0" w:line="264" w:lineRule="auto"/>
        <w:tabs>
          <w:tab w:leader="none" w:pos="640" w:val="left"/>
        </w:tabs>
        <w:numPr>
          <w:ilvl w:val="1"/>
          <w:numId w:val="6"/>
        </w:numPr>
        <w:rPr>
          <w:rFonts w:ascii="Arial" w:cs="Arial" w:eastAsia="Arial" w:hAnsi="Arial"/>
          <w:sz w:val="18"/>
          <w:szCs w:val="18"/>
          <w:color w:val="auto"/>
        </w:rPr>
      </w:pPr>
      <w:r>
        <w:rPr>
          <w:rFonts w:ascii="Arial" w:cs="Arial" w:eastAsia="Arial" w:hAnsi="Arial"/>
          <w:sz w:val="18"/>
          <w:szCs w:val="18"/>
          <w:color w:val="auto"/>
        </w:rPr>
        <w:t>Principal Global Investors (PGI) managed AUM was $450.1 billion, including positive net cash flow of $3.1 billion. Record sales in the quarter for our Separately Managed Accounts (SMA) platform at $1.7 billion and U.S. Mutual Funds sales at $7.2 billion.</w:t>
      </w:r>
    </w:p>
    <w:p>
      <w:pPr>
        <w:spacing w:after="0" w:line="182" w:lineRule="exact"/>
        <w:rPr>
          <w:rFonts w:ascii="Arial" w:cs="Arial" w:eastAsia="Arial" w:hAnsi="Arial"/>
          <w:sz w:val="18"/>
          <w:szCs w:val="18"/>
          <w:color w:val="auto"/>
        </w:rPr>
      </w:pPr>
    </w:p>
    <w:p>
      <w:pPr>
        <w:ind w:left="640" w:right="140" w:hanging="272"/>
        <w:spacing w:after="0" w:line="186" w:lineRule="auto"/>
        <w:tabs>
          <w:tab w:leader="none" w:pos="640" w:val="left"/>
        </w:tabs>
        <w:numPr>
          <w:ilvl w:val="1"/>
          <w:numId w:val="6"/>
        </w:numPr>
        <w:rPr>
          <w:rFonts w:ascii="Arial" w:cs="Arial" w:eastAsia="Arial" w:hAnsi="Arial"/>
          <w:sz w:val="35"/>
          <w:szCs w:val="35"/>
          <w:color w:val="auto"/>
          <w:vertAlign w:val="superscript"/>
        </w:rPr>
      </w:pPr>
      <w:r>
        <w:rPr>
          <w:rFonts w:ascii="Arial" w:cs="Arial" w:eastAsia="Arial" w:hAnsi="Arial"/>
          <w:sz w:val="18"/>
          <w:szCs w:val="18"/>
          <w:color w:val="auto"/>
        </w:rPr>
        <w:t>Principal International (PI) generated net cash flow of $0.9 billion, marking its 47</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consecutive quarter of positive net cash flow. In addition, China had $4.6 billion of positive net cash flow, which is not included in reported net cash flow.</w:t>
      </w:r>
    </w:p>
    <w:p>
      <w:pPr>
        <w:spacing w:after="0" w:line="203" w:lineRule="exact"/>
        <w:rPr>
          <w:rFonts w:ascii="Arial" w:cs="Arial" w:eastAsia="Arial" w:hAnsi="Arial"/>
          <w:sz w:val="35"/>
          <w:szCs w:val="35"/>
          <w:color w:val="auto"/>
          <w:vertAlign w:val="superscript"/>
        </w:rPr>
      </w:pPr>
    </w:p>
    <w:p>
      <w:pPr>
        <w:ind w:left="640" w:right="160" w:hanging="316"/>
        <w:spacing w:after="0" w:line="186" w:lineRule="auto"/>
        <w:tabs>
          <w:tab w:leader="none" w:pos="640" w:val="left"/>
        </w:tabs>
        <w:numPr>
          <w:ilvl w:val="0"/>
          <w:numId w:val="6"/>
        </w:numPr>
        <w:rPr>
          <w:rFonts w:ascii="Arial" w:cs="Arial" w:eastAsia="Arial" w:hAnsi="Arial"/>
          <w:sz w:val="35"/>
          <w:szCs w:val="35"/>
          <w:color w:val="auto"/>
          <w:vertAlign w:val="superscript"/>
        </w:rPr>
      </w:pPr>
      <w:r>
        <w:rPr>
          <w:rFonts w:ascii="Arial" w:cs="Arial" w:eastAsia="Arial" w:hAnsi="Arial"/>
          <w:sz w:val="18"/>
          <w:szCs w:val="18"/>
          <w:color w:val="auto"/>
        </w:rPr>
        <w:t>Specialty Benefits pre-tax return on premium and fees</w:t>
      </w:r>
      <w:r>
        <w:rPr>
          <w:rFonts w:ascii="Arial" w:cs="Arial" w:eastAsia="Arial" w:hAnsi="Arial"/>
          <w:sz w:val="29"/>
          <w:szCs w:val="29"/>
          <w:color w:val="auto"/>
          <w:vertAlign w:val="superscript"/>
        </w:rPr>
        <w:t>4</w:t>
      </w:r>
      <w:r>
        <w:rPr>
          <w:rFonts w:ascii="Arial" w:cs="Arial" w:eastAsia="Arial" w:hAnsi="Arial"/>
          <w:sz w:val="18"/>
          <w:szCs w:val="18"/>
          <w:color w:val="auto"/>
        </w:rPr>
        <w:t xml:space="preserve"> of 21.6% increased 550 basis points from the prior year quarter partially due to a net benefit from COVID-19 related claims experience, driven by very favorable dental and vision claims.</w:t>
      </w:r>
    </w:p>
    <w:p>
      <w:pPr>
        <w:spacing w:after="0" w:line="201" w:lineRule="exact"/>
        <w:rPr>
          <w:rFonts w:ascii="Arial" w:cs="Arial" w:eastAsia="Arial" w:hAnsi="Arial"/>
          <w:sz w:val="35"/>
          <w:szCs w:val="35"/>
          <w:color w:val="auto"/>
          <w:vertAlign w:val="superscript"/>
        </w:rPr>
      </w:pPr>
    </w:p>
    <w:p>
      <w:pPr>
        <w:ind w:left="640" w:hanging="316"/>
        <w:spacing w:after="0"/>
        <w:tabs>
          <w:tab w:leader="none" w:pos="640" w:val="left"/>
        </w:tabs>
        <w:numPr>
          <w:ilvl w:val="0"/>
          <w:numId w:val="6"/>
        </w:numPr>
        <w:rPr>
          <w:rFonts w:ascii="Arial" w:cs="Arial" w:eastAsia="Arial" w:hAnsi="Arial"/>
          <w:sz w:val="17"/>
          <w:szCs w:val="17"/>
          <w:color w:val="auto"/>
        </w:rPr>
      </w:pPr>
      <w:r>
        <w:rPr>
          <w:rFonts w:ascii="Arial" w:cs="Arial" w:eastAsia="Arial" w:hAnsi="Arial"/>
          <w:sz w:val="17"/>
          <w:szCs w:val="17"/>
          <w:color w:val="auto"/>
        </w:rPr>
        <w:t>We deployed $153.5 million of capital for common stock dividends with the $0.56 per share common dividend paid in the second quarter.</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Continued strong financial position</w:t>
      </w:r>
    </w:p>
    <w:p>
      <w:pPr>
        <w:sectPr>
          <w:pgSz w:w="11900" w:h="16838" w:orient="portrait"/>
          <w:cols w:equalWidth="0" w:num="1">
            <w:col w:w="11240"/>
          </w:cols>
          <w:pgMar w:left="320" w:top="1440" w:right="339" w:bottom="0" w:gutter="0" w:footer="0" w:header="0"/>
        </w:sectPr>
      </w:pPr>
    </w:p>
    <w:bookmarkStart w:id="6" w:name="page7"/>
    <w:bookmarkEnd w:id="6"/>
    <w:p>
      <w:pPr>
        <w:ind w:left="640" w:hanging="316"/>
        <w:spacing w:after="0"/>
        <w:tabs>
          <w:tab w:leader="none" w:pos="640" w:val="left"/>
        </w:tabs>
        <w:numPr>
          <w:ilvl w:val="0"/>
          <w:numId w:val="7"/>
        </w:numPr>
        <w:rPr>
          <w:rFonts w:ascii="Arial" w:cs="Arial" w:eastAsia="Arial" w:hAnsi="Arial"/>
          <w:sz w:val="18"/>
          <w:szCs w:val="18"/>
          <w:color w:val="auto"/>
        </w:rPr>
      </w:pPr>
      <w:r>
        <w:rPr>
          <w:rFonts w:ascii="Arial" w:cs="Arial" w:eastAsia="Arial" w:hAnsi="Arial"/>
          <w:sz w:val="18"/>
          <w:szCs w:val="18"/>
          <w:color w:val="auto"/>
        </w:rPr>
        <w:t>$3.0 billion of total company available cash and liquid assets. We also have $800 million of revolving credit facilities available.</w:t>
      </w:r>
    </w:p>
    <w:p>
      <w:pPr>
        <w:spacing w:after="0" w:line="217" w:lineRule="exact"/>
        <w:rPr>
          <w:rFonts w:ascii="Arial" w:cs="Arial" w:eastAsia="Arial" w:hAnsi="Arial"/>
          <w:sz w:val="18"/>
          <w:szCs w:val="18"/>
          <w:color w:val="auto"/>
        </w:rPr>
      </w:pPr>
    </w:p>
    <w:p>
      <w:pPr>
        <w:ind w:left="640" w:right="80" w:hanging="316"/>
        <w:spacing w:after="0" w:line="255" w:lineRule="auto"/>
        <w:tabs>
          <w:tab w:leader="none" w:pos="640" w:val="left"/>
        </w:tabs>
        <w:numPr>
          <w:ilvl w:val="0"/>
          <w:numId w:val="7"/>
        </w:numPr>
        <w:rPr>
          <w:rFonts w:ascii="Arial" w:cs="Arial" w:eastAsia="Arial" w:hAnsi="Arial"/>
          <w:sz w:val="18"/>
          <w:szCs w:val="18"/>
          <w:color w:val="auto"/>
        </w:rPr>
      </w:pPr>
      <w:r>
        <w:rPr>
          <w:rFonts w:ascii="Arial" w:cs="Arial" w:eastAsia="Arial" w:hAnsi="Arial"/>
          <w:sz w:val="18"/>
          <w:szCs w:val="18"/>
          <w:color w:val="auto"/>
        </w:rPr>
        <w:t>$2.3 billion of excess and available capital in our holding companies and other subsidiaries, which is available for corporate purposes. We also have access to a contingent capital facility, with a book value of $750 million, that allows us to borrow up to $1 billion, the current fair value of the Treasury assets in the facility.</w:t>
      </w:r>
    </w:p>
    <w:p>
      <w:pPr>
        <w:spacing w:after="0" w:line="188" w:lineRule="exact"/>
        <w:rPr>
          <w:rFonts w:ascii="Arial" w:cs="Arial" w:eastAsia="Arial" w:hAnsi="Arial"/>
          <w:sz w:val="18"/>
          <w:szCs w:val="18"/>
          <w:color w:val="auto"/>
        </w:rPr>
      </w:pPr>
    </w:p>
    <w:p>
      <w:pPr>
        <w:jc w:val="both"/>
        <w:ind w:left="640" w:hanging="316"/>
        <w:spacing w:after="0" w:line="255" w:lineRule="auto"/>
        <w:tabs>
          <w:tab w:leader="none" w:pos="640" w:val="left"/>
        </w:tabs>
        <w:numPr>
          <w:ilvl w:val="0"/>
          <w:numId w:val="7"/>
        </w:numPr>
        <w:rPr>
          <w:rFonts w:ascii="Arial" w:cs="Arial" w:eastAsia="Arial" w:hAnsi="Arial"/>
          <w:sz w:val="18"/>
          <w:szCs w:val="18"/>
          <w:color w:val="auto"/>
        </w:rPr>
      </w:pPr>
      <w:r>
        <w:rPr>
          <w:rFonts w:ascii="Arial" w:cs="Arial" w:eastAsia="Arial" w:hAnsi="Arial"/>
          <w:sz w:val="18"/>
          <w:szCs w:val="18"/>
          <w:color w:val="auto"/>
        </w:rPr>
        <w:t>We opportunistically issued $500 million of long-term debt in June at 2.125% maturing in 2030 to provide additional financial flexibility and further solidify our capital position. Our next debt maturity, of $300 million, is not until 2022 and is followed by a balanced, laddered maturity schedule into the future.</w:t>
      </w:r>
    </w:p>
    <w:p>
      <w:pPr>
        <w:spacing w:after="0" w:line="188" w:lineRule="exact"/>
        <w:rPr>
          <w:rFonts w:ascii="Arial" w:cs="Arial" w:eastAsia="Arial" w:hAnsi="Arial"/>
          <w:sz w:val="18"/>
          <w:szCs w:val="18"/>
          <w:color w:val="auto"/>
        </w:rPr>
      </w:pPr>
    </w:p>
    <w:p>
      <w:pPr>
        <w:ind w:left="640" w:right="320" w:hanging="316"/>
        <w:spacing w:after="0" w:line="264" w:lineRule="auto"/>
        <w:tabs>
          <w:tab w:leader="none" w:pos="640" w:val="left"/>
        </w:tabs>
        <w:numPr>
          <w:ilvl w:val="0"/>
          <w:numId w:val="7"/>
        </w:numPr>
        <w:rPr>
          <w:rFonts w:ascii="Arial" w:cs="Arial" w:eastAsia="Arial" w:hAnsi="Arial"/>
          <w:sz w:val="18"/>
          <w:szCs w:val="18"/>
          <w:color w:val="auto"/>
        </w:rPr>
      </w:pPr>
      <w:r>
        <w:rPr>
          <w:rFonts w:ascii="Arial" w:cs="Arial" w:eastAsia="Arial" w:hAnsi="Arial"/>
          <w:sz w:val="18"/>
          <w:szCs w:val="18"/>
          <w:color w:val="auto"/>
        </w:rPr>
        <w:t>Estimated statutory risk-based capital (RBC) ratio for Principal Life Insurance Company of 422%; above the midpoint of our targeted RBC ratio range of 400%.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156210</wp:posOffset>
            </wp:positionV>
            <wp:extent cx="178371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783715" cy="8255"/>
                    </a:xfrm>
                    <a:prstGeom prst="rect">
                      <a:avLst/>
                    </a:prstGeom>
                    <a:noFill/>
                  </pic:spPr>
                </pic:pic>
              </a:graphicData>
            </a:graphic>
          </wp:anchor>
        </w:drawing>
      </w:r>
    </w:p>
    <w:p>
      <w:pPr>
        <w:spacing w:after="0" w:line="333" w:lineRule="exact"/>
        <w:rPr>
          <w:sz w:val="20"/>
          <w:szCs w:val="20"/>
          <w:color w:val="auto"/>
        </w:rPr>
      </w:pPr>
    </w:p>
    <w:p>
      <w:pPr>
        <w:ind w:right="400" w:firstLine="6"/>
        <w:spacing w:after="0" w:line="217" w:lineRule="auto"/>
        <w:tabs>
          <w:tab w:leader="none" w:pos="110" w:val="left"/>
        </w:tabs>
        <w:numPr>
          <w:ilvl w:val="0"/>
          <w:numId w:val="8"/>
        </w:numPr>
        <w:rPr>
          <w:rFonts w:ascii="Arial" w:cs="Arial" w:eastAsia="Arial" w:hAnsi="Arial"/>
          <w:sz w:val="28"/>
          <w:szCs w:val="28"/>
          <w:color w:val="auto"/>
          <w:vertAlign w:val="superscript"/>
        </w:rPr>
      </w:pPr>
      <w:r>
        <w:rPr>
          <w:rFonts w:ascii="Arial" w:cs="Arial" w:eastAsia="Arial" w:hAnsi="Arial"/>
          <w:sz w:val="17"/>
          <w:szCs w:val="17"/>
          <w:color w:val="auto"/>
        </w:rPr>
        <w:t>Represents the percentage of Principal actively managed mutual funds, exchange traded funds (ETFs), insurance separate accounts, and collective investment trusts (CITs) in the top two Morningstar quartiles. Excludes Money Market, Stable Value, Liability Driven Investment, Hedge Fund Separate Account and US Property Separate Account.</w:t>
      </w:r>
    </w:p>
    <w:p>
      <w:pPr>
        <w:spacing w:after="0" w:line="2" w:lineRule="exact"/>
        <w:rPr>
          <w:rFonts w:ascii="Arial" w:cs="Arial" w:eastAsia="Arial" w:hAnsi="Arial"/>
          <w:sz w:val="28"/>
          <w:szCs w:val="28"/>
          <w:color w:val="auto"/>
          <w:vertAlign w:val="superscript"/>
        </w:rPr>
      </w:pPr>
    </w:p>
    <w:p>
      <w:pPr>
        <w:spacing w:after="0" w:line="182" w:lineRule="auto"/>
        <w:rPr>
          <w:rFonts w:ascii="Arial" w:cs="Arial" w:eastAsia="Arial" w:hAnsi="Arial"/>
          <w:sz w:val="28"/>
          <w:szCs w:val="28"/>
          <w:color w:val="auto"/>
          <w:vertAlign w:val="superscript"/>
        </w:rPr>
      </w:pPr>
      <w:r>
        <w:rPr>
          <w:rFonts w:ascii="Arial" w:cs="Arial" w:eastAsia="Arial" w:hAnsi="Arial"/>
          <w:sz w:val="29"/>
          <w:szCs w:val="29"/>
          <w:color w:val="auto"/>
          <w:vertAlign w:val="superscript"/>
        </w:rPr>
        <w:t>3</w:t>
      </w:r>
      <w:r>
        <w:rPr>
          <w:rFonts w:ascii="Arial" w:cs="Arial" w:eastAsia="Arial" w:hAnsi="Arial"/>
          <w:sz w:val="18"/>
          <w:szCs w:val="18"/>
          <w:color w:val="auto"/>
        </w:rPr>
        <w:t xml:space="preserve"> RIS-Fee reported sales, net cash flow, and account values do not include the Institutional Retirement and Trust (IRT) business.</w:t>
      </w:r>
    </w:p>
    <w:p>
      <w:pPr>
        <w:spacing w:after="0" w:line="27" w:lineRule="exact"/>
        <w:rPr>
          <w:sz w:val="20"/>
          <w:szCs w:val="20"/>
          <w:color w:val="auto"/>
        </w:rPr>
      </w:pPr>
    </w:p>
    <w:p>
      <w:pPr>
        <w:ind w:right="500" w:firstLine="6"/>
        <w:spacing w:after="0" w:line="201" w:lineRule="auto"/>
        <w:tabs>
          <w:tab w:leader="none" w:pos="110" w:val="left"/>
        </w:tabs>
        <w:numPr>
          <w:ilvl w:val="0"/>
          <w:numId w:val="9"/>
        </w:numPr>
        <w:rPr>
          <w:rFonts w:ascii="Arial" w:cs="Arial" w:eastAsia="Arial" w:hAnsi="Arial"/>
          <w:sz w:val="28"/>
          <w:szCs w:val="28"/>
          <w:color w:val="auto"/>
          <w:vertAlign w:val="superscript"/>
        </w:rPr>
      </w:pPr>
      <w:r>
        <w:rPr>
          <w:rFonts w:ascii="Arial" w:cs="Arial" w:eastAsia="Arial" w:hAnsi="Arial"/>
          <w:sz w:val="17"/>
          <w:szCs w:val="17"/>
          <w:color w:val="auto"/>
        </w:rPr>
        <w:t>Premium and fees = premiums and other considerations plus fees and other revenues. Pre-tax return on premium and fees = pretax operating earnings divided by premium and fees.</w:t>
      </w: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Classification: Company Confidential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19685</wp:posOffset>
            </wp:positionV>
            <wp:extent cx="713486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4860" cy="8255"/>
                    </a:xfrm>
                    <a:prstGeom prst="rect">
                      <a:avLst/>
                    </a:prstGeom>
                    <a:noFill/>
                  </pic:spPr>
                </pic:pic>
              </a:graphicData>
            </a:graphic>
          </wp:anchor>
        </w:drawing>
      </w:r>
    </w:p>
    <w:p>
      <w:pPr>
        <w:sectPr>
          <w:pgSz w:w="11900" w:h="16838" w:orient="portrait"/>
          <w:cols w:equalWidth="0" w:num="1">
            <w:col w:w="11180"/>
          </w:cols>
          <w:pgMar w:left="320" w:top="127" w:right="399" w:bottom="1440" w:gutter="0" w:footer="0" w:header="0"/>
        </w:sectPr>
      </w:pPr>
    </w:p>
    <w:bookmarkStart w:id="7" w:name="page8"/>
    <w:bookmarkEnd w:id="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610870</wp:posOffset>
            </wp:positionH>
            <wp:positionV relativeFrom="page">
              <wp:posOffset>2436495</wp:posOffset>
            </wp:positionV>
            <wp:extent cx="6731000" cy="20866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6731000" cy="20866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4000" w:type="dxa"/>
            <w:vAlign w:val="bottom"/>
          </w:tcPr>
          <w:p>
            <w:pPr>
              <w:spacing w:after="0"/>
              <w:rPr>
                <w:sz w:val="20"/>
                <w:szCs w:val="20"/>
                <w:color w:val="auto"/>
              </w:rPr>
            </w:pPr>
            <w:r>
              <w:rPr>
                <w:rFonts w:ascii="Arial" w:cs="Arial" w:eastAsia="Arial" w:hAnsi="Arial"/>
                <w:sz w:val="18"/>
                <w:szCs w:val="18"/>
                <w:b w:val="1"/>
                <w:bCs w:val="1"/>
                <w:color w:val="auto"/>
              </w:rPr>
              <w:t>Segment Results</w:t>
            </w:r>
          </w:p>
        </w:tc>
        <w:tc>
          <w:tcPr>
            <w:tcW w:w="3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20" w:type="dxa"/>
            <w:vAlign w:val="bottom"/>
          </w:tcPr>
          <w:p>
            <w:pPr>
              <w:spacing w:after="0"/>
              <w:rPr>
                <w:sz w:val="19"/>
                <w:szCs w:val="19"/>
                <w:color w:val="auto"/>
              </w:rPr>
            </w:pPr>
          </w:p>
        </w:tc>
      </w:tr>
      <w:tr>
        <w:trPr>
          <w:trHeight w:val="424"/>
        </w:trPr>
        <w:tc>
          <w:tcPr>
            <w:tcW w:w="4000" w:type="dxa"/>
            <w:vAlign w:val="bottom"/>
          </w:tcPr>
          <w:p>
            <w:pPr>
              <w:spacing w:after="0"/>
              <w:rPr>
                <w:sz w:val="20"/>
                <w:szCs w:val="20"/>
                <w:color w:val="auto"/>
              </w:rPr>
            </w:pPr>
            <w:r>
              <w:rPr>
                <w:rFonts w:ascii="Arial" w:cs="Arial" w:eastAsia="Arial" w:hAnsi="Arial"/>
                <w:sz w:val="18"/>
                <w:szCs w:val="18"/>
                <w:b w:val="1"/>
                <w:bCs w:val="1"/>
                <w:color w:val="auto"/>
              </w:rPr>
              <w:t>Retirement and Income Solutions - Fee</w:t>
            </w: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r>
      <w:tr>
        <w:trPr>
          <w:trHeight w:val="424"/>
        </w:trPr>
        <w:tc>
          <w:tcPr>
            <w:tcW w:w="4000" w:type="dxa"/>
            <w:vAlign w:val="bottom"/>
          </w:tcPr>
          <w:p>
            <w:pPr>
              <w:spacing w:after="0"/>
              <w:rPr>
                <w:sz w:val="20"/>
                <w:szCs w:val="20"/>
                <w:color w:val="auto"/>
              </w:rPr>
            </w:pPr>
            <w:r>
              <w:rPr>
                <w:rFonts w:ascii="Arial" w:cs="Arial" w:eastAsia="Arial" w:hAnsi="Arial"/>
                <w:sz w:val="18"/>
                <w:szCs w:val="18"/>
                <w:i w:val="1"/>
                <w:iCs w:val="1"/>
                <w:color w:val="auto"/>
                <w:w w:val="97"/>
              </w:rPr>
              <w:t>(in millions except percentages or otherwise noted)</w:t>
            </w:r>
          </w:p>
        </w:tc>
        <w:tc>
          <w:tcPr>
            <w:tcW w:w="38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gridSpan w:val="2"/>
          </w:tcPr>
          <w:p>
            <w:pPr>
              <w:jc w:val="right"/>
              <w:ind w:right="420"/>
              <w:spacing w:after="0"/>
              <w:rPr>
                <w:sz w:val="20"/>
                <w:szCs w:val="20"/>
                <w:color w:val="auto"/>
              </w:rPr>
            </w:pPr>
            <w:r>
              <w:rPr>
                <w:rFonts w:ascii="Arial" w:cs="Arial" w:eastAsia="Arial" w:hAnsi="Arial"/>
                <w:sz w:val="18"/>
                <w:szCs w:val="18"/>
                <w:b w:val="1"/>
                <w:bCs w:val="1"/>
                <w:i w:val="1"/>
                <w:iCs w:val="1"/>
                <w:color w:val="auto"/>
                <w:w w:val="89"/>
              </w:rPr>
              <w:t>Quarter</w:t>
            </w:r>
          </w:p>
        </w:tc>
        <w:tc>
          <w:tcPr>
            <w:tcW w:w="880" w:type="dxa"/>
            <w:vAlign w:val="bottom"/>
            <w:tcBorders>
              <w:bottom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3000" w:type="dxa"/>
            <w:vAlign w:val="bottom"/>
            <w:tcBorders>
              <w:bottom w:val="single" w:sz="8" w:color="auto"/>
            </w:tcBorders>
            <w:gridSpan w:val="6"/>
          </w:tcPr>
          <w:p>
            <w:pPr>
              <w:ind w:left="540"/>
              <w:spacing w:after="0"/>
              <w:rPr>
                <w:sz w:val="20"/>
                <w:szCs w:val="20"/>
                <w:color w:val="auto"/>
              </w:rPr>
            </w:pPr>
            <w:r>
              <w:rPr>
                <w:rFonts w:ascii="Arial" w:cs="Arial" w:eastAsia="Arial" w:hAnsi="Arial"/>
                <w:sz w:val="18"/>
                <w:szCs w:val="18"/>
                <w:b w:val="1"/>
                <w:bCs w:val="1"/>
                <w:i w:val="1"/>
                <w:iCs w:val="1"/>
                <w:color w:val="auto"/>
              </w:rPr>
              <w:t>Trailing Twelve Months</w:t>
            </w:r>
          </w:p>
        </w:tc>
        <w:tc>
          <w:tcPr>
            <w:tcW w:w="220" w:type="dxa"/>
            <w:vAlign w:val="bottom"/>
          </w:tcPr>
          <w:p>
            <w:pPr>
              <w:spacing w:after="0"/>
              <w:rPr>
                <w:sz w:val="24"/>
                <w:szCs w:val="24"/>
                <w:color w:val="auto"/>
              </w:rPr>
            </w:pPr>
          </w:p>
        </w:tc>
      </w:tr>
      <w:tr>
        <w:trPr>
          <w:trHeight w:val="219"/>
        </w:trPr>
        <w:tc>
          <w:tcPr>
            <w:tcW w:w="4000" w:type="dxa"/>
            <w:vAlign w:val="bottom"/>
            <w:tcBorders>
              <w:bottom w:val="single" w:sz="8" w:color="CCEEFF"/>
            </w:tcBorders>
          </w:tcPr>
          <w:p>
            <w:pPr>
              <w:spacing w:after="0"/>
              <w:rPr>
                <w:sz w:val="19"/>
                <w:szCs w:val="19"/>
                <w:color w:val="auto"/>
              </w:rPr>
            </w:pPr>
          </w:p>
        </w:tc>
        <w:tc>
          <w:tcPr>
            <w:tcW w:w="38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52"/>
              <w:spacing w:after="0"/>
              <w:rPr>
                <w:sz w:val="20"/>
                <w:szCs w:val="20"/>
                <w:color w:val="auto"/>
              </w:rPr>
            </w:pPr>
            <w:r>
              <w:rPr>
                <w:rFonts w:ascii="Arial" w:cs="Arial" w:eastAsia="Arial" w:hAnsi="Arial"/>
                <w:sz w:val="18"/>
                <w:szCs w:val="18"/>
                <w:b w:val="1"/>
                <w:bCs w:val="1"/>
                <w:color w:val="auto"/>
              </w:rPr>
              <w:t>2Q20</w:t>
            </w:r>
          </w:p>
        </w:tc>
        <w:tc>
          <w:tcPr>
            <w:tcW w:w="26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152"/>
              <w:spacing w:after="0"/>
              <w:rPr>
                <w:sz w:val="20"/>
                <w:szCs w:val="20"/>
                <w:color w:val="auto"/>
              </w:rPr>
            </w:pPr>
            <w:r>
              <w:rPr>
                <w:rFonts w:ascii="Arial" w:cs="Arial" w:eastAsia="Arial" w:hAnsi="Arial"/>
                <w:sz w:val="18"/>
                <w:szCs w:val="18"/>
                <w:b w:val="1"/>
                <w:bCs w:val="1"/>
                <w:color w:val="auto"/>
              </w:rPr>
              <w:t>2Q19</w:t>
            </w:r>
          </w:p>
        </w:tc>
        <w:tc>
          <w:tcPr>
            <w:tcW w:w="260" w:type="dxa"/>
            <w:vAlign w:val="bottom"/>
            <w:tcBorders>
              <w:bottom w:val="single" w:sz="8" w:color="CCEEFF"/>
            </w:tcBorders>
          </w:tcPr>
          <w:p>
            <w:pPr>
              <w:spacing w:after="0"/>
              <w:rPr>
                <w:sz w:val="19"/>
                <w:szCs w:val="19"/>
                <w:color w:val="auto"/>
              </w:rPr>
            </w:pPr>
          </w:p>
        </w:tc>
        <w:tc>
          <w:tcPr>
            <w:tcW w:w="88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w w:val="95"/>
              </w:rPr>
              <w:t>% Change</w:t>
            </w:r>
          </w:p>
        </w:tc>
        <w:tc>
          <w:tcPr>
            <w:tcW w:w="3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52"/>
              <w:spacing w:after="0"/>
              <w:rPr>
                <w:sz w:val="20"/>
                <w:szCs w:val="20"/>
                <w:color w:val="auto"/>
              </w:rPr>
            </w:pPr>
            <w:r>
              <w:rPr>
                <w:rFonts w:ascii="Arial" w:cs="Arial" w:eastAsia="Arial" w:hAnsi="Arial"/>
                <w:sz w:val="18"/>
                <w:szCs w:val="18"/>
                <w:b w:val="1"/>
                <w:bCs w:val="1"/>
                <w:color w:val="auto"/>
              </w:rPr>
              <w:t>2Q20</w:t>
            </w:r>
          </w:p>
        </w:tc>
        <w:tc>
          <w:tcPr>
            <w:tcW w:w="26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172"/>
              <w:spacing w:after="0"/>
              <w:rPr>
                <w:sz w:val="20"/>
                <w:szCs w:val="20"/>
                <w:color w:val="auto"/>
              </w:rPr>
            </w:pPr>
            <w:r>
              <w:rPr>
                <w:rFonts w:ascii="Arial" w:cs="Arial" w:eastAsia="Arial" w:hAnsi="Arial"/>
                <w:sz w:val="18"/>
                <w:szCs w:val="18"/>
                <w:b w:val="1"/>
                <w:bCs w:val="1"/>
                <w:color w:val="auto"/>
              </w:rPr>
              <w:t>2Q19</w:t>
            </w:r>
          </w:p>
        </w:tc>
        <w:tc>
          <w:tcPr>
            <w:tcW w:w="260" w:type="dxa"/>
            <w:vAlign w:val="bottom"/>
            <w:tcBorders>
              <w:bottom w:val="single" w:sz="8" w:color="CCEEFF"/>
            </w:tcBorders>
          </w:tcPr>
          <w:p>
            <w:pPr>
              <w:spacing w:after="0"/>
              <w:rPr>
                <w:sz w:val="19"/>
                <w:szCs w:val="19"/>
                <w:color w:val="auto"/>
              </w:rPr>
            </w:pPr>
          </w:p>
        </w:tc>
        <w:tc>
          <w:tcPr>
            <w:tcW w:w="86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w w:val="92"/>
              </w:rPr>
              <w:t>% Change</w:t>
            </w:r>
          </w:p>
        </w:tc>
        <w:tc>
          <w:tcPr>
            <w:tcW w:w="220" w:type="dxa"/>
            <w:vAlign w:val="bottom"/>
            <w:tcBorders>
              <w:bottom w:val="single" w:sz="8" w:color="CCEEFF"/>
            </w:tcBorders>
          </w:tcPr>
          <w:p>
            <w:pPr>
              <w:spacing w:after="0"/>
              <w:rPr>
                <w:sz w:val="19"/>
                <w:szCs w:val="19"/>
                <w:color w:val="auto"/>
              </w:rPr>
            </w:pPr>
          </w:p>
        </w:tc>
      </w:tr>
      <w:tr>
        <w:trPr>
          <w:trHeight w:val="232"/>
        </w:trPr>
        <w:tc>
          <w:tcPr>
            <w:tcW w:w="4000" w:type="dxa"/>
            <w:vAlign w:val="bottom"/>
            <w:shd w:val="clear" w:color="auto" w:fill="CCEEFF"/>
          </w:tcPr>
          <w:p>
            <w:pPr>
              <w:spacing w:after="0" w:line="232" w:lineRule="exact"/>
              <w:rPr>
                <w:sz w:val="20"/>
                <w:szCs w:val="20"/>
                <w:color w:val="auto"/>
              </w:rPr>
            </w:pPr>
            <w:r>
              <w:rPr>
                <w:rFonts w:ascii="Arial" w:cs="Arial" w:eastAsia="Arial" w:hAnsi="Arial"/>
                <w:sz w:val="16"/>
                <w:szCs w:val="16"/>
                <w:color w:val="auto"/>
              </w:rPr>
              <w:t>Pre-tax operating earnings</w:t>
            </w:r>
            <w:r>
              <w:rPr>
                <w:rFonts w:ascii="Arial" w:cs="Arial" w:eastAsia="Arial" w:hAnsi="Arial"/>
                <w:sz w:val="26"/>
                <w:szCs w:val="26"/>
                <w:color w:val="auto"/>
                <w:vertAlign w:val="superscript"/>
              </w:rPr>
              <w:t>5</w:t>
            </w: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122.3</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132.8</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405.8</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495.8</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w:t>
            </w:r>
          </w:p>
        </w:tc>
      </w:tr>
      <w:tr>
        <w:trPr>
          <w:trHeight w:val="252"/>
        </w:trPr>
        <w:tc>
          <w:tcPr>
            <w:tcW w:w="4000" w:type="dxa"/>
            <w:vAlign w:val="bottom"/>
          </w:tcPr>
          <w:p>
            <w:pPr>
              <w:spacing w:after="0" w:line="252" w:lineRule="exact"/>
              <w:rPr>
                <w:sz w:val="20"/>
                <w:szCs w:val="20"/>
                <w:color w:val="auto"/>
              </w:rPr>
            </w:pPr>
            <w:r>
              <w:rPr>
                <w:rFonts w:ascii="Arial" w:cs="Arial" w:eastAsia="Arial" w:hAnsi="Arial"/>
                <w:sz w:val="18"/>
                <w:szCs w:val="18"/>
                <w:color w:val="auto"/>
              </w:rPr>
              <w:t>Net revenue</w:t>
            </w:r>
            <w:r>
              <w:rPr>
                <w:rFonts w:ascii="Arial" w:cs="Arial" w:eastAsia="Arial" w:hAnsi="Arial"/>
                <w:sz w:val="29"/>
                <w:szCs w:val="29"/>
                <w:color w:val="auto"/>
                <w:vertAlign w:val="superscript"/>
              </w:rPr>
              <w:t>6</w:t>
            </w:r>
          </w:p>
        </w:tc>
        <w:tc>
          <w:tcPr>
            <w:tcW w:w="5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464.9</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gridSpan w:val="2"/>
          </w:tcPr>
          <w:p>
            <w:pPr>
              <w:jc w:val="right"/>
              <w:ind w:right="260"/>
              <w:spacing w:after="0"/>
              <w:rPr>
                <w:sz w:val="20"/>
                <w:szCs w:val="20"/>
                <w:color w:val="auto"/>
              </w:rPr>
            </w:pPr>
            <w:r>
              <w:rPr>
                <w:rFonts w:ascii="Arial" w:cs="Arial" w:eastAsia="Arial" w:hAnsi="Arial"/>
                <w:sz w:val="18"/>
                <w:szCs w:val="18"/>
                <w:color w:val="auto"/>
              </w:rPr>
              <w:t>392.1</w:t>
            </w: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19%</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1,932.7</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260"/>
              <w:spacing w:after="0"/>
              <w:rPr>
                <w:sz w:val="20"/>
                <w:szCs w:val="20"/>
                <w:color w:val="auto"/>
              </w:rPr>
            </w:pPr>
            <w:r>
              <w:rPr>
                <w:rFonts w:ascii="Arial" w:cs="Arial" w:eastAsia="Arial" w:hAnsi="Arial"/>
                <w:sz w:val="18"/>
                <w:szCs w:val="18"/>
                <w:color w:val="auto"/>
              </w:rPr>
              <w:t>1,549.1</w:t>
            </w:r>
          </w:p>
        </w:tc>
        <w:tc>
          <w:tcPr>
            <w:tcW w:w="1080" w:type="dxa"/>
            <w:vAlign w:val="bottom"/>
            <w:gridSpan w:val="2"/>
          </w:tcPr>
          <w:p>
            <w:pPr>
              <w:jc w:val="right"/>
              <w:ind w:right="60"/>
              <w:spacing w:after="0"/>
              <w:rPr>
                <w:sz w:val="20"/>
                <w:szCs w:val="20"/>
                <w:color w:val="auto"/>
              </w:rPr>
            </w:pPr>
            <w:r>
              <w:rPr>
                <w:rFonts w:ascii="Arial" w:cs="Arial" w:eastAsia="Arial" w:hAnsi="Arial"/>
                <w:sz w:val="18"/>
                <w:szCs w:val="18"/>
                <w:color w:val="auto"/>
              </w:rPr>
              <w:t>25%</w:t>
            </w:r>
          </w:p>
        </w:tc>
      </w:tr>
      <w:tr>
        <w:trPr>
          <w:trHeight w:val="252"/>
        </w:trPr>
        <w:tc>
          <w:tcPr>
            <w:tcW w:w="4000" w:type="dxa"/>
            <w:vAlign w:val="bottom"/>
            <w:shd w:val="clear" w:color="auto" w:fill="CCEEFF"/>
          </w:tcPr>
          <w:p>
            <w:pPr>
              <w:spacing w:after="0" w:line="252" w:lineRule="exact"/>
              <w:rPr>
                <w:sz w:val="20"/>
                <w:szCs w:val="20"/>
                <w:color w:val="auto"/>
              </w:rPr>
            </w:pPr>
            <w:r>
              <w:rPr>
                <w:rFonts w:ascii="Arial" w:cs="Arial" w:eastAsia="Arial" w:hAnsi="Arial"/>
                <w:sz w:val="18"/>
                <w:szCs w:val="18"/>
                <w:color w:val="auto"/>
              </w:rPr>
              <w:t>Pre-tax return on net revenue</w:t>
            </w:r>
            <w:r>
              <w:rPr>
                <w:rFonts w:ascii="Arial" w:cs="Arial" w:eastAsia="Arial" w:hAnsi="Arial"/>
                <w:sz w:val="29"/>
                <w:szCs w:val="29"/>
                <w:color w:val="auto"/>
                <w:vertAlign w:val="superscript"/>
              </w:rPr>
              <w:t>7</w:t>
            </w:r>
          </w:p>
        </w:tc>
        <w:tc>
          <w:tcPr>
            <w:tcW w:w="38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26.3%</w:t>
            </w:r>
          </w:p>
        </w:tc>
        <w:tc>
          <w:tcPr>
            <w:tcW w:w="120" w:type="dxa"/>
            <w:vAlign w:val="bottom"/>
            <w:shd w:val="clear" w:color="auto" w:fill="CCEEFF"/>
          </w:tcPr>
          <w:p>
            <w:pPr>
              <w:spacing w:after="0"/>
              <w:rPr>
                <w:sz w:val="21"/>
                <w:szCs w:val="21"/>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33.9%</w:t>
            </w:r>
          </w:p>
        </w:tc>
        <w:tc>
          <w:tcPr>
            <w:tcW w:w="88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21.0%</w:t>
            </w:r>
          </w:p>
        </w:tc>
        <w:tc>
          <w:tcPr>
            <w:tcW w:w="160" w:type="dxa"/>
            <w:vAlign w:val="bottom"/>
            <w:shd w:val="clear" w:color="auto" w:fill="CCEEFF"/>
          </w:tcPr>
          <w:p>
            <w:pPr>
              <w:spacing w:after="0"/>
              <w:rPr>
                <w:sz w:val="21"/>
                <w:szCs w:val="21"/>
                <w:color w:val="auto"/>
              </w:rPr>
            </w:pP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32.0%</w:t>
            </w:r>
          </w:p>
        </w:tc>
        <w:tc>
          <w:tcPr>
            <w:tcW w:w="86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r>
      <w:tr>
        <w:trPr>
          <w:trHeight w:val="20"/>
        </w:trPr>
        <w:tc>
          <w:tcPr>
            <w:tcW w:w="40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bl>
    <w:p>
      <w:pPr>
        <w:spacing w:after="0" w:line="220" w:lineRule="exact"/>
        <w:rPr>
          <w:sz w:val="20"/>
          <w:szCs w:val="20"/>
          <w:color w:val="auto"/>
        </w:rPr>
      </w:pPr>
    </w:p>
    <w:p>
      <w:pPr>
        <w:ind w:left="640" w:right="520" w:hanging="316"/>
        <w:spacing w:after="0" w:line="271" w:lineRule="auto"/>
        <w:tabs>
          <w:tab w:leader="none" w:pos="640" w:val="left"/>
        </w:tabs>
        <w:numPr>
          <w:ilvl w:val="0"/>
          <w:numId w:val="10"/>
        </w:numPr>
        <w:rPr>
          <w:rFonts w:ascii="Arial" w:cs="Arial" w:eastAsia="Arial" w:hAnsi="Arial"/>
          <w:sz w:val="18"/>
          <w:szCs w:val="18"/>
          <w:color w:val="auto"/>
        </w:rPr>
      </w:pPr>
      <w:r>
        <w:rPr>
          <w:rFonts w:ascii="Arial" w:cs="Arial" w:eastAsia="Arial" w:hAnsi="Arial"/>
          <w:sz w:val="18"/>
          <w:szCs w:val="18"/>
          <w:b w:val="1"/>
          <w:bCs w:val="1"/>
          <w:color w:val="auto"/>
        </w:rPr>
        <w:t xml:space="preserve">Pre-tax operating earnings </w:t>
      </w:r>
      <w:r>
        <w:rPr>
          <w:rFonts w:ascii="Arial" w:cs="Arial" w:eastAsia="Arial" w:hAnsi="Arial"/>
          <w:sz w:val="18"/>
          <w:szCs w:val="18"/>
          <w:color w:val="auto"/>
        </w:rPr>
        <w:t>decreased $10.5 million primarily as a result of impacts associated with the IRT business partially offset by lower</w:t>
      </w:r>
      <w:r>
        <w:rPr>
          <w:rFonts w:ascii="Arial" w:cs="Arial" w:eastAsia="Arial" w:hAnsi="Arial"/>
          <w:sz w:val="18"/>
          <w:szCs w:val="18"/>
          <w:b w:val="1"/>
          <w:bCs w:val="1"/>
          <w:color w:val="auto"/>
        </w:rPr>
        <w:t xml:space="preserve"> </w:t>
      </w:r>
      <w:r>
        <w:rPr>
          <w:rFonts w:ascii="Arial" w:cs="Arial" w:eastAsia="Arial" w:hAnsi="Arial"/>
          <w:sz w:val="18"/>
          <w:szCs w:val="18"/>
          <w:color w:val="auto"/>
        </w:rPr>
        <w:t>deferred acquisition cost (DAC) amortization expense due to higher equity markets.</w:t>
      </w:r>
    </w:p>
    <w:p>
      <w:pPr>
        <w:spacing w:after="0" w:line="168" w:lineRule="exact"/>
        <w:rPr>
          <w:rFonts w:ascii="Arial" w:cs="Arial" w:eastAsia="Arial" w:hAnsi="Arial"/>
          <w:sz w:val="18"/>
          <w:szCs w:val="18"/>
          <w:color w:val="auto"/>
        </w:rPr>
      </w:pPr>
    </w:p>
    <w:p>
      <w:pPr>
        <w:ind w:left="640" w:hanging="316"/>
        <w:spacing w:after="0"/>
        <w:tabs>
          <w:tab w:leader="none" w:pos="640" w:val="left"/>
        </w:tabs>
        <w:numPr>
          <w:ilvl w:val="0"/>
          <w:numId w:val="10"/>
        </w:numPr>
        <w:rPr>
          <w:rFonts w:ascii="Arial" w:cs="Arial" w:eastAsia="Arial" w:hAnsi="Arial"/>
          <w:sz w:val="18"/>
          <w:szCs w:val="18"/>
          <w:color w:val="auto"/>
        </w:rPr>
      </w:pPr>
      <w:r>
        <w:rPr>
          <w:rFonts w:ascii="Arial" w:cs="Arial" w:eastAsia="Arial" w:hAnsi="Arial"/>
          <w:sz w:val="18"/>
          <w:szCs w:val="18"/>
          <w:b w:val="1"/>
          <w:bCs w:val="1"/>
          <w:color w:val="auto"/>
        </w:rPr>
        <w:t xml:space="preserve">Net revenue </w:t>
      </w:r>
      <w:r>
        <w:rPr>
          <w:rFonts w:ascii="Arial" w:cs="Arial" w:eastAsia="Arial" w:hAnsi="Arial"/>
          <w:sz w:val="18"/>
          <w:szCs w:val="18"/>
          <w:color w:val="auto"/>
        </w:rPr>
        <w:t>increased $72.8 million primarily due to the addition of the IRT business.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4400" w:type="dxa"/>
            <w:vAlign w:val="bottom"/>
          </w:tcPr>
          <w:p>
            <w:pPr>
              <w:spacing w:after="0"/>
              <w:rPr>
                <w:sz w:val="20"/>
                <w:szCs w:val="20"/>
                <w:color w:val="auto"/>
              </w:rPr>
            </w:pPr>
            <w:r>
              <w:rPr>
                <w:rFonts w:ascii="Arial" w:cs="Arial" w:eastAsia="Arial" w:hAnsi="Arial"/>
                <w:sz w:val="18"/>
                <w:szCs w:val="18"/>
                <w:b w:val="1"/>
                <w:bCs w:val="1"/>
                <w:color w:val="auto"/>
              </w:rPr>
              <w:t>Retirement and Income Solutions - Spread</w:t>
            </w:r>
          </w:p>
        </w:tc>
        <w:tc>
          <w:tcPr>
            <w:tcW w:w="1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20" w:type="dxa"/>
            <w:vAlign w:val="bottom"/>
          </w:tcPr>
          <w:p>
            <w:pPr>
              <w:spacing w:after="0"/>
              <w:rPr>
                <w:sz w:val="19"/>
                <w:szCs w:val="19"/>
                <w:color w:val="auto"/>
              </w:rPr>
            </w:pPr>
          </w:p>
        </w:tc>
      </w:tr>
      <w:tr>
        <w:trPr>
          <w:trHeight w:val="438"/>
        </w:trPr>
        <w:tc>
          <w:tcPr>
            <w:tcW w:w="4400" w:type="dxa"/>
            <w:vAlign w:val="bottom"/>
          </w:tcPr>
          <w:p>
            <w:pPr>
              <w:spacing w:after="0"/>
              <w:rPr>
                <w:sz w:val="20"/>
                <w:szCs w:val="20"/>
                <w:color w:val="auto"/>
              </w:rPr>
            </w:pPr>
            <w:r>
              <w:rPr>
                <w:rFonts w:ascii="Arial" w:cs="Arial" w:eastAsia="Arial" w:hAnsi="Arial"/>
                <w:sz w:val="18"/>
                <w:szCs w:val="18"/>
                <w:i w:val="1"/>
                <w:iCs w:val="1"/>
                <w:color w:val="auto"/>
              </w:rPr>
              <w:t>(in millions except percentages or otherwise noted)</w:t>
            </w:r>
          </w:p>
        </w:tc>
        <w:tc>
          <w:tcPr>
            <w:tcW w:w="1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gridSpan w:val="2"/>
          </w:tcPr>
          <w:p>
            <w:pPr>
              <w:jc w:val="right"/>
              <w:ind w:right="400"/>
              <w:spacing w:after="0"/>
              <w:rPr>
                <w:sz w:val="20"/>
                <w:szCs w:val="20"/>
                <w:color w:val="auto"/>
              </w:rPr>
            </w:pPr>
            <w:r>
              <w:rPr>
                <w:rFonts w:ascii="Arial" w:cs="Arial" w:eastAsia="Arial" w:hAnsi="Arial"/>
                <w:sz w:val="18"/>
                <w:szCs w:val="18"/>
                <w:b w:val="1"/>
                <w:bCs w:val="1"/>
                <w:i w:val="1"/>
                <w:iCs w:val="1"/>
                <w:color w:val="auto"/>
                <w:w w:val="92"/>
              </w:rPr>
              <w:t>Quarter</w:t>
            </w:r>
          </w:p>
        </w:tc>
        <w:tc>
          <w:tcPr>
            <w:tcW w:w="880" w:type="dxa"/>
            <w:vAlign w:val="bottom"/>
            <w:tcBorders>
              <w:bottom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980" w:type="dxa"/>
            <w:vAlign w:val="bottom"/>
            <w:tcBorders>
              <w:bottom w:val="single" w:sz="8" w:color="auto"/>
            </w:tcBorders>
            <w:gridSpan w:val="6"/>
          </w:tcPr>
          <w:p>
            <w:pPr>
              <w:ind w:left="540"/>
              <w:spacing w:after="0"/>
              <w:rPr>
                <w:sz w:val="20"/>
                <w:szCs w:val="20"/>
                <w:color w:val="auto"/>
              </w:rPr>
            </w:pPr>
            <w:r>
              <w:rPr>
                <w:rFonts w:ascii="Arial" w:cs="Arial" w:eastAsia="Arial" w:hAnsi="Arial"/>
                <w:sz w:val="18"/>
                <w:szCs w:val="18"/>
                <w:b w:val="1"/>
                <w:bCs w:val="1"/>
                <w:i w:val="1"/>
                <w:iCs w:val="1"/>
                <w:color w:val="auto"/>
              </w:rPr>
              <w:t>Trailing Twelve Months</w:t>
            </w:r>
          </w:p>
        </w:tc>
        <w:tc>
          <w:tcPr>
            <w:tcW w:w="220" w:type="dxa"/>
            <w:vAlign w:val="bottom"/>
          </w:tcPr>
          <w:p>
            <w:pPr>
              <w:spacing w:after="0"/>
              <w:rPr>
                <w:sz w:val="24"/>
                <w:szCs w:val="24"/>
                <w:color w:val="auto"/>
              </w:rPr>
            </w:pPr>
          </w:p>
        </w:tc>
      </w:tr>
      <w:tr>
        <w:trPr>
          <w:trHeight w:val="219"/>
        </w:trPr>
        <w:tc>
          <w:tcPr>
            <w:tcW w:w="44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52"/>
              <w:spacing w:after="0"/>
              <w:rPr>
                <w:sz w:val="20"/>
                <w:szCs w:val="20"/>
                <w:color w:val="auto"/>
              </w:rPr>
            </w:pPr>
            <w:r>
              <w:rPr>
                <w:rFonts w:ascii="Arial" w:cs="Arial" w:eastAsia="Arial" w:hAnsi="Arial"/>
                <w:sz w:val="18"/>
                <w:szCs w:val="18"/>
                <w:b w:val="1"/>
                <w:bCs w:val="1"/>
                <w:color w:val="auto"/>
              </w:rPr>
              <w:t>2Q20</w:t>
            </w:r>
          </w:p>
        </w:tc>
        <w:tc>
          <w:tcPr>
            <w:tcW w:w="200" w:type="dxa"/>
            <w:vAlign w:val="bottom"/>
            <w:tcBorders>
              <w:bottom w:val="single" w:sz="8" w:color="CCEEFF"/>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152"/>
              <w:spacing w:after="0"/>
              <w:rPr>
                <w:sz w:val="20"/>
                <w:szCs w:val="20"/>
                <w:color w:val="auto"/>
              </w:rPr>
            </w:pPr>
            <w:r>
              <w:rPr>
                <w:rFonts w:ascii="Arial" w:cs="Arial" w:eastAsia="Arial" w:hAnsi="Arial"/>
                <w:sz w:val="18"/>
                <w:szCs w:val="18"/>
                <w:b w:val="1"/>
                <w:bCs w:val="1"/>
                <w:color w:val="auto"/>
              </w:rPr>
              <w:t>2Q19</w:t>
            </w:r>
          </w:p>
        </w:tc>
        <w:tc>
          <w:tcPr>
            <w:tcW w:w="260" w:type="dxa"/>
            <w:vAlign w:val="bottom"/>
            <w:tcBorders>
              <w:bottom w:val="single" w:sz="8" w:color="CCEEFF"/>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 Change</w:t>
            </w:r>
          </w:p>
        </w:tc>
        <w:tc>
          <w:tcPr>
            <w:tcW w:w="260" w:type="dxa"/>
            <w:vAlign w:val="bottom"/>
            <w:tcBorders>
              <w:bottom w:val="single" w:sz="8" w:color="CCEEFF"/>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52"/>
              <w:spacing w:after="0"/>
              <w:rPr>
                <w:sz w:val="20"/>
                <w:szCs w:val="20"/>
                <w:color w:val="auto"/>
              </w:rPr>
            </w:pPr>
            <w:r>
              <w:rPr>
                <w:rFonts w:ascii="Arial" w:cs="Arial" w:eastAsia="Arial" w:hAnsi="Arial"/>
                <w:sz w:val="18"/>
                <w:szCs w:val="18"/>
                <w:b w:val="1"/>
                <w:bCs w:val="1"/>
                <w:color w:val="auto"/>
              </w:rPr>
              <w:t>2Q20</w:t>
            </w:r>
          </w:p>
        </w:tc>
        <w:tc>
          <w:tcPr>
            <w:tcW w:w="26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52"/>
              <w:spacing w:after="0"/>
              <w:rPr>
                <w:sz w:val="20"/>
                <w:szCs w:val="20"/>
                <w:color w:val="auto"/>
              </w:rPr>
            </w:pPr>
            <w:r>
              <w:rPr>
                <w:rFonts w:ascii="Arial" w:cs="Arial" w:eastAsia="Arial" w:hAnsi="Arial"/>
                <w:sz w:val="18"/>
                <w:szCs w:val="18"/>
                <w:b w:val="1"/>
                <w:bCs w:val="1"/>
                <w:color w:val="auto"/>
              </w:rPr>
              <w:t>2Q19</w:t>
            </w:r>
          </w:p>
        </w:tc>
        <w:tc>
          <w:tcPr>
            <w:tcW w:w="260" w:type="dxa"/>
            <w:vAlign w:val="bottom"/>
            <w:tcBorders>
              <w:bottom w:val="single" w:sz="8" w:color="CCEEFF"/>
            </w:tcBorders>
          </w:tcPr>
          <w:p>
            <w:pPr>
              <w:spacing w:after="0"/>
              <w:rPr>
                <w:sz w:val="19"/>
                <w:szCs w:val="19"/>
                <w:color w:val="auto"/>
              </w:rPr>
            </w:pPr>
          </w:p>
        </w:tc>
        <w:tc>
          <w:tcPr>
            <w:tcW w:w="86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w w:val="92"/>
              </w:rPr>
              <w:t>% Change</w:t>
            </w:r>
          </w:p>
        </w:tc>
        <w:tc>
          <w:tcPr>
            <w:tcW w:w="220" w:type="dxa"/>
            <w:vAlign w:val="bottom"/>
            <w:tcBorders>
              <w:bottom w:val="single" w:sz="8" w:color="CCEEFF"/>
            </w:tcBorders>
          </w:tcPr>
          <w:p>
            <w:pPr>
              <w:spacing w:after="0"/>
              <w:rPr>
                <w:sz w:val="19"/>
                <w:szCs w:val="19"/>
                <w:color w:val="auto"/>
              </w:rPr>
            </w:pPr>
          </w:p>
        </w:tc>
      </w:tr>
      <w:tr>
        <w:trPr>
          <w:trHeight w:val="205"/>
        </w:trPr>
        <w:tc>
          <w:tcPr>
            <w:tcW w:w="4400" w:type="dxa"/>
            <w:vAlign w:val="bottom"/>
            <w:shd w:val="clear" w:color="auto" w:fill="CCEEFF"/>
          </w:tcPr>
          <w:p>
            <w:pPr>
              <w:spacing w:after="0" w:line="204" w:lineRule="exact"/>
              <w:rPr>
                <w:sz w:val="20"/>
                <w:szCs w:val="20"/>
                <w:color w:val="auto"/>
              </w:rPr>
            </w:pPr>
            <w:r>
              <w:rPr>
                <w:rFonts w:ascii="Arial" w:cs="Arial" w:eastAsia="Arial" w:hAnsi="Arial"/>
                <w:sz w:val="18"/>
                <w:szCs w:val="18"/>
                <w:color w:val="auto"/>
              </w:rPr>
              <w:t>Pre-tax operating earnings</w:t>
            </w:r>
          </w:p>
        </w:tc>
        <w:tc>
          <w:tcPr>
            <w:tcW w:w="16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91.6</w:t>
            </w:r>
          </w:p>
        </w:tc>
        <w:tc>
          <w:tcPr>
            <w:tcW w:w="2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123.4</w:t>
            </w:r>
          </w:p>
        </w:tc>
        <w:tc>
          <w:tcPr>
            <w:tcW w:w="26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(26)</w:t>
            </w:r>
          </w:p>
        </w:tc>
        <w:tc>
          <w:tcPr>
            <w:tcW w:w="260" w:type="dxa"/>
            <w:vAlign w:val="bottom"/>
            <w:shd w:val="clear" w:color="auto" w:fill="CCEEFF"/>
          </w:tcPr>
          <w:p>
            <w:pPr>
              <w:jc w:val="right"/>
              <w:spacing w:after="0" w:line="204" w:lineRule="exact"/>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390.4</w:t>
            </w:r>
          </w:p>
        </w:tc>
        <w:tc>
          <w:tcPr>
            <w:tcW w:w="26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451.7</w:t>
            </w:r>
          </w:p>
        </w:tc>
        <w:tc>
          <w:tcPr>
            <w:tcW w:w="260" w:type="dxa"/>
            <w:vAlign w:val="bottom"/>
            <w:shd w:val="clear" w:color="auto" w:fill="CCEEFF"/>
          </w:tcPr>
          <w:p>
            <w:pPr>
              <w:spacing w:after="0"/>
              <w:rPr>
                <w:sz w:val="17"/>
                <w:szCs w:val="17"/>
                <w:color w:val="auto"/>
              </w:rPr>
            </w:pPr>
          </w:p>
        </w:tc>
        <w:tc>
          <w:tcPr>
            <w:tcW w:w="1080" w:type="dxa"/>
            <w:vAlign w:val="bottom"/>
            <w:gridSpan w:val="2"/>
            <w:shd w:val="clear" w:color="auto" w:fill="CCEEFF"/>
          </w:tcPr>
          <w:p>
            <w:pPr>
              <w:jc w:val="right"/>
              <w:spacing w:after="0" w:line="205" w:lineRule="exact"/>
              <w:rPr>
                <w:sz w:val="20"/>
                <w:szCs w:val="20"/>
                <w:color w:val="auto"/>
              </w:rPr>
            </w:pPr>
            <w:r>
              <w:rPr>
                <w:rFonts w:ascii="Arial" w:cs="Arial" w:eastAsia="Arial" w:hAnsi="Arial"/>
                <w:sz w:val="18"/>
                <w:szCs w:val="18"/>
                <w:color w:val="auto"/>
              </w:rPr>
              <w:t>(14)%</w:t>
            </w:r>
          </w:p>
        </w:tc>
      </w:tr>
      <w:tr>
        <w:trPr>
          <w:trHeight w:val="212"/>
        </w:trPr>
        <w:tc>
          <w:tcPr>
            <w:tcW w:w="4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r>
      <w:tr>
        <w:trPr>
          <w:trHeight w:val="212"/>
        </w:trPr>
        <w:tc>
          <w:tcPr>
            <w:tcW w:w="4400" w:type="dxa"/>
            <w:vAlign w:val="bottom"/>
            <w:shd w:val="clear" w:color="auto" w:fill="CCEEFF"/>
          </w:tcPr>
          <w:p>
            <w:pPr>
              <w:spacing w:after="0"/>
              <w:rPr>
                <w:sz w:val="20"/>
                <w:szCs w:val="20"/>
                <w:color w:val="auto"/>
              </w:rPr>
            </w:pPr>
            <w:r>
              <w:rPr>
                <w:rFonts w:ascii="Arial" w:cs="Arial" w:eastAsia="Arial" w:hAnsi="Arial"/>
                <w:sz w:val="18"/>
                <w:szCs w:val="18"/>
                <w:color w:val="auto"/>
              </w:rPr>
              <w:t>Net revenue</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133.5</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177.5</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220" w:type="dxa"/>
            <w:vAlign w:val="bottom"/>
            <w:gridSpan w:val="2"/>
            <w:shd w:val="clear" w:color="auto" w:fill="CCEEFF"/>
          </w:tcPr>
          <w:p>
            <w:pPr>
              <w:jc w:val="right"/>
              <w:ind w:right="3"/>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570.7</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645.7</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w:t>
            </w:r>
          </w:p>
        </w:tc>
      </w:tr>
      <w:tr>
        <w:trPr>
          <w:trHeight w:val="212"/>
        </w:trPr>
        <w:tc>
          <w:tcPr>
            <w:tcW w:w="4400" w:type="dxa"/>
            <w:vAlign w:val="bottom"/>
          </w:tcPr>
          <w:p>
            <w:pPr>
              <w:spacing w:after="0"/>
              <w:rPr>
                <w:sz w:val="20"/>
                <w:szCs w:val="20"/>
                <w:color w:val="auto"/>
              </w:rPr>
            </w:pPr>
            <w:r>
              <w:rPr>
                <w:rFonts w:ascii="Arial" w:cs="Arial" w:eastAsia="Arial" w:hAnsi="Arial"/>
                <w:sz w:val="18"/>
                <w:szCs w:val="18"/>
                <w:color w:val="auto"/>
              </w:rPr>
              <w:t>Pre-tax return on net revenue</w:t>
            </w:r>
          </w:p>
        </w:tc>
        <w:tc>
          <w:tcPr>
            <w:tcW w:w="160" w:type="dxa"/>
            <w:vAlign w:val="bottom"/>
          </w:tcPr>
          <w:p>
            <w:pPr>
              <w:spacing w:after="0"/>
              <w:rPr>
                <w:sz w:val="18"/>
                <w:szCs w:val="18"/>
                <w:color w:val="auto"/>
              </w:rPr>
            </w:pPr>
          </w:p>
        </w:tc>
        <w:tc>
          <w:tcPr>
            <w:tcW w:w="920" w:type="dxa"/>
            <w:vAlign w:val="bottom"/>
            <w:gridSpan w:val="2"/>
          </w:tcPr>
          <w:p>
            <w:pPr>
              <w:jc w:val="right"/>
              <w:ind w:right="60"/>
              <w:spacing w:after="0"/>
              <w:rPr>
                <w:sz w:val="20"/>
                <w:szCs w:val="20"/>
                <w:color w:val="auto"/>
              </w:rPr>
            </w:pPr>
            <w:r>
              <w:rPr>
                <w:rFonts w:ascii="Arial" w:cs="Arial" w:eastAsia="Arial" w:hAnsi="Arial"/>
                <w:sz w:val="18"/>
                <w:szCs w:val="18"/>
                <w:color w:val="auto"/>
              </w:rPr>
              <w:t>68.6%</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69.5%</w:t>
            </w: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68.4%</w:t>
            </w:r>
          </w:p>
        </w:tc>
        <w:tc>
          <w:tcPr>
            <w:tcW w:w="160" w:type="dxa"/>
            <w:vAlign w:val="bottom"/>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70.0%</w:t>
            </w: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r>
      <w:tr>
        <w:trPr>
          <w:trHeight w:val="20"/>
        </w:trPr>
        <w:tc>
          <w:tcPr>
            <w:tcW w:w="44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bl>
    <w:p>
      <w:pPr>
        <w:spacing w:after="0" w:line="220" w:lineRule="exact"/>
        <w:rPr>
          <w:sz w:val="20"/>
          <w:szCs w:val="20"/>
          <w:color w:val="auto"/>
        </w:rPr>
      </w:pPr>
    </w:p>
    <w:p>
      <w:pPr>
        <w:ind w:left="640" w:hanging="316"/>
        <w:spacing w:after="0"/>
        <w:tabs>
          <w:tab w:leader="none" w:pos="640" w:val="left"/>
        </w:tabs>
        <w:numPr>
          <w:ilvl w:val="0"/>
          <w:numId w:val="11"/>
        </w:numPr>
        <w:rPr>
          <w:rFonts w:ascii="Arial" w:cs="Arial" w:eastAsia="Arial" w:hAnsi="Arial"/>
          <w:sz w:val="18"/>
          <w:szCs w:val="18"/>
          <w:color w:val="auto"/>
        </w:rPr>
      </w:pPr>
      <w:r>
        <w:rPr>
          <w:rFonts w:ascii="Arial" w:cs="Arial" w:eastAsia="Arial" w:hAnsi="Arial"/>
          <w:sz w:val="18"/>
          <w:szCs w:val="18"/>
          <w:b w:val="1"/>
          <w:bCs w:val="1"/>
          <w:color w:val="auto"/>
        </w:rPr>
        <w:t xml:space="preserve">Pre-tax operating earnings </w:t>
      </w:r>
      <w:r>
        <w:rPr>
          <w:rFonts w:ascii="Arial" w:cs="Arial" w:eastAsia="Arial" w:hAnsi="Arial"/>
          <w:sz w:val="18"/>
          <w:szCs w:val="18"/>
          <w:color w:val="auto"/>
        </w:rPr>
        <w:t>decreased $31.8 million primarily due to lower variable investment income.</w:t>
      </w:r>
    </w:p>
    <w:p>
      <w:pPr>
        <w:spacing w:after="0" w:line="217" w:lineRule="exact"/>
        <w:rPr>
          <w:rFonts w:ascii="Arial" w:cs="Arial" w:eastAsia="Arial" w:hAnsi="Arial"/>
          <w:sz w:val="18"/>
          <w:szCs w:val="18"/>
          <w:color w:val="auto"/>
        </w:rPr>
      </w:pPr>
    </w:p>
    <w:p>
      <w:pPr>
        <w:ind w:left="640" w:hanging="316"/>
        <w:spacing w:after="0"/>
        <w:tabs>
          <w:tab w:leader="none" w:pos="640" w:val="left"/>
        </w:tabs>
        <w:numPr>
          <w:ilvl w:val="0"/>
          <w:numId w:val="11"/>
        </w:numPr>
        <w:rPr>
          <w:rFonts w:ascii="Arial" w:cs="Arial" w:eastAsia="Arial" w:hAnsi="Arial"/>
          <w:sz w:val="18"/>
          <w:szCs w:val="18"/>
          <w:color w:val="auto"/>
        </w:rPr>
      </w:pPr>
      <w:r>
        <w:rPr>
          <w:rFonts w:ascii="Arial" w:cs="Arial" w:eastAsia="Arial" w:hAnsi="Arial"/>
          <w:sz w:val="18"/>
          <w:szCs w:val="18"/>
          <w:b w:val="1"/>
          <w:bCs w:val="1"/>
          <w:color w:val="auto"/>
        </w:rPr>
        <w:t xml:space="preserve">Net revenue </w:t>
      </w:r>
      <w:r>
        <w:rPr>
          <w:rFonts w:ascii="Arial" w:cs="Arial" w:eastAsia="Arial" w:hAnsi="Arial"/>
          <w:sz w:val="18"/>
          <w:szCs w:val="18"/>
          <w:color w:val="auto"/>
        </w:rPr>
        <w:t>decreased $44.0 million due to lower variable investment income.</w:t>
      </w:r>
    </w:p>
    <w:p>
      <w:pPr>
        <w:sectPr>
          <w:pgSz w:w="11900" w:h="16838" w:orient="portrait"/>
          <w:cols w:equalWidth="0" w:num="1">
            <w:col w:w="11240"/>
          </w:cols>
          <w:pgMar w:left="320" w:top="1440" w:right="339" w:bottom="0" w:gutter="0" w:footer="0" w:header="0"/>
        </w:sectPr>
      </w:pPr>
    </w:p>
    <w:bookmarkStart w:id="8" w:name="page9"/>
    <w:bookmarkEnd w:id="8"/>
    <w:p>
      <w:pPr>
        <w:ind w:left="120" w:hanging="114"/>
        <w:spacing w:after="0"/>
        <w:tabs>
          <w:tab w:leader="none" w:pos="120" w:val="left"/>
        </w:tabs>
        <w:numPr>
          <w:ilvl w:val="0"/>
          <w:numId w:val="12"/>
        </w:numPr>
        <w:rPr>
          <w:rFonts w:ascii="Arial" w:cs="Arial" w:eastAsia="Arial" w:hAnsi="Arial"/>
          <w:sz w:val="28"/>
          <w:szCs w:val="28"/>
          <w:color w:val="auto"/>
          <w:vertAlign w:val="superscript"/>
        </w:rPr>
      </w:pPr>
      <w:r>
        <w:rPr>
          <w:rFonts w:ascii="Arial" w:cs="Arial" w:eastAsia="Arial" w:hAnsi="Arial"/>
          <w:sz w:val="17"/>
          <w:szCs w:val="17"/>
          <w:color w:val="auto"/>
        </w:rPr>
        <w:drawing>
          <wp:anchor simplePos="0" relativeHeight="251657728" behindDoc="1" locked="0" layoutInCell="0" allowOverlap="1">
            <wp:simplePos x="0" y="0"/>
            <wp:positionH relativeFrom="page">
              <wp:posOffset>207010</wp:posOffset>
            </wp:positionH>
            <wp:positionV relativeFrom="page">
              <wp:posOffset>257175</wp:posOffset>
            </wp:positionV>
            <wp:extent cx="178371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783715" cy="8255"/>
                    </a:xfrm>
                    <a:prstGeom prst="rect">
                      <a:avLst/>
                    </a:prstGeom>
                    <a:noFill/>
                  </pic:spPr>
                </pic:pic>
              </a:graphicData>
            </a:graphic>
          </wp:anchor>
        </w:drawing>
        <w:t>Pre-tax operating earnings = operating earnings before income taxes and after noncontrolling interest.</w:t>
      </w:r>
    </w:p>
    <w:p>
      <w:pPr>
        <w:ind w:left="120" w:hanging="114"/>
        <w:spacing w:after="0" w:line="218" w:lineRule="auto"/>
        <w:tabs>
          <w:tab w:leader="none" w:pos="120" w:val="left"/>
        </w:tabs>
        <w:numPr>
          <w:ilvl w:val="0"/>
          <w:numId w:val="13"/>
        </w:numPr>
        <w:rPr>
          <w:rFonts w:ascii="Arial" w:cs="Arial" w:eastAsia="Arial" w:hAnsi="Arial"/>
          <w:sz w:val="24"/>
          <w:szCs w:val="24"/>
          <w:color w:val="auto"/>
          <w:vertAlign w:val="superscript"/>
        </w:rPr>
      </w:pPr>
      <w:r>
        <w:rPr>
          <w:rFonts w:ascii="Arial" w:cs="Arial" w:eastAsia="Arial" w:hAnsi="Arial"/>
          <w:sz w:val="15"/>
          <w:szCs w:val="15"/>
          <w:color w:val="auto"/>
        </w:rPr>
        <w:t>Net revenue = operating revenues less benefits, claims and settlement expenses less dividends to policyholders.</w:t>
      </w:r>
    </w:p>
    <w:p>
      <w:pPr>
        <w:spacing w:after="0" w:line="43" w:lineRule="exact"/>
        <w:rPr>
          <w:rFonts w:ascii="Arial" w:cs="Arial" w:eastAsia="Arial" w:hAnsi="Arial"/>
          <w:sz w:val="24"/>
          <w:szCs w:val="24"/>
          <w:color w:val="auto"/>
          <w:vertAlign w:val="superscript"/>
        </w:rPr>
      </w:pPr>
    </w:p>
    <w:p>
      <w:pPr>
        <w:spacing w:after="0" w:line="238" w:lineRule="auto"/>
        <w:rPr>
          <w:rFonts w:ascii="Arial" w:cs="Arial" w:eastAsia="Arial" w:hAnsi="Arial"/>
          <w:sz w:val="24"/>
          <w:szCs w:val="24"/>
          <w:color w:val="auto"/>
          <w:vertAlign w:val="superscript"/>
        </w:rPr>
      </w:pPr>
      <w:r>
        <w:rPr>
          <w:rFonts w:ascii="Arial" w:cs="Arial" w:eastAsia="Arial" w:hAnsi="Arial"/>
          <w:sz w:val="29"/>
          <w:szCs w:val="29"/>
          <w:color w:val="auto"/>
          <w:vertAlign w:val="superscript"/>
        </w:rPr>
        <w:t>7</w:t>
      </w:r>
      <w:r>
        <w:rPr>
          <w:rFonts w:ascii="Arial" w:cs="Arial" w:eastAsia="Arial" w:hAnsi="Arial"/>
          <w:sz w:val="18"/>
          <w:szCs w:val="18"/>
          <w:color w:val="auto"/>
        </w:rPr>
        <w:t xml:space="preserve"> Pre-tax return on net revenue = pre-tax operating earnings divided by net revenue.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color w:val="auto"/>
        </w:rPr>
        <w:t>Classification: Company Confidential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19685</wp:posOffset>
            </wp:positionV>
            <wp:extent cx="713486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4860" cy="8255"/>
                    </a:xfrm>
                    <a:prstGeom prst="rect">
                      <a:avLst/>
                    </a:prstGeom>
                    <a:noFill/>
                  </pic:spPr>
                </pic:pic>
              </a:graphicData>
            </a:graphic>
          </wp:anchor>
        </w:drawing>
      </w:r>
    </w:p>
    <w:p>
      <w:pPr>
        <w:sectPr>
          <w:pgSz w:w="11900" w:h="16838" w:orient="portrait"/>
          <w:cols w:equalWidth="0" w:num="1">
            <w:col w:w="10139"/>
          </w:cols>
          <w:pgMar w:left="320" w:top="413" w:right="1440" w:bottom="1440" w:gutter="0" w:footer="0" w:header="0"/>
        </w:sectPr>
      </w:pPr>
    </w:p>
    <w:bookmarkStart w:id="9" w:name="page10"/>
    <w:bookmarkEnd w:id="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207010</wp:posOffset>
            </wp:positionH>
            <wp:positionV relativeFrom="page">
              <wp:posOffset>2377440</wp:posOffset>
            </wp:positionV>
            <wp:extent cx="7134860" cy="22040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7134860" cy="22040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4120" w:type="dxa"/>
            <w:vAlign w:val="bottom"/>
          </w:tcPr>
          <w:p>
            <w:pPr>
              <w:spacing w:after="0"/>
              <w:rPr>
                <w:sz w:val="20"/>
                <w:szCs w:val="20"/>
                <w:color w:val="auto"/>
              </w:rPr>
            </w:pPr>
            <w:r>
              <w:rPr>
                <w:rFonts w:ascii="Arial" w:cs="Arial" w:eastAsia="Arial" w:hAnsi="Arial"/>
                <w:sz w:val="18"/>
                <w:szCs w:val="18"/>
                <w:b w:val="1"/>
                <w:bCs w:val="1"/>
                <w:color w:val="auto"/>
              </w:rPr>
              <w:t>Principal Global Investors</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4"/>
        </w:trPr>
        <w:tc>
          <w:tcPr>
            <w:tcW w:w="4120" w:type="dxa"/>
            <w:vAlign w:val="bottom"/>
          </w:tcPr>
          <w:p>
            <w:pPr>
              <w:spacing w:after="0"/>
              <w:rPr>
                <w:sz w:val="20"/>
                <w:szCs w:val="20"/>
                <w:color w:val="auto"/>
              </w:rPr>
            </w:pPr>
            <w:r>
              <w:rPr>
                <w:rFonts w:ascii="Arial" w:cs="Arial" w:eastAsia="Arial" w:hAnsi="Arial"/>
                <w:sz w:val="18"/>
                <w:szCs w:val="18"/>
                <w:i w:val="1"/>
                <w:iCs w:val="1"/>
                <w:color w:val="auto"/>
              </w:rPr>
              <w:t>(in millions except percentages or otherwise noted)</w:t>
            </w:r>
          </w:p>
        </w:tc>
        <w:tc>
          <w:tcPr>
            <w:tcW w:w="2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gridSpan w:val="2"/>
          </w:tcPr>
          <w:p>
            <w:pPr>
              <w:jc w:val="right"/>
              <w:ind w:right="420"/>
              <w:spacing w:after="0"/>
              <w:rPr>
                <w:sz w:val="20"/>
                <w:szCs w:val="20"/>
                <w:color w:val="auto"/>
              </w:rPr>
            </w:pPr>
            <w:r>
              <w:rPr>
                <w:rFonts w:ascii="Arial" w:cs="Arial" w:eastAsia="Arial" w:hAnsi="Arial"/>
                <w:sz w:val="18"/>
                <w:szCs w:val="18"/>
                <w:b w:val="1"/>
                <w:bCs w:val="1"/>
                <w:i w:val="1"/>
                <w:iCs w:val="1"/>
                <w:color w:val="auto"/>
                <w:w w:val="89"/>
              </w:rPr>
              <w:t>Quarter</w:t>
            </w:r>
          </w:p>
        </w:tc>
        <w:tc>
          <w:tcPr>
            <w:tcW w:w="880" w:type="dxa"/>
            <w:vAlign w:val="bottom"/>
            <w:tcBorders>
              <w:bottom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3000" w:type="dxa"/>
            <w:vAlign w:val="bottom"/>
            <w:tcBorders>
              <w:bottom w:val="single" w:sz="8" w:color="auto"/>
            </w:tcBorders>
            <w:gridSpan w:val="6"/>
          </w:tcPr>
          <w:p>
            <w:pPr>
              <w:ind w:left="540"/>
              <w:spacing w:after="0"/>
              <w:rPr>
                <w:sz w:val="20"/>
                <w:szCs w:val="20"/>
                <w:color w:val="auto"/>
              </w:rPr>
            </w:pPr>
            <w:r>
              <w:rPr>
                <w:rFonts w:ascii="Arial" w:cs="Arial" w:eastAsia="Arial" w:hAnsi="Arial"/>
                <w:sz w:val="18"/>
                <w:szCs w:val="18"/>
                <w:b w:val="1"/>
                <w:bCs w:val="1"/>
                <w:i w:val="1"/>
                <w:iCs w:val="1"/>
                <w:color w:val="auto"/>
              </w:rPr>
              <w:t>Trailing Twelve Months</w:t>
            </w: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4120" w:type="dxa"/>
            <w:vAlign w:val="bottom"/>
            <w:tcBorders>
              <w:bottom w:val="single" w:sz="8" w:color="CCEEFF"/>
            </w:tcBorders>
          </w:tcPr>
          <w:p>
            <w:pPr>
              <w:spacing w:after="0"/>
              <w:rPr>
                <w:sz w:val="19"/>
                <w:szCs w:val="19"/>
                <w:color w:val="auto"/>
              </w:rPr>
            </w:pPr>
          </w:p>
        </w:tc>
        <w:tc>
          <w:tcPr>
            <w:tcW w:w="26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52"/>
              <w:spacing w:after="0"/>
              <w:rPr>
                <w:sz w:val="20"/>
                <w:szCs w:val="20"/>
                <w:color w:val="auto"/>
              </w:rPr>
            </w:pPr>
            <w:r>
              <w:rPr>
                <w:rFonts w:ascii="Arial" w:cs="Arial" w:eastAsia="Arial" w:hAnsi="Arial"/>
                <w:sz w:val="18"/>
                <w:szCs w:val="18"/>
                <w:b w:val="1"/>
                <w:bCs w:val="1"/>
                <w:color w:val="auto"/>
              </w:rPr>
              <w:t>2Q20</w:t>
            </w:r>
          </w:p>
        </w:tc>
        <w:tc>
          <w:tcPr>
            <w:tcW w:w="26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152"/>
              <w:spacing w:after="0"/>
              <w:rPr>
                <w:sz w:val="20"/>
                <w:szCs w:val="20"/>
                <w:color w:val="auto"/>
              </w:rPr>
            </w:pPr>
            <w:r>
              <w:rPr>
                <w:rFonts w:ascii="Arial" w:cs="Arial" w:eastAsia="Arial" w:hAnsi="Arial"/>
                <w:sz w:val="18"/>
                <w:szCs w:val="18"/>
                <w:b w:val="1"/>
                <w:bCs w:val="1"/>
                <w:color w:val="auto"/>
              </w:rPr>
              <w:t>2Q19</w:t>
            </w:r>
          </w:p>
        </w:tc>
        <w:tc>
          <w:tcPr>
            <w:tcW w:w="260" w:type="dxa"/>
            <w:vAlign w:val="bottom"/>
            <w:tcBorders>
              <w:bottom w:val="single" w:sz="8" w:color="CCEEFF"/>
            </w:tcBorders>
          </w:tcPr>
          <w:p>
            <w:pPr>
              <w:spacing w:after="0"/>
              <w:rPr>
                <w:sz w:val="19"/>
                <w:szCs w:val="19"/>
                <w:color w:val="auto"/>
              </w:rPr>
            </w:pPr>
          </w:p>
        </w:tc>
        <w:tc>
          <w:tcPr>
            <w:tcW w:w="88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w w:val="95"/>
              </w:rPr>
              <w:t>% Change</w:t>
            </w:r>
          </w:p>
        </w:tc>
        <w:tc>
          <w:tcPr>
            <w:tcW w:w="3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52"/>
              <w:spacing w:after="0"/>
              <w:rPr>
                <w:sz w:val="20"/>
                <w:szCs w:val="20"/>
                <w:color w:val="auto"/>
              </w:rPr>
            </w:pPr>
            <w:r>
              <w:rPr>
                <w:rFonts w:ascii="Arial" w:cs="Arial" w:eastAsia="Arial" w:hAnsi="Arial"/>
                <w:sz w:val="18"/>
                <w:szCs w:val="18"/>
                <w:b w:val="1"/>
                <w:bCs w:val="1"/>
                <w:color w:val="auto"/>
              </w:rPr>
              <w:t>2Q20</w:t>
            </w:r>
          </w:p>
        </w:tc>
        <w:tc>
          <w:tcPr>
            <w:tcW w:w="26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172"/>
              <w:spacing w:after="0"/>
              <w:rPr>
                <w:sz w:val="20"/>
                <w:szCs w:val="20"/>
                <w:color w:val="auto"/>
              </w:rPr>
            </w:pPr>
            <w:r>
              <w:rPr>
                <w:rFonts w:ascii="Arial" w:cs="Arial" w:eastAsia="Arial" w:hAnsi="Arial"/>
                <w:sz w:val="18"/>
                <w:szCs w:val="18"/>
                <w:b w:val="1"/>
                <w:bCs w:val="1"/>
                <w:color w:val="auto"/>
              </w:rPr>
              <w:t>2Q19</w:t>
            </w:r>
          </w:p>
        </w:tc>
        <w:tc>
          <w:tcPr>
            <w:tcW w:w="260" w:type="dxa"/>
            <w:vAlign w:val="bottom"/>
            <w:tcBorders>
              <w:bottom w:val="single" w:sz="8" w:color="CCEEFF"/>
            </w:tcBorders>
          </w:tcPr>
          <w:p>
            <w:pPr>
              <w:spacing w:after="0"/>
              <w:rPr>
                <w:sz w:val="19"/>
                <w:szCs w:val="19"/>
                <w:color w:val="auto"/>
              </w:rPr>
            </w:pPr>
          </w:p>
        </w:tc>
        <w:tc>
          <w:tcPr>
            <w:tcW w:w="86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w w:val="92"/>
              </w:rPr>
              <w:t>% Change</w:t>
            </w:r>
          </w:p>
        </w:tc>
        <w:tc>
          <w:tcPr>
            <w:tcW w:w="22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05"/>
        </w:trPr>
        <w:tc>
          <w:tcPr>
            <w:tcW w:w="4120" w:type="dxa"/>
            <w:vAlign w:val="bottom"/>
            <w:shd w:val="clear" w:color="auto" w:fill="CCEEFF"/>
          </w:tcPr>
          <w:p>
            <w:pPr>
              <w:spacing w:after="0" w:line="204" w:lineRule="exact"/>
              <w:rPr>
                <w:sz w:val="20"/>
                <w:szCs w:val="20"/>
                <w:color w:val="auto"/>
              </w:rPr>
            </w:pPr>
            <w:r>
              <w:rPr>
                <w:rFonts w:ascii="Arial" w:cs="Arial" w:eastAsia="Arial" w:hAnsi="Arial"/>
                <w:sz w:val="18"/>
                <w:szCs w:val="18"/>
                <w:color w:val="auto"/>
              </w:rPr>
              <w:t>Pre-tax operating earnings</w:t>
            </w:r>
          </w:p>
        </w:tc>
        <w:tc>
          <w:tcPr>
            <w:tcW w:w="26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108.4</w:t>
            </w:r>
          </w:p>
        </w:tc>
        <w:tc>
          <w:tcPr>
            <w:tcW w:w="26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115.6</w:t>
            </w:r>
          </w:p>
        </w:tc>
        <w:tc>
          <w:tcPr>
            <w:tcW w:w="260" w:type="dxa"/>
            <w:vAlign w:val="bottom"/>
            <w:shd w:val="clear" w:color="auto" w:fill="CCEEFF"/>
          </w:tcPr>
          <w:p>
            <w:pPr>
              <w:spacing w:after="0"/>
              <w:rPr>
                <w:sz w:val="17"/>
                <w:szCs w:val="17"/>
                <w:color w:val="auto"/>
              </w:rPr>
            </w:pPr>
          </w:p>
        </w:tc>
        <w:tc>
          <w:tcPr>
            <w:tcW w:w="1180" w:type="dxa"/>
            <w:vAlign w:val="bottom"/>
            <w:gridSpan w:val="2"/>
            <w:shd w:val="clear" w:color="auto" w:fill="CCEEFF"/>
          </w:tcPr>
          <w:p>
            <w:pPr>
              <w:jc w:val="right"/>
              <w:ind w:right="100"/>
              <w:spacing w:after="0" w:line="205" w:lineRule="exact"/>
              <w:rPr>
                <w:sz w:val="20"/>
                <w:szCs w:val="20"/>
                <w:color w:val="auto"/>
              </w:rPr>
            </w:pPr>
            <w:r>
              <w:rPr>
                <w:rFonts w:ascii="Arial" w:cs="Arial" w:eastAsia="Arial" w:hAnsi="Arial"/>
                <w:sz w:val="18"/>
                <w:szCs w:val="18"/>
                <w:color w:val="auto"/>
              </w:rPr>
              <w:t>(6)%</w:t>
            </w:r>
          </w:p>
        </w:tc>
        <w:tc>
          <w:tcPr>
            <w:tcW w:w="18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487.1</w:t>
            </w:r>
          </w:p>
        </w:tc>
        <w:tc>
          <w:tcPr>
            <w:tcW w:w="260" w:type="dxa"/>
            <w:vAlign w:val="bottom"/>
            <w:shd w:val="clear" w:color="auto" w:fill="CCEEFF"/>
          </w:tcPr>
          <w:p>
            <w:pPr>
              <w:spacing w:after="0"/>
              <w:rPr>
                <w:sz w:val="17"/>
                <w:szCs w:val="17"/>
                <w:color w:val="auto"/>
              </w:rPr>
            </w:pPr>
          </w:p>
        </w:tc>
        <w:tc>
          <w:tcPr>
            <w:tcW w:w="16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535.5</w:t>
            </w:r>
          </w:p>
        </w:tc>
        <w:tc>
          <w:tcPr>
            <w:tcW w:w="260" w:type="dxa"/>
            <w:vAlign w:val="bottom"/>
            <w:shd w:val="clear" w:color="auto" w:fill="CCEEFF"/>
          </w:tcPr>
          <w:p>
            <w:pPr>
              <w:spacing w:after="0"/>
              <w:rPr>
                <w:sz w:val="17"/>
                <w:szCs w:val="17"/>
                <w:color w:val="auto"/>
              </w:rPr>
            </w:pPr>
          </w:p>
        </w:tc>
        <w:tc>
          <w:tcPr>
            <w:tcW w:w="1080" w:type="dxa"/>
            <w:vAlign w:val="bottom"/>
            <w:gridSpan w:val="2"/>
            <w:shd w:val="clear" w:color="auto" w:fill="CCEEFF"/>
          </w:tcPr>
          <w:p>
            <w:pPr>
              <w:jc w:val="right"/>
              <w:spacing w:after="0" w:line="205" w:lineRule="exact"/>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2"/>
        </w:trPr>
        <w:tc>
          <w:tcPr>
            <w:tcW w:w="4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2"/>
        </w:trPr>
        <w:tc>
          <w:tcPr>
            <w:tcW w:w="4120" w:type="dxa"/>
            <w:vAlign w:val="bottom"/>
            <w:shd w:val="clear" w:color="auto" w:fill="CCEEFF"/>
          </w:tcPr>
          <w:p>
            <w:pPr>
              <w:spacing w:after="0" w:line="252" w:lineRule="exact"/>
              <w:rPr>
                <w:sz w:val="20"/>
                <w:szCs w:val="20"/>
                <w:color w:val="auto"/>
              </w:rPr>
            </w:pPr>
            <w:r>
              <w:rPr>
                <w:rFonts w:ascii="Arial" w:cs="Arial" w:eastAsia="Arial" w:hAnsi="Arial"/>
                <w:sz w:val="18"/>
                <w:szCs w:val="18"/>
                <w:color w:val="auto"/>
              </w:rPr>
              <w:t>Operating revenues less pass-through expenses</w:t>
            </w:r>
            <w:r>
              <w:rPr>
                <w:rFonts w:ascii="Arial" w:cs="Arial" w:eastAsia="Arial" w:hAnsi="Arial"/>
                <w:sz w:val="29"/>
                <w:szCs w:val="29"/>
                <w:color w:val="auto"/>
                <w:vertAlign w:val="superscript"/>
              </w:rPr>
              <w:t>8</w:t>
            </w:r>
          </w:p>
        </w:tc>
        <w:tc>
          <w:tcPr>
            <w:tcW w:w="420" w:type="dxa"/>
            <w:vAlign w:val="bottom"/>
            <w:gridSpan w:val="2"/>
            <w:shd w:val="clear" w:color="auto" w:fill="CCEEFF"/>
          </w:tcPr>
          <w:p>
            <w:pPr>
              <w:jc w:val="right"/>
              <w:ind w:right="3"/>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316.8</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323.6</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1,381.3</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1,535.3</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01"/>
        </w:trPr>
        <w:tc>
          <w:tcPr>
            <w:tcW w:w="4120" w:type="dxa"/>
            <w:vAlign w:val="bottom"/>
          </w:tcPr>
          <w:p>
            <w:pPr>
              <w:spacing w:after="0" w:line="201" w:lineRule="exact"/>
              <w:rPr>
                <w:sz w:val="20"/>
                <w:szCs w:val="20"/>
                <w:color w:val="auto"/>
              </w:rPr>
            </w:pPr>
            <w:r>
              <w:rPr>
                <w:rFonts w:ascii="Arial" w:cs="Arial" w:eastAsia="Arial" w:hAnsi="Arial"/>
                <w:sz w:val="18"/>
                <w:szCs w:val="18"/>
                <w:color w:val="auto"/>
                <w:w w:val="92"/>
              </w:rPr>
              <w:t>Pre-tax return on operating revenues less pass-through</w:t>
            </w:r>
          </w:p>
        </w:tc>
        <w:tc>
          <w:tcPr>
            <w:tcW w:w="2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2"/>
        </w:trPr>
        <w:tc>
          <w:tcPr>
            <w:tcW w:w="4120" w:type="dxa"/>
            <w:vAlign w:val="bottom"/>
          </w:tcPr>
          <w:p>
            <w:pPr>
              <w:spacing w:after="0" w:line="262" w:lineRule="exact"/>
              <w:rPr>
                <w:sz w:val="20"/>
                <w:szCs w:val="20"/>
                <w:color w:val="auto"/>
              </w:rPr>
            </w:pPr>
            <w:r>
              <w:rPr>
                <w:rFonts w:ascii="Arial" w:cs="Arial" w:eastAsia="Arial" w:hAnsi="Arial"/>
                <w:sz w:val="18"/>
                <w:szCs w:val="18"/>
                <w:color w:val="auto"/>
              </w:rPr>
              <w:t>expenses</w:t>
            </w:r>
            <w:r>
              <w:rPr>
                <w:rFonts w:ascii="Arial" w:cs="Arial" w:eastAsia="Arial" w:hAnsi="Arial"/>
                <w:sz w:val="29"/>
                <w:szCs w:val="29"/>
                <w:color w:val="auto"/>
                <w:vertAlign w:val="superscript"/>
              </w:rPr>
              <w:t>9</w:t>
            </w:r>
          </w:p>
        </w:tc>
        <w:tc>
          <w:tcPr>
            <w:tcW w:w="2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34.7%</w:t>
            </w:r>
          </w:p>
        </w:tc>
        <w:tc>
          <w:tcPr>
            <w:tcW w:w="120" w:type="dxa"/>
            <w:vAlign w:val="bottom"/>
          </w:tcPr>
          <w:p>
            <w:pPr>
              <w:spacing w:after="0"/>
              <w:rPr>
                <w:sz w:val="22"/>
                <w:szCs w:val="22"/>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36.2%</w:t>
            </w:r>
          </w:p>
        </w:tc>
        <w:tc>
          <w:tcPr>
            <w:tcW w:w="8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35.7%</w:t>
            </w:r>
          </w:p>
        </w:tc>
        <w:tc>
          <w:tcPr>
            <w:tcW w:w="160" w:type="dxa"/>
            <w:vAlign w:val="bottom"/>
          </w:tcPr>
          <w:p>
            <w:pPr>
              <w:spacing w:after="0"/>
              <w:rPr>
                <w:sz w:val="22"/>
                <w:szCs w:val="22"/>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35.2%</w:t>
            </w:r>
          </w:p>
        </w:tc>
        <w:tc>
          <w:tcPr>
            <w:tcW w:w="8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2"/>
        </w:trPr>
        <w:tc>
          <w:tcPr>
            <w:tcW w:w="4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120" w:type="dxa"/>
            <w:vAlign w:val="bottom"/>
          </w:tcPr>
          <w:p>
            <w:pPr>
              <w:spacing w:after="0"/>
              <w:rPr>
                <w:sz w:val="20"/>
                <w:szCs w:val="20"/>
                <w:color w:val="auto"/>
              </w:rPr>
            </w:pPr>
            <w:r>
              <w:rPr>
                <w:rFonts w:ascii="Arial" w:cs="Arial" w:eastAsia="Arial" w:hAnsi="Arial"/>
                <w:sz w:val="18"/>
                <w:szCs w:val="18"/>
                <w:color w:val="auto"/>
              </w:rPr>
              <w:t xml:space="preserve">Total PGI assets under management </w:t>
            </w:r>
            <w:r>
              <w:rPr>
                <w:rFonts w:ascii="Arial" w:cs="Arial" w:eastAsia="Arial" w:hAnsi="Arial"/>
                <w:sz w:val="18"/>
                <w:szCs w:val="18"/>
                <w:i w:val="1"/>
                <w:iCs w:val="1"/>
                <w:color w:val="auto"/>
              </w:rPr>
              <w:t>(billions)</w:t>
            </w:r>
          </w:p>
        </w:tc>
        <w:tc>
          <w:tcPr>
            <w:tcW w:w="420" w:type="dxa"/>
            <w:vAlign w:val="bottom"/>
            <w:gridSpan w:val="2"/>
            <w:vMerge w:val="restart"/>
          </w:tcPr>
          <w:p>
            <w:pPr>
              <w:jc w:val="right"/>
              <w:ind w:right="3"/>
              <w:spacing w:after="0"/>
              <w:rPr>
                <w:sz w:val="20"/>
                <w:szCs w:val="20"/>
                <w:color w:val="auto"/>
              </w:rPr>
            </w:pPr>
            <w:r>
              <w:rPr>
                <w:rFonts w:ascii="Arial" w:cs="Arial" w:eastAsia="Arial" w:hAnsi="Arial"/>
                <w:sz w:val="18"/>
                <w:szCs w:val="18"/>
                <w:color w:val="auto"/>
              </w:rPr>
              <w:t>$</w:t>
            </w:r>
          </w:p>
        </w:tc>
        <w:tc>
          <w:tcPr>
            <w:tcW w:w="980" w:type="dxa"/>
            <w:vAlign w:val="bottom"/>
            <w:gridSpan w:val="2"/>
            <w:vMerge w:val="restart"/>
          </w:tcPr>
          <w:p>
            <w:pPr>
              <w:jc w:val="right"/>
              <w:ind w:right="260"/>
              <w:spacing w:after="0"/>
              <w:rPr>
                <w:sz w:val="20"/>
                <w:szCs w:val="20"/>
                <w:color w:val="auto"/>
              </w:rPr>
            </w:pPr>
            <w:r>
              <w:rPr>
                <w:rFonts w:ascii="Arial" w:cs="Arial" w:eastAsia="Arial" w:hAnsi="Arial"/>
                <w:sz w:val="18"/>
                <w:szCs w:val="18"/>
                <w:color w:val="auto"/>
              </w:rPr>
              <w:t>450.1</w:t>
            </w:r>
          </w:p>
        </w:tc>
        <w:tc>
          <w:tcPr>
            <w:tcW w:w="12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gridSpan w:val="2"/>
            <w:vMerge w:val="restart"/>
          </w:tcPr>
          <w:p>
            <w:pPr>
              <w:jc w:val="right"/>
              <w:ind w:right="260"/>
              <w:spacing w:after="0"/>
              <w:rPr>
                <w:sz w:val="20"/>
                <w:szCs w:val="20"/>
                <w:color w:val="auto"/>
              </w:rPr>
            </w:pPr>
            <w:r>
              <w:rPr>
                <w:rFonts w:ascii="Arial" w:cs="Arial" w:eastAsia="Arial" w:hAnsi="Arial"/>
                <w:sz w:val="18"/>
                <w:szCs w:val="18"/>
                <w:color w:val="auto"/>
              </w:rPr>
              <w:t>431.8</w:t>
            </w:r>
          </w:p>
        </w:tc>
        <w:tc>
          <w:tcPr>
            <w:tcW w:w="1180" w:type="dxa"/>
            <w:vAlign w:val="bottom"/>
            <w:gridSpan w:val="2"/>
            <w:vMerge w:val="restart"/>
          </w:tcPr>
          <w:p>
            <w:pPr>
              <w:jc w:val="right"/>
              <w:ind w:right="160"/>
              <w:spacing w:after="0"/>
              <w:rPr>
                <w:sz w:val="20"/>
                <w:szCs w:val="20"/>
                <w:color w:val="auto"/>
              </w:rPr>
            </w:pPr>
            <w:r>
              <w:rPr>
                <w:rFonts w:ascii="Arial" w:cs="Arial" w:eastAsia="Arial" w:hAnsi="Arial"/>
                <w:sz w:val="18"/>
                <w:szCs w:val="18"/>
                <w:color w:val="auto"/>
              </w:rPr>
              <w:t>4%</w:t>
            </w:r>
          </w:p>
        </w:tc>
        <w:tc>
          <w:tcPr>
            <w:tcW w:w="1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0"/>
        </w:trPr>
        <w:tc>
          <w:tcPr>
            <w:tcW w:w="412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980" w:type="dxa"/>
            <w:vAlign w:val="bottom"/>
            <w:gridSpan w:val="2"/>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1020" w:type="dxa"/>
            <w:vAlign w:val="bottom"/>
            <w:gridSpan w:val="2"/>
            <w:vMerge w:val="continue"/>
          </w:tcPr>
          <w:p>
            <w:pPr>
              <w:spacing w:after="0"/>
              <w:rPr>
                <w:sz w:val="17"/>
                <w:szCs w:val="17"/>
                <w:color w:val="auto"/>
              </w:rPr>
            </w:pPr>
          </w:p>
        </w:tc>
        <w:tc>
          <w:tcPr>
            <w:tcW w:w="1180" w:type="dxa"/>
            <w:vAlign w:val="bottom"/>
            <w:gridSpan w:val="2"/>
            <w:vMerge w:val="continue"/>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4120" w:type="dxa"/>
            <w:vAlign w:val="bottom"/>
            <w:shd w:val="clear" w:color="auto" w:fill="CCEEFF"/>
          </w:tcPr>
          <w:p>
            <w:pPr>
              <w:spacing w:after="0"/>
              <w:rPr>
                <w:sz w:val="20"/>
                <w:szCs w:val="20"/>
                <w:color w:val="auto"/>
              </w:rPr>
            </w:pPr>
            <w:r>
              <w:rPr>
                <w:rFonts w:ascii="Arial" w:cs="Arial" w:eastAsia="Arial" w:hAnsi="Arial"/>
                <w:sz w:val="18"/>
                <w:szCs w:val="18"/>
                <w:color w:val="auto"/>
              </w:rPr>
              <w:t xml:space="preserve">PGI sourced assets under management </w:t>
            </w:r>
            <w:r>
              <w:rPr>
                <w:rFonts w:ascii="Arial" w:cs="Arial" w:eastAsia="Arial" w:hAnsi="Arial"/>
                <w:sz w:val="18"/>
                <w:szCs w:val="18"/>
                <w:i w:val="1"/>
                <w:iCs w:val="1"/>
                <w:color w:val="auto"/>
              </w:rPr>
              <w:t>(billions)</w:t>
            </w:r>
          </w:p>
        </w:tc>
        <w:tc>
          <w:tcPr>
            <w:tcW w:w="420" w:type="dxa"/>
            <w:vAlign w:val="bottom"/>
            <w:gridSpan w:val="2"/>
            <w:shd w:val="clear" w:color="auto" w:fill="CCEEFF"/>
          </w:tcPr>
          <w:p>
            <w:pPr>
              <w:jc w:val="right"/>
              <w:ind w:right="3"/>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216.1</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208.0</w:t>
            </w: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w:t>
            </w: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0" w:lineRule="exact"/>
        <w:rPr>
          <w:sz w:val="20"/>
          <w:szCs w:val="20"/>
          <w:color w:val="auto"/>
        </w:rPr>
      </w:pPr>
    </w:p>
    <w:p>
      <w:pPr>
        <w:ind w:left="640" w:right="280" w:hanging="316"/>
        <w:spacing w:after="0" w:line="271" w:lineRule="auto"/>
        <w:tabs>
          <w:tab w:leader="none" w:pos="640" w:val="left"/>
        </w:tabs>
        <w:numPr>
          <w:ilvl w:val="0"/>
          <w:numId w:val="14"/>
        </w:numPr>
        <w:rPr>
          <w:rFonts w:ascii="Arial" w:cs="Arial" w:eastAsia="Arial" w:hAnsi="Arial"/>
          <w:sz w:val="18"/>
          <w:szCs w:val="18"/>
          <w:color w:val="auto"/>
        </w:rPr>
      </w:pPr>
      <w:r>
        <w:rPr>
          <w:rFonts w:ascii="Arial" w:cs="Arial" w:eastAsia="Arial" w:hAnsi="Arial"/>
          <w:sz w:val="18"/>
          <w:szCs w:val="18"/>
          <w:b w:val="1"/>
          <w:bCs w:val="1"/>
          <w:color w:val="auto"/>
        </w:rPr>
        <w:t xml:space="preserve">Pre-tax operating earnings </w:t>
      </w:r>
      <w:r>
        <w:rPr>
          <w:rFonts w:ascii="Arial" w:cs="Arial" w:eastAsia="Arial" w:hAnsi="Arial"/>
          <w:sz w:val="18"/>
          <w:szCs w:val="18"/>
          <w:color w:val="auto"/>
        </w:rPr>
        <w:t>decreased $7.2 million primarily due to lower transaction and borrower fees and higher sales compensation, partially</w:t>
      </w:r>
      <w:r>
        <w:rPr>
          <w:rFonts w:ascii="Arial" w:cs="Arial" w:eastAsia="Arial" w:hAnsi="Arial"/>
          <w:sz w:val="18"/>
          <w:szCs w:val="18"/>
          <w:b w:val="1"/>
          <w:bCs w:val="1"/>
          <w:color w:val="auto"/>
        </w:rPr>
        <w:t xml:space="preserve"> </w:t>
      </w:r>
      <w:r>
        <w:rPr>
          <w:rFonts w:ascii="Arial" w:cs="Arial" w:eastAsia="Arial" w:hAnsi="Arial"/>
          <w:sz w:val="18"/>
          <w:szCs w:val="18"/>
          <w:color w:val="auto"/>
        </w:rPr>
        <w:t>offset by lower operating expenses.</w:t>
      </w:r>
    </w:p>
    <w:p>
      <w:pPr>
        <w:spacing w:after="0" w:line="168" w:lineRule="exact"/>
        <w:rPr>
          <w:rFonts w:ascii="Arial" w:cs="Arial" w:eastAsia="Arial" w:hAnsi="Arial"/>
          <w:sz w:val="18"/>
          <w:szCs w:val="18"/>
          <w:color w:val="auto"/>
        </w:rPr>
      </w:pPr>
    </w:p>
    <w:p>
      <w:pPr>
        <w:ind w:left="640" w:hanging="316"/>
        <w:spacing w:after="0"/>
        <w:tabs>
          <w:tab w:leader="none" w:pos="640" w:val="left"/>
        </w:tabs>
        <w:numPr>
          <w:ilvl w:val="0"/>
          <w:numId w:val="14"/>
        </w:numPr>
        <w:rPr>
          <w:rFonts w:ascii="Arial" w:cs="Arial" w:eastAsia="Arial" w:hAnsi="Arial"/>
          <w:sz w:val="18"/>
          <w:szCs w:val="18"/>
          <w:color w:val="auto"/>
        </w:rPr>
      </w:pPr>
      <w:r>
        <w:rPr>
          <w:rFonts w:ascii="Arial" w:cs="Arial" w:eastAsia="Arial" w:hAnsi="Arial"/>
          <w:sz w:val="18"/>
          <w:szCs w:val="18"/>
          <w:b w:val="1"/>
          <w:bCs w:val="1"/>
          <w:color w:val="auto"/>
        </w:rPr>
        <w:t xml:space="preserve">Operating revenues less pass-through expenses </w:t>
      </w:r>
      <w:r>
        <w:rPr>
          <w:rFonts w:ascii="Arial" w:cs="Arial" w:eastAsia="Arial" w:hAnsi="Arial"/>
          <w:sz w:val="18"/>
          <w:szCs w:val="18"/>
          <w:color w:val="auto"/>
        </w:rPr>
        <w:t>decreased $6.8 million primarily due to lower transaction and borrower fees.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4400" w:type="dxa"/>
            <w:vAlign w:val="bottom"/>
          </w:tcPr>
          <w:p>
            <w:pPr>
              <w:spacing w:after="0"/>
              <w:rPr>
                <w:sz w:val="20"/>
                <w:szCs w:val="20"/>
                <w:color w:val="auto"/>
              </w:rPr>
            </w:pPr>
            <w:r>
              <w:rPr>
                <w:rFonts w:ascii="Arial" w:cs="Arial" w:eastAsia="Arial" w:hAnsi="Arial"/>
                <w:sz w:val="18"/>
                <w:szCs w:val="18"/>
                <w:b w:val="1"/>
                <w:bCs w:val="1"/>
                <w:color w:val="auto"/>
              </w:rPr>
              <w:t>Principal International</w:t>
            </w:r>
          </w:p>
        </w:tc>
        <w:tc>
          <w:tcPr>
            <w:tcW w:w="1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20" w:type="dxa"/>
            <w:vAlign w:val="bottom"/>
          </w:tcPr>
          <w:p>
            <w:pPr>
              <w:spacing w:after="0"/>
              <w:rPr>
                <w:sz w:val="19"/>
                <w:szCs w:val="19"/>
                <w:color w:val="auto"/>
              </w:rPr>
            </w:pPr>
          </w:p>
        </w:tc>
      </w:tr>
      <w:tr>
        <w:trPr>
          <w:trHeight w:val="438"/>
        </w:trPr>
        <w:tc>
          <w:tcPr>
            <w:tcW w:w="4400" w:type="dxa"/>
            <w:vAlign w:val="bottom"/>
          </w:tcPr>
          <w:p>
            <w:pPr>
              <w:spacing w:after="0"/>
              <w:rPr>
                <w:sz w:val="20"/>
                <w:szCs w:val="20"/>
                <w:color w:val="auto"/>
              </w:rPr>
            </w:pPr>
            <w:r>
              <w:rPr>
                <w:rFonts w:ascii="Arial" w:cs="Arial" w:eastAsia="Arial" w:hAnsi="Arial"/>
                <w:sz w:val="18"/>
                <w:szCs w:val="18"/>
                <w:i w:val="1"/>
                <w:iCs w:val="1"/>
                <w:color w:val="auto"/>
              </w:rPr>
              <w:t>(in millions except percentages or otherwise noted)</w:t>
            </w:r>
          </w:p>
        </w:tc>
        <w:tc>
          <w:tcPr>
            <w:tcW w:w="1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gridSpan w:val="2"/>
          </w:tcPr>
          <w:p>
            <w:pPr>
              <w:jc w:val="right"/>
              <w:ind w:right="400"/>
              <w:spacing w:after="0"/>
              <w:rPr>
                <w:sz w:val="20"/>
                <w:szCs w:val="20"/>
                <w:color w:val="auto"/>
              </w:rPr>
            </w:pPr>
            <w:r>
              <w:rPr>
                <w:rFonts w:ascii="Arial" w:cs="Arial" w:eastAsia="Arial" w:hAnsi="Arial"/>
                <w:sz w:val="18"/>
                <w:szCs w:val="18"/>
                <w:b w:val="1"/>
                <w:bCs w:val="1"/>
                <w:i w:val="1"/>
                <w:iCs w:val="1"/>
                <w:color w:val="auto"/>
                <w:w w:val="92"/>
              </w:rPr>
              <w:t>Quarter</w:t>
            </w:r>
          </w:p>
        </w:tc>
        <w:tc>
          <w:tcPr>
            <w:tcW w:w="880" w:type="dxa"/>
            <w:vAlign w:val="bottom"/>
            <w:tcBorders>
              <w:bottom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980" w:type="dxa"/>
            <w:vAlign w:val="bottom"/>
            <w:tcBorders>
              <w:bottom w:val="single" w:sz="8" w:color="auto"/>
            </w:tcBorders>
            <w:gridSpan w:val="6"/>
          </w:tcPr>
          <w:p>
            <w:pPr>
              <w:ind w:left="540"/>
              <w:spacing w:after="0"/>
              <w:rPr>
                <w:sz w:val="20"/>
                <w:szCs w:val="20"/>
                <w:color w:val="auto"/>
              </w:rPr>
            </w:pPr>
            <w:r>
              <w:rPr>
                <w:rFonts w:ascii="Arial" w:cs="Arial" w:eastAsia="Arial" w:hAnsi="Arial"/>
                <w:sz w:val="18"/>
                <w:szCs w:val="18"/>
                <w:b w:val="1"/>
                <w:bCs w:val="1"/>
                <w:i w:val="1"/>
                <w:iCs w:val="1"/>
                <w:color w:val="auto"/>
              </w:rPr>
              <w:t>Trailing Twelve Months</w:t>
            </w:r>
          </w:p>
        </w:tc>
        <w:tc>
          <w:tcPr>
            <w:tcW w:w="220" w:type="dxa"/>
            <w:vAlign w:val="bottom"/>
          </w:tcPr>
          <w:p>
            <w:pPr>
              <w:spacing w:after="0"/>
              <w:rPr>
                <w:sz w:val="24"/>
                <w:szCs w:val="24"/>
                <w:color w:val="auto"/>
              </w:rPr>
            </w:pPr>
          </w:p>
        </w:tc>
      </w:tr>
      <w:tr>
        <w:trPr>
          <w:trHeight w:val="219"/>
        </w:trPr>
        <w:tc>
          <w:tcPr>
            <w:tcW w:w="44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52"/>
              <w:spacing w:after="0"/>
              <w:rPr>
                <w:sz w:val="20"/>
                <w:szCs w:val="20"/>
                <w:color w:val="auto"/>
              </w:rPr>
            </w:pPr>
            <w:r>
              <w:rPr>
                <w:rFonts w:ascii="Arial" w:cs="Arial" w:eastAsia="Arial" w:hAnsi="Arial"/>
                <w:sz w:val="18"/>
                <w:szCs w:val="18"/>
                <w:b w:val="1"/>
                <w:bCs w:val="1"/>
                <w:color w:val="auto"/>
              </w:rPr>
              <w:t>2Q20</w:t>
            </w:r>
          </w:p>
        </w:tc>
        <w:tc>
          <w:tcPr>
            <w:tcW w:w="200" w:type="dxa"/>
            <w:vAlign w:val="bottom"/>
            <w:tcBorders>
              <w:bottom w:val="single" w:sz="8" w:color="CCEEFF"/>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152"/>
              <w:spacing w:after="0"/>
              <w:rPr>
                <w:sz w:val="20"/>
                <w:szCs w:val="20"/>
                <w:color w:val="auto"/>
              </w:rPr>
            </w:pPr>
            <w:r>
              <w:rPr>
                <w:rFonts w:ascii="Arial" w:cs="Arial" w:eastAsia="Arial" w:hAnsi="Arial"/>
                <w:sz w:val="18"/>
                <w:szCs w:val="18"/>
                <w:b w:val="1"/>
                <w:bCs w:val="1"/>
                <w:color w:val="auto"/>
              </w:rPr>
              <w:t>2Q19</w:t>
            </w:r>
          </w:p>
        </w:tc>
        <w:tc>
          <w:tcPr>
            <w:tcW w:w="260" w:type="dxa"/>
            <w:vAlign w:val="bottom"/>
            <w:tcBorders>
              <w:bottom w:val="single" w:sz="8" w:color="CCEEFF"/>
            </w:tcBorders>
          </w:tcPr>
          <w:p>
            <w:pPr>
              <w:spacing w:after="0"/>
              <w:rPr>
                <w:sz w:val="19"/>
                <w:szCs w:val="19"/>
                <w:color w:val="auto"/>
              </w:rPr>
            </w:pPr>
          </w:p>
        </w:tc>
        <w:tc>
          <w:tcPr>
            <w:tcW w:w="88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w w:val="92"/>
              </w:rPr>
              <w:t>% Change</w:t>
            </w:r>
          </w:p>
        </w:tc>
        <w:tc>
          <w:tcPr>
            <w:tcW w:w="260" w:type="dxa"/>
            <w:vAlign w:val="bottom"/>
            <w:tcBorders>
              <w:bottom w:val="single" w:sz="8" w:color="CCEEFF"/>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52"/>
              <w:spacing w:after="0"/>
              <w:rPr>
                <w:sz w:val="20"/>
                <w:szCs w:val="20"/>
                <w:color w:val="auto"/>
              </w:rPr>
            </w:pPr>
            <w:r>
              <w:rPr>
                <w:rFonts w:ascii="Arial" w:cs="Arial" w:eastAsia="Arial" w:hAnsi="Arial"/>
                <w:sz w:val="18"/>
                <w:szCs w:val="18"/>
                <w:b w:val="1"/>
                <w:bCs w:val="1"/>
                <w:color w:val="auto"/>
              </w:rPr>
              <w:t>2Q20</w:t>
            </w:r>
          </w:p>
        </w:tc>
        <w:tc>
          <w:tcPr>
            <w:tcW w:w="26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52"/>
              <w:spacing w:after="0"/>
              <w:rPr>
                <w:sz w:val="20"/>
                <w:szCs w:val="20"/>
                <w:color w:val="auto"/>
              </w:rPr>
            </w:pPr>
            <w:r>
              <w:rPr>
                <w:rFonts w:ascii="Arial" w:cs="Arial" w:eastAsia="Arial" w:hAnsi="Arial"/>
                <w:sz w:val="18"/>
                <w:szCs w:val="18"/>
                <w:b w:val="1"/>
                <w:bCs w:val="1"/>
                <w:color w:val="auto"/>
              </w:rPr>
              <w:t>2Q19</w:t>
            </w:r>
          </w:p>
        </w:tc>
        <w:tc>
          <w:tcPr>
            <w:tcW w:w="260" w:type="dxa"/>
            <w:vAlign w:val="bottom"/>
            <w:tcBorders>
              <w:bottom w:val="single" w:sz="8" w:color="CCEEFF"/>
            </w:tcBorders>
          </w:tcPr>
          <w:p>
            <w:pPr>
              <w:spacing w:after="0"/>
              <w:rPr>
                <w:sz w:val="19"/>
                <w:szCs w:val="19"/>
                <w:color w:val="auto"/>
              </w:rPr>
            </w:pPr>
          </w:p>
        </w:tc>
        <w:tc>
          <w:tcPr>
            <w:tcW w:w="86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w w:val="92"/>
              </w:rPr>
              <w:t>% Change</w:t>
            </w:r>
          </w:p>
        </w:tc>
        <w:tc>
          <w:tcPr>
            <w:tcW w:w="220" w:type="dxa"/>
            <w:vAlign w:val="bottom"/>
            <w:tcBorders>
              <w:bottom w:val="single" w:sz="8" w:color="CCEEFF"/>
            </w:tcBorders>
          </w:tcPr>
          <w:p>
            <w:pPr>
              <w:spacing w:after="0"/>
              <w:rPr>
                <w:sz w:val="19"/>
                <w:szCs w:val="19"/>
                <w:color w:val="auto"/>
              </w:rPr>
            </w:pPr>
          </w:p>
        </w:tc>
      </w:tr>
      <w:tr>
        <w:trPr>
          <w:trHeight w:val="205"/>
        </w:trPr>
        <w:tc>
          <w:tcPr>
            <w:tcW w:w="4400" w:type="dxa"/>
            <w:vAlign w:val="bottom"/>
            <w:shd w:val="clear" w:color="auto" w:fill="CCEEFF"/>
          </w:tcPr>
          <w:p>
            <w:pPr>
              <w:spacing w:after="0" w:line="204" w:lineRule="exact"/>
              <w:rPr>
                <w:sz w:val="20"/>
                <w:szCs w:val="20"/>
                <w:color w:val="auto"/>
              </w:rPr>
            </w:pPr>
            <w:r>
              <w:rPr>
                <w:rFonts w:ascii="Arial" w:cs="Arial" w:eastAsia="Arial" w:hAnsi="Arial"/>
                <w:sz w:val="18"/>
                <w:szCs w:val="18"/>
                <w:color w:val="auto"/>
              </w:rPr>
              <w:t>Pre-tax operating earnings</w:t>
            </w:r>
          </w:p>
        </w:tc>
        <w:tc>
          <w:tcPr>
            <w:tcW w:w="16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94.5</w:t>
            </w:r>
          </w:p>
        </w:tc>
        <w:tc>
          <w:tcPr>
            <w:tcW w:w="2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93.2</w:t>
            </w:r>
          </w:p>
        </w:tc>
        <w:tc>
          <w:tcPr>
            <w:tcW w:w="26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120"/>
              <w:spacing w:after="0" w:line="205" w:lineRule="exact"/>
              <w:rPr>
                <w:sz w:val="20"/>
                <w:szCs w:val="20"/>
                <w:color w:val="auto"/>
              </w:rPr>
            </w:pPr>
            <w:r>
              <w:rPr>
                <w:rFonts w:ascii="Arial" w:cs="Arial" w:eastAsia="Arial" w:hAnsi="Arial"/>
                <w:sz w:val="18"/>
                <w:szCs w:val="18"/>
                <w:color w:val="auto"/>
              </w:rPr>
              <w:t>1%</w:t>
            </w:r>
          </w:p>
        </w:tc>
        <w:tc>
          <w:tcPr>
            <w:tcW w:w="6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311.7</w:t>
            </w:r>
          </w:p>
        </w:tc>
        <w:tc>
          <w:tcPr>
            <w:tcW w:w="26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299.1</w:t>
            </w:r>
          </w:p>
        </w:tc>
        <w:tc>
          <w:tcPr>
            <w:tcW w:w="260" w:type="dxa"/>
            <w:vAlign w:val="bottom"/>
            <w:shd w:val="clear" w:color="auto" w:fill="CCEEFF"/>
          </w:tcPr>
          <w:p>
            <w:pPr>
              <w:spacing w:after="0"/>
              <w:rPr>
                <w:sz w:val="17"/>
                <w:szCs w:val="17"/>
                <w:color w:val="auto"/>
              </w:rPr>
            </w:pPr>
          </w:p>
        </w:tc>
        <w:tc>
          <w:tcPr>
            <w:tcW w:w="1080" w:type="dxa"/>
            <w:vAlign w:val="bottom"/>
            <w:gridSpan w:val="2"/>
            <w:shd w:val="clear" w:color="auto" w:fill="CCEEFF"/>
          </w:tcPr>
          <w:p>
            <w:pPr>
              <w:jc w:val="right"/>
              <w:ind w:right="60"/>
              <w:spacing w:after="0" w:line="205" w:lineRule="exact"/>
              <w:rPr>
                <w:sz w:val="20"/>
                <w:szCs w:val="20"/>
                <w:color w:val="auto"/>
              </w:rPr>
            </w:pPr>
            <w:r>
              <w:rPr>
                <w:rFonts w:ascii="Arial" w:cs="Arial" w:eastAsia="Arial" w:hAnsi="Arial"/>
                <w:sz w:val="18"/>
                <w:szCs w:val="18"/>
                <w:color w:val="auto"/>
              </w:rPr>
              <w:t>4%</w:t>
            </w:r>
          </w:p>
        </w:tc>
      </w:tr>
      <w:tr>
        <w:trPr>
          <w:trHeight w:val="212"/>
        </w:trPr>
        <w:tc>
          <w:tcPr>
            <w:tcW w:w="4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r>
      <w:tr>
        <w:trPr>
          <w:trHeight w:val="252"/>
        </w:trPr>
        <w:tc>
          <w:tcPr>
            <w:tcW w:w="4400" w:type="dxa"/>
            <w:vAlign w:val="bottom"/>
            <w:shd w:val="clear" w:color="auto" w:fill="CCEEFF"/>
          </w:tcPr>
          <w:p>
            <w:pPr>
              <w:spacing w:after="0" w:line="252" w:lineRule="exact"/>
              <w:rPr>
                <w:sz w:val="20"/>
                <w:szCs w:val="20"/>
                <w:color w:val="auto"/>
              </w:rPr>
            </w:pPr>
            <w:r>
              <w:rPr>
                <w:rFonts w:ascii="Arial" w:cs="Arial" w:eastAsia="Arial" w:hAnsi="Arial"/>
                <w:sz w:val="18"/>
                <w:szCs w:val="18"/>
                <w:color w:val="auto"/>
              </w:rPr>
              <w:t>Combined</w:t>
            </w:r>
            <w:r>
              <w:rPr>
                <w:rFonts w:ascii="Arial" w:cs="Arial" w:eastAsia="Arial" w:hAnsi="Arial"/>
                <w:sz w:val="29"/>
                <w:szCs w:val="29"/>
                <w:color w:val="auto"/>
                <w:vertAlign w:val="superscript"/>
              </w:rPr>
              <w:t>10</w:t>
            </w:r>
            <w:r>
              <w:rPr>
                <w:rFonts w:ascii="Arial" w:cs="Arial" w:eastAsia="Arial" w:hAnsi="Arial"/>
                <w:sz w:val="18"/>
                <w:szCs w:val="18"/>
                <w:color w:val="auto"/>
              </w:rPr>
              <w:t xml:space="preserve"> net revenue (at PFG share)</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231.7</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244.4</w:t>
            </w: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w:t>
            </w:r>
          </w:p>
        </w:tc>
        <w:tc>
          <w:tcPr>
            <w:tcW w:w="220" w:type="dxa"/>
            <w:vAlign w:val="bottom"/>
            <w:gridSpan w:val="2"/>
            <w:shd w:val="clear" w:color="auto" w:fill="CCEEFF"/>
          </w:tcPr>
          <w:p>
            <w:pPr>
              <w:jc w:val="right"/>
              <w:ind w:right="3"/>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918.5</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949.5</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w:t>
            </w:r>
          </w:p>
        </w:tc>
      </w:tr>
      <w:tr>
        <w:trPr>
          <w:trHeight w:val="212"/>
        </w:trPr>
        <w:tc>
          <w:tcPr>
            <w:tcW w:w="4400" w:type="dxa"/>
            <w:vAlign w:val="bottom"/>
          </w:tcPr>
          <w:p>
            <w:pPr>
              <w:spacing w:after="0"/>
              <w:rPr>
                <w:sz w:val="20"/>
                <w:szCs w:val="20"/>
                <w:color w:val="auto"/>
              </w:rPr>
            </w:pPr>
            <w:r>
              <w:rPr>
                <w:rFonts w:ascii="Arial" w:cs="Arial" w:eastAsia="Arial" w:hAnsi="Arial"/>
                <w:sz w:val="18"/>
                <w:szCs w:val="18"/>
                <w:color w:val="auto"/>
                <w:w w:val="97"/>
              </w:rPr>
              <w:t>Pre-tax return on combined net  revenue (at PFG share)</w:t>
            </w:r>
          </w:p>
        </w:tc>
        <w:tc>
          <w:tcPr>
            <w:tcW w:w="160" w:type="dxa"/>
            <w:vAlign w:val="bottom"/>
          </w:tcPr>
          <w:p>
            <w:pPr>
              <w:spacing w:after="0"/>
              <w:rPr>
                <w:sz w:val="18"/>
                <w:szCs w:val="18"/>
                <w:color w:val="auto"/>
              </w:rPr>
            </w:pPr>
          </w:p>
        </w:tc>
        <w:tc>
          <w:tcPr>
            <w:tcW w:w="920" w:type="dxa"/>
            <w:vAlign w:val="bottom"/>
            <w:gridSpan w:val="2"/>
          </w:tcPr>
          <w:p>
            <w:pPr>
              <w:jc w:val="right"/>
              <w:ind w:right="60"/>
              <w:spacing w:after="0"/>
              <w:rPr>
                <w:sz w:val="20"/>
                <w:szCs w:val="20"/>
                <w:color w:val="auto"/>
              </w:rPr>
            </w:pPr>
            <w:r>
              <w:rPr>
                <w:rFonts w:ascii="Arial" w:cs="Arial" w:eastAsia="Arial" w:hAnsi="Arial"/>
                <w:sz w:val="18"/>
                <w:szCs w:val="18"/>
                <w:color w:val="auto"/>
              </w:rPr>
              <w:t>40.8%</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38.1%</w:t>
            </w: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33.9%</w:t>
            </w:r>
          </w:p>
        </w:tc>
        <w:tc>
          <w:tcPr>
            <w:tcW w:w="160" w:type="dxa"/>
            <w:vAlign w:val="bottom"/>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31.5%</w:t>
            </w: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r>
      <w:tr>
        <w:trPr>
          <w:trHeight w:val="212"/>
        </w:trPr>
        <w:tc>
          <w:tcPr>
            <w:tcW w:w="4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r>
    </w:tbl>
    <w:p>
      <w:pPr>
        <w:sectPr>
          <w:pgSz w:w="11900" w:h="16863" w:orient="portrait"/>
          <w:cols w:equalWidth="0" w:num="1">
            <w:col w:w="11240"/>
          </w:cols>
          <w:pgMar w:left="320" w:top="1440" w:right="339" w:bottom="0" w:gutter="0" w:footer="0" w:header="0"/>
        </w:sectPr>
      </w:pPr>
    </w:p>
    <w:bookmarkStart w:id="10" w:name="page11"/>
    <w:bookmarkEnd w:id="10"/>
    <w:p>
      <w:pPr>
        <w:spacing w:after="0"/>
        <w:tabs>
          <w:tab w:leader="none" w:pos="4380" w:val="left"/>
          <w:tab w:leader="none" w:pos="4860" w:val="left"/>
          <w:tab w:leader="none" w:pos="5520" w:val="left"/>
          <w:tab w:leader="none" w:pos="6000" w:val="left"/>
          <w:tab w:leader="none" w:pos="7300" w:val="left"/>
        </w:tabs>
        <w:rPr>
          <w:sz w:val="20"/>
          <w:szCs w:val="20"/>
          <w:color w:val="auto"/>
        </w:rPr>
      </w:pPr>
      <w:r>
        <w:rPr>
          <w:rFonts w:ascii="Arial" w:cs="Arial" w:eastAsia="Arial" w:hAnsi="Arial"/>
          <w:sz w:val="18"/>
          <w:szCs w:val="18"/>
          <w:color w:val="auto"/>
        </w:rPr>
        <w:t xml:space="preserve">Assets under management </w:t>
      </w:r>
      <w:r>
        <w:rPr>
          <w:rFonts w:ascii="Arial" w:cs="Arial" w:eastAsia="Arial" w:hAnsi="Arial"/>
          <w:sz w:val="18"/>
          <w:szCs w:val="18"/>
          <w:i w:val="1"/>
          <w:iCs w:val="1"/>
          <w:color w:val="auto"/>
        </w:rPr>
        <w:t>(billions)</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143.5</w:t>
        <w:tab/>
        <w:t>$</w:t>
      </w:r>
      <w:r>
        <w:rPr>
          <w:sz w:val="20"/>
          <w:szCs w:val="20"/>
          <w:color w:val="auto"/>
        </w:rPr>
        <w:tab/>
      </w:r>
      <w:r>
        <w:rPr>
          <w:rFonts w:ascii="Arial" w:cs="Arial" w:eastAsia="Arial" w:hAnsi="Arial"/>
          <w:sz w:val="18"/>
          <w:szCs w:val="18"/>
          <w:color w:val="auto"/>
        </w:rPr>
        <w:t>168.0</w:t>
      </w:r>
      <w:r>
        <w:rPr>
          <w:sz w:val="20"/>
          <w:szCs w:val="20"/>
          <w:color w:val="auto"/>
        </w:rPr>
        <w:tab/>
      </w:r>
      <w:r>
        <w:rPr>
          <w:rFonts w:ascii="Arial" w:cs="Arial" w:eastAsia="Arial" w:hAnsi="Arial"/>
          <w:sz w:val="15"/>
          <w:szCs w:val="15"/>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2797175</wp:posOffset>
            </wp:positionH>
            <wp:positionV relativeFrom="paragraph">
              <wp:posOffset>10795</wp:posOffset>
            </wp:positionV>
            <wp:extent cx="420687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4206875" cy="8255"/>
                    </a:xfrm>
                    <a:prstGeom prst="rect">
                      <a:avLst/>
                    </a:prstGeom>
                    <a:noFill/>
                  </pic:spPr>
                </pic:pic>
              </a:graphicData>
            </a:graphic>
          </wp:anchor>
        </w:drawing>
      </w:r>
    </w:p>
    <w:p>
      <w:pPr>
        <w:spacing w:after="0" w:line="231" w:lineRule="exact"/>
        <w:rPr>
          <w:sz w:val="20"/>
          <w:szCs w:val="20"/>
          <w:color w:val="auto"/>
        </w:rPr>
      </w:pPr>
    </w:p>
    <w:p>
      <w:pPr>
        <w:ind w:left="640" w:right="580" w:hanging="316"/>
        <w:spacing w:after="0" w:line="271" w:lineRule="auto"/>
        <w:tabs>
          <w:tab w:leader="none" w:pos="640" w:val="left"/>
        </w:tabs>
        <w:numPr>
          <w:ilvl w:val="0"/>
          <w:numId w:val="15"/>
        </w:numPr>
        <w:rPr>
          <w:rFonts w:ascii="Arial" w:cs="Arial" w:eastAsia="Arial" w:hAnsi="Arial"/>
          <w:sz w:val="18"/>
          <w:szCs w:val="18"/>
          <w:color w:val="auto"/>
        </w:rPr>
      </w:pPr>
      <w:r>
        <w:rPr>
          <w:rFonts w:ascii="Arial" w:cs="Arial" w:eastAsia="Arial" w:hAnsi="Arial"/>
          <w:sz w:val="18"/>
          <w:szCs w:val="18"/>
          <w:b w:val="1"/>
          <w:bCs w:val="1"/>
          <w:color w:val="auto"/>
        </w:rPr>
        <w:t xml:space="preserve">Pre-tax operating earnings </w:t>
      </w:r>
      <w:r>
        <w:rPr>
          <w:rFonts w:ascii="Arial" w:cs="Arial" w:eastAsia="Arial" w:hAnsi="Arial"/>
          <w:sz w:val="18"/>
          <w:szCs w:val="18"/>
          <w:color w:val="auto"/>
        </w:rPr>
        <w:t>increased $1.3 million primarily due to more favorable encaje performance, partially offset by foreign currency</w:t>
      </w:r>
      <w:r>
        <w:rPr>
          <w:rFonts w:ascii="Arial" w:cs="Arial" w:eastAsia="Arial" w:hAnsi="Arial"/>
          <w:sz w:val="18"/>
          <w:szCs w:val="18"/>
          <w:b w:val="1"/>
          <w:bCs w:val="1"/>
          <w:color w:val="auto"/>
        </w:rPr>
        <w:t xml:space="preserve"> </w:t>
      </w:r>
      <w:r>
        <w:rPr>
          <w:rFonts w:ascii="Arial" w:cs="Arial" w:eastAsia="Arial" w:hAnsi="Arial"/>
          <w:sz w:val="18"/>
          <w:szCs w:val="18"/>
          <w:color w:val="auto"/>
        </w:rPr>
        <w:t>translation headwinds.</w:t>
      </w:r>
    </w:p>
    <w:p>
      <w:pPr>
        <w:spacing w:after="0" w:line="168" w:lineRule="exact"/>
        <w:rPr>
          <w:rFonts w:ascii="Arial" w:cs="Arial" w:eastAsia="Arial" w:hAnsi="Arial"/>
          <w:sz w:val="18"/>
          <w:szCs w:val="18"/>
          <w:color w:val="auto"/>
        </w:rPr>
      </w:pPr>
    </w:p>
    <w:p>
      <w:pPr>
        <w:ind w:left="640" w:right="160" w:hanging="316"/>
        <w:spacing w:after="0" w:line="271" w:lineRule="auto"/>
        <w:tabs>
          <w:tab w:leader="none" w:pos="640" w:val="left"/>
        </w:tabs>
        <w:numPr>
          <w:ilvl w:val="0"/>
          <w:numId w:val="15"/>
        </w:numPr>
        <w:rPr>
          <w:rFonts w:ascii="Arial" w:cs="Arial" w:eastAsia="Arial" w:hAnsi="Arial"/>
          <w:sz w:val="18"/>
          <w:szCs w:val="18"/>
          <w:color w:val="auto"/>
        </w:rPr>
      </w:pPr>
      <w:r>
        <w:rPr>
          <w:rFonts w:ascii="Arial" w:cs="Arial" w:eastAsia="Arial" w:hAnsi="Arial"/>
          <w:sz w:val="18"/>
          <w:szCs w:val="18"/>
          <w:b w:val="1"/>
          <w:bCs w:val="1"/>
          <w:color w:val="auto"/>
        </w:rPr>
        <w:t xml:space="preserve">Combined net revenue (at PFG share) </w:t>
      </w:r>
      <w:r>
        <w:rPr>
          <w:rFonts w:ascii="Arial" w:cs="Arial" w:eastAsia="Arial" w:hAnsi="Arial"/>
          <w:sz w:val="18"/>
          <w:szCs w:val="18"/>
          <w:color w:val="auto"/>
        </w:rPr>
        <w:t>decreased $12.7 million primarily due to foreign currency translation headwinds, partially offset by more</w:t>
      </w:r>
      <w:r>
        <w:rPr>
          <w:rFonts w:ascii="Arial" w:cs="Arial" w:eastAsia="Arial" w:hAnsi="Arial"/>
          <w:sz w:val="18"/>
          <w:szCs w:val="18"/>
          <w:b w:val="1"/>
          <w:bCs w:val="1"/>
          <w:color w:val="auto"/>
        </w:rPr>
        <w:t xml:space="preserve"> </w:t>
      </w:r>
      <w:r>
        <w:rPr>
          <w:rFonts w:ascii="Arial" w:cs="Arial" w:eastAsia="Arial" w:hAnsi="Arial"/>
          <w:sz w:val="18"/>
          <w:szCs w:val="18"/>
          <w:color w:val="auto"/>
        </w:rPr>
        <w:t>favorable encaje performance.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152400</wp:posOffset>
            </wp:positionV>
            <wp:extent cx="178371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783715" cy="8255"/>
                    </a:xfrm>
                    <a:prstGeom prst="rect">
                      <a:avLst/>
                    </a:prstGeom>
                    <a:noFill/>
                  </pic:spPr>
                </pic:pic>
              </a:graphicData>
            </a:graphic>
          </wp:anchor>
        </w:drawing>
      </w:r>
    </w:p>
    <w:p>
      <w:pPr>
        <w:spacing w:after="0" w:line="327" w:lineRule="exact"/>
        <w:rPr>
          <w:sz w:val="20"/>
          <w:szCs w:val="20"/>
          <w:color w:val="auto"/>
        </w:rPr>
      </w:pPr>
    </w:p>
    <w:p>
      <w:pPr>
        <w:ind w:firstLine="6"/>
        <w:spacing w:after="0" w:line="232" w:lineRule="auto"/>
        <w:tabs>
          <w:tab w:leader="none" w:pos="118" w:val="left"/>
        </w:tabs>
        <w:numPr>
          <w:ilvl w:val="0"/>
          <w:numId w:val="16"/>
        </w:numPr>
        <w:rPr>
          <w:rFonts w:ascii="Arial" w:cs="Arial" w:eastAsia="Arial" w:hAnsi="Arial"/>
          <w:sz w:val="26"/>
          <w:szCs w:val="26"/>
          <w:color w:val="auto"/>
          <w:vertAlign w:val="superscript"/>
        </w:rPr>
      </w:pPr>
      <w:r>
        <w:rPr>
          <w:rFonts w:ascii="Arial" w:cs="Arial" w:eastAsia="Arial" w:hAnsi="Arial"/>
          <w:sz w:val="16"/>
          <w:szCs w:val="16"/>
          <w:color w:val="auto"/>
        </w:rPr>
        <w:t>The company has provided reconciliations of the non-GAAP measures to the most directly comparable U.S. GAAP measures at the end of the release. The company has determined this measure is more representative of underlying operating revenues growth for PGI as it removes commissions and other expenses that are collected through fee revenue and passed through expenses with no impact to pre-tax operating earnings.</w:t>
      </w:r>
    </w:p>
    <w:p>
      <w:pPr>
        <w:spacing w:after="0" w:line="31" w:lineRule="exact"/>
        <w:rPr>
          <w:sz w:val="20"/>
          <w:szCs w:val="20"/>
          <w:color w:val="auto"/>
        </w:rPr>
      </w:pPr>
    </w:p>
    <w:p>
      <w:pPr>
        <w:ind w:right="360" w:firstLine="6"/>
        <w:spacing w:after="0" w:line="193" w:lineRule="auto"/>
        <w:tabs>
          <w:tab w:leader="none" w:pos="118" w:val="left"/>
        </w:tabs>
        <w:numPr>
          <w:ilvl w:val="0"/>
          <w:numId w:val="17"/>
        </w:numPr>
        <w:rPr>
          <w:rFonts w:ascii="Arial" w:cs="Arial" w:eastAsia="Arial" w:hAnsi="Arial"/>
          <w:sz w:val="29"/>
          <w:szCs w:val="29"/>
          <w:color w:val="auto"/>
          <w:vertAlign w:val="superscript"/>
        </w:rPr>
      </w:pPr>
      <w:r>
        <w:rPr>
          <w:rFonts w:ascii="Arial" w:cs="Arial" w:eastAsia="Arial" w:hAnsi="Arial"/>
          <w:sz w:val="18"/>
          <w:szCs w:val="18"/>
          <w:color w:val="auto"/>
        </w:rPr>
        <w:t>Pre-tax return on operating revenues less pass-through expenses = pre-tax operating earnings, adjusted for noncontrolling interest divided by operating revenues less pass-through expenses.</w:t>
      </w:r>
    </w:p>
    <w:p>
      <w:pPr>
        <w:spacing w:after="0" w:line="29" w:lineRule="exact"/>
        <w:rPr>
          <w:sz w:val="20"/>
          <w:szCs w:val="20"/>
          <w:color w:val="auto"/>
        </w:rPr>
      </w:pPr>
    </w:p>
    <w:p>
      <w:pPr>
        <w:jc w:val="both"/>
        <w:ind w:right="380" w:firstLine="6"/>
        <w:spacing w:after="0" w:line="254" w:lineRule="auto"/>
        <w:tabs>
          <w:tab w:leader="none" w:pos="191" w:val="left"/>
        </w:tabs>
        <w:numPr>
          <w:ilvl w:val="0"/>
          <w:numId w:val="18"/>
        </w:numPr>
        <w:rPr>
          <w:rFonts w:ascii="Arial" w:cs="Arial" w:eastAsia="Arial" w:hAnsi="Arial"/>
          <w:sz w:val="24"/>
          <w:szCs w:val="24"/>
          <w:color w:val="auto"/>
          <w:vertAlign w:val="superscript"/>
        </w:rPr>
      </w:pPr>
      <w:r>
        <w:rPr>
          <w:rFonts w:ascii="Arial" w:cs="Arial" w:eastAsia="Arial" w:hAnsi="Arial"/>
          <w:sz w:val="15"/>
          <w:szCs w:val="15"/>
          <w:color w:val="auto"/>
        </w:rPr>
        <w:t>Combined net revenue (a non-GAAP financial measure): net revenue for all PI companies at 100% less pass-through commissions. The company has determined combined net revenue (at PFG share) is more representative of underlying net revenue growth for PI as it reflects our proportionate share of consolidated and equity method subsidiaries. In addition, using this net revenue metric provides a more meaningful representation of our profit margins.</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color w:val="auto"/>
        </w:rPr>
        <w:t>Classification: Company Confidential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19685</wp:posOffset>
            </wp:positionV>
            <wp:extent cx="713486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4860" cy="8255"/>
                    </a:xfrm>
                    <a:prstGeom prst="rect">
                      <a:avLst/>
                    </a:prstGeom>
                    <a:noFill/>
                  </pic:spPr>
                </pic:pic>
              </a:graphicData>
            </a:graphic>
          </wp:anchor>
        </w:drawing>
      </w:r>
    </w:p>
    <w:p>
      <w:pPr>
        <w:sectPr>
          <w:pgSz w:w="11900" w:h="16838" w:orient="portrait"/>
          <w:cols w:equalWidth="0" w:num="1">
            <w:col w:w="11140"/>
          </w:cols>
          <w:pgMar w:left="320" w:top="127" w:right="439" w:bottom="1440" w:gutter="0" w:footer="0" w:header="0"/>
        </w:sectPr>
      </w:pPr>
    </w:p>
    <w:bookmarkStart w:id="11" w:name="page12"/>
    <w:bookmarkEnd w:id="1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207010</wp:posOffset>
            </wp:positionH>
            <wp:positionV relativeFrom="page">
              <wp:posOffset>2512060</wp:posOffset>
            </wp:positionV>
            <wp:extent cx="7134860" cy="22040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clrChange>
                        <a:clrFrom>
                          <a:srgbClr val="FFFFFF"/>
                        </a:clrFrom>
                        <a:clrTo>
                          <a:srgbClr val="FFFFFF">
                            <a:alpha val="0"/>
                          </a:srgbClr>
                        </a:clrTo>
                      </a:clrChange>
                      <a:extLst>
                        <a:ext uri="{28A0092B-C50C-407E-A947-70E740481C1C}"/>
                      </a:extLst>
                    </a:blip>
                    <a:srcRect/>
                    <a:stretch>
                      <a:fillRect/>
                    </a:stretch>
                  </pic:blipFill>
                  <pic:spPr bwMode="auto">
                    <a:xfrm>
                      <a:off x="0" y="0"/>
                      <a:ext cx="7134860" cy="22040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4460" w:type="dxa"/>
            <w:vAlign w:val="bottom"/>
          </w:tcPr>
          <w:p>
            <w:pPr>
              <w:spacing w:after="0"/>
              <w:rPr>
                <w:sz w:val="20"/>
                <w:szCs w:val="20"/>
                <w:color w:val="auto"/>
              </w:rPr>
            </w:pPr>
            <w:r>
              <w:rPr>
                <w:rFonts w:ascii="Arial" w:cs="Arial" w:eastAsia="Arial" w:hAnsi="Arial"/>
                <w:sz w:val="18"/>
                <w:szCs w:val="18"/>
                <w:b w:val="1"/>
                <w:bCs w:val="1"/>
                <w:color w:val="auto"/>
              </w:rPr>
              <w:t>Specialty Benefits Insurance</w:t>
            </w:r>
          </w:p>
        </w:tc>
        <w:tc>
          <w:tcPr>
            <w:tcW w:w="1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60" w:type="dxa"/>
            <w:vAlign w:val="bottom"/>
          </w:tcPr>
          <w:p>
            <w:pPr>
              <w:spacing w:after="0"/>
              <w:rPr>
                <w:sz w:val="19"/>
                <w:szCs w:val="19"/>
                <w:color w:val="auto"/>
              </w:rPr>
            </w:pPr>
          </w:p>
        </w:tc>
      </w:tr>
      <w:tr>
        <w:trPr>
          <w:trHeight w:val="438"/>
        </w:trPr>
        <w:tc>
          <w:tcPr>
            <w:tcW w:w="4460" w:type="dxa"/>
            <w:vAlign w:val="bottom"/>
          </w:tcPr>
          <w:p>
            <w:pPr>
              <w:ind w:left="360"/>
              <w:spacing w:after="0"/>
              <w:rPr>
                <w:sz w:val="20"/>
                <w:szCs w:val="20"/>
                <w:color w:val="auto"/>
              </w:rPr>
            </w:pPr>
            <w:r>
              <w:rPr>
                <w:rFonts w:ascii="Arial" w:cs="Arial" w:eastAsia="Arial" w:hAnsi="Arial"/>
                <w:sz w:val="18"/>
                <w:szCs w:val="18"/>
                <w:i w:val="1"/>
                <w:iCs w:val="1"/>
                <w:color w:val="auto"/>
              </w:rPr>
              <w:t>(in millions except percentages or otherwise noted)</w:t>
            </w:r>
          </w:p>
        </w:tc>
        <w:tc>
          <w:tcPr>
            <w:tcW w:w="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gridSpan w:val="2"/>
          </w:tcPr>
          <w:p>
            <w:pPr>
              <w:jc w:val="right"/>
              <w:ind w:right="400"/>
              <w:spacing w:after="0"/>
              <w:rPr>
                <w:sz w:val="20"/>
                <w:szCs w:val="20"/>
                <w:color w:val="auto"/>
              </w:rPr>
            </w:pPr>
            <w:r>
              <w:rPr>
                <w:rFonts w:ascii="Arial" w:cs="Arial" w:eastAsia="Arial" w:hAnsi="Arial"/>
                <w:sz w:val="18"/>
                <w:szCs w:val="18"/>
                <w:b w:val="1"/>
                <w:bCs w:val="1"/>
                <w:i w:val="1"/>
                <w:iCs w:val="1"/>
                <w:color w:val="auto"/>
                <w:w w:val="92"/>
              </w:rPr>
              <w:t>Quarter</w:t>
            </w:r>
          </w:p>
        </w:tc>
        <w:tc>
          <w:tcPr>
            <w:tcW w:w="8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180" w:type="dxa"/>
            <w:vAlign w:val="bottom"/>
            <w:gridSpan w:val="8"/>
          </w:tcPr>
          <w:p>
            <w:pPr>
              <w:jc w:val="right"/>
              <w:ind w:right="880"/>
              <w:spacing w:after="0"/>
              <w:rPr>
                <w:sz w:val="20"/>
                <w:szCs w:val="20"/>
                <w:color w:val="auto"/>
              </w:rPr>
            </w:pPr>
            <w:r>
              <w:rPr>
                <w:rFonts w:ascii="Arial" w:cs="Arial" w:eastAsia="Arial" w:hAnsi="Arial"/>
                <w:sz w:val="18"/>
                <w:szCs w:val="18"/>
                <w:b w:val="1"/>
                <w:bCs w:val="1"/>
                <w:i w:val="1"/>
                <w:iCs w:val="1"/>
                <w:color w:val="auto"/>
              </w:rPr>
              <w:t>Trailing Twelve Months</w:t>
            </w:r>
          </w:p>
        </w:tc>
      </w:tr>
      <w:tr>
        <w:trPr>
          <w:trHeight w:val="206"/>
        </w:trPr>
        <w:tc>
          <w:tcPr>
            <w:tcW w:w="4460" w:type="dxa"/>
            <w:vAlign w:val="bottom"/>
            <w:tcBorders>
              <w:bottom w:val="single" w:sz="8" w:color="CCEEFF"/>
            </w:tcBorders>
          </w:tcPr>
          <w:p>
            <w:pPr>
              <w:spacing w:after="0"/>
              <w:rPr>
                <w:sz w:val="17"/>
                <w:szCs w:val="17"/>
                <w:color w:val="auto"/>
              </w:rPr>
            </w:pPr>
          </w:p>
        </w:tc>
        <w:tc>
          <w:tcPr>
            <w:tcW w:w="160" w:type="dxa"/>
            <w:vAlign w:val="bottom"/>
            <w:tcBorders>
              <w:top w:val="single" w:sz="8" w:color="auto"/>
              <w:bottom w:val="single" w:sz="8" w:color="auto"/>
            </w:tcBorders>
          </w:tcPr>
          <w:p>
            <w:pPr>
              <w:spacing w:after="0"/>
              <w:rPr>
                <w:sz w:val="17"/>
                <w:szCs w:val="17"/>
                <w:color w:val="auto"/>
              </w:rPr>
            </w:pPr>
          </w:p>
        </w:tc>
        <w:tc>
          <w:tcPr>
            <w:tcW w:w="720" w:type="dxa"/>
            <w:vAlign w:val="bottom"/>
            <w:tcBorders>
              <w:top w:val="single" w:sz="8" w:color="auto"/>
              <w:bottom w:val="single" w:sz="8" w:color="auto"/>
            </w:tcBorders>
          </w:tcPr>
          <w:p>
            <w:pPr>
              <w:jc w:val="right"/>
              <w:ind w:right="152"/>
              <w:spacing w:after="0" w:line="206" w:lineRule="exact"/>
              <w:rPr>
                <w:sz w:val="20"/>
                <w:szCs w:val="20"/>
                <w:color w:val="auto"/>
              </w:rPr>
            </w:pPr>
            <w:r>
              <w:rPr>
                <w:rFonts w:ascii="Arial" w:cs="Arial" w:eastAsia="Arial" w:hAnsi="Arial"/>
                <w:sz w:val="18"/>
                <w:szCs w:val="18"/>
                <w:b w:val="1"/>
                <w:bCs w:val="1"/>
                <w:color w:val="auto"/>
              </w:rPr>
              <w:t>2Q20</w:t>
            </w:r>
          </w:p>
        </w:tc>
        <w:tc>
          <w:tcPr>
            <w:tcW w:w="200" w:type="dxa"/>
            <w:vAlign w:val="bottom"/>
            <w:tcBorders>
              <w:top w:val="single" w:sz="8" w:color="auto"/>
              <w:bottom w:val="single" w:sz="8" w:color="CCEEFF"/>
            </w:tcBorders>
          </w:tcPr>
          <w:p>
            <w:pPr>
              <w:spacing w:after="0"/>
              <w:rPr>
                <w:sz w:val="17"/>
                <w:szCs w:val="17"/>
                <w:color w:val="auto"/>
              </w:rPr>
            </w:pPr>
          </w:p>
        </w:tc>
        <w:tc>
          <w:tcPr>
            <w:tcW w:w="60" w:type="dxa"/>
            <w:vAlign w:val="bottom"/>
            <w:tcBorders>
              <w:top w:val="single" w:sz="8" w:color="auto"/>
              <w:bottom w:val="single" w:sz="8" w:color="CCEEFF"/>
            </w:tcBorders>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760" w:type="dxa"/>
            <w:vAlign w:val="bottom"/>
            <w:tcBorders>
              <w:top w:val="single" w:sz="8" w:color="auto"/>
              <w:bottom w:val="single" w:sz="8" w:color="auto"/>
            </w:tcBorders>
          </w:tcPr>
          <w:p>
            <w:pPr>
              <w:jc w:val="right"/>
              <w:ind w:right="152"/>
              <w:spacing w:after="0" w:line="206" w:lineRule="exact"/>
              <w:rPr>
                <w:sz w:val="20"/>
                <w:szCs w:val="20"/>
                <w:color w:val="auto"/>
              </w:rPr>
            </w:pPr>
            <w:r>
              <w:rPr>
                <w:rFonts w:ascii="Arial" w:cs="Arial" w:eastAsia="Arial" w:hAnsi="Arial"/>
                <w:sz w:val="18"/>
                <w:szCs w:val="18"/>
                <w:b w:val="1"/>
                <w:bCs w:val="1"/>
                <w:color w:val="auto"/>
              </w:rPr>
              <w:t>2Q19</w:t>
            </w:r>
          </w:p>
        </w:tc>
        <w:tc>
          <w:tcPr>
            <w:tcW w:w="260" w:type="dxa"/>
            <w:vAlign w:val="bottom"/>
            <w:tcBorders>
              <w:top w:val="single" w:sz="8" w:color="auto"/>
              <w:bottom w:val="single" w:sz="8" w:color="CCEEFF"/>
            </w:tcBorders>
          </w:tcPr>
          <w:p>
            <w:pPr>
              <w:spacing w:after="0"/>
              <w:rPr>
                <w:sz w:val="17"/>
                <w:szCs w:val="17"/>
                <w:color w:val="auto"/>
              </w:rPr>
            </w:pPr>
          </w:p>
        </w:tc>
        <w:tc>
          <w:tcPr>
            <w:tcW w:w="880" w:type="dxa"/>
            <w:vAlign w:val="bottom"/>
            <w:tcBorders>
              <w:top w:val="single" w:sz="8" w:color="auto"/>
              <w:bottom w:val="single" w:sz="8" w:color="auto"/>
            </w:tcBorders>
          </w:tcPr>
          <w:p>
            <w:pPr>
              <w:ind w:left="80"/>
              <w:spacing w:after="0" w:line="206" w:lineRule="exact"/>
              <w:rPr>
                <w:sz w:val="20"/>
                <w:szCs w:val="20"/>
                <w:color w:val="auto"/>
              </w:rPr>
            </w:pPr>
            <w:r>
              <w:rPr>
                <w:rFonts w:ascii="Arial" w:cs="Arial" w:eastAsia="Arial" w:hAnsi="Arial"/>
                <w:sz w:val="18"/>
                <w:szCs w:val="18"/>
                <w:color w:val="auto"/>
                <w:w w:val="92"/>
              </w:rPr>
              <w:t>% Change</w:t>
            </w:r>
          </w:p>
        </w:tc>
        <w:tc>
          <w:tcPr>
            <w:tcW w:w="260" w:type="dxa"/>
            <w:vAlign w:val="bottom"/>
            <w:tcBorders>
              <w:bottom w:val="single" w:sz="8" w:color="CCEEFF"/>
            </w:tcBorders>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720" w:type="dxa"/>
            <w:vAlign w:val="bottom"/>
            <w:tcBorders>
              <w:top w:val="single" w:sz="8" w:color="auto"/>
              <w:bottom w:val="single" w:sz="8" w:color="auto"/>
            </w:tcBorders>
          </w:tcPr>
          <w:p>
            <w:pPr>
              <w:jc w:val="right"/>
              <w:ind w:right="152"/>
              <w:spacing w:after="0" w:line="206" w:lineRule="exact"/>
              <w:rPr>
                <w:sz w:val="20"/>
                <w:szCs w:val="20"/>
                <w:color w:val="auto"/>
              </w:rPr>
            </w:pPr>
            <w:r>
              <w:rPr>
                <w:rFonts w:ascii="Arial" w:cs="Arial" w:eastAsia="Arial" w:hAnsi="Arial"/>
                <w:sz w:val="18"/>
                <w:szCs w:val="18"/>
                <w:b w:val="1"/>
                <w:bCs w:val="1"/>
                <w:color w:val="auto"/>
              </w:rPr>
              <w:t>2Q20</w:t>
            </w:r>
          </w:p>
        </w:tc>
        <w:tc>
          <w:tcPr>
            <w:tcW w:w="200" w:type="dxa"/>
            <w:vAlign w:val="bottom"/>
            <w:tcBorders>
              <w:top w:val="single" w:sz="8" w:color="auto"/>
              <w:bottom w:val="single" w:sz="8" w:color="CCEEFF"/>
            </w:tcBorders>
          </w:tcPr>
          <w:p>
            <w:pPr>
              <w:spacing w:after="0"/>
              <w:rPr>
                <w:sz w:val="17"/>
                <w:szCs w:val="17"/>
                <w:color w:val="auto"/>
              </w:rPr>
            </w:pPr>
          </w:p>
        </w:tc>
        <w:tc>
          <w:tcPr>
            <w:tcW w:w="60" w:type="dxa"/>
            <w:vAlign w:val="bottom"/>
            <w:tcBorders>
              <w:top w:val="single" w:sz="8" w:color="auto"/>
              <w:bottom w:val="single" w:sz="8" w:color="CCEEFF"/>
            </w:tcBorders>
          </w:tcPr>
          <w:p>
            <w:pPr>
              <w:spacing w:after="0"/>
              <w:rPr>
                <w:sz w:val="17"/>
                <w:szCs w:val="17"/>
                <w:color w:val="auto"/>
              </w:rPr>
            </w:pPr>
          </w:p>
        </w:tc>
        <w:tc>
          <w:tcPr>
            <w:tcW w:w="160" w:type="dxa"/>
            <w:vAlign w:val="bottom"/>
            <w:tcBorders>
              <w:top w:val="single" w:sz="8" w:color="auto"/>
              <w:bottom w:val="single" w:sz="8" w:color="auto"/>
            </w:tcBorders>
          </w:tcPr>
          <w:p>
            <w:pPr>
              <w:spacing w:after="0"/>
              <w:rPr>
                <w:sz w:val="17"/>
                <w:szCs w:val="17"/>
                <w:color w:val="auto"/>
              </w:rPr>
            </w:pPr>
          </w:p>
        </w:tc>
        <w:tc>
          <w:tcPr>
            <w:tcW w:w="740" w:type="dxa"/>
            <w:vAlign w:val="bottom"/>
            <w:tcBorders>
              <w:top w:val="single" w:sz="8" w:color="auto"/>
              <w:bottom w:val="single" w:sz="8" w:color="auto"/>
            </w:tcBorders>
          </w:tcPr>
          <w:p>
            <w:pPr>
              <w:jc w:val="right"/>
              <w:ind w:right="172"/>
              <w:spacing w:after="0" w:line="206" w:lineRule="exact"/>
              <w:rPr>
                <w:sz w:val="20"/>
                <w:szCs w:val="20"/>
                <w:color w:val="auto"/>
              </w:rPr>
            </w:pPr>
            <w:r>
              <w:rPr>
                <w:rFonts w:ascii="Arial" w:cs="Arial" w:eastAsia="Arial" w:hAnsi="Arial"/>
                <w:sz w:val="18"/>
                <w:szCs w:val="18"/>
                <w:b w:val="1"/>
                <w:bCs w:val="1"/>
                <w:color w:val="auto"/>
              </w:rPr>
              <w:t>2Q19</w:t>
            </w:r>
          </w:p>
        </w:tc>
        <w:tc>
          <w:tcPr>
            <w:tcW w:w="260" w:type="dxa"/>
            <w:vAlign w:val="bottom"/>
            <w:tcBorders>
              <w:top w:val="single" w:sz="8" w:color="auto"/>
              <w:bottom w:val="single" w:sz="8" w:color="CCEEFF"/>
            </w:tcBorders>
          </w:tcPr>
          <w:p>
            <w:pPr>
              <w:spacing w:after="0"/>
              <w:rPr>
                <w:sz w:val="17"/>
                <w:szCs w:val="17"/>
                <w:color w:val="auto"/>
              </w:rPr>
            </w:pPr>
          </w:p>
        </w:tc>
        <w:tc>
          <w:tcPr>
            <w:tcW w:w="880" w:type="dxa"/>
            <w:vAlign w:val="bottom"/>
            <w:tcBorders>
              <w:top w:val="single" w:sz="8" w:color="auto"/>
              <w:bottom w:val="single" w:sz="8" w:color="auto"/>
            </w:tcBorders>
          </w:tcPr>
          <w:p>
            <w:pPr>
              <w:jc w:val="right"/>
              <w:spacing w:after="0" w:line="206" w:lineRule="exact"/>
              <w:rPr>
                <w:sz w:val="20"/>
                <w:szCs w:val="20"/>
                <w:color w:val="auto"/>
              </w:rPr>
            </w:pPr>
            <w:r>
              <w:rPr>
                <w:rFonts w:ascii="Arial" w:cs="Arial" w:eastAsia="Arial" w:hAnsi="Arial"/>
                <w:sz w:val="18"/>
                <w:szCs w:val="18"/>
                <w:color w:val="auto"/>
                <w:w w:val="92"/>
              </w:rPr>
              <w:t>% Change</w:t>
            </w:r>
          </w:p>
        </w:tc>
        <w:tc>
          <w:tcPr>
            <w:tcW w:w="160" w:type="dxa"/>
            <w:vAlign w:val="bottom"/>
            <w:tcBorders>
              <w:bottom w:val="single" w:sz="8" w:color="CCEEFF"/>
            </w:tcBorders>
          </w:tcPr>
          <w:p>
            <w:pPr>
              <w:spacing w:after="0"/>
              <w:rPr>
                <w:sz w:val="17"/>
                <w:szCs w:val="17"/>
                <w:color w:val="auto"/>
              </w:rPr>
            </w:pPr>
          </w:p>
        </w:tc>
      </w:tr>
      <w:tr>
        <w:trPr>
          <w:trHeight w:val="205"/>
        </w:trPr>
        <w:tc>
          <w:tcPr>
            <w:tcW w:w="4460" w:type="dxa"/>
            <w:vAlign w:val="bottom"/>
            <w:shd w:val="clear" w:color="auto" w:fill="CCEEFF"/>
          </w:tcPr>
          <w:p>
            <w:pPr>
              <w:spacing w:after="0" w:line="204" w:lineRule="exact"/>
              <w:rPr>
                <w:sz w:val="20"/>
                <w:szCs w:val="20"/>
                <w:color w:val="auto"/>
              </w:rPr>
            </w:pPr>
            <w:r>
              <w:rPr>
                <w:rFonts w:ascii="Arial" w:cs="Arial" w:eastAsia="Arial" w:hAnsi="Arial"/>
                <w:sz w:val="18"/>
                <w:szCs w:val="18"/>
                <w:color w:val="auto"/>
              </w:rPr>
              <w:t>Pre-tax operating earnings</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127.6</w:t>
            </w:r>
          </w:p>
        </w:tc>
        <w:tc>
          <w:tcPr>
            <w:tcW w:w="2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93.2</w:t>
            </w:r>
          </w:p>
        </w:tc>
        <w:tc>
          <w:tcPr>
            <w:tcW w:w="26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100"/>
              <w:spacing w:after="0" w:line="205" w:lineRule="exact"/>
              <w:rPr>
                <w:sz w:val="20"/>
                <w:szCs w:val="20"/>
                <w:color w:val="auto"/>
              </w:rPr>
            </w:pPr>
            <w:r>
              <w:rPr>
                <w:rFonts w:ascii="Arial" w:cs="Arial" w:eastAsia="Arial" w:hAnsi="Arial"/>
                <w:sz w:val="18"/>
                <w:szCs w:val="18"/>
                <w:color w:val="auto"/>
              </w:rPr>
              <w:t>37%</w:t>
            </w:r>
          </w:p>
        </w:tc>
        <w:tc>
          <w:tcPr>
            <w:tcW w:w="18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415.3</w:t>
            </w:r>
          </w:p>
        </w:tc>
        <w:tc>
          <w:tcPr>
            <w:tcW w:w="2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6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310.0</w:t>
            </w:r>
          </w:p>
        </w:tc>
        <w:tc>
          <w:tcPr>
            <w:tcW w:w="26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spacing w:after="0" w:line="205" w:lineRule="exact"/>
              <w:rPr>
                <w:sz w:val="20"/>
                <w:szCs w:val="20"/>
                <w:color w:val="auto"/>
              </w:rPr>
            </w:pPr>
            <w:r>
              <w:rPr>
                <w:rFonts w:ascii="Arial" w:cs="Arial" w:eastAsia="Arial" w:hAnsi="Arial"/>
                <w:sz w:val="18"/>
                <w:szCs w:val="18"/>
                <w:color w:val="auto"/>
              </w:rPr>
              <w:t>34%</w:t>
            </w:r>
          </w:p>
        </w:tc>
      </w:tr>
      <w:tr>
        <w:trPr>
          <w:trHeight w:val="212"/>
        </w:trPr>
        <w:tc>
          <w:tcPr>
            <w:tcW w:w="4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2"/>
        </w:trPr>
        <w:tc>
          <w:tcPr>
            <w:tcW w:w="4460" w:type="dxa"/>
            <w:vAlign w:val="bottom"/>
            <w:shd w:val="clear" w:color="auto" w:fill="CCEEFF"/>
          </w:tcPr>
          <w:p>
            <w:pPr>
              <w:spacing w:after="0"/>
              <w:rPr>
                <w:sz w:val="20"/>
                <w:szCs w:val="20"/>
                <w:color w:val="auto"/>
              </w:rPr>
            </w:pPr>
            <w:r>
              <w:rPr>
                <w:rFonts w:ascii="Arial" w:cs="Arial" w:eastAsia="Arial" w:hAnsi="Arial"/>
                <w:sz w:val="18"/>
                <w:szCs w:val="18"/>
                <w:color w:val="auto"/>
              </w:rPr>
              <w:t>Premium and fees</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590.6</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580.1</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2,370.3</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2,251.5</w:t>
            </w:r>
          </w:p>
        </w:tc>
        <w:tc>
          <w:tcPr>
            <w:tcW w:w="2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w:t>
            </w:r>
          </w:p>
        </w:tc>
      </w:tr>
      <w:tr>
        <w:trPr>
          <w:trHeight w:val="212"/>
        </w:trPr>
        <w:tc>
          <w:tcPr>
            <w:tcW w:w="4460" w:type="dxa"/>
            <w:vAlign w:val="bottom"/>
          </w:tcPr>
          <w:p>
            <w:pPr>
              <w:spacing w:after="0"/>
              <w:rPr>
                <w:sz w:val="20"/>
                <w:szCs w:val="20"/>
                <w:color w:val="auto"/>
              </w:rPr>
            </w:pPr>
            <w:r>
              <w:rPr>
                <w:rFonts w:ascii="Arial" w:cs="Arial" w:eastAsia="Arial" w:hAnsi="Arial"/>
                <w:sz w:val="18"/>
                <w:szCs w:val="18"/>
                <w:color w:val="auto"/>
              </w:rPr>
              <w:t>Pre-tax return on premium and fees</w:t>
            </w:r>
          </w:p>
        </w:tc>
        <w:tc>
          <w:tcPr>
            <w:tcW w:w="160" w:type="dxa"/>
            <w:vAlign w:val="bottom"/>
          </w:tcPr>
          <w:p>
            <w:pPr>
              <w:spacing w:after="0"/>
              <w:rPr>
                <w:sz w:val="18"/>
                <w:szCs w:val="18"/>
                <w:color w:val="auto"/>
              </w:rPr>
            </w:pPr>
          </w:p>
        </w:tc>
        <w:tc>
          <w:tcPr>
            <w:tcW w:w="920" w:type="dxa"/>
            <w:vAlign w:val="bottom"/>
            <w:gridSpan w:val="2"/>
          </w:tcPr>
          <w:p>
            <w:pPr>
              <w:jc w:val="right"/>
              <w:ind w:right="60"/>
              <w:spacing w:after="0"/>
              <w:rPr>
                <w:sz w:val="20"/>
                <w:szCs w:val="20"/>
                <w:color w:val="auto"/>
              </w:rPr>
            </w:pPr>
            <w:r>
              <w:rPr>
                <w:rFonts w:ascii="Arial" w:cs="Arial" w:eastAsia="Arial" w:hAnsi="Arial"/>
                <w:sz w:val="18"/>
                <w:szCs w:val="18"/>
                <w:color w:val="auto"/>
              </w:rPr>
              <w:t>21.6%</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16.1%</w:t>
            </w: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gridSpan w:val="2"/>
          </w:tcPr>
          <w:p>
            <w:pPr>
              <w:jc w:val="right"/>
              <w:ind w:right="60"/>
              <w:spacing w:after="0"/>
              <w:rPr>
                <w:sz w:val="20"/>
                <w:szCs w:val="20"/>
                <w:color w:val="auto"/>
              </w:rPr>
            </w:pPr>
            <w:r>
              <w:rPr>
                <w:rFonts w:ascii="Arial" w:cs="Arial" w:eastAsia="Arial" w:hAnsi="Arial"/>
                <w:sz w:val="18"/>
                <w:szCs w:val="18"/>
                <w:color w:val="auto"/>
              </w:rPr>
              <w:t>17.5%</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13.8%</w:t>
            </w: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2"/>
        </w:trPr>
        <w:tc>
          <w:tcPr>
            <w:tcW w:w="44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23"/>
        </w:trPr>
        <w:tc>
          <w:tcPr>
            <w:tcW w:w="4460" w:type="dxa"/>
            <w:vAlign w:val="bottom"/>
          </w:tcPr>
          <w:p>
            <w:pPr>
              <w:spacing w:after="0"/>
              <w:rPr>
                <w:sz w:val="20"/>
                <w:szCs w:val="20"/>
                <w:color w:val="auto"/>
              </w:rPr>
            </w:pPr>
            <w:r>
              <w:rPr>
                <w:rFonts w:ascii="Arial" w:cs="Arial" w:eastAsia="Arial" w:hAnsi="Arial"/>
                <w:sz w:val="18"/>
                <w:szCs w:val="18"/>
                <w:color w:val="auto"/>
              </w:rPr>
              <w:t>Incurred loss ratio</w:t>
            </w:r>
          </w:p>
        </w:tc>
        <w:tc>
          <w:tcPr>
            <w:tcW w:w="160" w:type="dxa"/>
            <w:vAlign w:val="bottom"/>
          </w:tcPr>
          <w:p>
            <w:pPr>
              <w:spacing w:after="0"/>
              <w:rPr>
                <w:sz w:val="19"/>
                <w:szCs w:val="19"/>
                <w:color w:val="auto"/>
              </w:rPr>
            </w:pPr>
          </w:p>
        </w:tc>
        <w:tc>
          <w:tcPr>
            <w:tcW w:w="920" w:type="dxa"/>
            <w:vAlign w:val="bottom"/>
            <w:gridSpan w:val="2"/>
          </w:tcPr>
          <w:p>
            <w:pPr>
              <w:jc w:val="right"/>
              <w:ind w:right="60"/>
              <w:spacing w:after="0"/>
              <w:rPr>
                <w:sz w:val="20"/>
                <w:szCs w:val="20"/>
                <w:color w:val="auto"/>
              </w:rPr>
            </w:pPr>
            <w:r>
              <w:rPr>
                <w:rFonts w:ascii="Arial" w:cs="Arial" w:eastAsia="Arial" w:hAnsi="Arial"/>
                <w:sz w:val="18"/>
                <w:szCs w:val="18"/>
                <w:color w:val="auto"/>
              </w:rPr>
              <w:t>53.4%</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60.1%</w:t>
            </w:r>
          </w:p>
        </w:tc>
        <w:tc>
          <w:tcPr>
            <w:tcW w:w="8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gridSpan w:val="2"/>
          </w:tcPr>
          <w:p>
            <w:pPr>
              <w:jc w:val="right"/>
              <w:ind w:right="60"/>
              <w:spacing w:after="0"/>
              <w:rPr>
                <w:sz w:val="20"/>
                <w:szCs w:val="20"/>
                <w:color w:val="auto"/>
              </w:rPr>
            </w:pPr>
            <w:r>
              <w:rPr>
                <w:rFonts w:ascii="Arial" w:cs="Arial" w:eastAsia="Arial" w:hAnsi="Arial"/>
                <w:sz w:val="18"/>
                <w:szCs w:val="18"/>
                <w:color w:val="auto"/>
              </w:rPr>
              <w:t>58.4%</w:t>
            </w: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61.4%</w:t>
            </w:r>
          </w:p>
        </w:tc>
        <w:tc>
          <w:tcPr>
            <w:tcW w:w="880" w:type="dxa"/>
            <w:vAlign w:val="bottom"/>
          </w:tcPr>
          <w:p>
            <w:pPr>
              <w:spacing w:after="0"/>
              <w:rPr>
                <w:sz w:val="19"/>
                <w:szCs w:val="19"/>
                <w:color w:val="auto"/>
              </w:rPr>
            </w:pPr>
          </w:p>
        </w:tc>
        <w:tc>
          <w:tcPr>
            <w:tcW w:w="160" w:type="dxa"/>
            <w:vAlign w:val="bottom"/>
          </w:tcPr>
          <w:p>
            <w:pPr>
              <w:spacing w:after="0"/>
              <w:rPr>
                <w:sz w:val="19"/>
                <w:szCs w:val="19"/>
                <w:color w:val="auto"/>
              </w:rPr>
            </w:pPr>
          </w:p>
        </w:tc>
      </w:tr>
    </w:tbl>
    <w:p>
      <w:pPr>
        <w:spacing w:after="0" w:line="182" w:lineRule="exact"/>
        <w:rPr>
          <w:sz w:val="20"/>
          <w:szCs w:val="20"/>
          <w:color w:val="auto"/>
        </w:rPr>
      </w:pPr>
    </w:p>
    <w:p>
      <w:pPr>
        <w:ind w:left="640" w:right="340" w:hanging="316"/>
        <w:spacing w:after="0" w:line="271" w:lineRule="auto"/>
        <w:tabs>
          <w:tab w:leader="none" w:pos="640" w:val="left"/>
        </w:tabs>
        <w:numPr>
          <w:ilvl w:val="0"/>
          <w:numId w:val="19"/>
        </w:numPr>
        <w:rPr>
          <w:rFonts w:ascii="Arial" w:cs="Arial" w:eastAsia="Arial" w:hAnsi="Arial"/>
          <w:sz w:val="18"/>
          <w:szCs w:val="18"/>
          <w:color w:val="auto"/>
        </w:rPr>
      </w:pPr>
      <w:r>
        <w:rPr>
          <w:rFonts w:ascii="Arial" w:cs="Arial" w:eastAsia="Arial" w:hAnsi="Arial"/>
          <w:sz w:val="18"/>
          <w:szCs w:val="18"/>
          <w:b w:val="1"/>
          <w:bCs w:val="1"/>
          <w:color w:val="auto"/>
        </w:rPr>
        <w:t xml:space="preserve">Pre-tax operating earnings </w:t>
      </w:r>
      <w:r>
        <w:rPr>
          <w:rFonts w:ascii="Arial" w:cs="Arial" w:eastAsia="Arial" w:hAnsi="Arial"/>
          <w:sz w:val="18"/>
          <w:szCs w:val="18"/>
          <w:color w:val="auto"/>
        </w:rPr>
        <w:t>increased $34.4 million primarily due to very favorable claims largely related to COVID-19 dental and vision office</w:t>
      </w:r>
      <w:r>
        <w:rPr>
          <w:rFonts w:ascii="Arial" w:cs="Arial" w:eastAsia="Arial" w:hAnsi="Arial"/>
          <w:sz w:val="18"/>
          <w:szCs w:val="18"/>
          <w:b w:val="1"/>
          <w:bCs w:val="1"/>
          <w:color w:val="auto"/>
        </w:rPr>
        <w:t xml:space="preserve"> </w:t>
      </w:r>
      <w:r>
        <w:rPr>
          <w:rFonts w:ascii="Arial" w:cs="Arial" w:eastAsia="Arial" w:hAnsi="Arial"/>
          <w:sz w:val="18"/>
          <w:szCs w:val="18"/>
          <w:color w:val="auto"/>
        </w:rPr>
        <w:t>closures.</w:t>
      </w:r>
    </w:p>
    <w:p>
      <w:pPr>
        <w:spacing w:after="0" w:line="168" w:lineRule="exact"/>
        <w:rPr>
          <w:rFonts w:ascii="Arial" w:cs="Arial" w:eastAsia="Arial" w:hAnsi="Arial"/>
          <w:sz w:val="18"/>
          <w:szCs w:val="18"/>
          <w:color w:val="auto"/>
        </w:rPr>
      </w:pPr>
    </w:p>
    <w:p>
      <w:pPr>
        <w:ind w:left="640" w:hanging="316"/>
        <w:spacing w:after="0"/>
        <w:tabs>
          <w:tab w:leader="none" w:pos="640" w:val="left"/>
        </w:tabs>
        <w:numPr>
          <w:ilvl w:val="0"/>
          <w:numId w:val="19"/>
        </w:numPr>
        <w:rPr>
          <w:rFonts w:ascii="Arial" w:cs="Arial" w:eastAsia="Arial" w:hAnsi="Arial"/>
          <w:sz w:val="18"/>
          <w:szCs w:val="18"/>
          <w:color w:val="auto"/>
        </w:rPr>
      </w:pPr>
      <w:r>
        <w:rPr>
          <w:rFonts w:ascii="Arial" w:cs="Arial" w:eastAsia="Arial" w:hAnsi="Arial"/>
          <w:sz w:val="18"/>
          <w:szCs w:val="18"/>
          <w:b w:val="1"/>
          <w:bCs w:val="1"/>
          <w:color w:val="auto"/>
        </w:rPr>
        <w:t xml:space="preserve">Premium and fees </w:t>
      </w:r>
      <w:r>
        <w:rPr>
          <w:rFonts w:ascii="Arial" w:cs="Arial" w:eastAsia="Arial" w:hAnsi="Arial"/>
          <w:sz w:val="18"/>
          <w:szCs w:val="18"/>
          <w:color w:val="auto"/>
        </w:rPr>
        <w:t>increased $10.5 million reflecting strong retention.</w:t>
      </w:r>
    </w:p>
    <w:p>
      <w:pPr>
        <w:spacing w:after="0" w:line="217" w:lineRule="exact"/>
        <w:rPr>
          <w:rFonts w:ascii="Arial" w:cs="Arial" w:eastAsia="Arial" w:hAnsi="Arial"/>
          <w:sz w:val="18"/>
          <w:szCs w:val="18"/>
          <w:color w:val="auto"/>
        </w:rPr>
      </w:pPr>
    </w:p>
    <w:p>
      <w:pPr>
        <w:ind w:left="640" w:right="260" w:hanging="316"/>
        <w:spacing w:after="0" w:line="271" w:lineRule="auto"/>
        <w:tabs>
          <w:tab w:leader="none" w:pos="640" w:val="left"/>
        </w:tabs>
        <w:numPr>
          <w:ilvl w:val="0"/>
          <w:numId w:val="19"/>
        </w:numPr>
        <w:rPr>
          <w:rFonts w:ascii="Arial" w:cs="Arial" w:eastAsia="Arial" w:hAnsi="Arial"/>
          <w:sz w:val="18"/>
          <w:szCs w:val="18"/>
          <w:color w:val="auto"/>
        </w:rPr>
      </w:pPr>
      <w:r>
        <w:rPr>
          <w:rFonts w:ascii="Arial" w:cs="Arial" w:eastAsia="Arial" w:hAnsi="Arial"/>
          <w:sz w:val="18"/>
          <w:szCs w:val="18"/>
          <w:b w:val="1"/>
          <w:bCs w:val="1"/>
          <w:color w:val="auto"/>
        </w:rPr>
        <w:t xml:space="preserve">Incurred loss ratio </w:t>
      </w:r>
      <w:r>
        <w:rPr>
          <w:rFonts w:ascii="Arial" w:cs="Arial" w:eastAsia="Arial" w:hAnsi="Arial"/>
          <w:sz w:val="18"/>
          <w:szCs w:val="18"/>
          <w:color w:val="auto"/>
        </w:rPr>
        <w:t>decreased primarily due to lower claims related to COVID-19 dental and vision office closures, partially offset by higher non-COVID-19 related individual disability claims.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4160" w:type="dxa"/>
            <w:vAlign w:val="bottom"/>
          </w:tcPr>
          <w:p>
            <w:pPr>
              <w:spacing w:after="0"/>
              <w:rPr>
                <w:sz w:val="20"/>
                <w:szCs w:val="20"/>
                <w:color w:val="auto"/>
              </w:rPr>
            </w:pPr>
            <w:r>
              <w:rPr>
                <w:rFonts w:ascii="Arial" w:cs="Arial" w:eastAsia="Arial" w:hAnsi="Arial"/>
                <w:sz w:val="18"/>
                <w:szCs w:val="18"/>
                <w:b w:val="1"/>
                <w:bCs w:val="1"/>
                <w:color w:val="auto"/>
              </w:rPr>
              <w:t>Individual Life Insurance</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20" w:type="dxa"/>
            <w:vAlign w:val="bottom"/>
          </w:tcPr>
          <w:p>
            <w:pPr>
              <w:spacing w:after="0"/>
              <w:rPr>
                <w:sz w:val="19"/>
                <w:szCs w:val="19"/>
                <w:color w:val="auto"/>
              </w:rPr>
            </w:pPr>
          </w:p>
        </w:tc>
      </w:tr>
      <w:tr>
        <w:trPr>
          <w:trHeight w:val="438"/>
        </w:trPr>
        <w:tc>
          <w:tcPr>
            <w:tcW w:w="4160" w:type="dxa"/>
            <w:vAlign w:val="bottom"/>
          </w:tcPr>
          <w:p>
            <w:pPr>
              <w:ind w:left="320"/>
              <w:spacing w:after="0"/>
              <w:rPr>
                <w:sz w:val="20"/>
                <w:szCs w:val="20"/>
                <w:color w:val="auto"/>
              </w:rPr>
            </w:pPr>
            <w:r>
              <w:rPr>
                <w:rFonts w:ascii="Arial" w:cs="Arial" w:eastAsia="Arial" w:hAnsi="Arial"/>
                <w:sz w:val="18"/>
                <w:szCs w:val="18"/>
                <w:i w:val="1"/>
                <w:iCs w:val="1"/>
                <w:color w:val="auto"/>
                <w:w w:val="94"/>
              </w:rPr>
              <w:t>(in millions except percentages or otherwise noted)</w:t>
            </w: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gridSpan w:val="2"/>
          </w:tcPr>
          <w:p>
            <w:pPr>
              <w:jc w:val="right"/>
              <w:ind w:right="420"/>
              <w:spacing w:after="0"/>
              <w:rPr>
                <w:sz w:val="20"/>
                <w:szCs w:val="20"/>
                <w:color w:val="auto"/>
              </w:rPr>
            </w:pPr>
            <w:r>
              <w:rPr>
                <w:rFonts w:ascii="Arial" w:cs="Arial" w:eastAsia="Arial" w:hAnsi="Arial"/>
                <w:sz w:val="18"/>
                <w:szCs w:val="18"/>
                <w:b w:val="1"/>
                <w:bCs w:val="1"/>
                <w:i w:val="1"/>
                <w:iCs w:val="1"/>
                <w:color w:val="auto"/>
                <w:w w:val="89"/>
              </w:rPr>
              <w:t>Quarter</w:t>
            </w:r>
          </w:p>
        </w:tc>
        <w:tc>
          <w:tcPr>
            <w:tcW w:w="8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20" w:type="dxa"/>
            <w:vAlign w:val="bottom"/>
            <w:gridSpan w:val="7"/>
          </w:tcPr>
          <w:p>
            <w:pPr>
              <w:jc w:val="right"/>
              <w:ind w:right="920"/>
              <w:spacing w:after="0"/>
              <w:rPr>
                <w:sz w:val="20"/>
                <w:szCs w:val="20"/>
                <w:color w:val="auto"/>
              </w:rPr>
            </w:pPr>
            <w:r>
              <w:rPr>
                <w:rFonts w:ascii="Arial" w:cs="Arial" w:eastAsia="Arial" w:hAnsi="Arial"/>
                <w:sz w:val="18"/>
                <w:szCs w:val="18"/>
                <w:b w:val="1"/>
                <w:bCs w:val="1"/>
                <w:i w:val="1"/>
                <w:iCs w:val="1"/>
                <w:color w:val="auto"/>
              </w:rPr>
              <w:t>Trailing Twelve Months</w:t>
            </w:r>
          </w:p>
        </w:tc>
      </w:tr>
      <w:tr>
        <w:trPr>
          <w:trHeight w:val="206"/>
        </w:trPr>
        <w:tc>
          <w:tcPr>
            <w:tcW w:w="4160" w:type="dxa"/>
            <w:vAlign w:val="bottom"/>
            <w:tcBorders>
              <w:bottom w:val="single" w:sz="8" w:color="CCEEFF"/>
            </w:tcBorders>
          </w:tcPr>
          <w:p>
            <w:pPr>
              <w:spacing w:after="0"/>
              <w:rPr>
                <w:sz w:val="17"/>
                <w:szCs w:val="17"/>
                <w:color w:val="auto"/>
              </w:rPr>
            </w:pPr>
          </w:p>
        </w:tc>
        <w:tc>
          <w:tcPr>
            <w:tcW w:w="220" w:type="dxa"/>
            <w:vAlign w:val="bottom"/>
            <w:tcBorders>
              <w:bottom w:val="single" w:sz="8" w:color="CCEEFF"/>
            </w:tcBorders>
          </w:tcPr>
          <w:p>
            <w:pPr>
              <w:spacing w:after="0"/>
              <w:rPr>
                <w:sz w:val="17"/>
                <w:szCs w:val="17"/>
                <w:color w:val="auto"/>
              </w:rPr>
            </w:pPr>
          </w:p>
        </w:tc>
        <w:tc>
          <w:tcPr>
            <w:tcW w:w="160" w:type="dxa"/>
            <w:vAlign w:val="bottom"/>
            <w:tcBorders>
              <w:top w:val="single" w:sz="8" w:color="auto"/>
              <w:bottom w:val="single" w:sz="8" w:color="auto"/>
            </w:tcBorders>
          </w:tcPr>
          <w:p>
            <w:pPr>
              <w:spacing w:after="0"/>
              <w:rPr>
                <w:sz w:val="17"/>
                <w:szCs w:val="17"/>
                <w:color w:val="auto"/>
              </w:rPr>
            </w:pPr>
          </w:p>
        </w:tc>
        <w:tc>
          <w:tcPr>
            <w:tcW w:w="720" w:type="dxa"/>
            <w:vAlign w:val="bottom"/>
            <w:tcBorders>
              <w:top w:val="single" w:sz="8" w:color="auto"/>
              <w:bottom w:val="single" w:sz="8" w:color="auto"/>
            </w:tcBorders>
          </w:tcPr>
          <w:p>
            <w:pPr>
              <w:jc w:val="right"/>
              <w:ind w:right="152"/>
              <w:spacing w:after="0" w:line="206" w:lineRule="exact"/>
              <w:rPr>
                <w:sz w:val="20"/>
                <w:szCs w:val="20"/>
                <w:color w:val="auto"/>
              </w:rPr>
            </w:pPr>
            <w:r>
              <w:rPr>
                <w:rFonts w:ascii="Arial" w:cs="Arial" w:eastAsia="Arial" w:hAnsi="Arial"/>
                <w:sz w:val="18"/>
                <w:szCs w:val="18"/>
                <w:b w:val="1"/>
                <w:bCs w:val="1"/>
                <w:color w:val="auto"/>
              </w:rPr>
              <w:t>2Q20</w:t>
            </w:r>
          </w:p>
        </w:tc>
        <w:tc>
          <w:tcPr>
            <w:tcW w:w="260" w:type="dxa"/>
            <w:vAlign w:val="bottom"/>
            <w:tcBorders>
              <w:top w:val="single" w:sz="8" w:color="auto"/>
              <w:bottom w:val="single" w:sz="8" w:color="CCEEFF"/>
            </w:tcBorders>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760" w:type="dxa"/>
            <w:vAlign w:val="bottom"/>
            <w:tcBorders>
              <w:top w:val="single" w:sz="8" w:color="auto"/>
              <w:bottom w:val="single" w:sz="8" w:color="auto"/>
            </w:tcBorders>
          </w:tcPr>
          <w:p>
            <w:pPr>
              <w:jc w:val="right"/>
              <w:ind w:right="152"/>
              <w:spacing w:after="0" w:line="206" w:lineRule="exact"/>
              <w:rPr>
                <w:sz w:val="20"/>
                <w:szCs w:val="20"/>
                <w:color w:val="auto"/>
              </w:rPr>
            </w:pPr>
            <w:r>
              <w:rPr>
                <w:rFonts w:ascii="Arial" w:cs="Arial" w:eastAsia="Arial" w:hAnsi="Arial"/>
                <w:sz w:val="18"/>
                <w:szCs w:val="18"/>
                <w:b w:val="1"/>
                <w:bCs w:val="1"/>
                <w:color w:val="auto"/>
              </w:rPr>
              <w:t>2Q19</w:t>
            </w:r>
          </w:p>
        </w:tc>
        <w:tc>
          <w:tcPr>
            <w:tcW w:w="260" w:type="dxa"/>
            <w:vAlign w:val="bottom"/>
            <w:tcBorders>
              <w:top w:val="single" w:sz="8" w:color="auto"/>
              <w:bottom w:val="single" w:sz="8" w:color="CCEEFF"/>
            </w:tcBorders>
          </w:tcPr>
          <w:p>
            <w:pPr>
              <w:spacing w:after="0"/>
              <w:rPr>
                <w:sz w:val="17"/>
                <w:szCs w:val="17"/>
                <w:color w:val="auto"/>
              </w:rPr>
            </w:pPr>
          </w:p>
        </w:tc>
        <w:tc>
          <w:tcPr>
            <w:tcW w:w="880" w:type="dxa"/>
            <w:vAlign w:val="bottom"/>
            <w:tcBorders>
              <w:top w:val="single" w:sz="8" w:color="auto"/>
              <w:bottom w:val="single" w:sz="8" w:color="auto"/>
            </w:tcBorders>
          </w:tcPr>
          <w:p>
            <w:pPr>
              <w:jc w:val="right"/>
              <w:spacing w:after="0" w:line="206" w:lineRule="exact"/>
              <w:rPr>
                <w:sz w:val="20"/>
                <w:szCs w:val="20"/>
                <w:color w:val="auto"/>
              </w:rPr>
            </w:pPr>
            <w:r>
              <w:rPr>
                <w:rFonts w:ascii="Arial" w:cs="Arial" w:eastAsia="Arial" w:hAnsi="Arial"/>
                <w:sz w:val="18"/>
                <w:szCs w:val="18"/>
                <w:color w:val="auto"/>
                <w:w w:val="92"/>
              </w:rPr>
              <w:t>% Change</w:t>
            </w:r>
          </w:p>
        </w:tc>
        <w:tc>
          <w:tcPr>
            <w:tcW w:w="300" w:type="dxa"/>
            <w:vAlign w:val="bottom"/>
            <w:tcBorders>
              <w:bottom w:val="single" w:sz="8" w:color="CCEEFF"/>
            </w:tcBorders>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720" w:type="dxa"/>
            <w:vAlign w:val="bottom"/>
            <w:tcBorders>
              <w:top w:val="single" w:sz="8" w:color="auto"/>
              <w:bottom w:val="single" w:sz="8" w:color="auto"/>
            </w:tcBorders>
          </w:tcPr>
          <w:p>
            <w:pPr>
              <w:jc w:val="right"/>
              <w:ind w:right="152"/>
              <w:spacing w:after="0" w:line="206" w:lineRule="exact"/>
              <w:rPr>
                <w:sz w:val="20"/>
                <w:szCs w:val="20"/>
                <w:color w:val="auto"/>
              </w:rPr>
            </w:pPr>
            <w:r>
              <w:rPr>
                <w:rFonts w:ascii="Arial" w:cs="Arial" w:eastAsia="Arial" w:hAnsi="Arial"/>
                <w:sz w:val="18"/>
                <w:szCs w:val="18"/>
                <w:b w:val="1"/>
                <w:bCs w:val="1"/>
                <w:color w:val="auto"/>
              </w:rPr>
              <w:t>2Q20</w:t>
            </w:r>
          </w:p>
        </w:tc>
        <w:tc>
          <w:tcPr>
            <w:tcW w:w="260" w:type="dxa"/>
            <w:vAlign w:val="bottom"/>
            <w:tcBorders>
              <w:top w:val="single" w:sz="8" w:color="auto"/>
              <w:bottom w:val="single" w:sz="8" w:color="CCEEFF"/>
            </w:tcBorders>
          </w:tcPr>
          <w:p>
            <w:pPr>
              <w:spacing w:after="0"/>
              <w:rPr>
                <w:sz w:val="17"/>
                <w:szCs w:val="17"/>
                <w:color w:val="auto"/>
              </w:rPr>
            </w:pPr>
          </w:p>
        </w:tc>
        <w:tc>
          <w:tcPr>
            <w:tcW w:w="160" w:type="dxa"/>
            <w:vAlign w:val="bottom"/>
            <w:tcBorders>
              <w:top w:val="single" w:sz="8" w:color="auto"/>
              <w:bottom w:val="single" w:sz="8" w:color="auto"/>
            </w:tcBorders>
          </w:tcPr>
          <w:p>
            <w:pPr>
              <w:spacing w:after="0"/>
              <w:rPr>
                <w:sz w:val="17"/>
                <w:szCs w:val="17"/>
                <w:color w:val="auto"/>
              </w:rPr>
            </w:pPr>
          </w:p>
        </w:tc>
        <w:tc>
          <w:tcPr>
            <w:tcW w:w="740" w:type="dxa"/>
            <w:vAlign w:val="bottom"/>
            <w:tcBorders>
              <w:top w:val="single" w:sz="8" w:color="auto"/>
              <w:bottom w:val="single" w:sz="8" w:color="auto"/>
            </w:tcBorders>
          </w:tcPr>
          <w:p>
            <w:pPr>
              <w:jc w:val="right"/>
              <w:ind w:right="172"/>
              <w:spacing w:after="0" w:line="206" w:lineRule="exact"/>
              <w:rPr>
                <w:sz w:val="20"/>
                <w:szCs w:val="20"/>
                <w:color w:val="auto"/>
              </w:rPr>
            </w:pPr>
            <w:r>
              <w:rPr>
                <w:rFonts w:ascii="Arial" w:cs="Arial" w:eastAsia="Arial" w:hAnsi="Arial"/>
                <w:sz w:val="18"/>
                <w:szCs w:val="18"/>
                <w:b w:val="1"/>
                <w:bCs w:val="1"/>
                <w:color w:val="auto"/>
              </w:rPr>
              <w:t>2Q19</w:t>
            </w:r>
          </w:p>
        </w:tc>
        <w:tc>
          <w:tcPr>
            <w:tcW w:w="260" w:type="dxa"/>
            <w:vAlign w:val="bottom"/>
            <w:tcBorders>
              <w:top w:val="single" w:sz="8" w:color="auto"/>
              <w:bottom w:val="single" w:sz="8" w:color="CCEEFF"/>
            </w:tcBorders>
          </w:tcPr>
          <w:p>
            <w:pPr>
              <w:spacing w:after="0"/>
              <w:rPr>
                <w:sz w:val="17"/>
                <w:szCs w:val="17"/>
                <w:color w:val="auto"/>
              </w:rPr>
            </w:pPr>
          </w:p>
        </w:tc>
        <w:tc>
          <w:tcPr>
            <w:tcW w:w="860" w:type="dxa"/>
            <w:vAlign w:val="bottom"/>
            <w:tcBorders>
              <w:top w:val="single" w:sz="8" w:color="auto"/>
              <w:bottom w:val="single" w:sz="8" w:color="auto"/>
            </w:tcBorders>
          </w:tcPr>
          <w:p>
            <w:pPr>
              <w:jc w:val="right"/>
              <w:spacing w:after="0" w:line="206" w:lineRule="exact"/>
              <w:rPr>
                <w:sz w:val="20"/>
                <w:szCs w:val="20"/>
                <w:color w:val="auto"/>
              </w:rPr>
            </w:pPr>
            <w:r>
              <w:rPr>
                <w:rFonts w:ascii="Arial" w:cs="Arial" w:eastAsia="Arial" w:hAnsi="Arial"/>
                <w:sz w:val="18"/>
                <w:szCs w:val="18"/>
                <w:color w:val="auto"/>
                <w:w w:val="92"/>
              </w:rPr>
              <w:t>% Change</w:t>
            </w:r>
          </w:p>
        </w:tc>
        <w:tc>
          <w:tcPr>
            <w:tcW w:w="220" w:type="dxa"/>
            <w:vAlign w:val="bottom"/>
            <w:tcBorders>
              <w:bottom w:val="single" w:sz="8" w:color="CCEEFF"/>
            </w:tcBorders>
          </w:tcPr>
          <w:p>
            <w:pPr>
              <w:spacing w:after="0"/>
              <w:rPr>
                <w:sz w:val="17"/>
                <w:szCs w:val="17"/>
                <w:color w:val="auto"/>
              </w:rPr>
            </w:pPr>
          </w:p>
        </w:tc>
      </w:tr>
      <w:tr>
        <w:trPr>
          <w:trHeight w:val="205"/>
        </w:trPr>
        <w:tc>
          <w:tcPr>
            <w:tcW w:w="4160" w:type="dxa"/>
            <w:vAlign w:val="bottom"/>
            <w:shd w:val="clear" w:color="auto" w:fill="CCEEFF"/>
          </w:tcPr>
          <w:p>
            <w:pPr>
              <w:spacing w:after="0" w:line="204" w:lineRule="exact"/>
              <w:rPr>
                <w:sz w:val="20"/>
                <w:szCs w:val="20"/>
                <w:color w:val="auto"/>
              </w:rPr>
            </w:pPr>
            <w:r>
              <w:rPr>
                <w:rFonts w:ascii="Arial" w:cs="Arial" w:eastAsia="Arial" w:hAnsi="Arial"/>
                <w:sz w:val="18"/>
                <w:szCs w:val="18"/>
                <w:color w:val="auto"/>
              </w:rPr>
              <w:t>Pre-tax operating earnings</w:t>
            </w: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27.4</w:t>
            </w:r>
          </w:p>
        </w:tc>
        <w:tc>
          <w:tcPr>
            <w:tcW w:w="26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53.1</w:t>
            </w:r>
          </w:p>
        </w:tc>
        <w:tc>
          <w:tcPr>
            <w:tcW w:w="26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(48)</w:t>
            </w:r>
          </w:p>
        </w:tc>
        <w:tc>
          <w:tcPr>
            <w:tcW w:w="300" w:type="dxa"/>
            <w:vAlign w:val="bottom"/>
            <w:shd w:val="clear" w:color="auto" w:fill="CCEEFF"/>
          </w:tcPr>
          <w:p>
            <w:pPr>
              <w:jc w:val="right"/>
              <w:ind w:right="12"/>
              <w:spacing w:after="0" w:line="204" w:lineRule="exact"/>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133.8</w:t>
            </w:r>
          </w:p>
        </w:tc>
        <w:tc>
          <w:tcPr>
            <w:tcW w:w="260" w:type="dxa"/>
            <w:vAlign w:val="bottom"/>
            <w:shd w:val="clear" w:color="auto" w:fill="CCEEFF"/>
          </w:tcPr>
          <w:p>
            <w:pPr>
              <w:spacing w:after="0"/>
              <w:rPr>
                <w:sz w:val="17"/>
                <w:szCs w:val="17"/>
                <w:color w:val="auto"/>
              </w:rPr>
            </w:pPr>
          </w:p>
        </w:tc>
        <w:tc>
          <w:tcPr>
            <w:tcW w:w="16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185.7</w:t>
            </w:r>
          </w:p>
        </w:tc>
        <w:tc>
          <w:tcPr>
            <w:tcW w:w="260" w:type="dxa"/>
            <w:vAlign w:val="bottom"/>
            <w:shd w:val="clear" w:color="auto" w:fill="CCEEFF"/>
          </w:tcPr>
          <w:p>
            <w:pPr>
              <w:spacing w:after="0"/>
              <w:rPr>
                <w:sz w:val="17"/>
                <w:szCs w:val="17"/>
                <w:color w:val="auto"/>
              </w:rPr>
            </w:pPr>
          </w:p>
        </w:tc>
        <w:tc>
          <w:tcPr>
            <w:tcW w:w="1080" w:type="dxa"/>
            <w:vAlign w:val="bottom"/>
            <w:gridSpan w:val="2"/>
            <w:shd w:val="clear" w:color="auto" w:fill="CCEEFF"/>
          </w:tcPr>
          <w:p>
            <w:pPr>
              <w:jc w:val="right"/>
              <w:spacing w:after="0" w:line="205" w:lineRule="exact"/>
              <w:rPr>
                <w:sz w:val="20"/>
                <w:szCs w:val="20"/>
                <w:color w:val="auto"/>
              </w:rPr>
            </w:pPr>
            <w:r>
              <w:rPr>
                <w:rFonts w:ascii="Arial" w:cs="Arial" w:eastAsia="Arial" w:hAnsi="Arial"/>
                <w:sz w:val="18"/>
                <w:szCs w:val="18"/>
                <w:color w:val="auto"/>
              </w:rPr>
              <w:t>(28)%</w:t>
            </w:r>
          </w:p>
        </w:tc>
      </w:tr>
      <w:tr>
        <w:trPr>
          <w:trHeight w:val="212"/>
        </w:trPr>
        <w:tc>
          <w:tcPr>
            <w:tcW w:w="4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r>
      <w:tr>
        <w:trPr>
          <w:trHeight w:val="212"/>
        </w:trPr>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Premium and fees</w:t>
            </w:r>
          </w:p>
        </w:tc>
        <w:tc>
          <w:tcPr>
            <w:tcW w:w="380" w:type="dxa"/>
            <w:vAlign w:val="bottom"/>
            <w:gridSpan w:val="2"/>
            <w:shd w:val="clear" w:color="auto" w:fill="CCEEFF"/>
          </w:tcPr>
          <w:p>
            <w:pPr>
              <w:jc w:val="right"/>
              <w:ind w:right="3"/>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284.4</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282.6</w:t>
            </w:r>
          </w:p>
        </w:tc>
        <w:tc>
          <w:tcPr>
            <w:tcW w:w="1180" w:type="dxa"/>
            <w:vAlign w:val="bottom"/>
            <w:gridSpan w:val="2"/>
            <w:shd w:val="clear" w:color="auto" w:fill="CCEEFF"/>
          </w:tcPr>
          <w:p>
            <w:pPr>
              <w:jc w:val="right"/>
              <w:ind w:right="72"/>
              <w:spacing w:after="0"/>
              <w:rPr>
                <w:sz w:val="20"/>
                <w:szCs w:val="20"/>
                <w:color w:val="auto"/>
              </w:rPr>
            </w:pPr>
            <w:r>
              <w:rPr>
                <w:rFonts w:ascii="Arial" w:cs="Arial" w:eastAsia="Arial" w:hAnsi="Arial"/>
                <w:sz w:val="18"/>
                <w:szCs w:val="18"/>
                <w:color w:val="auto"/>
              </w:rPr>
              <w:t>1%</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1,267.2</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1,117.9</w:t>
            </w:r>
          </w:p>
        </w:tc>
        <w:tc>
          <w:tcPr>
            <w:tcW w:w="10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13%</w:t>
            </w:r>
          </w:p>
        </w:tc>
      </w:tr>
      <w:tr>
        <w:trPr>
          <w:trHeight w:val="223"/>
        </w:trPr>
        <w:tc>
          <w:tcPr>
            <w:tcW w:w="4160" w:type="dxa"/>
            <w:vAlign w:val="bottom"/>
          </w:tcPr>
          <w:p>
            <w:pPr>
              <w:spacing w:after="0"/>
              <w:rPr>
                <w:sz w:val="20"/>
                <w:szCs w:val="20"/>
                <w:color w:val="auto"/>
              </w:rPr>
            </w:pPr>
            <w:r>
              <w:rPr>
                <w:rFonts w:ascii="Arial" w:cs="Arial" w:eastAsia="Arial" w:hAnsi="Arial"/>
                <w:sz w:val="18"/>
                <w:szCs w:val="18"/>
                <w:color w:val="auto"/>
              </w:rPr>
              <w:t>Pre-tax return on premium and fees</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9.6%</w:t>
            </w:r>
          </w:p>
        </w:tc>
        <w:tc>
          <w:tcPr>
            <w:tcW w:w="120" w:type="dxa"/>
            <w:vAlign w:val="bottom"/>
          </w:tcPr>
          <w:p>
            <w:pPr>
              <w:spacing w:after="0"/>
              <w:rPr>
                <w:sz w:val="19"/>
                <w:szCs w:val="19"/>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18.8%</w:t>
            </w:r>
          </w:p>
        </w:tc>
        <w:tc>
          <w:tcPr>
            <w:tcW w:w="8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10.6%</w:t>
            </w:r>
          </w:p>
        </w:tc>
        <w:tc>
          <w:tcPr>
            <w:tcW w:w="160" w:type="dxa"/>
            <w:vAlign w:val="bottom"/>
          </w:tcPr>
          <w:p>
            <w:pPr>
              <w:spacing w:after="0"/>
              <w:rPr>
                <w:sz w:val="19"/>
                <w:szCs w:val="19"/>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16.6%</w:t>
            </w:r>
          </w:p>
        </w:tc>
        <w:tc>
          <w:tcPr>
            <w:tcW w:w="860" w:type="dxa"/>
            <w:vAlign w:val="bottom"/>
          </w:tcPr>
          <w:p>
            <w:pPr>
              <w:spacing w:after="0"/>
              <w:rPr>
                <w:sz w:val="19"/>
                <w:szCs w:val="19"/>
                <w:color w:val="auto"/>
              </w:rPr>
            </w:pPr>
          </w:p>
        </w:tc>
        <w:tc>
          <w:tcPr>
            <w:tcW w:w="220" w:type="dxa"/>
            <w:vAlign w:val="bottom"/>
          </w:tcPr>
          <w:p>
            <w:pPr>
              <w:spacing w:after="0"/>
              <w:rPr>
                <w:sz w:val="19"/>
                <w:szCs w:val="19"/>
                <w:color w:val="auto"/>
              </w:rPr>
            </w:pPr>
          </w:p>
        </w:tc>
      </w:tr>
    </w:tbl>
    <w:p>
      <w:pPr>
        <w:sectPr>
          <w:pgSz w:w="11900" w:h="16838" w:orient="portrait"/>
          <w:cols w:equalWidth="0" w:num="1">
            <w:col w:w="11240"/>
          </w:cols>
          <w:pgMar w:left="320" w:top="1440" w:right="339" w:bottom="0" w:gutter="0" w:footer="0" w:header="0"/>
        </w:sectPr>
      </w:pPr>
    </w:p>
    <w:bookmarkStart w:id="12" w:name="page13"/>
    <w:bookmarkEnd w:id="12"/>
    <w:p>
      <w:pPr>
        <w:ind w:left="640" w:hanging="316"/>
        <w:spacing w:after="0"/>
        <w:tabs>
          <w:tab w:leader="none" w:pos="640" w:val="left"/>
        </w:tabs>
        <w:numPr>
          <w:ilvl w:val="0"/>
          <w:numId w:val="20"/>
        </w:numPr>
        <w:rPr>
          <w:rFonts w:ascii="Arial" w:cs="Arial" w:eastAsia="Arial" w:hAnsi="Arial"/>
          <w:sz w:val="15"/>
          <w:szCs w:val="15"/>
          <w:color w:val="auto"/>
          <w:strike w:val="1"/>
        </w:rPr>
      </w:pPr>
      <w:r>
        <w:rPr>
          <w:rFonts w:ascii="Arial" w:cs="Arial" w:eastAsia="Arial" w:hAnsi="Arial"/>
          <w:sz w:val="15"/>
          <w:szCs w:val="15"/>
          <w:b w:val="1"/>
          <w:bCs w:val="1"/>
          <w:color w:val="auto"/>
        </w:rPr>
        <w:t xml:space="preserve">Pre-tax operating earnings </w:t>
      </w:r>
      <w:r>
        <w:rPr>
          <w:rFonts w:ascii="Arial" w:cs="Arial" w:eastAsia="Arial" w:hAnsi="Arial"/>
          <w:sz w:val="15"/>
          <w:szCs w:val="15"/>
          <w:color w:val="auto"/>
        </w:rPr>
        <w:t>decreased $25.7 million primarily due to unfavorable COVID-19 related impacts and lower variable investment income.</w:t>
      </w:r>
    </w:p>
    <w:p>
      <w:pPr>
        <w:spacing w:after="0" w:line="251" w:lineRule="exact"/>
        <w:rPr>
          <w:rFonts w:ascii="Arial" w:cs="Arial" w:eastAsia="Arial" w:hAnsi="Arial"/>
          <w:sz w:val="15"/>
          <w:szCs w:val="15"/>
          <w:color w:val="auto"/>
          <w:strike w:val="1"/>
        </w:rPr>
      </w:pPr>
    </w:p>
    <w:p>
      <w:pPr>
        <w:ind w:left="640" w:hanging="316"/>
        <w:spacing w:after="0"/>
        <w:tabs>
          <w:tab w:leader="none" w:pos="640" w:val="left"/>
        </w:tabs>
        <w:numPr>
          <w:ilvl w:val="0"/>
          <w:numId w:val="20"/>
        </w:numPr>
        <w:rPr>
          <w:rFonts w:ascii="Arial" w:cs="Arial" w:eastAsia="Arial" w:hAnsi="Arial"/>
          <w:sz w:val="18"/>
          <w:szCs w:val="18"/>
          <w:color w:val="auto"/>
          <w:strike w:val="1"/>
        </w:rPr>
      </w:pPr>
      <w:r>
        <w:rPr>
          <w:rFonts w:ascii="Arial" w:cs="Arial" w:eastAsia="Arial" w:hAnsi="Arial"/>
          <w:sz w:val="18"/>
          <w:szCs w:val="18"/>
          <w:b w:val="1"/>
          <w:bCs w:val="1"/>
          <w:color w:val="auto"/>
        </w:rPr>
        <w:t xml:space="preserve">Premium and fees </w:t>
      </w:r>
      <w:r>
        <w:rPr>
          <w:rFonts w:ascii="Arial" w:cs="Arial" w:eastAsia="Arial" w:hAnsi="Arial"/>
          <w:sz w:val="18"/>
          <w:szCs w:val="18"/>
          <w:color w:val="auto"/>
        </w:rPr>
        <w:t>increased $1.8 million.</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4600" w:type="dxa"/>
            <w:vAlign w:val="bottom"/>
          </w:tcPr>
          <w:p>
            <w:pPr>
              <w:spacing w:after="0"/>
              <w:rPr>
                <w:sz w:val="20"/>
                <w:szCs w:val="20"/>
                <w:color w:val="auto"/>
              </w:rPr>
            </w:pPr>
            <w:r>
              <w:rPr>
                <w:rFonts w:ascii="Arial" w:cs="Arial" w:eastAsia="Arial" w:hAnsi="Arial"/>
                <w:sz w:val="18"/>
                <w:szCs w:val="18"/>
                <w:b w:val="1"/>
                <w:bCs w:val="1"/>
                <w:color w:val="auto"/>
              </w:rPr>
              <w:t>Corporate</w:t>
            </w:r>
          </w:p>
        </w:tc>
        <w:tc>
          <w:tcPr>
            <w:tcW w:w="1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20" w:type="dxa"/>
            <w:vAlign w:val="bottom"/>
          </w:tcPr>
          <w:p>
            <w:pPr>
              <w:spacing w:after="0"/>
              <w:rPr>
                <w:sz w:val="19"/>
                <w:szCs w:val="19"/>
                <w:color w:val="auto"/>
              </w:rPr>
            </w:pPr>
          </w:p>
        </w:tc>
      </w:tr>
      <w:tr>
        <w:trPr>
          <w:trHeight w:val="438"/>
        </w:trPr>
        <w:tc>
          <w:tcPr>
            <w:tcW w:w="4600" w:type="dxa"/>
            <w:vAlign w:val="bottom"/>
          </w:tcPr>
          <w:p>
            <w:pPr>
              <w:ind w:left="440"/>
              <w:spacing w:after="0"/>
              <w:rPr>
                <w:sz w:val="20"/>
                <w:szCs w:val="20"/>
                <w:color w:val="auto"/>
              </w:rPr>
            </w:pPr>
            <w:r>
              <w:rPr>
                <w:rFonts w:ascii="Arial" w:cs="Arial" w:eastAsia="Arial" w:hAnsi="Arial"/>
                <w:sz w:val="18"/>
                <w:szCs w:val="18"/>
                <w:i w:val="1"/>
                <w:iCs w:val="1"/>
                <w:color w:val="auto"/>
              </w:rPr>
              <w:t>(in millions except percentages or otherwise noted)</w:t>
            </w:r>
          </w:p>
        </w:tc>
        <w:tc>
          <w:tcPr>
            <w:tcW w:w="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gridSpan w:val="2"/>
          </w:tcPr>
          <w:p>
            <w:pPr>
              <w:jc w:val="center"/>
              <w:ind w:right="340"/>
              <w:spacing w:after="0"/>
              <w:rPr>
                <w:sz w:val="20"/>
                <w:szCs w:val="20"/>
                <w:color w:val="auto"/>
              </w:rPr>
            </w:pPr>
            <w:r>
              <w:rPr>
                <w:rFonts w:ascii="Arial" w:cs="Arial" w:eastAsia="Arial" w:hAnsi="Arial"/>
                <w:sz w:val="18"/>
                <w:szCs w:val="18"/>
                <w:b w:val="1"/>
                <w:bCs w:val="1"/>
                <w:i w:val="1"/>
                <w:iCs w:val="1"/>
                <w:color w:val="auto"/>
                <w:w w:val="89"/>
              </w:rPr>
              <w:t>Quarter</w:t>
            </w:r>
          </w:p>
        </w:tc>
        <w:tc>
          <w:tcPr>
            <w:tcW w:w="9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140" w:type="dxa"/>
            <w:vAlign w:val="bottom"/>
            <w:gridSpan w:val="8"/>
          </w:tcPr>
          <w:p>
            <w:pPr>
              <w:jc w:val="center"/>
              <w:ind w:right="360"/>
              <w:spacing w:after="0"/>
              <w:rPr>
                <w:sz w:val="20"/>
                <w:szCs w:val="20"/>
                <w:color w:val="auto"/>
              </w:rPr>
            </w:pPr>
            <w:r>
              <w:rPr>
                <w:rFonts w:ascii="Arial" w:cs="Arial" w:eastAsia="Arial" w:hAnsi="Arial"/>
                <w:sz w:val="18"/>
                <w:szCs w:val="18"/>
                <w:b w:val="1"/>
                <w:bCs w:val="1"/>
                <w:i w:val="1"/>
                <w:iCs w:val="1"/>
                <w:color w:val="auto"/>
                <w:w w:val="87"/>
              </w:rPr>
              <w:t>Trailing Twelve Months</w:t>
            </w:r>
          </w:p>
        </w:tc>
      </w:tr>
      <w:tr>
        <w:trPr>
          <w:trHeight w:val="206"/>
        </w:trPr>
        <w:tc>
          <w:tcPr>
            <w:tcW w:w="4600" w:type="dxa"/>
            <w:vAlign w:val="bottom"/>
            <w:tcBorders>
              <w:bottom w:val="single" w:sz="8" w:color="CCEEFF"/>
            </w:tcBorders>
          </w:tcPr>
          <w:p>
            <w:pPr>
              <w:spacing w:after="0"/>
              <w:rPr>
                <w:sz w:val="17"/>
                <w:szCs w:val="17"/>
                <w:color w:val="auto"/>
              </w:rPr>
            </w:pPr>
          </w:p>
        </w:tc>
        <w:tc>
          <w:tcPr>
            <w:tcW w:w="160" w:type="dxa"/>
            <w:vAlign w:val="bottom"/>
            <w:tcBorders>
              <w:top w:val="single" w:sz="8" w:color="auto"/>
              <w:bottom w:val="single" w:sz="8" w:color="auto"/>
            </w:tcBorders>
          </w:tcPr>
          <w:p>
            <w:pPr>
              <w:spacing w:after="0"/>
              <w:rPr>
                <w:sz w:val="17"/>
                <w:szCs w:val="17"/>
                <w:color w:val="auto"/>
              </w:rPr>
            </w:pPr>
          </w:p>
        </w:tc>
        <w:tc>
          <w:tcPr>
            <w:tcW w:w="720" w:type="dxa"/>
            <w:vAlign w:val="bottom"/>
            <w:tcBorders>
              <w:top w:val="single" w:sz="8" w:color="auto"/>
              <w:bottom w:val="single" w:sz="8" w:color="auto"/>
            </w:tcBorders>
          </w:tcPr>
          <w:p>
            <w:pPr>
              <w:jc w:val="right"/>
              <w:ind w:right="152"/>
              <w:spacing w:after="0" w:line="206" w:lineRule="exact"/>
              <w:rPr>
                <w:sz w:val="20"/>
                <w:szCs w:val="20"/>
                <w:color w:val="auto"/>
              </w:rPr>
            </w:pPr>
            <w:r>
              <w:rPr>
                <w:rFonts w:ascii="Arial" w:cs="Arial" w:eastAsia="Arial" w:hAnsi="Arial"/>
                <w:sz w:val="18"/>
                <w:szCs w:val="18"/>
                <w:b w:val="1"/>
                <w:bCs w:val="1"/>
                <w:color w:val="auto"/>
              </w:rPr>
              <w:t>2Q20</w:t>
            </w:r>
          </w:p>
        </w:tc>
        <w:tc>
          <w:tcPr>
            <w:tcW w:w="220" w:type="dxa"/>
            <w:vAlign w:val="bottom"/>
            <w:tcBorders>
              <w:top w:val="single" w:sz="8" w:color="auto"/>
              <w:bottom w:val="single" w:sz="8" w:color="CCEEFF"/>
            </w:tcBorders>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760" w:type="dxa"/>
            <w:vAlign w:val="bottom"/>
            <w:tcBorders>
              <w:top w:val="single" w:sz="8" w:color="auto"/>
              <w:bottom w:val="single" w:sz="8" w:color="auto"/>
            </w:tcBorders>
          </w:tcPr>
          <w:p>
            <w:pPr>
              <w:jc w:val="center"/>
              <w:ind w:right="32"/>
              <w:spacing w:after="0" w:line="206" w:lineRule="exact"/>
              <w:rPr>
                <w:sz w:val="20"/>
                <w:szCs w:val="20"/>
                <w:color w:val="auto"/>
              </w:rPr>
            </w:pPr>
            <w:r>
              <w:rPr>
                <w:rFonts w:ascii="Arial" w:cs="Arial" w:eastAsia="Arial" w:hAnsi="Arial"/>
                <w:sz w:val="18"/>
                <w:szCs w:val="18"/>
                <w:b w:val="1"/>
                <w:bCs w:val="1"/>
                <w:color w:val="auto"/>
                <w:w w:val="90"/>
              </w:rPr>
              <w:t>2Q19</w:t>
            </w:r>
          </w:p>
        </w:tc>
        <w:tc>
          <w:tcPr>
            <w:tcW w:w="200" w:type="dxa"/>
            <w:vAlign w:val="bottom"/>
            <w:tcBorders>
              <w:top w:val="single" w:sz="8" w:color="auto"/>
              <w:bottom w:val="single" w:sz="8" w:color="CCEEFF"/>
            </w:tcBorders>
          </w:tcPr>
          <w:p>
            <w:pPr>
              <w:spacing w:after="0"/>
              <w:rPr>
                <w:sz w:val="17"/>
                <w:szCs w:val="17"/>
                <w:color w:val="auto"/>
              </w:rPr>
            </w:pPr>
          </w:p>
        </w:tc>
        <w:tc>
          <w:tcPr>
            <w:tcW w:w="900" w:type="dxa"/>
            <w:vAlign w:val="bottom"/>
            <w:tcBorders>
              <w:top w:val="single" w:sz="8" w:color="auto"/>
              <w:bottom w:val="single" w:sz="8" w:color="auto"/>
            </w:tcBorders>
          </w:tcPr>
          <w:p>
            <w:pPr>
              <w:ind w:left="80"/>
              <w:spacing w:after="0" w:line="206" w:lineRule="exact"/>
              <w:rPr>
                <w:sz w:val="20"/>
                <w:szCs w:val="20"/>
                <w:color w:val="auto"/>
              </w:rPr>
            </w:pPr>
            <w:r>
              <w:rPr>
                <w:rFonts w:ascii="Arial" w:cs="Arial" w:eastAsia="Arial" w:hAnsi="Arial"/>
                <w:sz w:val="18"/>
                <w:szCs w:val="18"/>
                <w:color w:val="auto"/>
                <w:w w:val="95"/>
              </w:rPr>
              <w:t>% Change</w:t>
            </w:r>
          </w:p>
        </w:tc>
        <w:tc>
          <w:tcPr>
            <w:tcW w:w="260" w:type="dxa"/>
            <w:vAlign w:val="bottom"/>
            <w:tcBorders>
              <w:bottom w:val="single" w:sz="8" w:color="CCEEFF"/>
            </w:tcBorders>
          </w:tcPr>
          <w:p>
            <w:pPr>
              <w:spacing w:after="0"/>
              <w:rPr>
                <w:sz w:val="17"/>
                <w:szCs w:val="17"/>
                <w:color w:val="auto"/>
              </w:rPr>
            </w:pPr>
          </w:p>
        </w:tc>
        <w:tc>
          <w:tcPr>
            <w:tcW w:w="160" w:type="dxa"/>
            <w:vAlign w:val="bottom"/>
            <w:tcBorders>
              <w:top w:val="single" w:sz="8" w:color="auto"/>
              <w:bottom w:val="single" w:sz="8" w:color="auto"/>
            </w:tcBorders>
          </w:tcPr>
          <w:p>
            <w:pPr>
              <w:spacing w:after="0"/>
              <w:rPr>
                <w:sz w:val="17"/>
                <w:szCs w:val="17"/>
                <w:color w:val="auto"/>
              </w:rPr>
            </w:pPr>
          </w:p>
        </w:tc>
        <w:tc>
          <w:tcPr>
            <w:tcW w:w="740" w:type="dxa"/>
            <w:vAlign w:val="bottom"/>
            <w:tcBorders>
              <w:top w:val="single" w:sz="8" w:color="auto"/>
              <w:bottom w:val="single" w:sz="8" w:color="auto"/>
            </w:tcBorders>
          </w:tcPr>
          <w:p>
            <w:pPr>
              <w:ind w:left="80"/>
              <w:spacing w:after="0" w:line="206" w:lineRule="exact"/>
              <w:rPr>
                <w:sz w:val="20"/>
                <w:szCs w:val="20"/>
                <w:color w:val="auto"/>
              </w:rPr>
            </w:pPr>
            <w:r>
              <w:rPr>
                <w:rFonts w:ascii="Arial" w:cs="Arial" w:eastAsia="Arial" w:hAnsi="Arial"/>
                <w:sz w:val="18"/>
                <w:szCs w:val="18"/>
                <w:b w:val="1"/>
                <w:bCs w:val="1"/>
                <w:color w:val="auto"/>
              </w:rPr>
              <w:t>2Q20</w:t>
            </w:r>
          </w:p>
        </w:tc>
        <w:tc>
          <w:tcPr>
            <w:tcW w:w="120" w:type="dxa"/>
            <w:vAlign w:val="bottom"/>
            <w:tcBorders>
              <w:top w:val="single" w:sz="8" w:color="auto"/>
              <w:bottom w:val="single" w:sz="8" w:color="CCEEFF"/>
            </w:tcBorders>
          </w:tcPr>
          <w:p>
            <w:pPr>
              <w:spacing w:after="0"/>
              <w:rPr>
                <w:sz w:val="17"/>
                <w:szCs w:val="17"/>
                <w:color w:val="auto"/>
              </w:rPr>
            </w:pPr>
          </w:p>
        </w:tc>
        <w:tc>
          <w:tcPr>
            <w:tcW w:w="80" w:type="dxa"/>
            <w:vAlign w:val="bottom"/>
            <w:tcBorders>
              <w:top w:val="single" w:sz="8" w:color="auto"/>
              <w:bottom w:val="single" w:sz="8" w:color="CCEEFF"/>
            </w:tcBorders>
          </w:tcPr>
          <w:p>
            <w:pPr>
              <w:spacing w:after="0"/>
              <w:rPr>
                <w:sz w:val="17"/>
                <w:szCs w:val="17"/>
                <w:color w:val="auto"/>
              </w:rPr>
            </w:pPr>
          </w:p>
        </w:tc>
        <w:tc>
          <w:tcPr>
            <w:tcW w:w="160" w:type="dxa"/>
            <w:vAlign w:val="bottom"/>
            <w:tcBorders>
              <w:top w:val="single" w:sz="8" w:color="auto"/>
              <w:bottom w:val="single" w:sz="8" w:color="auto"/>
            </w:tcBorders>
          </w:tcPr>
          <w:p>
            <w:pPr>
              <w:spacing w:after="0"/>
              <w:rPr>
                <w:sz w:val="17"/>
                <w:szCs w:val="17"/>
                <w:color w:val="auto"/>
              </w:rPr>
            </w:pPr>
          </w:p>
        </w:tc>
        <w:tc>
          <w:tcPr>
            <w:tcW w:w="740" w:type="dxa"/>
            <w:vAlign w:val="bottom"/>
            <w:tcBorders>
              <w:top w:val="single" w:sz="8" w:color="auto"/>
              <w:bottom w:val="single" w:sz="8" w:color="auto"/>
            </w:tcBorders>
          </w:tcPr>
          <w:p>
            <w:pPr>
              <w:jc w:val="center"/>
              <w:ind w:right="92"/>
              <w:spacing w:after="0" w:line="206" w:lineRule="exact"/>
              <w:rPr>
                <w:sz w:val="20"/>
                <w:szCs w:val="20"/>
                <w:color w:val="auto"/>
              </w:rPr>
            </w:pPr>
            <w:r>
              <w:rPr>
                <w:rFonts w:ascii="Arial" w:cs="Arial" w:eastAsia="Arial" w:hAnsi="Arial"/>
                <w:sz w:val="18"/>
                <w:szCs w:val="18"/>
                <w:b w:val="1"/>
                <w:bCs w:val="1"/>
                <w:color w:val="auto"/>
                <w:w w:val="90"/>
              </w:rPr>
              <w:t>2Q19</w:t>
            </w:r>
          </w:p>
        </w:tc>
        <w:tc>
          <w:tcPr>
            <w:tcW w:w="200" w:type="dxa"/>
            <w:vAlign w:val="bottom"/>
            <w:tcBorders>
              <w:top w:val="single" w:sz="8" w:color="auto"/>
              <w:bottom w:val="single" w:sz="8" w:color="CCEEFF"/>
            </w:tcBorders>
          </w:tcPr>
          <w:p>
            <w:pPr>
              <w:spacing w:after="0"/>
              <w:rPr>
                <w:sz w:val="17"/>
                <w:szCs w:val="17"/>
                <w:color w:val="auto"/>
              </w:rPr>
            </w:pPr>
          </w:p>
        </w:tc>
        <w:tc>
          <w:tcPr>
            <w:tcW w:w="880" w:type="dxa"/>
            <w:vAlign w:val="bottom"/>
            <w:tcBorders>
              <w:top w:val="single" w:sz="8" w:color="auto"/>
              <w:bottom w:val="single" w:sz="8" w:color="auto"/>
            </w:tcBorders>
          </w:tcPr>
          <w:p>
            <w:pPr>
              <w:ind w:left="80"/>
              <w:spacing w:after="0" w:line="206" w:lineRule="exact"/>
              <w:rPr>
                <w:sz w:val="20"/>
                <w:szCs w:val="20"/>
                <w:color w:val="auto"/>
              </w:rPr>
            </w:pPr>
            <w:r>
              <w:rPr>
                <w:rFonts w:ascii="Arial" w:cs="Arial" w:eastAsia="Arial" w:hAnsi="Arial"/>
                <w:sz w:val="18"/>
                <w:szCs w:val="18"/>
                <w:color w:val="auto"/>
                <w:w w:val="92"/>
              </w:rPr>
              <w:t>% Change</w:t>
            </w:r>
          </w:p>
        </w:tc>
        <w:tc>
          <w:tcPr>
            <w:tcW w:w="220" w:type="dxa"/>
            <w:vAlign w:val="bottom"/>
            <w:tcBorders>
              <w:bottom w:val="single" w:sz="8" w:color="CCEEFF"/>
            </w:tcBorders>
          </w:tcPr>
          <w:p>
            <w:pPr>
              <w:spacing w:after="0"/>
              <w:rPr>
                <w:sz w:val="17"/>
                <w:szCs w:val="17"/>
                <w:color w:val="auto"/>
              </w:rPr>
            </w:pPr>
          </w:p>
        </w:tc>
      </w:tr>
      <w:tr>
        <w:trPr>
          <w:trHeight w:val="205"/>
        </w:trPr>
        <w:tc>
          <w:tcPr>
            <w:tcW w:w="4600" w:type="dxa"/>
            <w:vAlign w:val="bottom"/>
            <w:shd w:val="clear" w:color="auto" w:fill="CCEEFF"/>
          </w:tcPr>
          <w:p>
            <w:pPr>
              <w:spacing w:after="0" w:line="204" w:lineRule="exact"/>
              <w:rPr>
                <w:sz w:val="20"/>
                <w:szCs w:val="20"/>
                <w:color w:val="auto"/>
              </w:rPr>
            </w:pPr>
            <w:r>
              <w:rPr>
                <w:rFonts w:ascii="Arial" w:cs="Arial" w:eastAsia="Arial" w:hAnsi="Arial"/>
                <w:sz w:val="18"/>
                <w:szCs w:val="18"/>
                <w:color w:val="auto"/>
              </w:rPr>
              <w:t>Pre-tax operating losses</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(84.0)</w:t>
            </w:r>
          </w:p>
        </w:tc>
        <w:tc>
          <w:tcPr>
            <w:tcW w:w="22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(98.1)</w:t>
            </w:r>
          </w:p>
        </w:tc>
        <w:tc>
          <w:tcPr>
            <w:tcW w:w="200" w:type="dxa"/>
            <w:vAlign w:val="bottom"/>
            <w:shd w:val="clear" w:color="auto" w:fill="CCEEFF"/>
          </w:tcPr>
          <w:p>
            <w:pPr>
              <w:spacing w:after="0"/>
              <w:rPr>
                <w:sz w:val="17"/>
                <w:szCs w:val="17"/>
                <w:color w:val="auto"/>
              </w:rPr>
            </w:pPr>
          </w:p>
        </w:tc>
        <w:tc>
          <w:tcPr>
            <w:tcW w:w="1160" w:type="dxa"/>
            <w:vAlign w:val="bottom"/>
            <w:gridSpan w:val="2"/>
            <w:shd w:val="clear" w:color="auto" w:fill="CCEEFF"/>
          </w:tcPr>
          <w:p>
            <w:pPr>
              <w:jc w:val="right"/>
              <w:ind w:right="120"/>
              <w:spacing w:after="0" w:line="205" w:lineRule="exact"/>
              <w:rPr>
                <w:sz w:val="20"/>
                <w:szCs w:val="20"/>
                <w:color w:val="auto"/>
              </w:rPr>
            </w:pPr>
            <w:r>
              <w:rPr>
                <w:rFonts w:ascii="Arial" w:cs="Arial" w:eastAsia="Arial" w:hAnsi="Arial"/>
                <w:sz w:val="18"/>
                <w:szCs w:val="18"/>
                <w:color w:val="auto"/>
              </w:rPr>
              <w:t>14%</w:t>
            </w:r>
          </w:p>
        </w:tc>
        <w:tc>
          <w:tcPr>
            <w:tcW w:w="16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80"/>
              <w:spacing w:after="0" w:line="205" w:lineRule="exact"/>
              <w:rPr>
                <w:sz w:val="20"/>
                <w:szCs w:val="20"/>
                <w:color w:val="auto"/>
              </w:rPr>
            </w:pPr>
            <w:r>
              <w:rPr>
                <w:rFonts w:ascii="Arial" w:cs="Arial" w:eastAsia="Arial" w:hAnsi="Arial"/>
                <w:sz w:val="18"/>
                <w:szCs w:val="18"/>
                <w:color w:val="auto"/>
              </w:rPr>
              <w:t>(372.9)</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160"/>
              <w:spacing w:after="0" w:line="205" w:lineRule="exact"/>
              <w:rPr>
                <w:sz w:val="20"/>
                <w:szCs w:val="20"/>
                <w:color w:val="auto"/>
              </w:rPr>
            </w:pPr>
            <w:r>
              <w:rPr>
                <w:rFonts w:ascii="Arial" w:cs="Arial" w:eastAsia="Arial" w:hAnsi="Arial"/>
                <w:sz w:val="18"/>
                <w:szCs w:val="18"/>
                <w:color w:val="auto"/>
              </w:rPr>
              <w:t>(313.6)</w:t>
            </w:r>
          </w:p>
        </w:tc>
        <w:tc>
          <w:tcPr>
            <w:tcW w:w="1100" w:type="dxa"/>
            <w:vAlign w:val="bottom"/>
            <w:gridSpan w:val="2"/>
            <w:shd w:val="clear" w:color="auto" w:fill="CCEEFF"/>
          </w:tcPr>
          <w:p>
            <w:pPr>
              <w:jc w:val="right"/>
              <w:spacing w:after="0" w:line="205" w:lineRule="exact"/>
              <w:rPr>
                <w:sz w:val="20"/>
                <w:szCs w:val="20"/>
                <w:color w:val="auto"/>
              </w:rPr>
            </w:pPr>
            <w:r>
              <w:rPr>
                <w:rFonts w:ascii="Arial" w:cs="Arial" w:eastAsia="Arial" w:hAnsi="Arial"/>
                <w:sz w:val="18"/>
                <w:szCs w:val="18"/>
                <w:color w:val="auto"/>
              </w:rPr>
              <w:t>(19)%</w:t>
            </w:r>
          </w:p>
        </w:tc>
      </w:tr>
    </w:tbl>
    <w:p>
      <w:pPr>
        <w:spacing w:after="0" w:line="194" w:lineRule="exact"/>
        <w:rPr>
          <w:sz w:val="20"/>
          <w:szCs w:val="20"/>
          <w:color w:val="auto"/>
        </w:rPr>
      </w:pPr>
    </w:p>
    <w:p>
      <w:pPr>
        <w:ind w:right="3740" w:firstLine="324"/>
        <w:spacing w:after="0" w:line="763" w:lineRule="auto"/>
        <w:tabs>
          <w:tab w:leader="none" w:pos="636" w:val="left"/>
        </w:tabs>
        <w:numPr>
          <w:ilvl w:val="0"/>
          <w:numId w:val="21"/>
        </w:numPr>
        <w:rPr>
          <w:rFonts w:ascii="Arial" w:cs="Arial" w:eastAsia="Arial" w:hAnsi="Arial"/>
          <w:sz w:val="18"/>
          <w:szCs w:val="18"/>
          <w:color w:val="auto"/>
        </w:rPr>
      </w:pPr>
      <w:r>
        <w:rPr>
          <w:rFonts w:ascii="Arial" w:cs="Arial" w:eastAsia="Arial" w:hAnsi="Arial"/>
          <w:sz w:val="18"/>
          <w:szCs w:val="18"/>
          <w:b w:val="1"/>
          <w:bCs w:val="1"/>
          <w:color w:val="auto"/>
        </w:rPr>
        <w:t xml:space="preserve">Pre-tax operating losses </w:t>
      </w:r>
      <w:r>
        <w:rPr>
          <w:rFonts w:ascii="Arial" w:cs="Arial" w:eastAsia="Arial" w:hAnsi="Arial"/>
          <w:sz w:val="18"/>
          <w:szCs w:val="18"/>
          <w:color w:val="auto"/>
        </w:rPr>
        <w:t>decreased $14.1 million primarily due to expense management actions.</w:t>
      </w:r>
      <w:r>
        <w:rPr>
          <w:rFonts w:ascii="Arial" w:cs="Arial" w:eastAsia="Arial" w:hAnsi="Arial"/>
          <w:sz w:val="18"/>
          <w:szCs w:val="18"/>
          <w:b w:val="1"/>
          <w:bCs w:val="1"/>
          <w:color w:val="auto"/>
        </w:rPr>
        <w:t xml:space="preserve"> </w:t>
      </w:r>
      <w:r>
        <w:rPr>
          <w:rFonts w:ascii="Arial" w:cs="Arial" w:eastAsia="Arial" w:hAnsi="Arial"/>
          <w:sz w:val="18"/>
          <w:szCs w:val="18"/>
          <w:color w:val="auto"/>
        </w:rPr>
        <w:t>Classification: Company Confidential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-285115</wp:posOffset>
            </wp:positionV>
            <wp:extent cx="713486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4860" cy="825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3" w:name="page14"/>
    <w:bookmarkEnd w:id="1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207010</wp:posOffset>
            </wp:positionH>
            <wp:positionV relativeFrom="page">
              <wp:posOffset>2377440</wp:posOffset>
            </wp:positionV>
            <wp:extent cx="7134860" cy="22040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clrChange>
                        <a:clrFrom>
                          <a:srgbClr val="FFFFFF"/>
                        </a:clrFrom>
                        <a:clrTo>
                          <a:srgbClr val="FFFFFF">
                            <a:alpha val="0"/>
                          </a:srgbClr>
                        </a:clrTo>
                      </a:clrChange>
                      <a:extLst>
                        <a:ext uri="{28A0092B-C50C-407E-A947-70E740481C1C}"/>
                      </a:extLst>
                    </a:blip>
                    <a:srcRect/>
                    <a:stretch>
                      <a:fillRect/>
                    </a:stretch>
                  </pic:blipFill>
                  <pic:spPr bwMode="auto">
                    <a:xfrm>
                      <a:off x="0" y="0"/>
                      <a:ext cx="7134860" cy="22040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 looking and cautionary statements</w:t>
      </w:r>
    </w:p>
    <w:p>
      <w:pPr>
        <w:spacing w:after="0" w:line="223" w:lineRule="exact"/>
        <w:rPr>
          <w:sz w:val="20"/>
          <w:szCs w:val="20"/>
          <w:color w:val="auto"/>
        </w:rPr>
      </w:pPr>
    </w:p>
    <w:p>
      <w:pPr>
        <w:spacing w:after="0" w:line="297" w:lineRule="auto"/>
        <w:rPr>
          <w:sz w:val="20"/>
          <w:szCs w:val="20"/>
          <w:color w:val="auto"/>
        </w:rPr>
      </w:pPr>
      <w:r>
        <w:rPr>
          <w:rFonts w:ascii="Arial" w:cs="Arial" w:eastAsia="Arial" w:hAnsi="Arial"/>
          <w:sz w:val="15"/>
          <w:szCs w:val="15"/>
          <w:color w:val="auto"/>
        </w:rPr>
        <w:t>Certain statements made by the company which are not historical facts may be considered forward-looking statements, including, without limitation, statements as to non-GAAP operating earnings, net income attributable to PFG, net cash flow, realized and unrealized gains and losses, capital and liquidity positions, sales and earnings trends, and management’s beliefs, expectations, goals and opinions. The company does not undertake to update these statements, which are based on a number of assumptions concerning future conditions that may ultimately prove to be inaccurate. Future events and their effects on the company may not be those anticipated, and actual results may differ materially from the results anticipated in these forward-looking statements. The risks, uncertainties and factors that could cause or contribute to such material differences are discussed in the company’s annual report on Form 10-K for the year ended Dec. 31, 2019, and in the company’s quarterly report on Form 10-Q for the quarter ended March 31, 2020, filed by the company with the U.S. Securities and Exchange Commission, as updated or supplemented from time to time in subsequent filings. These risks and uncertainties include, without limitation: adverse capital and credit market conditions may significantly affect the company’s ability to meet liquidity needs, access to capital and cost of capital; conditions in the global capital markets and the economy generally; volatility or declines in the equity, bond or real estate markets; changes in interest rates or credit spreads or a sustained low interest rate environment; the elimination of the London Inter-Bank Offered Rate (“LIBOR”); the company’s investment portfolio is subject to several risks that may diminish the value of its invested assets and the investment returns credited to customers; the company’s valuation of investments and the determination of the amount of allowances and impairments taken on such investments may include methodologies, estimations and assumptions that are subject to differing interpretations; any impairments of or valuation allowances against the company’s deferred tax assets; the company’s actual experience for insurance and annuity products could differ significantly from its pricing and reserving assumptions; the pattern of amortizing the company’s DAC asset and other actuarial balances on its universal life-type insurance contracts, participating life insurance policies and certain investment contracts may change; changes in laws, regulations or accounting standards; the company may not be able to protect its intellectual property and may be subject to infringement claims; the company’s ability to pay stockholder dividends and meet its obligations may be constrained by the limitations on dividends Iowa insurance laws impose on Principal Life; litigation and regulatory investigations; from time to time the company may become subject to tax audits, tax litigation or similar proceedings, and as a result it may owe additional taxes, interest and penalties in amounts that may be material; applicable laws and the company’s certificate of incorporation and by-laws may discourage takeovers and business combinations that some stockholders might consider in their best interests; competition, including from companies that may have greater financial resources, broader arrays of products, higher ratings and stronger financial performance; technological and societal changes may disrupt the company’s business model and impair its ability to retain existing customers, attract new customers and maintain its profitability; damage to the company’s reputation; a downgrade in the company’s financial strength or credit ratings; client terminations, withdrawals or changes in investor preferences; the company’s hedging or risk management strategies prove ineffective or insufficient; inability to attract and retain qualified employees and sales representatives and develop new distribution sources; an interruption in telecommunication, information technology or other systems, or a failure to maintain the confidentiality, integrity or availability of data</w:t>
      </w:r>
    </w:p>
    <w:p>
      <w:pPr>
        <w:sectPr>
          <w:pgSz w:w="11900" w:h="16838" w:orient="portrait"/>
          <w:cols w:equalWidth="0" w:num="1">
            <w:col w:w="11160"/>
          </w:cols>
          <w:pgMar w:left="320" w:top="1440" w:right="419" w:bottom="0" w:gutter="0" w:footer="0" w:header="0"/>
        </w:sectPr>
      </w:pPr>
    </w:p>
    <w:bookmarkStart w:id="14" w:name="page15"/>
    <w:bookmarkEnd w:id="14"/>
    <w:p>
      <w:pPr>
        <w:spacing w:after="0" w:line="267" w:lineRule="auto"/>
        <w:rPr>
          <w:sz w:val="20"/>
          <w:szCs w:val="20"/>
          <w:color w:val="auto"/>
        </w:rPr>
      </w:pPr>
      <w:r>
        <w:rPr>
          <w:rFonts w:ascii="Arial" w:cs="Arial" w:eastAsia="Arial" w:hAnsi="Arial"/>
          <w:sz w:val="17"/>
          <w:szCs w:val="17"/>
          <w:color w:val="auto"/>
        </w:rPr>
        <w:t>residing on such systems; international business risks; fluctuations in foreign currency exchange rates; risks arising from participation in joint ventures; the company may need to fund deficiencies in its “Closed Block” assets; a pandemic, terrorist attack, military action or other catastrophic event; the ongoing COVID-19 pandemic and the resulting financial market impacts; the company’s reinsurers could default on their obligations or increase their rates; risks arising from acquisitions of businesses; risks related to the company’s acquisition of Wells Fargo Bank, N.A.’s IRT business; loss of key vendor relationships or failure of a vendor to protect information of our customers or employees; the company’s enterprise risk management framework may not be fully effective in identifying all of the risks to which the company is exposed; and global climate change.</w:t>
      </w:r>
    </w:p>
    <w:p>
      <w:pPr>
        <w:spacing w:after="0" w:line="391" w:lineRule="exact"/>
        <w:rPr>
          <w:sz w:val="20"/>
          <w:szCs w:val="20"/>
          <w:color w:val="auto"/>
        </w:rPr>
      </w:pPr>
    </w:p>
    <w:p>
      <w:pPr>
        <w:spacing w:after="0"/>
        <w:rPr>
          <w:sz w:val="20"/>
          <w:szCs w:val="20"/>
          <w:color w:val="auto"/>
        </w:rPr>
      </w:pPr>
      <w:r>
        <w:rPr>
          <w:rFonts w:ascii="Arial" w:cs="Arial" w:eastAsia="Arial" w:hAnsi="Arial"/>
          <w:sz w:val="18"/>
          <w:szCs w:val="18"/>
          <w:color w:val="auto"/>
        </w:rPr>
        <w:t>Classification: Company Confidential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10795</wp:posOffset>
            </wp:positionV>
            <wp:extent cx="713486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4860" cy="8255"/>
                    </a:xfrm>
                    <a:prstGeom prst="rect">
                      <a:avLst/>
                    </a:prstGeom>
                    <a:noFill/>
                  </pic:spPr>
                </pic:pic>
              </a:graphicData>
            </a:graphic>
          </wp:anchor>
        </w:drawing>
      </w:r>
    </w:p>
    <w:p>
      <w:pPr>
        <w:sectPr>
          <w:pgSz w:w="11900" w:h="16838" w:orient="portrait"/>
          <w:cols w:equalWidth="0" w:num="1">
            <w:col w:w="11120"/>
          </w:cols>
          <w:pgMar w:left="320" w:top="127" w:right="459" w:bottom="1440" w:gutter="0" w:footer="0" w:header="0"/>
        </w:sectPr>
      </w:pPr>
    </w:p>
    <w:bookmarkStart w:id="15" w:name="page16"/>
    <w:bookmarkEnd w:id="1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207010</wp:posOffset>
            </wp:positionH>
            <wp:positionV relativeFrom="page">
              <wp:posOffset>2377440</wp:posOffset>
            </wp:positionV>
            <wp:extent cx="7134860" cy="22040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clrChange>
                        <a:clrFrom>
                          <a:srgbClr val="FFFFFF"/>
                        </a:clrFrom>
                        <a:clrTo>
                          <a:srgbClr val="FFFFFF">
                            <a:alpha val="0"/>
                          </a:srgbClr>
                        </a:clrTo>
                      </a:clrChange>
                      <a:extLst>
                        <a:ext uri="{28A0092B-C50C-407E-A947-70E740481C1C}"/>
                      </a:extLst>
                    </a:blip>
                    <a:srcRect/>
                    <a:stretch>
                      <a:fillRect/>
                    </a:stretch>
                  </pic:blipFill>
                  <pic:spPr bwMode="auto">
                    <a:xfrm>
                      <a:off x="0" y="0"/>
                      <a:ext cx="7134860" cy="22040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Non-GAAP financial measures</w:t>
      </w:r>
    </w:p>
    <w:p>
      <w:pPr>
        <w:spacing w:after="0" w:line="223" w:lineRule="exact"/>
        <w:rPr>
          <w:sz w:val="20"/>
          <w:szCs w:val="20"/>
          <w:color w:val="auto"/>
        </w:rPr>
      </w:pPr>
    </w:p>
    <w:p>
      <w:pPr>
        <w:spacing w:after="0" w:line="265" w:lineRule="auto"/>
        <w:rPr>
          <w:sz w:val="20"/>
          <w:szCs w:val="20"/>
          <w:color w:val="auto"/>
        </w:rPr>
      </w:pPr>
      <w:r>
        <w:rPr>
          <w:rFonts w:ascii="Arial" w:cs="Arial" w:eastAsia="Arial" w:hAnsi="Arial"/>
          <w:sz w:val="17"/>
          <w:szCs w:val="17"/>
          <w:color w:val="auto"/>
        </w:rPr>
        <w:t>The company uses a number of non-GAAP financial measures that management believes are useful to investors because they illustrate the performance of normal, ongoing operations, which is important in understanding and evaluating the company’s financial condition and results of operations. They are not, however, a substitute for U.S. GAAP financial measures. Therefore, the company has provided reconciliations of the non-GAAP measures to the most directly comparable U.S. GAAP measure at the end of the release. The company adjusts U.S. GAAP measures for items not directly related to ongoing operations. However, it is possible these adjusting items have occurred in the past and could recur in future reporting periods. Management also uses non-GAAP measures for goal setting, as a basis for determining employee and senior management awards and compensation and evaluating performance on a basis comparable to that used by investors and securities analysts.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Earnings conference call</w:t>
      </w:r>
    </w:p>
    <w:p>
      <w:pPr>
        <w:spacing w:after="0" w:line="223" w:lineRule="exact"/>
        <w:rPr>
          <w:sz w:val="20"/>
          <w:szCs w:val="20"/>
          <w:color w:val="auto"/>
        </w:rPr>
      </w:pPr>
    </w:p>
    <w:p>
      <w:pPr>
        <w:jc w:val="both"/>
        <w:ind w:right="600"/>
        <w:spacing w:after="0" w:line="255" w:lineRule="auto"/>
        <w:rPr>
          <w:sz w:val="20"/>
          <w:szCs w:val="20"/>
          <w:color w:val="auto"/>
        </w:rPr>
      </w:pPr>
      <w:r>
        <w:rPr>
          <w:rFonts w:ascii="Arial" w:cs="Arial" w:eastAsia="Arial" w:hAnsi="Arial"/>
          <w:sz w:val="18"/>
          <w:szCs w:val="18"/>
          <w:color w:val="auto"/>
        </w:rPr>
        <w:t>On Tuesday, Jul. 28, 2020, at 10:00 a.m. (ET), Chairman, President and Chief Executive Officer Dan Houston and Executive Vice President and Chief Financial Officer Deanna Strable will lead a discussion of results and the impacts on future prospects, asset quality and capital adequacy during a live conference call, which can be accessed as follows:</w:t>
      </w:r>
    </w:p>
    <w:p>
      <w:pPr>
        <w:spacing w:after="0" w:line="188" w:lineRule="exact"/>
        <w:rPr>
          <w:sz w:val="20"/>
          <w:szCs w:val="20"/>
          <w:color w:val="auto"/>
        </w:rPr>
      </w:pPr>
    </w:p>
    <w:p>
      <w:pPr>
        <w:ind w:left="640" w:right="420" w:hanging="316"/>
        <w:spacing w:after="0" w:line="252" w:lineRule="auto"/>
        <w:tabs>
          <w:tab w:leader="none" w:pos="6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 xml:space="preserve">Via live Internet webcast. Please go to </w:t>
      </w:r>
      <w:r>
        <w:rPr>
          <w:rFonts w:ascii="Arial" w:cs="Arial" w:eastAsia="Arial" w:hAnsi="Arial"/>
          <w:sz w:val="18"/>
          <w:szCs w:val="18"/>
          <w:u w:val="single" w:color="auto"/>
          <w:color w:val="auto"/>
        </w:rPr>
        <w:t>principal.com/investor</w:t>
      </w:r>
      <w:r>
        <w:rPr>
          <w:rFonts w:ascii="Arial" w:cs="Arial" w:eastAsia="Arial" w:hAnsi="Arial"/>
          <w:sz w:val="18"/>
          <w:szCs w:val="18"/>
          <w:color w:val="auto"/>
        </w:rPr>
        <w:t xml:space="preserve"> at least 10-15 minutes prior to the start of the call to register, and to download and install any necessary audio software.</w:t>
      </w:r>
    </w:p>
    <w:p>
      <w:pPr>
        <w:ind w:left="640" w:right="320" w:hanging="316"/>
        <w:spacing w:after="0" w:line="245" w:lineRule="auto"/>
        <w:tabs>
          <w:tab w:leader="none" w:pos="6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Via telephone by dialing 866-427-0175 (U.S. and Canadian callers) or 706-643-7701 (international callers) approximately 10 minutes prior to the start of the call. The access code is 2169068.</w:t>
      </w:r>
    </w:p>
    <w:p>
      <w:pPr>
        <w:spacing w:after="0" w:line="1" w:lineRule="exact"/>
        <w:rPr>
          <w:rFonts w:ascii="Arial" w:cs="Arial" w:eastAsia="Arial" w:hAnsi="Arial"/>
          <w:sz w:val="18"/>
          <w:szCs w:val="18"/>
          <w:color w:val="auto"/>
        </w:rPr>
      </w:pPr>
    </w:p>
    <w:p>
      <w:pPr>
        <w:jc w:val="both"/>
        <w:ind w:left="640" w:right="200" w:hanging="316"/>
        <w:spacing w:after="0" w:line="245" w:lineRule="auto"/>
        <w:tabs>
          <w:tab w:leader="none" w:pos="6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Replay of the earnings call via telephone is available by dialing 855-859-2056 (U.S. and Canadian callers) or 404-537-3406 (international callers). The access code is 2169068. This replay will be available approximately two hours after the completion of the live earnings call through the end of day Aug. 4, 2020.</w:t>
      </w:r>
    </w:p>
    <w:p>
      <w:pPr>
        <w:spacing w:after="0" w:line="2" w:lineRule="exact"/>
        <w:rPr>
          <w:rFonts w:ascii="Arial" w:cs="Arial" w:eastAsia="Arial" w:hAnsi="Arial"/>
          <w:sz w:val="18"/>
          <w:szCs w:val="18"/>
          <w:color w:val="auto"/>
        </w:rPr>
      </w:pPr>
    </w:p>
    <w:p>
      <w:pPr>
        <w:ind w:left="640" w:hanging="316"/>
        <w:spacing w:after="0"/>
        <w:tabs>
          <w:tab w:leader="none" w:pos="6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 xml:space="preserve">Replay of the earnings call via webcast as well as a transcript of the call will be available after the call at </w:t>
      </w:r>
      <w:r>
        <w:rPr>
          <w:rFonts w:ascii="Arial" w:cs="Arial" w:eastAsia="Arial" w:hAnsi="Arial"/>
          <w:sz w:val="18"/>
          <w:szCs w:val="18"/>
          <w:u w:val="single" w:color="auto"/>
          <w:color w:val="auto"/>
        </w:rPr>
        <w:t>principal.com/investor</w:t>
      </w:r>
      <w:r>
        <w:rPr>
          <w:rFonts w:ascii="Arial" w:cs="Arial" w:eastAsia="Arial" w:hAnsi="Arial"/>
          <w:sz w:val="18"/>
          <w:szCs w:val="18"/>
          <w:color w:val="auto"/>
        </w:rPr>
        <w:t>.</w:t>
      </w:r>
    </w:p>
    <w:p>
      <w:pPr>
        <w:spacing w:after="0" w:line="206"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The company’s financial supplement and slide presentation is currently available at </w:t>
      </w:r>
      <w:r>
        <w:rPr>
          <w:rFonts w:ascii="Arial" w:cs="Arial" w:eastAsia="Arial" w:hAnsi="Arial"/>
          <w:sz w:val="17"/>
          <w:szCs w:val="17"/>
          <w:u w:val="single" w:color="auto"/>
          <w:color w:val="auto"/>
        </w:rPr>
        <w:t>principal.com/investor</w:t>
      </w:r>
      <w:r>
        <w:rPr>
          <w:rFonts w:ascii="Arial" w:cs="Arial" w:eastAsia="Arial" w:hAnsi="Arial"/>
          <w:sz w:val="17"/>
          <w:szCs w:val="17"/>
          <w:color w:val="auto"/>
        </w:rPr>
        <w:t>, and may be referred to during the call.</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Principal</w:t>
      </w:r>
      <w:r>
        <w:rPr>
          <w:rFonts w:ascii="Arial" w:cs="Arial" w:eastAsia="Arial" w:hAnsi="Arial"/>
          <w:sz w:val="29"/>
          <w:szCs w:val="29"/>
          <w:b w:val="1"/>
          <w:bCs w:val="1"/>
          <w:color w:val="auto"/>
          <w:vertAlign w:val="superscript"/>
        </w:rPr>
        <w:t>®</w:t>
      </w:r>
      <w:r>
        <w:rPr>
          <w:rFonts w:ascii="Arial" w:cs="Arial" w:eastAsia="Arial" w:hAnsi="Arial"/>
          <w:sz w:val="35"/>
          <w:szCs w:val="35"/>
          <w:b w:val="1"/>
          <w:bCs w:val="1"/>
          <w:color w:val="auto"/>
          <w:vertAlign w:val="superscript"/>
        </w:rPr>
        <w:t>11</w:t>
      </w:r>
    </w:p>
    <w:p>
      <w:pPr>
        <w:sectPr>
          <w:pgSz w:w="11900" w:h="16838" w:orient="portrait"/>
          <w:cols w:equalWidth="0" w:num="1">
            <w:col w:w="11240"/>
          </w:cols>
          <w:pgMar w:left="320" w:top="1440" w:right="339" w:bottom="0" w:gutter="0" w:footer="0" w:header="0"/>
        </w:sectPr>
      </w:pPr>
    </w:p>
    <w:bookmarkStart w:id="16" w:name="page17"/>
    <w:bookmarkEnd w:id="16"/>
    <w:p>
      <w:pPr>
        <w:ind w:firstLine="6"/>
        <w:spacing w:after="0" w:line="232" w:lineRule="auto"/>
        <w:tabs>
          <w:tab w:leader="none" w:pos="186" w:val="left"/>
        </w:tabs>
        <w:numPr>
          <w:ilvl w:val="0"/>
          <w:numId w:val="23"/>
        </w:numPr>
        <w:rPr>
          <w:rFonts w:ascii="Arial" w:cs="Arial" w:eastAsia="Arial" w:hAnsi="Arial"/>
          <w:sz w:val="24"/>
          <w:szCs w:val="24"/>
          <w:color w:val="auto"/>
          <w:vertAlign w:val="superscript"/>
        </w:rPr>
      </w:pPr>
      <w:r>
        <w:rPr>
          <w:rFonts w:ascii="Arial" w:cs="Arial" w:eastAsia="Arial" w:hAnsi="Arial"/>
          <w:sz w:val="15"/>
          <w:szCs w:val="15"/>
          <w:color w:val="auto"/>
        </w:rPr>
        <w:drawing>
          <wp:anchor simplePos="0" relativeHeight="251657728" behindDoc="1" locked="0" layoutInCell="0" allowOverlap="1">
            <wp:simplePos x="0" y="0"/>
            <wp:positionH relativeFrom="page">
              <wp:posOffset>207010</wp:posOffset>
            </wp:positionH>
            <wp:positionV relativeFrom="page">
              <wp:posOffset>88900</wp:posOffset>
            </wp:positionV>
            <wp:extent cx="1783715"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783715" cy="8255"/>
                    </a:xfrm>
                    <a:prstGeom prst="rect">
                      <a:avLst/>
                    </a:prstGeom>
                    <a:noFill/>
                  </pic:spPr>
                </pic:pic>
              </a:graphicData>
            </a:graphic>
          </wp:anchor>
        </w:drawing>
        <w:t>Principal, Principal and symbol design and Principal Financial Group are trademarks and service marks of Principal Financial Services, Inc., a member of the Principal Financial Group.</w:t>
      </w: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color w:val="auto"/>
        </w:rPr>
        <w:t>Classification: Company Confidential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19685</wp:posOffset>
            </wp:positionV>
            <wp:extent cx="713486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4860" cy="8255"/>
                    </a:xfrm>
                    <a:prstGeom prst="rect">
                      <a:avLst/>
                    </a:prstGeom>
                    <a:noFill/>
                  </pic:spPr>
                </pic:pic>
              </a:graphicData>
            </a:graphic>
          </wp:anchor>
        </w:drawing>
      </w:r>
    </w:p>
    <w:p>
      <w:pPr>
        <w:sectPr>
          <w:pgSz w:w="11900" w:h="16838" w:orient="portrait"/>
          <w:cols w:equalWidth="0" w:num="1">
            <w:col w:w="11060"/>
          </w:cols>
          <w:pgMar w:left="320" w:top="246" w:right="519" w:bottom="1440" w:gutter="0" w:footer="0" w:header="0"/>
        </w:sectPr>
      </w:pPr>
    </w:p>
    <w:bookmarkStart w:id="17" w:name="page18"/>
    <w:bookmarkEnd w:id="1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207010</wp:posOffset>
            </wp:positionH>
            <wp:positionV relativeFrom="page">
              <wp:posOffset>2377440</wp:posOffset>
            </wp:positionV>
            <wp:extent cx="7134860" cy="22040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clrChange>
                        <a:clrFrom>
                          <a:srgbClr val="FFFFFF"/>
                        </a:clrFrom>
                        <a:clrTo>
                          <a:srgbClr val="FFFFFF">
                            <a:alpha val="0"/>
                          </a:srgbClr>
                        </a:clrTo>
                      </a:clrChange>
                      <a:extLst>
                        <a:ext uri="{28A0092B-C50C-407E-A947-70E740481C1C}"/>
                      </a:extLst>
                    </a:blip>
                    <a:srcRect/>
                    <a:stretch>
                      <a:fillRect/>
                    </a:stretch>
                  </pic:blipFill>
                  <pic:spPr bwMode="auto">
                    <a:xfrm>
                      <a:off x="0" y="0"/>
                      <a:ext cx="7134860" cy="22040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40"/>
        <w:spacing w:after="0" w:line="330" w:lineRule="auto"/>
        <w:rPr>
          <w:sz w:val="20"/>
          <w:szCs w:val="20"/>
          <w:color w:val="auto"/>
        </w:rPr>
      </w:pPr>
      <w:r>
        <w:rPr>
          <w:rFonts w:ascii="Arial" w:cs="Arial" w:eastAsia="Arial" w:hAnsi="Arial"/>
          <w:sz w:val="15"/>
          <w:szCs w:val="15"/>
          <w:color w:val="auto"/>
        </w:rPr>
        <w:t xml:space="preserve">Principal helps people and companies around the world build, protect and advance their financial well-being through retirement, insurance and asset management solutions that fit their lives. Our employees are passionate about helping clients of all income and portfolio sizes achieve their goals – offering innovative ideas, investment expertise and real-life solutions to make financial progress possible. To find out more, visit us at </w:t>
      </w:r>
      <w:r>
        <w:rPr>
          <w:rFonts w:ascii="Arial" w:cs="Arial" w:eastAsia="Arial" w:hAnsi="Arial"/>
          <w:sz w:val="15"/>
          <w:szCs w:val="15"/>
          <w:u w:val="single" w:color="auto"/>
          <w:color w:val="auto"/>
        </w:rPr>
        <w:t>principal.com</w:t>
      </w:r>
      <w:r>
        <w:rPr>
          <w:rFonts w:ascii="Arial" w:cs="Arial" w:eastAsia="Arial" w:hAnsi="Arial"/>
          <w:sz w:val="15"/>
          <w:szCs w:val="15"/>
          <w:color w:val="auto"/>
        </w:rPr>
        <w:t>.</w:t>
      </w:r>
    </w:p>
    <w:p>
      <w:pPr>
        <w:spacing w:after="0" w:line="13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5160" w:type="dxa"/>
            <w:vAlign w:val="bottom"/>
          </w:tcPr>
          <w:p>
            <w:pPr>
              <w:spacing w:after="0"/>
              <w:rPr>
                <w:sz w:val="19"/>
                <w:szCs w:val="19"/>
                <w:color w:val="auto"/>
              </w:rPr>
            </w:pP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424"/>
        </w:trPr>
        <w:tc>
          <w:tcPr>
            <w:tcW w:w="5160" w:type="dxa"/>
            <w:vAlign w:val="bottom"/>
          </w:tcPr>
          <w:p>
            <w:pPr>
              <w:spacing w:after="0"/>
              <w:rPr>
                <w:sz w:val="20"/>
                <w:szCs w:val="20"/>
                <w:color w:val="auto"/>
              </w:rPr>
            </w:pPr>
            <w:r>
              <w:rPr>
                <w:rFonts w:ascii="Arial" w:cs="Arial" w:eastAsia="Arial" w:hAnsi="Arial"/>
                <w:sz w:val="18"/>
                <w:szCs w:val="18"/>
                <w:b w:val="1"/>
                <w:bCs w:val="1"/>
                <w:i w:val="1"/>
                <w:iCs w:val="1"/>
                <w:color w:val="auto"/>
                <w:w w:val="92"/>
              </w:rPr>
              <w:t>Summary of Principal Financial Group, Inc. and Segment Results</w:t>
            </w: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38"/>
        </w:trPr>
        <w:tc>
          <w:tcPr>
            <w:tcW w:w="51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i w:val="1"/>
                <w:iCs w:val="1"/>
                <w:color w:val="auto"/>
              </w:rPr>
              <w:t>(in millions)</w:t>
            </w:r>
          </w:p>
        </w:tc>
        <w:tc>
          <w:tcPr>
            <w:tcW w:w="9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218"/>
        </w:trPr>
        <w:tc>
          <w:tcPr>
            <w:tcW w:w="51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60" w:type="dxa"/>
            <w:vAlign w:val="bottom"/>
            <w:gridSpan w:val="6"/>
          </w:tcPr>
          <w:p>
            <w:pPr>
              <w:jc w:val="right"/>
              <w:ind w:right="820"/>
              <w:spacing w:after="0"/>
              <w:rPr>
                <w:sz w:val="20"/>
                <w:szCs w:val="20"/>
                <w:color w:val="auto"/>
              </w:rPr>
            </w:pPr>
            <w:r>
              <w:rPr>
                <w:rFonts w:ascii="Arial" w:cs="Arial" w:eastAsia="Arial" w:hAnsi="Arial"/>
                <w:sz w:val="18"/>
                <w:szCs w:val="18"/>
                <w:i w:val="1"/>
                <w:iCs w:val="1"/>
                <w:color w:val="auto"/>
              </w:rPr>
              <w:t>Three Months Ended,</w:t>
            </w:r>
          </w:p>
        </w:tc>
        <w:tc>
          <w:tcPr>
            <w:tcW w:w="320" w:type="dxa"/>
            <w:vAlign w:val="bottom"/>
          </w:tcPr>
          <w:p>
            <w:pPr>
              <w:spacing w:after="0"/>
              <w:rPr>
                <w:sz w:val="18"/>
                <w:szCs w:val="18"/>
                <w:color w:val="auto"/>
              </w:rPr>
            </w:pPr>
          </w:p>
        </w:tc>
        <w:tc>
          <w:tcPr>
            <w:tcW w:w="2440" w:type="dxa"/>
            <w:vAlign w:val="bottom"/>
            <w:gridSpan w:val="5"/>
          </w:tcPr>
          <w:p>
            <w:pPr>
              <w:jc w:val="right"/>
              <w:ind w:right="560"/>
              <w:spacing w:after="0"/>
              <w:rPr>
                <w:sz w:val="20"/>
                <w:szCs w:val="20"/>
                <w:color w:val="auto"/>
              </w:rPr>
            </w:pPr>
            <w:r>
              <w:rPr>
                <w:rFonts w:ascii="Arial" w:cs="Arial" w:eastAsia="Arial" w:hAnsi="Arial"/>
                <w:sz w:val="18"/>
                <w:szCs w:val="18"/>
                <w:i w:val="1"/>
                <w:iCs w:val="1"/>
                <w:color w:val="auto"/>
                <w:w w:val="97"/>
              </w:rPr>
              <w:t>Trailing Twelve Months,</w:t>
            </w:r>
          </w:p>
        </w:tc>
      </w:tr>
      <w:tr>
        <w:trPr>
          <w:trHeight w:val="206"/>
        </w:trPr>
        <w:tc>
          <w:tcPr>
            <w:tcW w:w="5160" w:type="dxa"/>
            <w:vAlign w:val="bottom"/>
            <w:tcBorders>
              <w:bottom w:val="single" w:sz="8" w:color="CCEEFF"/>
            </w:tcBorders>
          </w:tcPr>
          <w:p>
            <w:pPr>
              <w:spacing w:after="0" w:line="205" w:lineRule="exact"/>
              <w:rPr>
                <w:sz w:val="20"/>
                <w:szCs w:val="20"/>
                <w:color w:val="auto"/>
              </w:rPr>
            </w:pPr>
            <w:r>
              <w:rPr>
                <w:rFonts w:ascii="Arial" w:cs="Arial" w:eastAsia="Arial" w:hAnsi="Arial"/>
                <w:sz w:val="18"/>
                <w:szCs w:val="18"/>
                <w:b w:val="1"/>
                <w:bCs w:val="1"/>
                <w:i w:val="1"/>
                <w:iCs w:val="1"/>
                <w:color w:val="auto"/>
              </w:rPr>
              <w:t>Principal Financial Group, Inc. Results:</w:t>
            </w:r>
          </w:p>
        </w:tc>
        <w:tc>
          <w:tcPr>
            <w:tcW w:w="380" w:type="dxa"/>
            <w:vAlign w:val="bottom"/>
            <w:tcBorders>
              <w:bottom w:val="single" w:sz="8" w:color="CCEEFF"/>
            </w:tcBorders>
          </w:tcPr>
          <w:p>
            <w:pPr>
              <w:spacing w:after="0"/>
              <w:rPr>
                <w:sz w:val="17"/>
                <w:szCs w:val="17"/>
                <w:color w:val="auto"/>
              </w:rPr>
            </w:pPr>
          </w:p>
        </w:tc>
        <w:tc>
          <w:tcPr>
            <w:tcW w:w="280" w:type="dxa"/>
            <w:vAlign w:val="bottom"/>
            <w:tcBorders>
              <w:top w:val="single" w:sz="8" w:color="auto"/>
              <w:bottom w:val="single" w:sz="8" w:color="auto"/>
            </w:tcBorders>
          </w:tcPr>
          <w:p>
            <w:pPr>
              <w:spacing w:after="0"/>
              <w:rPr>
                <w:sz w:val="17"/>
                <w:szCs w:val="17"/>
                <w:color w:val="auto"/>
              </w:rPr>
            </w:pPr>
          </w:p>
        </w:tc>
        <w:tc>
          <w:tcPr>
            <w:tcW w:w="960" w:type="dxa"/>
            <w:vAlign w:val="bottom"/>
            <w:tcBorders>
              <w:top w:val="single" w:sz="8" w:color="auto"/>
              <w:bottom w:val="single" w:sz="8" w:color="auto"/>
            </w:tcBorders>
          </w:tcPr>
          <w:p>
            <w:pPr>
              <w:jc w:val="right"/>
              <w:ind w:right="272"/>
              <w:spacing w:after="0"/>
              <w:rPr>
                <w:sz w:val="20"/>
                <w:szCs w:val="20"/>
                <w:color w:val="auto"/>
              </w:rPr>
            </w:pPr>
            <w:r>
              <w:rPr>
                <w:rFonts w:ascii="Arial" w:cs="Arial" w:eastAsia="Arial" w:hAnsi="Arial"/>
                <w:sz w:val="18"/>
                <w:szCs w:val="18"/>
                <w:color w:val="auto"/>
                <w:w w:val="96"/>
              </w:rPr>
              <w:t>6/30/20</w:t>
            </w:r>
          </w:p>
        </w:tc>
        <w:tc>
          <w:tcPr>
            <w:tcW w:w="140" w:type="dxa"/>
            <w:vAlign w:val="bottom"/>
            <w:tcBorders>
              <w:top w:val="single" w:sz="8" w:color="auto"/>
              <w:bottom w:val="single" w:sz="8" w:color="CCEEFF"/>
            </w:tcBorders>
          </w:tcPr>
          <w:p>
            <w:pPr>
              <w:spacing w:after="0"/>
              <w:rPr>
                <w:sz w:val="17"/>
                <w:szCs w:val="17"/>
                <w:color w:val="auto"/>
              </w:rPr>
            </w:pPr>
          </w:p>
        </w:tc>
        <w:tc>
          <w:tcPr>
            <w:tcW w:w="100" w:type="dxa"/>
            <w:vAlign w:val="bottom"/>
            <w:tcBorders>
              <w:top w:val="single" w:sz="8" w:color="auto"/>
              <w:bottom w:val="single" w:sz="8" w:color="CCEEFF"/>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ind w:right="272"/>
              <w:spacing w:after="0"/>
              <w:rPr>
                <w:sz w:val="20"/>
                <w:szCs w:val="20"/>
                <w:color w:val="auto"/>
              </w:rPr>
            </w:pPr>
            <w:r>
              <w:rPr>
                <w:rFonts w:ascii="Arial" w:cs="Arial" w:eastAsia="Arial" w:hAnsi="Arial"/>
                <w:sz w:val="18"/>
                <w:szCs w:val="18"/>
                <w:color w:val="auto"/>
              </w:rPr>
              <w:t>6/30/19</w:t>
            </w:r>
          </w:p>
        </w:tc>
        <w:tc>
          <w:tcPr>
            <w:tcW w:w="220" w:type="dxa"/>
            <w:vAlign w:val="bottom"/>
            <w:tcBorders>
              <w:bottom w:val="single" w:sz="8" w:color="CCEEFF"/>
            </w:tcBorders>
          </w:tcPr>
          <w:p>
            <w:pPr>
              <w:spacing w:after="0"/>
              <w:rPr>
                <w:sz w:val="17"/>
                <w:szCs w:val="17"/>
                <w:color w:val="auto"/>
              </w:rPr>
            </w:pPr>
          </w:p>
        </w:tc>
        <w:tc>
          <w:tcPr>
            <w:tcW w:w="320" w:type="dxa"/>
            <w:vAlign w:val="bottom"/>
            <w:tcBorders>
              <w:top w:val="single" w:sz="8" w:color="auto"/>
              <w:bottom w:val="single" w:sz="8" w:color="auto"/>
            </w:tcBorders>
          </w:tcPr>
          <w:p>
            <w:pPr>
              <w:spacing w:after="0"/>
              <w:rPr>
                <w:sz w:val="17"/>
                <w:szCs w:val="17"/>
                <w:color w:val="auto"/>
              </w:rPr>
            </w:pPr>
          </w:p>
        </w:tc>
        <w:tc>
          <w:tcPr>
            <w:tcW w:w="900" w:type="dxa"/>
            <w:vAlign w:val="bottom"/>
            <w:tcBorders>
              <w:top w:val="single" w:sz="8" w:color="auto"/>
              <w:bottom w:val="single" w:sz="8" w:color="auto"/>
            </w:tcBorders>
          </w:tcPr>
          <w:p>
            <w:pPr>
              <w:jc w:val="right"/>
              <w:ind w:right="252"/>
              <w:spacing w:after="0"/>
              <w:rPr>
                <w:sz w:val="20"/>
                <w:szCs w:val="20"/>
                <w:color w:val="auto"/>
              </w:rPr>
            </w:pPr>
            <w:r>
              <w:rPr>
                <w:rFonts w:ascii="Arial" w:cs="Arial" w:eastAsia="Arial" w:hAnsi="Arial"/>
                <w:sz w:val="18"/>
                <w:szCs w:val="18"/>
                <w:color w:val="auto"/>
                <w:w w:val="89"/>
              </w:rPr>
              <w:t>6/30/20</w:t>
            </w:r>
          </w:p>
        </w:tc>
        <w:tc>
          <w:tcPr>
            <w:tcW w:w="220" w:type="dxa"/>
            <w:vAlign w:val="bottom"/>
            <w:tcBorders>
              <w:top w:val="single" w:sz="8" w:color="auto"/>
              <w:bottom w:val="single" w:sz="8" w:color="CCEEFF"/>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1000" w:type="dxa"/>
            <w:vAlign w:val="bottom"/>
            <w:tcBorders>
              <w:top w:val="single" w:sz="8" w:color="auto"/>
              <w:bottom w:val="single" w:sz="8" w:color="auto"/>
            </w:tcBorders>
          </w:tcPr>
          <w:p>
            <w:pPr>
              <w:jc w:val="right"/>
              <w:ind w:right="252"/>
              <w:spacing w:after="0"/>
              <w:rPr>
                <w:sz w:val="20"/>
                <w:szCs w:val="20"/>
                <w:color w:val="auto"/>
              </w:rPr>
            </w:pPr>
            <w:r>
              <w:rPr>
                <w:rFonts w:ascii="Arial" w:cs="Arial" w:eastAsia="Arial" w:hAnsi="Arial"/>
                <w:sz w:val="18"/>
                <w:szCs w:val="18"/>
                <w:color w:val="auto"/>
              </w:rPr>
              <w:t>6/30/19</w:t>
            </w:r>
          </w:p>
        </w:tc>
        <w:tc>
          <w:tcPr>
            <w:tcW w:w="100" w:type="dxa"/>
            <w:vAlign w:val="bottom"/>
            <w:tcBorders>
              <w:bottom w:val="single" w:sz="8" w:color="CCEEFF"/>
            </w:tcBorders>
          </w:tcPr>
          <w:p>
            <w:pPr>
              <w:spacing w:after="0"/>
              <w:rPr>
                <w:sz w:val="17"/>
                <w:szCs w:val="17"/>
                <w:color w:val="auto"/>
              </w:rPr>
            </w:pPr>
          </w:p>
        </w:tc>
      </w:tr>
      <w:tr>
        <w:trPr>
          <w:trHeight w:val="205"/>
        </w:trPr>
        <w:tc>
          <w:tcPr>
            <w:tcW w:w="5160" w:type="dxa"/>
            <w:vAlign w:val="bottom"/>
            <w:shd w:val="clear" w:color="auto" w:fill="CCEEFF"/>
          </w:tcPr>
          <w:p>
            <w:pPr>
              <w:spacing w:after="0" w:line="204" w:lineRule="exact"/>
              <w:rPr>
                <w:sz w:val="20"/>
                <w:szCs w:val="20"/>
                <w:color w:val="auto"/>
              </w:rPr>
            </w:pPr>
            <w:r>
              <w:rPr>
                <w:rFonts w:ascii="Arial" w:cs="Arial" w:eastAsia="Arial" w:hAnsi="Arial"/>
                <w:sz w:val="18"/>
                <w:szCs w:val="18"/>
                <w:b w:val="1"/>
                <w:bCs w:val="1"/>
                <w:i w:val="1"/>
                <w:iCs w:val="1"/>
                <w:color w:val="auto"/>
              </w:rPr>
              <w:t>Net income attributable to PFG</w:t>
            </w:r>
          </w:p>
        </w:tc>
        <w:tc>
          <w:tcPr>
            <w:tcW w:w="380" w:type="dxa"/>
            <w:vAlign w:val="bottom"/>
            <w:shd w:val="clear" w:color="auto" w:fill="CCEEFF"/>
          </w:tcPr>
          <w:p>
            <w:pPr>
              <w:spacing w:after="0"/>
              <w:rPr>
                <w:sz w:val="17"/>
                <w:szCs w:val="17"/>
                <w:color w:val="auto"/>
              </w:rPr>
            </w:pPr>
          </w:p>
        </w:tc>
        <w:tc>
          <w:tcPr>
            <w:tcW w:w="280" w:type="dxa"/>
            <w:vAlign w:val="bottom"/>
            <w:shd w:val="clear" w:color="auto" w:fill="CCEEFF"/>
          </w:tcPr>
          <w:p>
            <w:pPr>
              <w:jc w:val="right"/>
              <w:ind w:right="123"/>
              <w:spacing w:after="0"/>
              <w:rPr>
                <w:sz w:val="20"/>
                <w:szCs w:val="20"/>
                <w:color w:val="auto"/>
              </w:rPr>
            </w:pPr>
            <w:r>
              <w:rPr>
                <w:rFonts w:ascii="Arial" w:cs="Arial" w:eastAsia="Arial" w:hAnsi="Arial"/>
                <w:sz w:val="15"/>
                <w:szCs w:val="15"/>
                <w:b w:val="1"/>
                <w:bCs w:val="1"/>
                <w:color w:val="auto"/>
                <w:w w:val="71"/>
              </w:rPr>
              <w:t>$</w:t>
            </w:r>
          </w:p>
        </w:tc>
        <w:tc>
          <w:tcPr>
            <w:tcW w:w="96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b w:val="1"/>
                <w:bCs w:val="1"/>
                <w:color w:val="auto"/>
              </w:rPr>
              <w:t>398.3</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b w:val="1"/>
                <w:bCs w:val="1"/>
                <w:color w:val="auto"/>
                <w:w w:val="71"/>
              </w:rPr>
              <w:t>$</w:t>
            </w:r>
          </w:p>
        </w:tc>
        <w:tc>
          <w:tcPr>
            <w:tcW w:w="102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b w:val="1"/>
                <w:bCs w:val="1"/>
                <w:color w:val="auto"/>
              </w:rPr>
              <w:t>386.3</w:t>
            </w:r>
          </w:p>
        </w:tc>
        <w:tc>
          <w:tcPr>
            <w:tcW w:w="220" w:type="dxa"/>
            <w:vAlign w:val="bottom"/>
            <w:shd w:val="clear" w:color="auto" w:fill="CCEEFF"/>
          </w:tcPr>
          <w:p>
            <w:pPr>
              <w:spacing w:after="0"/>
              <w:rPr>
                <w:sz w:val="17"/>
                <w:szCs w:val="17"/>
                <w:color w:val="auto"/>
              </w:rPr>
            </w:pPr>
          </w:p>
        </w:tc>
        <w:tc>
          <w:tcPr>
            <w:tcW w:w="320" w:type="dxa"/>
            <w:vAlign w:val="bottom"/>
            <w:shd w:val="clear" w:color="auto" w:fill="CCEEFF"/>
          </w:tcPr>
          <w:p>
            <w:pPr>
              <w:jc w:val="right"/>
              <w:ind w:right="132"/>
              <w:spacing w:after="0" w:line="205" w:lineRule="exact"/>
              <w:rPr>
                <w:sz w:val="20"/>
                <w:szCs w:val="20"/>
                <w:color w:val="auto"/>
              </w:rPr>
            </w:pPr>
            <w:r>
              <w:rPr>
                <w:rFonts w:ascii="Arial" w:cs="Arial" w:eastAsia="Arial" w:hAnsi="Arial"/>
                <w:sz w:val="18"/>
                <w:szCs w:val="18"/>
                <w:b w:val="1"/>
                <w:bCs w:val="1"/>
                <w:color w:val="auto"/>
                <w:w w:val="79"/>
              </w:rPr>
              <w:t>$</w:t>
            </w:r>
          </w:p>
        </w:tc>
        <w:tc>
          <w:tcPr>
            <w:tcW w:w="90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b w:val="1"/>
                <w:bCs w:val="1"/>
                <w:color w:val="auto"/>
              </w:rPr>
              <w:t>1,265.2</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b w:val="1"/>
                <w:bCs w:val="1"/>
                <w:color w:val="auto"/>
                <w:w w:val="71"/>
              </w:rPr>
              <w:t>$</w:t>
            </w:r>
          </w:p>
        </w:tc>
        <w:tc>
          <w:tcPr>
            <w:tcW w:w="100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b w:val="1"/>
                <w:bCs w:val="1"/>
                <w:color w:val="auto"/>
              </w:rPr>
              <w:t>1,509.0</w:t>
            </w:r>
          </w:p>
        </w:tc>
        <w:tc>
          <w:tcPr>
            <w:tcW w:w="100" w:type="dxa"/>
            <w:vAlign w:val="bottom"/>
            <w:shd w:val="clear" w:color="auto" w:fill="CCEEFF"/>
          </w:tcPr>
          <w:p>
            <w:pPr>
              <w:spacing w:after="0"/>
              <w:rPr>
                <w:sz w:val="17"/>
                <w:szCs w:val="17"/>
                <w:color w:val="auto"/>
              </w:rPr>
            </w:pPr>
          </w:p>
        </w:tc>
      </w:tr>
      <w:tr>
        <w:trPr>
          <w:trHeight w:val="212"/>
        </w:trPr>
        <w:tc>
          <w:tcPr>
            <w:tcW w:w="5160" w:type="dxa"/>
            <w:vAlign w:val="bottom"/>
          </w:tcPr>
          <w:p>
            <w:pPr>
              <w:spacing w:after="0"/>
              <w:rPr>
                <w:sz w:val="20"/>
                <w:szCs w:val="20"/>
                <w:color w:val="auto"/>
              </w:rPr>
            </w:pPr>
            <w:r>
              <w:rPr>
                <w:rFonts w:ascii="Arial" w:cs="Arial" w:eastAsia="Arial" w:hAnsi="Arial"/>
                <w:sz w:val="18"/>
                <w:szCs w:val="18"/>
                <w:i w:val="1"/>
                <w:iCs w:val="1"/>
                <w:color w:val="auto"/>
              </w:rPr>
              <w:t>Net realized capital (gains) losses, as adjusted</w:t>
            </w:r>
          </w:p>
        </w:tc>
        <w:tc>
          <w:tcPr>
            <w:tcW w:w="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4.4</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40.8</w:t>
            </w:r>
          </w:p>
        </w:tc>
        <w:tc>
          <w:tcPr>
            <w:tcW w:w="32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198.8</w:t>
            </w:r>
          </w:p>
        </w:tc>
        <w:tc>
          <w:tcPr>
            <w:tcW w:w="2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115.7</w:t>
            </w:r>
          </w:p>
        </w:tc>
      </w:tr>
      <w:tr>
        <w:trPr>
          <w:trHeight w:val="212"/>
        </w:trPr>
        <w:tc>
          <w:tcPr>
            <w:tcW w:w="516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Non-GAAP Operating Earnings*</w:t>
            </w:r>
          </w:p>
        </w:tc>
        <w:tc>
          <w:tcPr>
            <w:tcW w:w="660" w:type="dxa"/>
            <w:vAlign w:val="bottom"/>
            <w:gridSpan w:val="2"/>
            <w:shd w:val="clear" w:color="auto" w:fill="CCEEFF"/>
          </w:tcPr>
          <w:p>
            <w:pPr>
              <w:jc w:val="right"/>
              <w:ind w:right="123"/>
              <w:spacing w:after="0"/>
              <w:rPr>
                <w:sz w:val="20"/>
                <w:szCs w:val="20"/>
                <w:color w:val="auto"/>
              </w:rPr>
            </w:pPr>
            <w:r>
              <w:rPr>
                <w:rFonts w:ascii="Arial" w:cs="Arial" w:eastAsia="Arial" w:hAnsi="Arial"/>
                <w:sz w:val="18"/>
                <w:szCs w:val="18"/>
                <w:b w:val="1"/>
                <w:bCs w:val="1"/>
                <w:color w:val="auto"/>
              </w:rPr>
              <w:t>$</w:t>
            </w: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402.7</w:t>
            </w:r>
          </w:p>
        </w:tc>
        <w:tc>
          <w:tcPr>
            <w:tcW w:w="320" w:type="dxa"/>
            <w:vAlign w:val="bottom"/>
            <w:gridSpan w:val="2"/>
            <w:shd w:val="clear" w:color="auto" w:fill="CCEEFF"/>
          </w:tcPr>
          <w:p>
            <w:pPr>
              <w:jc w:val="right"/>
              <w:ind w:right="63"/>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427.1</w:t>
            </w:r>
          </w:p>
        </w:tc>
        <w:tc>
          <w:tcPr>
            <w:tcW w:w="320" w:type="dxa"/>
            <w:vAlign w:val="bottom"/>
            <w:shd w:val="clear" w:color="auto" w:fill="CCEEFF"/>
          </w:tcPr>
          <w:p>
            <w:pPr>
              <w:jc w:val="right"/>
              <w:ind w:right="132"/>
              <w:spacing w:after="0"/>
              <w:rPr>
                <w:sz w:val="20"/>
                <w:szCs w:val="20"/>
                <w:color w:val="auto"/>
              </w:rPr>
            </w:pPr>
            <w:r>
              <w:rPr>
                <w:rFonts w:ascii="Arial" w:cs="Arial" w:eastAsia="Arial" w:hAnsi="Arial"/>
                <w:sz w:val="18"/>
                <w:szCs w:val="18"/>
                <w:b w:val="1"/>
                <w:bCs w:val="1"/>
                <w:color w:val="auto"/>
                <w:w w:val="79"/>
              </w:rPr>
              <w:t>$</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1,464.0</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b w:val="1"/>
                <w:bCs w:val="1"/>
                <w:color w:val="auto"/>
                <w:w w:val="71"/>
              </w:rPr>
              <w:t>$</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1,624.7</w:t>
            </w:r>
          </w:p>
        </w:tc>
      </w:tr>
      <w:tr>
        <w:trPr>
          <w:trHeight w:val="212"/>
        </w:trPr>
        <w:tc>
          <w:tcPr>
            <w:tcW w:w="5160" w:type="dxa"/>
            <w:vAlign w:val="bottom"/>
          </w:tcPr>
          <w:p>
            <w:pPr>
              <w:spacing w:after="0"/>
              <w:rPr>
                <w:sz w:val="20"/>
                <w:szCs w:val="20"/>
                <w:color w:val="auto"/>
              </w:rPr>
            </w:pPr>
            <w:r>
              <w:rPr>
                <w:rFonts w:ascii="Arial" w:cs="Arial" w:eastAsia="Arial" w:hAnsi="Arial"/>
                <w:sz w:val="18"/>
                <w:szCs w:val="18"/>
                <w:i w:val="1"/>
                <w:iCs w:val="1"/>
                <w:color w:val="auto"/>
              </w:rPr>
              <w:t>Income taxes</w:t>
            </w:r>
          </w:p>
        </w:tc>
        <w:tc>
          <w:tcPr>
            <w:tcW w:w="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85.1</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86.1</w:t>
            </w:r>
          </w:p>
        </w:tc>
        <w:tc>
          <w:tcPr>
            <w:tcW w:w="32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307.2</w:t>
            </w:r>
          </w:p>
        </w:tc>
        <w:tc>
          <w:tcPr>
            <w:tcW w:w="2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339.5</w:t>
            </w:r>
          </w:p>
        </w:tc>
      </w:tr>
      <w:tr>
        <w:trPr>
          <w:trHeight w:val="212"/>
        </w:trPr>
        <w:tc>
          <w:tcPr>
            <w:tcW w:w="516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Non-GAAP Pre-Tax Operating Earnings</w:t>
            </w:r>
          </w:p>
        </w:tc>
        <w:tc>
          <w:tcPr>
            <w:tcW w:w="660" w:type="dxa"/>
            <w:vAlign w:val="bottom"/>
            <w:gridSpan w:val="2"/>
            <w:shd w:val="clear" w:color="auto" w:fill="CCEEFF"/>
          </w:tcPr>
          <w:p>
            <w:pPr>
              <w:jc w:val="right"/>
              <w:ind w:right="123"/>
              <w:spacing w:after="0"/>
              <w:rPr>
                <w:sz w:val="20"/>
                <w:szCs w:val="20"/>
                <w:color w:val="auto"/>
              </w:rPr>
            </w:pPr>
            <w:r>
              <w:rPr>
                <w:rFonts w:ascii="Arial" w:cs="Arial" w:eastAsia="Arial" w:hAnsi="Arial"/>
                <w:sz w:val="18"/>
                <w:szCs w:val="18"/>
                <w:b w:val="1"/>
                <w:bCs w:val="1"/>
                <w:color w:val="auto"/>
              </w:rPr>
              <w:t>$</w:t>
            </w: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487.8</w:t>
            </w:r>
          </w:p>
        </w:tc>
        <w:tc>
          <w:tcPr>
            <w:tcW w:w="320" w:type="dxa"/>
            <w:vAlign w:val="bottom"/>
            <w:gridSpan w:val="2"/>
            <w:shd w:val="clear" w:color="auto" w:fill="CCEEFF"/>
          </w:tcPr>
          <w:p>
            <w:pPr>
              <w:jc w:val="right"/>
              <w:ind w:right="63"/>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513.2</w:t>
            </w:r>
          </w:p>
        </w:tc>
        <w:tc>
          <w:tcPr>
            <w:tcW w:w="320" w:type="dxa"/>
            <w:vAlign w:val="bottom"/>
            <w:shd w:val="clear" w:color="auto" w:fill="CCEEFF"/>
          </w:tcPr>
          <w:p>
            <w:pPr>
              <w:jc w:val="right"/>
              <w:ind w:right="132"/>
              <w:spacing w:after="0"/>
              <w:rPr>
                <w:sz w:val="20"/>
                <w:szCs w:val="20"/>
                <w:color w:val="auto"/>
              </w:rPr>
            </w:pPr>
            <w:r>
              <w:rPr>
                <w:rFonts w:ascii="Arial" w:cs="Arial" w:eastAsia="Arial" w:hAnsi="Arial"/>
                <w:sz w:val="18"/>
                <w:szCs w:val="18"/>
                <w:b w:val="1"/>
                <w:bCs w:val="1"/>
                <w:color w:val="auto"/>
                <w:w w:val="79"/>
              </w:rPr>
              <w:t>$</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1,771.2</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b w:val="1"/>
                <w:bCs w:val="1"/>
                <w:color w:val="auto"/>
                <w:w w:val="71"/>
              </w:rPr>
              <w:t>$</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1,964.2</w:t>
            </w:r>
          </w:p>
        </w:tc>
      </w:tr>
      <w:tr>
        <w:trPr>
          <w:trHeight w:val="212"/>
        </w:trPr>
        <w:tc>
          <w:tcPr>
            <w:tcW w:w="51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2"/>
        </w:trPr>
        <w:tc>
          <w:tcPr>
            <w:tcW w:w="516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Segment Pre-Tax Operating Earnings (Losses):</w:t>
            </w:r>
          </w:p>
        </w:tc>
        <w:tc>
          <w:tcPr>
            <w:tcW w:w="3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2"/>
        </w:trPr>
        <w:tc>
          <w:tcPr>
            <w:tcW w:w="5160" w:type="dxa"/>
            <w:vAlign w:val="bottom"/>
          </w:tcPr>
          <w:p>
            <w:pPr>
              <w:spacing w:after="0"/>
              <w:rPr>
                <w:sz w:val="20"/>
                <w:szCs w:val="20"/>
                <w:color w:val="auto"/>
              </w:rPr>
            </w:pPr>
            <w:r>
              <w:rPr>
                <w:rFonts w:ascii="Arial" w:cs="Arial" w:eastAsia="Arial" w:hAnsi="Arial"/>
                <w:sz w:val="18"/>
                <w:szCs w:val="18"/>
                <w:i w:val="1"/>
                <w:iCs w:val="1"/>
                <w:color w:val="auto"/>
              </w:rPr>
              <w:t>Retirement and Income Solutions</w:t>
            </w:r>
          </w:p>
        </w:tc>
        <w:tc>
          <w:tcPr>
            <w:tcW w:w="660" w:type="dxa"/>
            <w:vAlign w:val="bottom"/>
            <w:gridSpan w:val="2"/>
          </w:tcPr>
          <w:p>
            <w:pPr>
              <w:jc w:val="right"/>
              <w:ind w:right="123"/>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213.9</w:t>
            </w:r>
          </w:p>
        </w:tc>
        <w:tc>
          <w:tcPr>
            <w:tcW w:w="320" w:type="dxa"/>
            <w:vAlign w:val="bottom"/>
            <w:gridSpan w:val="2"/>
          </w:tcPr>
          <w:p>
            <w:pPr>
              <w:jc w:val="right"/>
              <w:ind w:right="63"/>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256.2</w:t>
            </w:r>
          </w:p>
        </w:tc>
        <w:tc>
          <w:tcPr>
            <w:tcW w:w="320" w:type="dxa"/>
            <w:vAlign w:val="bottom"/>
          </w:tcPr>
          <w:p>
            <w:pPr>
              <w:jc w:val="right"/>
              <w:ind w:right="132"/>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796.2</w:t>
            </w: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947.5</w:t>
            </w:r>
          </w:p>
        </w:tc>
      </w:tr>
      <w:tr>
        <w:trPr>
          <w:trHeight w:val="212"/>
        </w:trPr>
        <w:tc>
          <w:tcPr>
            <w:tcW w:w="5160" w:type="dxa"/>
            <w:vAlign w:val="bottom"/>
            <w:shd w:val="clear" w:color="auto" w:fill="CCEEFF"/>
          </w:tcPr>
          <w:p>
            <w:pPr>
              <w:spacing w:after="0"/>
              <w:rPr>
                <w:sz w:val="20"/>
                <w:szCs w:val="20"/>
                <w:color w:val="auto"/>
              </w:rPr>
            </w:pPr>
            <w:r>
              <w:rPr>
                <w:rFonts w:ascii="Arial" w:cs="Arial" w:eastAsia="Arial" w:hAnsi="Arial"/>
                <w:sz w:val="18"/>
                <w:szCs w:val="18"/>
                <w:i w:val="1"/>
                <w:iCs w:val="1"/>
                <w:color w:val="auto"/>
              </w:rPr>
              <w:t>Principal Global Investors</w:t>
            </w:r>
          </w:p>
        </w:tc>
        <w:tc>
          <w:tcPr>
            <w:tcW w:w="3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108.4</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115.6</w:t>
            </w:r>
          </w:p>
        </w:tc>
        <w:tc>
          <w:tcPr>
            <w:tcW w:w="3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487.1</w:t>
            </w:r>
          </w:p>
        </w:tc>
        <w:tc>
          <w:tcPr>
            <w:tcW w:w="2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535.5</w:t>
            </w:r>
          </w:p>
        </w:tc>
      </w:tr>
      <w:tr>
        <w:trPr>
          <w:trHeight w:val="212"/>
        </w:trPr>
        <w:tc>
          <w:tcPr>
            <w:tcW w:w="5160" w:type="dxa"/>
            <w:vAlign w:val="bottom"/>
          </w:tcPr>
          <w:p>
            <w:pPr>
              <w:spacing w:after="0"/>
              <w:rPr>
                <w:sz w:val="20"/>
                <w:szCs w:val="20"/>
                <w:color w:val="auto"/>
              </w:rPr>
            </w:pPr>
            <w:r>
              <w:rPr>
                <w:rFonts w:ascii="Arial" w:cs="Arial" w:eastAsia="Arial" w:hAnsi="Arial"/>
                <w:sz w:val="18"/>
                <w:szCs w:val="18"/>
                <w:i w:val="1"/>
                <w:iCs w:val="1"/>
                <w:color w:val="auto"/>
              </w:rPr>
              <w:t>Principal International</w:t>
            </w:r>
          </w:p>
        </w:tc>
        <w:tc>
          <w:tcPr>
            <w:tcW w:w="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94.5</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93.2</w:t>
            </w:r>
          </w:p>
        </w:tc>
        <w:tc>
          <w:tcPr>
            <w:tcW w:w="32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311.7</w:t>
            </w:r>
          </w:p>
        </w:tc>
        <w:tc>
          <w:tcPr>
            <w:tcW w:w="2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299.1</w:t>
            </w:r>
          </w:p>
        </w:tc>
      </w:tr>
      <w:tr>
        <w:trPr>
          <w:trHeight w:val="212"/>
        </w:trPr>
        <w:tc>
          <w:tcPr>
            <w:tcW w:w="5160" w:type="dxa"/>
            <w:vAlign w:val="bottom"/>
            <w:shd w:val="clear" w:color="auto" w:fill="CCEEFF"/>
          </w:tcPr>
          <w:p>
            <w:pPr>
              <w:spacing w:after="0"/>
              <w:rPr>
                <w:sz w:val="20"/>
                <w:szCs w:val="20"/>
                <w:color w:val="auto"/>
              </w:rPr>
            </w:pPr>
            <w:r>
              <w:rPr>
                <w:rFonts w:ascii="Arial" w:cs="Arial" w:eastAsia="Arial" w:hAnsi="Arial"/>
                <w:sz w:val="18"/>
                <w:szCs w:val="18"/>
                <w:i w:val="1"/>
                <w:iCs w:val="1"/>
                <w:color w:val="auto"/>
              </w:rPr>
              <w:t>U.S. Insurance Solutions</w:t>
            </w:r>
          </w:p>
        </w:tc>
        <w:tc>
          <w:tcPr>
            <w:tcW w:w="3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155.0</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146.3</w:t>
            </w:r>
          </w:p>
        </w:tc>
        <w:tc>
          <w:tcPr>
            <w:tcW w:w="3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549.1</w:t>
            </w:r>
          </w:p>
        </w:tc>
        <w:tc>
          <w:tcPr>
            <w:tcW w:w="2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495.7</w:t>
            </w:r>
          </w:p>
        </w:tc>
      </w:tr>
      <w:tr>
        <w:trPr>
          <w:trHeight w:val="212"/>
        </w:trPr>
        <w:tc>
          <w:tcPr>
            <w:tcW w:w="5160" w:type="dxa"/>
            <w:vAlign w:val="bottom"/>
          </w:tcPr>
          <w:p>
            <w:pPr>
              <w:spacing w:after="0"/>
              <w:rPr>
                <w:sz w:val="20"/>
                <w:szCs w:val="20"/>
                <w:color w:val="auto"/>
              </w:rPr>
            </w:pPr>
            <w:r>
              <w:rPr>
                <w:rFonts w:ascii="Arial" w:cs="Arial" w:eastAsia="Arial" w:hAnsi="Arial"/>
                <w:sz w:val="18"/>
                <w:szCs w:val="18"/>
                <w:i w:val="1"/>
                <w:iCs w:val="1"/>
                <w:color w:val="auto"/>
              </w:rPr>
              <w:t>Corporate</w:t>
            </w:r>
          </w:p>
        </w:tc>
        <w:tc>
          <w:tcPr>
            <w:tcW w:w="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(84.0)</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8"/>
                <w:szCs w:val="18"/>
                <w:color w:val="auto"/>
              </w:rPr>
              <w:t>(98.1)</w:t>
            </w:r>
          </w:p>
        </w:tc>
        <w:tc>
          <w:tcPr>
            <w:tcW w:w="320" w:type="dxa"/>
            <w:vAlign w:val="bottom"/>
          </w:tcPr>
          <w:p>
            <w:pPr>
              <w:spacing w:after="0"/>
              <w:rPr>
                <w:sz w:val="18"/>
                <w:szCs w:val="18"/>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rPr>
              <w:t>(372.9)</w:t>
            </w:r>
          </w:p>
        </w:tc>
        <w:tc>
          <w:tcPr>
            <w:tcW w:w="2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Arial" w:cs="Arial" w:eastAsia="Arial" w:hAnsi="Arial"/>
                <w:sz w:val="18"/>
                <w:szCs w:val="18"/>
                <w:color w:val="auto"/>
              </w:rPr>
              <w:t>(313.6)</w:t>
            </w:r>
          </w:p>
        </w:tc>
      </w:tr>
      <w:tr>
        <w:trPr>
          <w:trHeight w:val="212"/>
        </w:trPr>
        <w:tc>
          <w:tcPr>
            <w:tcW w:w="516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Total Segment Pre-Tax Operating Earnings</w:t>
            </w:r>
          </w:p>
        </w:tc>
        <w:tc>
          <w:tcPr>
            <w:tcW w:w="660" w:type="dxa"/>
            <w:vAlign w:val="bottom"/>
            <w:gridSpan w:val="2"/>
            <w:shd w:val="clear" w:color="auto" w:fill="CCEEFF"/>
          </w:tcPr>
          <w:p>
            <w:pPr>
              <w:jc w:val="right"/>
              <w:ind w:right="123"/>
              <w:spacing w:after="0"/>
              <w:rPr>
                <w:sz w:val="20"/>
                <w:szCs w:val="20"/>
                <w:color w:val="auto"/>
              </w:rPr>
            </w:pPr>
            <w:r>
              <w:rPr>
                <w:rFonts w:ascii="Arial" w:cs="Arial" w:eastAsia="Arial" w:hAnsi="Arial"/>
                <w:sz w:val="18"/>
                <w:szCs w:val="18"/>
                <w:b w:val="1"/>
                <w:bCs w:val="1"/>
                <w:color w:val="auto"/>
              </w:rPr>
              <w:t>$</w:t>
            </w: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487.8</w:t>
            </w:r>
          </w:p>
        </w:tc>
        <w:tc>
          <w:tcPr>
            <w:tcW w:w="320" w:type="dxa"/>
            <w:vAlign w:val="bottom"/>
            <w:gridSpan w:val="2"/>
            <w:shd w:val="clear" w:color="auto" w:fill="CCEEFF"/>
          </w:tcPr>
          <w:p>
            <w:pPr>
              <w:jc w:val="right"/>
              <w:ind w:right="63"/>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513.2</w:t>
            </w:r>
          </w:p>
        </w:tc>
        <w:tc>
          <w:tcPr>
            <w:tcW w:w="320" w:type="dxa"/>
            <w:vAlign w:val="bottom"/>
            <w:shd w:val="clear" w:color="auto" w:fill="CCEEFF"/>
          </w:tcPr>
          <w:p>
            <w:pPr>
              <w:jc w:val="right"/>
              <w:ind w:right="132"/>
              <w:spacing w:after="0"/>
              <w:rPr>
                <w:sz w:val="20"/>
                <w:szCs w:val="20"/>
                <w:color w:val="auto"/>
              </w:rPr>
            </w:pPr>
            <w:r>
              <w:rPr>
                <w:rFonts w:ascii="Arial" w:cs="Arial" w:eastAsia="Arial" w:hAnsi="Arial"/>
                <w:sz w:val="18"/>
                <w:szCs w:val="18"/>
                <w:b w:val="1"/>
                <w:bCs w:val="1"/>
                <w:color w:val="auto"/>
                <w:w w:val="79"/>
              </w:rPr>
              <w:t>$</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1,771.2</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b w:val="1"/>
                <w:bCs w:val="1"/>
                <w:color w:val="auto"/>
                <w:w w:val="71"/>
              </w:rPr>
              <w:t>$</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1,964.2</w:t>
            </w:r>
          </w:p>
        </w:tc>
      </w:tr>
      <w:tr>
        <w:trPr>
          <w:trHeight w:val="437"/>
        </w:trPr>
        <w:tc>
          <w:tcPr>
            <w:tcW w:w="51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680" w:type="dxa"/>
            <w:vAlign w:val="bottom"/>
            <w:tcBorders>
              <w:bottom w:val="single" w:sz="8" w:color="auto"/>
            </w:tcBorders>
            <w:gridSpan w:val="5"/>
          </w:tcPr>
          <w:p>
            <w:pPr>
              <w:jc w:val="right"/>
              <w:ind w:right="920"/>
              <w:spacing w:after="0"/>
              <w:rPr>
                <w:sz w:val="20"/>
                <w:szCs w:val="20"/>
                <w:color w:val="auto"/>
              </w:rPr>
            </w:pPr>
            <w:r>
              <w:rPr>
                <w:rFonts w:ascii="Arial" w:cs="Arial" w:eastAsia="Arial" w:hAnsi="Arial"/>
                <w:sz w:val="18"/>
                <w:szCs w:val="18"/>
                <w:b w:val="1"/>
                <w:bCs w:val="1"/>
                <w:color w:val="auto"/>
              </w:rPr>
              <w:t>Per Diluted Share</w:t>
            </w:r>
          </w:p>
        </w:tc>
        <w:tc>
          <w:tcPr>
            <w:tcW w:w="2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219"/>
        </w:trPr>
        <w:tc>
          <w:tcPr>
            <w:tcW w:w="51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660" w:type="dxa"/>
            <w:vAlign w:val="bottom"/>
            <w:gridSpan w:val="6"/>
          </w:tcPr>
          <w:p>
            <w:pPr>
              <w:jc w:val="right"/>
              <w:ind w:right="820"/>
              <w:spacing w:after="0"/>
              <w:rPr>
                <w:sz w:val="20"/>
                <w:szCs w:val="20"/>
                <w:color w:val="auto"/>
              </w:rPr>
            </w:pPr>
            <w:r>
              <w:rPr>
                <w:rFonts w:ascii="Arial" w:cs="Arial" w:eastAsia="Arial" w:hAnsi="Arial"/>
                <w:sz w:val="18"/>
                <w:szCs w:val="18"/>
                <w:i w:val="1"/>
                <w:iCs w:val="1"/>
                <w:color w:val="auto"/>
              </w:rPr>
              <w:t>Three Months Ended,</w:t>
            </w:r>
          </w:p>
        </w:tc>
        <w:tc>
          <w:tcPr>
            <w:tcW w:w="320" w:type="dxa"/>
            <w:vAlign w:val="bottom"/>
          </w:tcPr>
          <w:p>
            <w:pPr>
              <w:spacing w:after="0"/>
              <w:rPr>
                <w:sz w:val="19"/>
                <w:szCs w:val="19"/>
                <w:color w:val="auto"/>
              </w:rPr>
            </w:pPr>
          </w:p>
        </w:tc>
        <w:tc>
          <w:tcPr>
            <w:tcW w:w="2440" w:type="dxa"/>
            <w:vAlign w:val="bottom"/>
            <w:gridSpan w:val="5"/>
          </w:tcPr>
          <w:p>
            <w:pPr>
              <w:jc w:val="right"/>
              <w:ind w:right="760"/>
              <w:spacing w:after="0"/>
              <w:rPr>
                <w:sz w:val="20"/>
                <w:szCs w:val="20"/>
                <w:color w:val="auto"/>
              </w:rPr>
            </w:pPr>
            <w:r>
              <w:rPr>
                <w:rFonts w:ascii="Arial" w:cs="Arial" w:eastAsia="Arial" w:hAnsi="Arial"/>
                <w:sz w:val="18"/>
                <w:szCs w:val="18"/>
                <w:i w:val="1"/>
                <w:iCs w:val="1"/>
                <w:color w:val="auto"/>
              </w:rPr>
              <w:t>Six Months Ended,</w:t>
            </w:r>
          </w:p>
        </w:tc>
      </w:tr>
      <w:tr>
        <w:trPr>
          <w:trHeight w:val="206"/>
        </w:trPr>
        <w:tc>
          <w:tcPr>
            <w:tcW w:w="5160" w:type="dxa"/>
            <w:vAlign w:val="bottom"/>
            <w:tcBorders>
              <w:bottom w:val="single" w:sz="8" w:color="CCEEFF"/>
            </w:tcBorders>
          </w:tcPr>
          <w:p>
            <w:pPr>
              <w:spacing w:after="0"/>
              <w:rPr>
                <w:sz w:val="17"/>
                <w:szCs w:val="17"/>
                <w:color w:val="auto"/>
              </w:rPr>
            </w:pPr>
          </w:p>
        </w:tc>
        <w:tc>
          <w:tcPr>
            <w:tcW w:w="380" w:type="dxa"/>
            <w:vAlign w:val="bottom"/>
            <w:tcBorders>
              <w:bottom w:val="single" w:sz="8" w:color="CCEEFF"/>
            </w:tcBorders>
          </w:tcPr>
          <w:p>
            <w:pPr>
              <w:spacing w:after="0"/>
              <w:rPr>
                <w:sz w:val="17"/>
                <w:szCs w:val="17"/>
                <w:color w:val="auto"/>
              </w:rPr>
            </w:pPr>
          </w:p>
        </w:tc>
        <w:tc>
          <w:tcPr>
            <w:tcW w:w="280" w:type="dxa"/>
            <w:vAlign w:val="bottom"/>
            <w:tcBorders>
              <w:top w:val="single" w:sz="8" w:color="auto"/>
              <w:bottom w:val="single" w:sz="8" w:color="auto"/>
            </w:tcBorders>
          </w:tcPr>
          <w:p>
            <w:pPr>
              <w:spacing w:after="0"/>
              <w:rPr>
                <w:sz w:val="17"/>
                <w:szCs w:val="17"/>
                <w:color w:val="auto"/>
              </w:rPr>
            </w:pPr>
          </w:p>
        </w:tc>
        <w:tc>
          <w:tcPr>
            <w:tcW w:w="960" w:type="dxa"/>
            <w:vAlign w:val="bottom"/>
            <w:tcBorders>
              <w:top w:val="single" w:sz="8" w:color="auto"/>
              <w:bottom w:val="single" w:sz="8" w:color="auto"/>
            </w:tcBorders>
          </w:tcPr>
          <w:p>
            <w:pPr>
              <w:jc w:val="right"/>
              <w:ind w:right="272"/>
              <w:spacing w:after="0" w:line="206" w:lineRule="exact"/>
              <w:rPr>
                <w:sz w:val="20"/>
                <w:szCs w:val="20"/>
                <w:color w:val="auto"/>
              </w:rPr>
            </w:pPr>
            <w:r>
              <w:rPr>
                <w:rFonts w:ascii="Arial" w:cs="Arial" w:eastAsia="Arial" w:hAnsi="Arial"/>
                <w:sz w:val="18"/>
                <w:szCs w:val="18"/>
                <w:color w:val="auto"/>
                <w:w w:val="96"/>
              </w:rPr>
              <w:t>6/30/20</w:t>
            </w:r>
          </w:p>
        </w:tc>
        <w:tc>
          <w:tcPr>
            <w:tcW w:w="140" w:type="dxa"/>
            <w:vAlign w:val="bottom"/>
            <w:tcBorders>
              <w:top w:val="single" w:sz="8" w:color="auto"/>
              <w:bottom w:val="single" w:sz="8" w:color="CCEEFF"/>
            </w:tcBorders>
          </w:tcPr>
          <w:p>
            <w:pPr>
              <w:spacing w:after="0"/>
              <w:rPr>
                <w:sz w:val="17"/>
                <w:szCs w:val="17"/>
                <w:color w:val="auto"/>
              </w:rPr>
            </w:pPr>
          </w:p>
        </w:tc>
        <w:tc>
          <w:tcPr>
            <w:tcW w:w="100" w:type="dxa"/>
            <w:vAlign w:val="bottom"/>
            <w:tcBorders>
              <w:top w:val="single" w:sz="8" w:color="auto"/>
              <w:bottom w:val="single" w:sz="8" w:color="CCEEFF"/>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ind w:right="272"/>
              <w:spacing w:after="0" w:line="206" w:lineRule="exact"/>
              <w:rPr>
                <w:sz w:val="20"/>
                <w:szCs w:val="20"/>
                <w:color w:val="auto"/>
              </w:rPr>
            </w:pPr>
            <w:r>
              <w:rPr>
                <w:rFonts w:ascii="Arial" w:cs="Arial" w:eastAsia="Arial" w:hAnsi="Arial"/>
                <w:sz w:val="18"/>
                <w:szCs w:val="18"/>
                <w:color w:val="auto"/>
              </w:rPr>
              <w:t>6/30/19</w:t>
            </w:r>
          </w:p>
        </w:tc>
        <w:tc>
          <w:tcPr>
            <w:tcW w:w="220" w:type="dxa"/>
            <w:vAlign w:val="bottom"/>
            <w:tcBorders>
              <w:bottom w:val="single" w:sz="8" w:color="CCEEFF"/>
            </w:tcBorders>
          </w:tcPr>
          <w:p>
            <w:pPr>
              <w:spacing w:after="0"/>
              <w:rPr>
                <w:sz w:val="17"/>
                <w:szCs w:val="17"/>
                <w:color w:val="auto"/>
              </w:rPr>
            </w:pPr>
          </w:p>
        </w:tc>
        <w:tc>
          <w:tcPr>
            <w:tcW w:w="320" w:type="dxa"/>
            <w:vAlign w:val="bottom"/>
            <w:tcBorders>
              <w:top w:val="single" w:sz="8" w:color="auto"/>
              <w:bottom w:val="single" w:sz="8" w:color="auto"/>
            </w:tcBorders>
          </w:tcPr>
          <w:p>
            <w:pPr>
              <w:spacing w:after="0"/>
              <w:rPr>
                <w:sz w:val="17"/>
                <w:szCs w:val="17"/>
                <w:color w:val="auto"/>
              </w:rPr>
            </w:pPr>
          </w:p>
        </w:tc>
        <w:tc>
          <w:tcPr>
            <w:tcW w:w="900" w:type="dxa"/>
            <w:vAlign w:val="bottom"/>
            <w:tcBorders>
              <w:top w:val="single" w:sz="8" w:color="auto"/>
              <w:bottom w:val="single" w:sz="8" w:color="auto"/>
            </w:tcBorders>
          </w:tcPr>
          <w:p>
            <w:pPr>
              <w:jc w:val="right"/>
              <w:ind w:right="252"/>
              <w:spacing w:after="0" w:line="206" w:lineRule="exact"/>
              <w:rPr>
                <w:sz w:val="20"/>
                <w:szCs w:val="20"/>
                <w:color w:val="auto"/>
              </w:rPr>
            </w:pPr>
            <w:r>
              <w:rPr>
                <w:rFonts w:ascii="Arial" w:cs="Arial" w:eastAsia="Arial" w:hAnsi="Arial"/>
                <w:sz w:val="18"/>
                <w:szCs w:val="18"/>
                <w:color w:val="auto"/>
                <w:w w:val="89"/>
              </w:rPr>
              <w:t>6/30/20</w:t>
            </w:r>
          </w:p>
        </w:tc>
        <w:tc>
          <w:tcPr>
            <w:tcW w:w="220" w:type="dxa"/>
            <w:vAlign w:val="bottom"/>
            <w:tcBorders>
              <w:top w:val="single" w:sz="8" w:color="auto"/>
              <w:bottom w:val="single" w:sz="8" w:color="CCEEFF"/>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1000" w:type="dxa"/>
            <w:vAlign w:val="bottom"/>
            <w:tcBorders>
              <w:top w:val="single" w:sz="8" w:color="auto"/>
              <w:bottom w:val="single" w:sz="8" w:color="auto"/>
            </w:tcBorders>
          </w:tcPr>
          <w:p>
            <w:pPr>
              <w:jc w:val="right"/>
              <w:ind w:right="252"/>
              <w:spacing w:after="0" w:line="206" w:lineRule="exact"/>
              <w:rPr>
                <w:sz w:val="20"/>
                <w:szCs w:val="20"/>
                <w:color w:val="auto"/>
              </w:rPr>
            </w:pPr>
            <w:r>
              <w:rPr>
                <w:rFonts w:ascii="Arial" w:cs="Arial" w:eastAsia="Arial" w:hAnsi="Arial"/>
                <w:sz w:val="18"/>
                <w:szCs w:val="18"/>
                <w:color w:val="auto"/>
              </w:rPr>
              <w:t>6/30/19</w:t>
            </w:r>
          </w:p>
        </w:tc>
        <w:tc>
          <w:tcPr>
            <w:tcW w:w="100" w:type="dxa"/>
            <w:vAlign w:val="bottom"/>
            <w:tcBorders>
              <w:bottom w:val="single" w:sz="8" w:color="CCEEFF"/>
            </w:tcBorders>
          </w:tcPr>
          <w:p>
            <w:pPr>
              <w:spacing w:after="0"/>
              <w:rPr>
                <w:sz w:val="17"/>
                <w:szCs w:val="17"/>
                <w:color w:val="auto"/>
              </w:rPr>
            </w:pPr>
          </w:p>
        </w:tc>
      </w:tr>
      <w:tr>
        <w:trPr>
          <w:trHeight w:val="150"/>
        </w:trPr>
        <w:tc>
          <w:tcPr>
            <w:tcW w:w="516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r>
    </w:tbl>
    <w:p>
      <w:pPr>
        <w:sectPr>
          <w:pgSz w:w="11900" w:h="16900" w:orient="portrait"/>
          <w:cols w:equalWidth="0" w:num="1">
            <w:col w:w="11240"/>
          </w:cols>
          <w:pgMar w:left="320" w:top="1440" w:right="339" w:bottom="0" w:gutter="0" w:footer="0" w:header="0"/>
        </w:sectPr>
      </w:pPr>
    </w:p>
    <w:bookmarkStart w:id="18" w:name="page19"/>
    <w:bookmarkEnd w:id="1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542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Net income</w:t>
            </w:r>
          </w:p>
        </w:tc>
        <w:tc>
          <w:tcPr>
            <w:tcW w:w="120" w:type="dxa"/>
            <w:vAlign w:val="bottom"/>
            <w:tcBorders>
              <w:bottom w:val="single" w:sz="8" w:color="CCEEFF"/>
            </w:tcBorders>
            <w:shd w:val="clear" w:color="auto" w:fill="CCEEFF"/>
          </w:tcPr>
          <w:p>
            <w:pPr>
              <w:spacing w:after="0"/>
              <w:rPr>
                <w:sz w:val="18"/>
                <w:szCs w:val="18"/>
                <w:color w:val="auto"/>
              </w:rPr>
            </w:pPr>
          </w:p>
        </w:tc>
        <w:tc>
          <w:tcPr>
            <w:tcW w:w="460" w:type="dxa"/>
            <w:vAlign w:val="bottom"/>
            <w:shd w:val="clear" w:color="auto" w:fill="CCEEFF"/>
          </w:tcPr>
          <w:p>
            <w:pPr>
              <w:jc w:val="right"/>
              <w:ind w:right="303"/>
              <w:spacing w:after="0"/>
              <w:rPr>
                <w:sz w:val="20"/>
                <w:szCs w:val="20"/>
                <w:color w:val="auto"/>
              </w:rPr>
            </w:pPr>
            <w:r>
              <w:rPr>
                <w:rFonts w:ascii="Arial" w:cs="Arial" w:eastAsia="Arial" w:hAnsi="Arial"/>
                <w:sz w:val="15"/>
                <w:szCs w:val="15"/>
                <w:b w:val="1"/>
                <w:bCs w:val="1"/>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1.45</w:t>
            </w:r>
          </w:p>
        </w:tc>
        <w:tc>
          <w:tcPr>
            <w:tcW w:w="120" w:type="dxa"/>
            <w:vAlign w:val="bottom"/>
            <w:tcBorders>
              <w:bottom w:val="single" w:sz="8" w:color="CCEEFF"/>
            </w:tcBorders>
            <w:shd w:val="clear" w:color="auto" w:fill="CCEEFF"/>
          </w:tcPr>
          <w:p>
            <w:pPr>
              <w:spacing w:after="0"/>
              <w:rPr>
                <w:sz w:val="18"/>
                <w:szCs w:val="18"/>
                <w:color w:val="auto"/>
              </w:rPr>
            </w:pPr>
          </w:p>
        </w:tc>
        <w:tc>
          <w:tcPr>
            <w:tcW w:w="580" w:type="dxa"/>
            <w:vAlign w:val="bottom"/>
            <w:shd w:val="clear" w:color="auto" w:fill="CCEEFF"/>
          </w:tcPr>
          <w:p>
            <w:pPr>
              <w:jc w:val="right"/>
              <w:ind w:right="292"/>
              <w:spacing w:after="0"/>
              <w:rPr>
                <w:sz w:val="20"/>
                <w:szCs w:val="20"/>
                <w:color w:val="auto"/>
              </w:rPr>
            </w:pPr>
            <w:r>
              <w:rPr>
                <w:rFonts w:ascii="Arial" w:cs="Arial" w:eastAsia="Arial" w:hAnsi="Arial"/>
                <w:sz w:val="18"/>
                <w:szCs w:val="18"/>
                <w:b w:val="1"/>
                <w:bCs w:val="1"/>
                <w:color w:val="auto"/>
              </w:rPr>
              <w:t>$</w:t>
            </w:r>
          </w:p>
        </w:tc>
        <w:tc>
          <w:tcPr>
            <w:tcW w:w="900" w:type="dxa"/>
            <w:vAlign w:val="bottom"/>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1.37</w:t>
            </w:r>
          </w:p>
        </w:tc>
        <w:tc>
          <w:tcPr>
            <w:tcW w:w="100" w:type="dxa"/>
            <w:vAlign w:val="bottom"/>
            <w:tcBorders>
              <w:bottom w:val="single" w:sz="8" w:color="CCEEFF"/>
            </w:tcBorders>
            <w:shd w:val="clear" w:color="auto" w:fill="CCEEFF"/>
          </w:tcPr>
          <w:p>
            <w:pPr>
              <w:spacing w:after="0"/>
              <w:rPr>
                <w:sz w:val="18"/>
                <w:szCs w:val="18"/>
                <w:color w:val="auto"/>
              </w:rPr>
            </w:pPr>
          </w:p>
        </w:tc>
        <w:tc>
          <w:tcPr>
            <w:tcW w:w="460" w:type="dxa"/>
            <w:vAlign w:val="bottom"/>
            <w:shd w:val="clear" w:color="auto" w:fill="CCEEFF"/>
          </w:tcPr>
          <w:p>
            <w:pPr>
              <w:jc w:val="right"/>
              <w:ind w:right="272"/>
              <w:spacing w:after="0"/>
              <w:rPr>
                <w:sz w:val="20"/>
                <w:szCs w:val="20"/>
                <w:color w:val="auto"/>
              </w:rPr>
            </w:pPr>
            <w:r>
              <w:rPr>
                <w:rFonts w:ascii="Arial" w:cs="Arial" w:eastAsia="Arial" w:hAnsi="Arial"/>
                <w:sz w:val="18"/>
                <w:szCs w:val="18"/>
                <w:b w:val="1"/>
                <w:bCs w:val="1"/>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2.49</w:t>
            </w:r>
          </w:p>
        </w:tc>
        <w:tc>
          <w:tcPr>
            <w:tcW w:w="220" w:type="dxa"/>
            <w:vAlign w:val="bottom"/>
            <w:tcBorders>
              <w:bottom w:val="single" w:sz="8" w:color="CCEEFF"/>
            </w:tcBorders>
            <w:shd w:val="clear" w:color="auto" w:fill="CCEEFF"/>
          </w:tcPr>
          <w:p>
            <w:pPr>
              <w:spacing w:after="0"/>
              <w:rPr>
                <w:sz w:val="18"/>
                <w:szCs w:val="18"/>
                <w:color w:val="auto"/>
              </w:rPr>
            </w:pPr>
          </w:p>
        </w:tc>
        <w:tc>
          <w:tcPr>
            <w:tcW w:w="460" w:type="dxa"/>
            <w:vAlign w:val="bottom"/>
            <w:shd w:val="clear" w:color="auto" w:fill="CCEEFF"/>
          </w:tcPr>
          <w:p>
            <w:pPr>
              <w:jc w:val="right"/>
              <w:ind w:right="303"/>
              <w:spacing w:after="0"/>
              <w:rPr>
                <w:sz w:val="20"/>
                <w:szCs w:val="20"/>
                <w:color w:val="auto"/>
              </w:rPr>
            </w:pPr>
            <w:r>
              <w:rPr>
                <w:rFonts w:ascii="Arial" w:cs="Arial" w:eastAsia="Arial" w:hAnsi="Arial"/>
                <w:sz w:val="15"/>
                <w:szCs w:val="15"/>
                <w:b w:val="1"/>
                <w:bCs w:val="1"/>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2.90</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192"/>
        </w:trPr>
        <w:tc>
          <w:tcPr>
            <w:tcW w:w="5420" w:type="dxa"/>
            <w:vAlign w:val="bottom"/>
          </w:tcPr>
          <w:p>
            <w:pPr>
              <w:spacing w:after="0" w:line="192" w:lineRule="exact"/>
              <w:rPr>
                <w:sz w:val="20"/>
                <w:szCs w:val="20"/>
                <w:color w:val="auto"/>
              </w:rPr>
            </w:pPr>
            <w:r>
              <w:rPr>
                <w:rFonts w:ascii="Arial" w:cs="Arial" w:eastAsia="Arial" w:hAnsi="Arial"/>
                <w:sz w:val="18"/>
                <w:szCs w:val="18"/>
                <w:i w:val="1"/>
                <w:iCs w:val="1"/>
                <w:color w:val="auto"/>
              </w:rPr>
              <w:t>Net realized capital (gains) losses, as adjusted</w:t>
            </w:r>
          </w:p>
        </w:tc>
        <w:tc>
          <w:tcPr>
            <w:tcW w:w="12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780" w:type="dxa"/>
            <w:vAlign w:val="bottom"/>
          </w:tcPr>
          <w:p>
            <w:pPr>
              <w:jc w:val="right"/>
              <w:spacing w:after="0" w:line="192" w:lineRule="exact"/>
              <w:rPr>
                <w:sz w:val="20"/>
                <w:szCs w:val="20"/>
                <w:color w:val="auto"/>
              </w:rPr>
            </w:pPr>
            <w:r>
              <w:rPr>
                <w:rFonts w:ascii="Arial" w:cs="Arial" w:eastAsia="Arial" w:hAnsi="Arial"/>
                <w:sz w:val="18"/>
                <w:szCs w:val="18"/>
                <w:color w:val="auto"/>
              </w:rPr>
              <w:t>0.01</w:t>
            </w:r>
          </w:p>
        </w:tc>
        <w:tc>
          <w:tcPr>
            <w:tcW w:w="1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900" w:type="dxa"/>
            <w:vAlign w:val="bottom"/>
          </w:tcPr>
          <w:p>
            <w:pPr>
              <w:jc w:val="right"/>
              <w:ind w:right="32"/>
              <w:spacing w:after="0" w:line="192" w:lineRule="exact"/>
              <w:rPr>
                <w:sz w:val="20"/>
                <w:szCs w:val="20"/>
                <w:color w:val="auto"/>
              </w:rPr>
            </w:pPr>
            <w:r>
              <w:rPr>
                <w:rFonts w:ascii="Arial" w:cs="Arial" w:eastAsia="Arial" w:hAnsi="Arial"/>
                <w:sz w:val="18"/>
                <w:szCs w:val="18"/>
                <w:color w:val="auto"/>
              </w:rPr>
              <w:t>0.15</w:t>
            </w:r>
          </w:p>
        </w:tc>
        <w:tc>
          <w:tcPr>
            <w:tcW w:w="1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760" w:type="dxa"/>
            <w:vAlign w:val="bottom"/>
          </w:tcPr>
          <w:p>
            <w:pPr>
              <w:jc w:val="right"/>
              <w:spacing w:after="0" w:line="192" w:lineRule="exact"/>
              <w:rPr>
                <w:sz w:val="20"/>
                <w:szCs w:val="20"/>
                <w:color w:val="auto"/>
              </w:rPr>
            </w:pPr>
            <w:r>
              <w:rPr>
                <w:rFonts w:ascii="Arial" w:cs="Arial" w:eastAsia="Arial" w:hAnsi="Arial"/>
                <w:sz w:val="18"/>
                <w:szCs w:val="18"/>
                <w:color w:val="auto"/>
              </w:rPr>
              <w:t>0.12</w:t>
            </w:r>
          </w:p>
        </w:tc>
        <w:tc>
          <w:tcPr>
            <w:tcW w:w="22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760" w:type="dxa"/>
            <w:vAlign w:val="bottom"/>
          </w:tcPr>
          <w:p>
            <w:pPr>
              <w:jc w:val="right"/>
              <w:spacing w:after="0" w:line="192" w:lineRule="exact"/>
              <w:rPr>
                <w:sz w:val="20"/>
                <w:szCs w:val="20"/>
                <w:color w:val="auto"/>
              </w:rPr>
            </w:pPr>
            <w:r>
              <w:rPr>
                <w:rFonts w:ascii="Arial" w:cs="Arial" w:eastAsia="Arial" w:hAnsi="Arial"/>
                <w:sz w:val="18"/>
                <w:szCs w:val="18"/>
                <w:color w:val="auto"/>
              </w:rPr>
              <w:t>0.04</w:t>
            </w:r>
          </w:p>
        </w:tc>
        <w:tc>
          <w:tcPr>
            <w:tcW w:w="100" w:type="dxa"/>
            <w:vAlign w:val="bottom"/>
          </w:tcPr>
          <w:p>
            <w:pPr>
              <w:spacing w:after="0"/>
              <w:rPr>
                <w:sz w:val="16"/>
                <w:szCs w:val="16"/>
                <w:color w:val="auto"/>
              </w:rPr>
            </w:pPr>
          </w:p>
        </w:tc>
      </w:tr>
      <w:tr>
        <w:trPr>
          <w:trHeight w:val="212"/>
        </w:trPr>
        <w:tc>
          <w:tcPr>
            <w:tcW w:w="542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Non-GAAP Operating Earnings</w:t>
            </w:r>
          </w:p>
        </w:tc>
        <w:tc>
          <w:tcPr>
            <w:tcW w:w="580" w:type="dxa"/>
            <w:vAlign w:val="bottom"/>
            <w:gridSpan w:val="2"/>
            <w:shd w:val="clear" w:color="auto" w:fill="CCEEFF"/>
          </w:tcPr>
          <w:p>
            <w:pPr>
              <w:jc w:val="right"/>
              <w:ind w:right="303"/>
              <w:spacing w:after="0"/>
              <w:rPr>
                <w:sz w:val="20"/>
                <w:szCs w:val="20"/>
                <w:color w:val="auto"/>
              </w:rPr>
            </w:pPr>
            <w:r>
              <w:rPr>
                <w:rFonts w:ascii="Arial" w:cs="Arial" w:eastAsia="Arial" w:hAnsi="Arial"/>
                <w:sz w:val="18"/>
                <w:szCs w:val="18"/>
                <w:b w:val="1"/>
                <w:bCs w:val="1"/>
                <w:color w:val="auto"/>
              </w:rPr>
              <w:t>$</w:t>
            </w:r>
          </w:p>
        </w:tc>
        <w:tc>
          <w:tcPr>
            <w:tcW w:w="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1.46</w:t>
            </w:r>
          </w:p>
        </w:tc>
        <w:tc>
          <w:tcPr>
            <w:tcW w:w="580" w:type="dxa"/>
            <w:vAlign w:val="bottom"/>
            <w:shd w:val="clear" w:color="auto" w:fill="CCEEFF"/>
          </w:tcPr>
          <w:p>
            <w:pPr>
              <w:jc w:val="right"/>
              <w:ind w:right="292"/>
              <w:spacing w:after="0"/>
              <w:rPr>
                <w:sz w:val="20"/>
                <w:szCs w:val="20"/>
                <w:color w:val="auto"/>
              </w:rPr>
            </w:pPr>
            <w:r>
              <w:rPr>
                <w:rFonts w:ascii="Arial" w:cs="Arial" w:eastAsia="Arial" w:hAnsi="Arial"/>
                <w:sz w:val="18"/>
                <w:szCs w:val="18"/>
                <w:b w:val="1"/>
                <w:bCs w:val="1"/>
                <w:color w:val="auto"/>
              </w:rPr>
              <w:t>$</w:t>
            </w:r>
          </w:p>
        </w:tc>
        <w:tc>
          <w:tcPr>
            <w:tcW w:w="900" w:type="dxa"/>
            <w:vAlign w:val="bottom"/>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1.52</w:t>
            </w:r>
          </w:p>
        </w:tc>
        <w:tc>
          <w:tcPr>
            <w:tcW w:w="560" w:type="dxa"/>
            <w:vAlign w:val="bottom"/>
            <w:gridSpan w:val="2"/>
            <w:shd w:val="clear" w:color="auto" w:fill="CCEEFF"/>
          </w:tcPr>
          <w:p>
            <w:pPr>
              <w:jc w:val="right"/>
              <w:ind w:right="272"/>
              <w:spacing w:after="0"/>
              <w:rPr>
                <w:sz w:val="20"/>
                <w:szCs w:val="20"/>
                <w:color w:val="auto"/>
              </w:rPr>
            </w:pPr>
            <w:r>
              <w:rPr>
                <w:rFonts w:ascii="Arial" w:cs="Arial" w:eastAsia="Arial" w:hAnsi="Arial"/>
                <w:sz w:val="18"/>
                <w:szCs w:val="18"/>
                <w:b w:val="1"/>
                <w:bCs w:val="1"/>
                <w:color w:val="auto"/>
              </w:rPr>
              <w:t>$</w:t>
            </w: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2.61</w:t>
            </w:r>
          </w:p>
        </w:tc>
        <w:tc>
          <w:tcPr>
            <w:tcW w:w="460" w:type="dxa"/>
            <w:vAlign w:val="bottom"/>
            <w:shd w:val="clear" w:color="auto" w:fill="CCEEFF"/>
          </w:tcPr>
          <w:p>
            <w:pPr>
              <w:jc w:val="right"/>
              <w:ind w:right="303"/>
              <w:spacing w:after="0"/>
              <w:rPr>
                <w:sz w:val="20"/>
                <w:szCs w:val="20"/>
                <w:color w:val="auto"/>
              </w:rPr>
            </w:pPr>
            <w:r>
              <w:rPr>
                <w:rFonts w:ascii="Arial" w:cs="Arial" w:eastAsia="Arial" w:hAnsi="Arial"/>
                <w:sz w:val="15"/>
                <w:szCs w:val="15"/>
                <w:b w:val="1"/>
                <w:bCs w:val="1"/>
                <w:color w:val="auto"/>
                <w:w w:val="71"/>
              </w:rPr>
              <w:t>$</w:t>
            </w: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2.94</w:t>
            </w:r>
          </w:p>
        </w:tc>
      </w:tr>
      <w:tr>
        <w:trPr>
          <w:trHeight w:val="229"/>
        </w:trPr>
        <w:tc>
          <w:tcPr>
            <w:tcW w:w="5420" w:type="dxa"/>
            <w:vAlign w:val="bottom"/>
          </w:tcPr>
          <w:p>
            <w:pPr>
              <w:spacing w:after="0"/>
              <w:rPr>
                <w:sz w:val="20"/>
                <w:szCs w:val="20"/>
                <w:color w:val="auto"/>
              </w:rPr>
            </w:pPr>
            <w:r>
              <w:rPr>
                <w:rFonts w:ascii="Arial" w:cs="Arial" w:eastAsia="Arial" w:hAnsi="Arial"/>
                <w:sz w:val="18"/>
                <w:szCs w:val="18"/>
                <w:b w:val="1"/>
                <w:bCs w:val="1"/>
                <w:i w:val="1"/>
                <w:iCs w:val="1"/>
                <w:color w:val="auto"/>
                <w:w w:val="93"/>
              </w:rPr>
              <w:t>Weighted-average diluted common shares outstanding (in millions)</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0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275.6</w:t>
            </w:r>
          </w:p>
        </w:tc>
        <w:tc>
          <w:tcPr>
            <w:tcW w:w="580" w:type="dxa"/>
            <w:vAlign w:val="bottom"/>
          </w:tcPr>
          <w:p>
            <w:pPr>
              <w:spacing w:after="0"/>
              <w:rPr>
                <w:sz w:val="19"/>
                <w:szCs w:val="19"/>
                <w:color w:val="auto"/>
              </w:rPr>
            </w:pPr>
          </w:p>
        </w:tc>
        <w:tc>
          <w:tcPr>
            <w:tcW w:w="900" w:type="dxa"/>
            <w:vAlign w:val="bottom"/>
          </w:tcPr>
          <w:p>
            <w:pPr>
              <w:jc w:val="right"/>
              <w:ind w:right="32"/>
              <w:spacing w:after="0"/>
              <w:rPr>
                <w:sz w:val="20"/>
                <w:szCs w:val="20"/>
                <w:color w:val="auto"/>
              </w:rPr>
            </w:pPr>
            <w:r>
              <w:rPr>
                <w:rFonts w:ascii="Arial" w:cs="Arial" w:eastAsia="Arial" w:hAnsi="Arial"/>
                <w:sz w:val="18"/>
                <w:szCs w:val="18"/>
                <w:b w:val="1"/>
                <w:bCs w:val="1"/>
                <w:color w:val="auto"/>
              </w:rPr>
              <w:t>281.2</w:t>
            </w: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276.4</w:t>
            </w:r>
          </w:p>
        </w:tc>
        <w:tc>
          <w:tcPr>
            <w:tcW w:w="460" w:type="dxa"/>
            <w:vAlign w:val="bottom"/>
          </w:tcPr>
          <w:p>
            <w:pPr>
              <w:spacing w:after="0"/>
              <w:rPr>
                <w:sz w:val="19"/>
                <w:szCs w:val="19"/>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281.2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-414020</wp:posOffset>
            </wp:positionV>
            <wp:extent cx="7134860" cy="134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4860" cy="134620"/>
                    </a:xfrm>
                    <a:prstGeom prst="rect">
                      <a:avLst/>
                    </a:prstGeom>
                    <a:noFill/>
                  </pic:spPr>
                </pic:pic>
              </a:graphicData>
            </a:graphic>
          </wp:anchor>
        </w:drawing>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GAAP (GAAP) net income attributable to PFG versus non-GAAP operating earnings</w:t>
      </w:r>
    </w:p>
    <w:p>
      <w:pPr>
        <w:spacing w:after="0" w:line="223" w:lineRule="exact"/>
        <w:rPr>
          <w:sz w:val="20"/>
          <w:szCs w:val="20"/>
          <w:color w:val="auto"/>
        </w:rPr>
      </w:pPr>
    </w:p>
    <w:p>
      <w:pPr>
        <w:spacing w:after="0" w:line="309" w:lineRule="auto"/>
        <w:rPr>
          <w:sz w:val="20"/>
          <w:szCs w:val="20"/>
          <w:color w:val="auto"/>
        </w:rPr>
      </w:pPr>
      <w:r>
        <w:rPr>
          <w:rFonts w:ascii="Arial" w:cs="Arial" w:eastAsia="Arial" w:hAnsi="Arial"/>
          <w:sz w:val="15"/>
          <w:szCs w:val="15"/>
          <w:color w:val="auto"/>
        </w:rPr>
        <w:t>Management uses non-GAAP operating earnings, which is a financial measure that excludes the effect of net realized capital gains and losses, as adjusted, and other after-tax adjustments the company believes are not indicative of overall operating trends, for goal setting, as a basis for determining employee and senior management awards and compensation, and evaluating performance on a basis comparable to that used by investors and securities analysts. Note: it is possible these adjusting items have occurred in the past and could recur in future reporting periods. While these items may be significant components in understanding and assessing our consolidated financial performance, management believes the presentation of non-GAAP operating earnings enhances the understanding of results of operations by highlighting earnings attributable to the normal, ongoing operations of the company’s businesses.</w:t>
      </w:r>
    </w:p>
    <w:p>
      <w:pPr>
        <w:spacing w:after="0" w:line="364" w:lineRule="exact"/>
        <w:rPr>
          <w:sz w:val="20"/>
          <w:szCs w:val="20"/>
          <w:color w:val="auto"/>
        </w:rPr>
      </w:pPr>
    </w:p>
    <w:p>
      <w:pPr>
        <w:spacing w:after="0"/>
        <w:rPr>
          <w:sz w:val="20"/>
          <w:szCs w:val="20"/>
          <w:color w:val="auto"/>
        </w:rPr>
      </w:pPr>
      <w:r>
        <w:rPr>
          <w:rFonts w:ascii="Arial" w:cs="Arial" w:eastAsia="Arial" w:hAnsi="Arial"/>
          <w:sz w:val="18"/>
          <w:szCs w:val="18"/>
          <w:color w:val="auto"/>
        </w:rPr>
        <w:t>Classification: Company Confidential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10795</wp:posOffset>
            </wp:positionV>
            <wp:extent cx="713486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4860" cy="8255"/>
                    </a:xfrm>
                    <a:prstGeom prst="rect">
                      <a:avLst/>
                    </a:prstGeom>
                    <a:noFill/>
                  </pic:spPr>
                </pic:pic>
              </a:graphicData>
            </a:graphic>
          </wp:anchor>
        </w:drawing>
      </w:r>
    </w:p>
    <w:p>
      <w:pPr>
        <w:sectPr>
          <w:pgSz w:w="11900" w:h="16838" w:orient="portrait"/>
          <w:cols w:equalWidth="0" w:num="1">
            <w:col w:w="11240"/>
          </w:cols>
          <w:pgMar w:left="320" w:top="140" w:right="339" w:bottom="1440" w:gutter="0" w:footer="0" w:header="0"/>
        </w:sectPr>
      </w:pPr>
    </w:p>
    <w:bookmarkStart w:id="19" w:name="page20"/>
    <w:bookmarkEnd w:id="1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408940</wp:posOffset>
            </wp:positionH>
            <wp:positionV relativeFrom="page">
              <wp:posOffset>2512060</wp:posOffset>
            </wp:positionV>
            <wp:extent cx="6995160" cy="22040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clrChange>
                        <a:clrFrom>
                          <a:srgbClr val="FFFFFF"/>
                        </a:clrFrom>
                        <a:clrTo>
                          <a:srgbClr val="FFFFFF">
                            <a:alpha val="0"/>
                          </a:srgbClr>
                        </a:clrTo>
                      </a:clrChange>
                      <a:extLst>
                        <a:ext uri="{28A0092B-C50C-407E-A947-70E740481C1C}"/>
                      </a:extLst>
                    </a:blip>
                    <a:srcRect/>
                    <a:stretch>
                      <a:fillRect/>
                    </a:stretch>
                  </pic:blipFill>
                  <pic:spPr bwMode="auto">
                    <a:xfrm>
                      <a:off x="0" y="0"/>
                      <a:ext cx="6995160" cy="22040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8220" w:type="dxa"/>
            <w:vAlign w:val="bottom"/>
          </w:tcPr>
          <w:p>
            <w:pPr>
              <w:jc w:val="center"/>
              <w:ind w:left="2952"/>
              <w:spacing w:after="0"/>
              <w:rPr>
                <w:sz w:val="20"/>
                <w:szCs w:val="20"/>
                <w:color w:val="auto"/>
              </w:rPr>
            </w:pPr>
            <w:r>
              <w:rPr>
                <w:rFonts w:ascii="Arial" w:cs="Arial" w:eastAsia="Arial" w:hAnsi="Arial"/>
                <w:sz w:val="18"/>
                <w:szCs w:val="18"/>
                <w:b w:val="1"/>
                <w:bCs w:val="1"/>
                <w:i w:val="1"/>
                <w:iCs w:val="1"/>
                <w:color w:val="auto"/>
                <w:w w:val="82"/>
              </w:rPr>
              <w:t>Selected Balance Sheet Statistics</w:t>
            </w: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424"/>
        </w:trPr>
        <w:tc>
          <w:tcPr>
            <w:tcW w:w="8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580" w:type="dxa"/>
            <w:vAlign w:val="bottom"/>
            <w:gridSpan w:val="5"/>
          </w:tcPr>
          <w:p>
            <w:pPr>
              <w:ind w:left="600"/>
              <w:spacing w:after="0"/>
              <w:rPr>
                <w:sz w:val="20"/>
                <w:szCs w:val="20"/>
                <w:color w:val="auto"/>
              </w:rPr>
            </w:pPr>
            <w:r>
              <w:rPr>
                <w:rFonts w:ascii="Arial" w:cs="Arial" w:eastAsia="Arial" w:hAnsi="Arial"/>
                <w:sz w:val="18"/>
                <w:szCs w:val="18"/>
                <w:b w:val="1"/>
                <w:bCs w:val="1"/>
                <w:color w:val="auto"/>
              </w:rPr>
              <w:t>Period Ended,</w:t>
            </w:r>
          </w:p>
        </w:tc>
      </w:tr>
      <w:tr>
        <w:trPr>
          <w:trHeight w:val="206"/>
        </w:trPr>
        <w:tc>
          <w:tcPr>
            <w:tcW w:w="8220" w:type="dxa"/>
            <w:vAlign w:val="bottom"/>
            <w:tcBorders>
              <w:bottom w:val="single" w:sz="8" w:color="CCEEFF"/>
            </w:tcBorders>
          </w:tcPr>
          <w:p>
            <w:pPr>
              <w:spacing w:after="0"/>
              <w:rPr>
                <w:sz w:val="17"/>
                <w:szCs w:val="17"/>
                <w:color w:val="auto"/>
              </w:rPr>
            </w:pPr>
          </w:p>
        </w:tc>
        <w:tc>
          <w:tcPr>
            <w:tcW w:w="220" w:type="dxa"/>
            <w:vAlign w:val="bottom"/>
            <w:tcBorders>
              <w:bottom w:val="single" w:sz="8" w:color="CCEEFF"/>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tcPr>
          <w:p>
            <w:pPr>
              <w:jc w:val="right"/>
              <w:ind w:right="272"/>
              <w:spacing w:after="0" w:line="206" w:lineRule="exact"/>
              <w:rPr>
                <w:sz w:val="20"/>
                <w:szCs w:val="20"/>
                <w:color w:val="auto"/>
              </w:rPr>
            </w:pPr>
            <w:r>
              <w:rPr>
                <w:rFonts w:ascii="Arial" w:cs="Arial" w:eastAsia="Arial" w:hAnsi="Arial"/>
                <w:sz w:val="18"/>
                <w:szCs w:val="18"/>
                <w:b w:val="1"/>
                <w:bCs w:val="1"/>
                <w:color w:val="auto"/>
              </w:rPr>
              <w:t>6/30/20</w:t>
            </w:r>
          </w:p>
        </w:tc>
        <w:tc>
          <w:tcPr>
            <w:tcW w:w="220" w:type="dxa"/>
            <w:vAlign w:val="bottom"/>
            <w:tcBorders>
              <w:top w:val="single" w:sz="8" w:color="auto"/>
              <w:bottom w:val="single" w:sz="8" w:color="CCEEFF"/>
            </w:tcBorders>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1040" w:type="dxa"/>
            <w:vAlign w:val="bottom"/>
            <w:tcBorders>
              <w:top w:val="single" w:sz="8" w:color="auto"/>
              <w:bottom w:val="single" w:sz="8" w:color="auto"/>
            </w:tcBorders>
          </w:tcPr>
          <w:p>
            <w:pPr>
              <w:jc w:val="right"/>
              <w:ind w:right="212"/>
              <w:spacing w:after="0" w:line="206" w:lineRule="exact"/>
              <w:rPr>
                <w:sz w:val="20"/>
                <w:szCs w:val="20"/>
                <w:color w:val="auto"/>
              </w:rPr>
            </w:pPr>
            <w:r>
              <w:rPr>
                <w:rFonts w:ascii="Arial" w:cs="Arial" w:eastAsia="Arial" w:hAnsi="Arial"/>
                <w:sz w:val="18"/>
                <w:szCs w:val="18"/>
                <w:b w:val="1"/>
                <w:bCs w:val="1"/>
                <w:color w:val="auto"/>
              </w:rPr>
              <w:t>12/31/19</w:t>
            </w:r>
          </w:p>
        </w:tc>
        <w:tc>
          <w:tcPr>
            <w:tcW w:w="100" w:type="dxa"/>
            <w:vAlign w:val="bottom"/>
            <w:tcBorders>
              <w:bottom w:val="single" w:sz="8" w:color="CCEEFF"/>
            </w:tcBorders>
          </w:tcPr>
          <w:p>
            <w:pPr>
              <w:spacing w:after="0"/>
              <w:rPr>
                <w:sz w:val="17"/>
                <w:szCs w:val="17"/>
                <w:color w:val="auto"/>
              </w:rPr>
            </w:pPr>
          </w:p>
        </w:tc>
      </w:tr>
      <w:tr>
        <w:trPr>
          <w:trHeight w:val="205"/>
        </w:trPr>
        <w:tc>
          <w:tcPr>
            <w:tcW w:w="8220" w:type="dxa"/>
            <w:vAlign w:val="bottom"/>
            <w:shd w:val="clear" w:color="auto" w:fill="CCEEFF"/>
          </w:tcPr>
          <w:p>
            <w:pPr>
              <w:spacing w:after="0" w:line="204" w:lineRule="exact"/>
              <w:rPr>
                <w:sz w:val="20"/>
                <w:szCs w:val="20"/>
                <w:color w:val="auto"/>
              </w:rPr>
            </w:pPr>
            <w:r>
              <w:rPr>
                <w:rFonts w:ascii="Arial" w:cs="Arial" w:eastAsia="Arial" w:hAnsi="Arial"/>
                <w:sz w:val="18"/>
                <w:szCs w:val="18"/>
                <w:color w:val="auto"/>
              </w:rPr>
              <w:t>Total assets (in billions)</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32"/>
              <w:spacing w:after="0" w:line="205" w:lineRule="exact"/>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271.3</w:t>
            </w:r>
          </w:p>
        </w:tc>
        <w:tc>
          <w:tcPr>
            <w:tcW w:w="220" w:type="dxa"/>
            <w:vAlign w:val="bottom"/>
            <w:shd w:val="clear" w:color="auto" w:fill="CCEEFF"/>
          </w:tcPr>
          <w:p>
            <w:pPr>
              <w:spacing w:after="0"/>
              <w:rPr>
                <w:sz w:val="17"/>
                <w:szCs w:val="17"/>
                <w:color w:val="auto"/>
              </w:rPr>
            </w:pP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276.1</w:t>
            </w:r>
          </w:p>
        </w:tc>
        <w:tc>
          <w:tcPr>
            <w:tcW w:w="100" w:type="dxa"/>
            <w:vAlign w:val="bottom"/>
            <w:shd w:val="clear" w:color="auto" w:fill="CCEEFF"/>
          </w:tcPr>
          <w:p>
            <w:pPr>
              <w:spacing w:after="0"/>
              <w:rPr>
                <w:sz w:val="17"/>
                <w:szCs w:val="17"/>
                <w:color w:val="auto"/>
              </w:rPr>
            </w:pPr>
          </w:p>
        </w:tc>
      </w:tr>
      <w:tr>
        <w:trPr>
          <w:trHeight w:val="212"/>
        </w:trPr>
        <w:tc>
          <w:tcPr>
            <w:tcW w:w="8220" w:type="dxa"/>
            <w:vAlign w:val="bottom"/>
          </w:tcPr>
          <w:p>
            <w:pPr>
              <w:spacing w:after="0"/>
              <w:rPr>
                <w:sz w:val="20"/>
                <w:szCs w:val="20"/>
                <w:color w:val="auto"/>
              </w:rPr>
            </w:pPr>
            <w:r>
              <w:rPr>
                <w:rFonts w:ascii="Arial" w:cs="Arial" w:eastAsia="Arial" w:hAnsi="Arial"/>
                <w:sz w:val="18"/>
                <w:szCs w:val="18"/>
                <w:color w:val="auto"/>
              </w:rPr>
              <w:t>Stockholders’ equity (in millions)</w:t>
            </w:r>
          </w:p>
        </w:tc>
        <w:tc>
          <w:tcPr>
            <w:tcW w:w="440" w:type="dxa"/>
            <w:vAlign w:val="bottom"/>
            <w:gridSpan w:val="2"/>
          </w:tcPr>
          <w:p>
            <w:pPr>
              <w:jc w:val="right"/>
              <w:ind w:right="32"/>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15,311.0</w:t>
            </w:r>
          </w:p>
        </w:tc>
        <w:tc>
          <w:tcPr>
            <w:tcW w:w="180" w:type="dxa"/>
            <w:vAlign w:val="bottom"/>
          </w:tcPr>
          <w:p>
            <w:pPr>
              <w:jc w:val="right"/>
              <w:ind w:right="23"/>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14,685.8</w:t>
            </w:r>
          </w:p>
        </w:tc>
      </w:tr>
      <w:tr>
        <w:trPr>
          <w:trHeight w:val="212"/>
        </w:trPr>
        <w:tc>
          <w:tcPr>
            <w:tcW w:w="8220" w:type="dxa"/>
            <w:vAlign w:val="bottom"/>
            <w:shd w:val="clear" w:color="auto" w:fill="CCEEFF"/>
          </w:tcPr>
          <w:p>
            <w:pPr>
              <w:spacing w:after="0"/>
              <w:rPr>
                <w:sz w:val="20"/>
                <w:szCs w:val="20"/>
                <w:color w:val="auto"/>
              </w:rPr>
            </w:pPr>
            <w:r>
              <w:rPr>
                <w:rFonts w:ascii="Arial" w:cs="Arial" w:eastAsia="Arial" w:hAnsi="Arial"/>
                <w:sz w:val="18"/>
                <w:szCs w:val="18"/>
                <w:color w:val="auto"/>
              </w:rPr>
              <w:t>Total common equity (in millions)</w:t>
            </w:r>
          </w:p>
        </w:tc>
        <w:tc>
          <w:tcPr>
            <w:tcW w:w="44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15,243.1</w:t>
            </w: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14,618.0</w:t>
            </w:r>
          </w:p>
        </w:tc>
      </w:tr>
      <w:tr>
        <w:trPr>
          <w:trHeight w:val="200"/>
        </w:trPr>
        <w:tc>
          <w:tcPr>
            <w:tcW w:w="8220" w:type="dxa"/>
            <w:vAlign w:val="bottom"/>
          </w:tcPr>
          <w:p>
            <w:pPr>
              <w:spacing w:after="0" w:line="200" w:lineRule="exact"/>
              <w:rPr>
                <w:sz w:val="20"/>
                <w:szCs w:val="20"/>
                <w:color w:val="auto"/>
              </w:rPr>
            </w:pPr>
            <w:r>
              <w:rPr>
                <w:rFonts w:ascii="Arial" w:cs="Arial" w:eastAsia="Arial" w:hAnsi="Arial"/>
                <w:sz w:val="18"/>
                <w:szCs w:val="18"/>
                <w:color w:val="auto"/>
                <w:w w:val="93"/>
              </w:rPr>
              <w:t>Total common equity excluding accumulated other comprehensive income (AOCI) other than foreign currency</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24"/>
        </w:trPr>
        <w:tc>
          <w:tcPr>
            <w:tcW w:w="8220" w:type="dxa"/>
            <w:vAlign w:val="bottom"/>
          </w:tcPr>
          <w:p>
            <w:pPr>
              <w:ind w:left="160"/>
              <w:spacing w:after="0"/>
              <w:rPr>
                <w:sz w:val="20"/>
                <w:szCs w:val="20"/>
                <w:color w:val="auto"/>
              </w:rPr>
            </w:pPr>
            <w:r>
              <w:rPr>
                <w:rFonts w:ascii="Arial" w:cs="Arial" w:eastAsia="Arial" w:hAnsi="Arial"/>
                <w:sz w:val="18"/>
                <w:szCs w:val="18"/>
                <w:color w:val="auto"/>
              </w:rPr>
              <w:t>translation adjustment (in millions)</w:t>
            </w:r>
          </w:p>
        </w:tc>
        <w:tc>
          <w:tcPr>
            <w:tcW w:w="440" w:type="dxa"/>
            <w:vAlign w:val="bottom"/>
            <w:gridSpan w:val="2"/>
          </w:tcPr>
          <w:p>
            <w:pPr>
              <w:jc w:val="right"/>
              <w:ind w:right="32"/>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12,183.5</w:t>
            </w:r>
          </w:p>
        </w:tc>
        <w:tc>
          <w:tcPr>
            <w:tcW w:w="180" w:type="dxa"/>
            <w:vAlign w:val="bottom"/>
          </w:tcPr>
          <w:p>
            <w:pPr>
              <w:jc w:val="right"/>
              <w:ind w:right="23"/>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12,238.3</w:t>
            </w:r>
          </w:p>
        </w:tc>
      </w:tr>
      <w:tr>
        <w:trPr>
          <w:trHeight w:val="213"/>
        </w:trPr>
        <w:tc>
          <w:tcPr>
            <w:tcW w:w="8220" w:type="dxa"/>
            <w:vAlign w:val="bottom"/>
            <w:shd w:val="clear" w:color="auto" w:fill="CCEEFF"/>
          </w:tcPr>
          <w:p>
            <w:pPr>
              <w:spacing w:after="0"/>
              <w:rPr>
                <w:sz w:val="20"/>
                <w:szCs w:val="20"/>
                <w:color w:val="auto"/>
              </w:rPr>
            </w:pPr>
            <w:r>
              <w:rPr>
                <w:rFonts w:ascii="Arial" w:cs="Arial" w:eastAsia="Arial" w:hAnsi="Arial"/>
                <w:sz w:val="18"/>
                <w:szCs w:val="18"/>
                <w:color w:val="auto"/>
              </w:rPr>
              <w:t>End of period common shares outstanding (in millions)</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274.0</w:t>
            </w:r>
          </w:p>
        </w:tc>
        <w:tc>
          <w:tcPr>
            <w:tcW w:w="1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276.6</w:t>
            </w:r>
          </w:p>
        </w:tc>
      </w:tr>
      <w:tr>
        <w:trPr>
          <w:trHeight w:val="212"/>
        </w:trPr>
        <w:tc>
          <w:tcPr>
            <w:tcW w:w="8220" w:type="dxa"/>
            <w:vAlign w:val="bottom"/>
          </w:tcPr>
          <w:p>
            <w:pPr>
              <w:spacing w:after="0"/>
              <w:rPr>
                <w:sz w:val="20"/>
                <w:szCs w:val="20"/>
                <w:color w:val="auto"/>
              </w:rPr>
            </w:pPr>
            <w:r>
              <w:rPr>
                <w:rFonts w:ascii="Arial" w:cs="Arial" w:eastAsia="Arial" w:hAnsi="Arial"/>
                <w:sz w:val="18"/>
                <w:szCs w:val="18"/>
                <w:color w:val="auto"/>
              </w:rPr>
              <w:t>Book value per common share</w:t>
            </w:r>
          </w:p>
        </w:tc>
        <w:tc>
          <w:tcPr>
            <w:tcW w:w="440" w:type="dxa"/>
            <w:vAlign w:val="bottom"/>
            <w:gridSpan w:val="2"/>
          </w:tcPr>
          <w:p>
            <w:pPr>
              <w:jc w:val="right"/>
              <w:ind w:right="32"/>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55.63</w:t>
            </w:r>
          </w:p>
        </w:tc>
        <w:tc>
          <w:tcPr>
            <w:tcW w:w="180" w:type="dxa"/>
            <w:vAlign w:val="bottom"/>
          </w:tcPr>
          <w:p>
            <w:pPr>
              <w:jc w:val="right"/>
              <w:ind w:right="23"/>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52.85</w:t>
            </w:r>
          </w:p>
        </w:tc>
      </w:tr>
      <w:tr>
        <w:trPr>
          <w:trHeight w:val="212"/>
        </w:trPr>
        <w:tc>
          <w:tcPr>
            <w:tcW w:w="8220" w:type="dxa"/>
            <w:vAlign w:val="bottom"/>
            <w:shd w:val="clear" w:color="auto" w:fill="CCEEFF"/>
          </w:tcPr>
          <w:p>
            <w:pPr>
              <w:spacing w:after="0"/>
              <w:rPr>
                <w:sz w:val="20"/>
                <w:szCs w:val="20"/>
                <w:color w:val="auto"/>
              </w:rPr>
            </w:pPr>
            <w:r>
              <w:rPr>
                <w:rFonts w:ascii="Arial" w:cs="Arial" w:eastAsia="Arial" w:hAnsi="Arial"/>
                <w:sz w:val="18"/>
                <w:szCs w:val="18"/>
                <w:color w:val="auto"/>
              </w:rPr>
              <w:t>Book value per common share excluding AOCI other than foreign currency translation adjustment</w:t>
            </w:r>
          </w:p>
        </w:tc>
        <w:tc>
          <w:tcPr>
            <w:tcW w:w="44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44.47</w:t>
            </w: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44.25</w:t>
            </w:r>
          </w:p>
        </w:tc>
      </w:tr>
      <w:tr>
        <w:trPr>
          <w:trHeight w:val="406"/>
        </w:trPr>
        <w:tc>
          <w:tcPr>
            <w:tcW w:w="8220" w:type="dxa"/>
            <w:vAlign w:val="bottom"/>
          </w:tcPr>
          <w:p>
            <w:pPr>
              <w:jc w:val="center"/>
              <w:ind w:left="2932"/>
              <w:spacing w:after="0"/>
              <w:rPr>
                <w:sz w:val="20"/>
                <w:szCs w:val="20"/>
                <w:color w:val="auto"/>
              </w:rPr>
            </w:pPr>
            <w:r>
              <w:rPr>
                <w:rFonts w:ascii="Arial" w:cs="Arial" w:eastAsia="Arial" w:hAnsi="Arial"/>
                <w:sz w:val="18"/>
                <w:szCs w:val="18"/>
                <w:b w:val="1"/>
                <w:bCs w:val="1"/>
                <w:color w:val="auto"/>
                <w:w w:val="91"/>
              </w:rPr>
              <w:t>Principal Financial Group, Inc.</w:t>
            </w: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2"/>
        </w:trPr>
        <w:tc>
          <w:tcPr>
            <w:tcW w:w="8220" w:type="dxa"/>
            <w:vAlign w:val="bottom"/>
          </w:tcPr>
          <w:p>
            <w:pPr>
              <w:jc w:val="center"/>
              <w:ind w:left="2932"/>
              <w:spacing w:after="0"/>
              <w:rPr>
                <w:sz w:val="20"/>
                <w:szCs w:val="20"/>
                <w:color w:val="auto"/>
              </w:rPr>
            </w:pPr>
            <w:r>
              <w:rPr>
                <w:rFonts w:ascii="Arial" w:cs="Arial" w:eastAsia="Arial" w:hAnsi="Arial"/>
                <w:sz w:val="18"/>
                <w:szCs w:val="18"/>
                <w:b w:val="1"/>
                <w:bCs w:val="1"/>
                <w:color w:val="auto"/>
                <w:w w:val="90"/>
              </w:rPr>
              <w:t>Reconciliation of U.S. GAAP to Non-GAAP Financial Measures</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29"/>
        </w:trPr>
        <w:tc>
          <w:tcPr>
            <w:tcW w:w="8220" w:type="dxa"/>
            <w:vAlign w:val="bottom"/>
          </w:tcPr>
          <w:p>
            <w:pPr>
              <w:jc w:val="center"/>
              <w:ind w:left="2952"/>
              <w:spacing w:after="0"/>
              <w:rPr>
                <w:sz w:val="20"/>
                <w:szCs w:val="20"/>
                <w:color w:val="auto"/>
              </w:rPr>
            </w:pPr>
            <w:r>
              <w:rPr>
                <w:rFonts w:ascii="Arial" w:cs="Arial" w:eastAsia="Arial" w:hAnsi="Arial"/>
                <w:sz w:val="18"/>
                <w:szCs w:val="18"/>
                <w:b w:val="1"/>
                <w:bCs w:val="1"/>
                <w:color w:val="auto"/>
                <w:w w:val="87"/>
              </w:rPr>
              <w:t>(in millions, except as indicated)</w:t>
            </w: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r>
    </w:tbl>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2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580" w:type="dxa"/>
            <w:vAlign w:val="bottom"/>
            <w:gridSpan w:val="5"/>
          </w:tcPr>
          <w:p>
            <w:pPr>
              <w:jc w:val="right"/>
              <w:ind w:right="900"/>
              <w:spacing w:after="0"/>
              <w:rPr>
                <w:sz w:val="20"/>
                <w:szCs w:val="20"/>
                <w:color w:val="auto"/>
              </w:rPr>
            </w:pPr>
            <w:r>
              <w:rPr>
                <w:rFonts w:ascii="Arial" w:cs="Arial" w:eastAsia="Arial" w:hAnsi="Arial"/>
                <w:sz w:val="18"/>
                <w:szCs w:val="18"/>
                <w:b w:val="1"/>
                <w:bCs w:val="1"/>
                <w:color w:val="auto"/>
              </w:rPr>
              <w:t>Period Ended,</w:t>
            </w:r>
          </w:p>
        </w:tc>
      </w:tr>
      <w:tr>
        <w:trPr>
          <w:trHeight w:val="219"/>
        </w:trPr>
        <w:tc>
          <w:tcPr>
            <w:tcW w:w="8280" w:type="dxa"/>
            <w:vAlign w:val="bottom"/>
            <w:tcBorders>
              <w:bottom w:val="single" w:sz="8" w:color="CCEEFF"/>
            </w:tcBorders>
          </w:tcPr>
          <w:p>
            <w:pPr>
              <w:spacing w:after="0"/>
              <w:rPr>
                <w:sz w:val="19"/>
                <w:szCs w:val="19"/>
                <w:color w:val="auto"/>
              </w:rPr>
            </w:pPr>
          </w:p>
        </w:tc>
        <w:tc>
          <w:tcPr>
            <w:tcW w:w="160" w:type="dxa"/>
            <w:vAlign w:val="bottom"/>
            <w:tcBorders>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ind w:right="272"/>
              <w:spacing w:after="0"/>
              <w:rPr>
                <w:sz w:val="20"/>
                <w:szCs w:val="20"/>
                <w:color w:val="auto"/>
              </w:rPr>
            </w:pPr>
            <w:r>
              <w:rPr>
                <w:rFonts w:ascii="Arial" w:cs="Arial" w:eastAsia="Arial" w:hAnsi="Arial"/>
                <w:sz w:val="18"/>
                <w:szCs w:val="18"/>
                <w:b w:val="1"/>
                <w:bCs w:val="1"/>
                <w:color w:val="auto"/>
              </w:rPr>
              <w:t>6/30/20</w:t>
            </w:r>
          </w:p>
        </w:tc>
        <w:tc>
          <w:tcPr>
            <w:tcW w:w="220" w:type="dxa"/>
            <w:vAlign w:val="bottom"/>
            <w:tcBorders>
              <w:top w:val="single" w:sz="8" w:color="auto"/>
              <w:bottom w:val="single" w:sz="8" w:color="CCEEFF"/>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ind w:right="212"/>
              <w:spacing w:after="0"/>
              <w:rPr>
                <w:sz w:val="20"/>
                <w:szCs w:val="20"/>
                <w:color w:val="auto"/>
              </w:rPr>
            </w:pPr>
            <w:r>
              <w:rPr>
                <w:rFonts w:ascii="Arial" w:cs="Arial" w:eastAsia="Arial" w:hAnsi="Arial"/>
                <w:sz w:val="18"/>
                <w:szCs w:val="18"/>
                <w:b w:val="1"/>
                <w:bCs w:val="1"/>
                <w:color w:val="auto"/>
              </w:rPr>
              <w:t>12/31/19</w:t>
            </w:r>
          </w:p>
        </w:tc>
        <w:tc>
          <w:tcPr>
            <w:tcW w:w="100" w:type="dxa"/>
            <w:vAlign w:val="bottom"/>
            <w:tcBorders>
              <w:bottom w:val="single" w:sz="8" w:color="CCEEFF"/>
            </w:tcBorders>
          </w:tcPr>
          <w:p>
            <w:pPr>
              <w:spacing w:after="0"/>
              <w:rPr>
                <w:sz w:val="19"/>
                <w:szCs w:val="19"/>
                <w:color w:val="auto"/>
              </w:rPr>
            </w:pPr>
          </w:p>
        </w:tc>
      </w:tr>
      <w:tr>
        <w:trPr>
          <w:trHeight w:val="174"/>
        </w:trPr>
        <w:tc>
          <w:tcPr>
            <w:tcW w:w="8280" w:type="dxa"/>
            <w:vAlign w:val="bottom"/>
            <w:shd w:val="clear" w:color="auto" w:fill="CCEEFF"/>
          </w:tcPr>
          <w:p>
            <w:pPr>
              <w:spacing w:after="0" w:line="174" w:lineRule="exact"/>
              <w:rPr>
                <w:sz w:val="20"/>
                <w:szCs w:val="20"/>
                <w:color w:val="auto"/>
              </w:rPr>
            </w:pPr>
            <w:r>
              <w:rPr>
                <w:rFonts w:ascii="Arial" w:cs="Arial" w:eastAsia="Arial" w:hAnsi="Arial"/>
                <w:sz w:val="18"/>
                <w:szCs w:val="18"/>
                <w:b w:val="1"/>
                <w:bCs w:val="1"/>
                <w:color w:val="auto"/>
                <w:w w:val="91"/>
              </w:rPr>
              <w:t>Stockholders’ Equity, Excluding AOCI Other Than Foreign Currency Translation Adjustment, Available to</w:t>
            </w:r>
          </w:p>
        </w:tc>
        <w:tc>
          <w:tcPr>
            <w:tcW w:w="16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r>
      <w:tr>
        <w:trPr>
          <w:trHeight w:val="230"/>
        </w:trPr>
        <w:tc>
          <w:tcPr>
            <w:tcW w:w="8280" w:type="dxa"/>
            <w:vAlign w:val="bottom"/>
            <w:shd w:val="clear" w:color="auto" w:fill="CCEEFF"/>
          </w:tcPr>
          <w:p>
            <w:pPr>
              <w:ind w:left="160"/>
              <w:spacing w:after="0"/>
              <w:rPr>
                <w:sz w:val="20"/>
                <w:szCs w:val="20"/>
                <w:color w:val="auto"/>
              </w:rPr>
            </w:pPr>
            <w:r>
              <w:rPr>
                <w:rFonts w:ascii="Arial" w:cs="Arial" w:eastAsia="Arial" w:hAnsi="Arial"/>
                <w:sz w:val="18"/>
                <w:szCs w:val="18"/>
                <w:b w:val="1"/>
                <w:bCs w:val="1"/>
                <w:color w:val="auto"/>
              </w:rPr>
              <w:t>Common Stockholders:</w:t>
            </w:r>
          </w:p>
        </w:tc>
        <w:tc>
          <w:tcPr>
            <w:tcW w:w="1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0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0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r>
      <w:tr>
        <w:trPr>
          <w:trHeight w:val="212"/>
        </w:trPr>
        <w:tc>
          <w:tcPr>
            <w:tcW w:w="8280" w:type="dxa"/>
            <w:vAlign w:val="bottom"/>
          </w:tcPr>
          <w:p>
            <w:pPr>
              <w:spacing w:after="0"/>
              <w:rPr>
                <w:sz w:val="20"/>
                <w:szCs w:val="20"/>
                <w:color w:val="auto"/>
              </w:rPr>
            </w:pPr>
            <w:r>
              <w:rPr>
                <w:rFonts w:ascii="Arial" w:cs="Arial" w:eastAsia="Arial" w:hAnsi="Arial"/>
                <w:sz w:val="18"/>
                <w:szCs w:val="18"/>
                <w:color w:val="auto"/>
              </w:rPr>
              <w:t>Stockholders’ equity</w:t>
            </w:r>
          </w:p>
        </w:tc>
        <w:tc>
          <w:tcPr>
            <w:tcW w:w="380" w:type="dxa"/>
            <w:vAlign w:val="bottom"/>
            <w:gridSpan w:val="2"/>
          </w:tcPr>
          <w:p>
            <w:pPr>
              <w:jc w:val="right"/>
              <w:ind w:right="32"/>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15,311.0</w:t>
            </w:r>
          </w:p>
        </w:tc>
        <w:tc>
          <w:tcPr>
            <w:tcW w:w="180" w:type="dxa"/>
            <w:vAlign w:val="bottom"/>
          </w:tcPr>
          <w:p>
            <w:pPr>
              <w:jc w:val="right"/>
              <w:ind w:right="23"/>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14,685.8</w:t>
            </w:r>
          </w:p>
        </w:tc>
      </w:tr>
      <w:tr>
        <w:trPr>
          <w:trHeight w:val="225"/>
        </w:trPr>
        <w:tc>
          <w:tcPr>
            <w:tcW w:w="8280" w:type="dxa"/>
            <w:vAlign w:val="bottom"/>
            <w:shd w:val="clear" w:color="auto" w:fill="CCEEFF"/>
          </w:tcPr>
          <w:p>
            <w:pPr>
              <w:spacing w:after="0"/>
              <w:rPr>
                <w:sz w:val="20"/>
                <w:szCs w:val="20"/>
                <w:color w:val="auto"/>
              </w:rPr>
            </w:pPr>
            <w:r>
              <w:rPr>
                <w:rFonts w:ascii="Arial" w:cs="Arial" w:eastAsia="Arial" w:hAnsi="Arial"/>
                <w:sz w:val="18"/>
                <w:szCs w:val="18"/>
                <w:color w:val="auto"/>
              </w:rPr>
              <w:t>Noncontrolling interest</w:t>
            </w:r>
          </w:p>
        </w:tc>
        <w:tc>
          <w:tcPr>
            <w:tcW w:w="16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(67.9)</w:t>
            </w:r>
          </w:p>
        </w:tc>
        <w:tc>
          <w:tcPr>
            <w:tcW w:w="18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(67.8)</w:t>
            </w:r>
          </w:p>
        </w:tc>
      </w:tr>
      <w:tr>
        <w:trPr>
          <w:trHeight w:val="205"/>
        </w:trPr>
        <w:tc>
          <w:tcPr>
            <w:tcW w:w="8280" w:type="dxa"/>
            <w:vAlign w:val="bottom"/>
          </w:tcPr>
          <w:p>
            <w:pPr>
              <w:spacing w:after="0" w:line="204" w:lineRule="exact"/>
              <w:rPr>
                <w:sz w:val="20"/>
                <w:szCs w:val="20"/>
                <w:color w:val="auto"/>
              </w:rPr>
            </w:pPr>
            <w:r>
              <w:rPr>
                <w:rFonts w:ascii="Arial" w:cs="Arial" w:eastAsia="Arial" w:hAnsi="Arial"/>
                <w:sz w:val="18"/>
                <w:szCs w:val="18"/>
                <w:color w:val="auto"/>
              </w:rPr>
              <w:t>Stockholders’ equity available to common stockholders</w:t>
            </w:r>
          </w:p>
        </w:tc>
        <w:tc>
          <w:tcPr>
            <w:tcW w:w="16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jc w:val="right"/>
              <w:spacing w:after="0" w:line="205" w:lineRule="exact"/>
              <w:rPr>
                <w:sz w:val="20"/>
                <w:szCs w:val="20"/>
                <w:color w:val="auto"/>
              </w:rPr>
            </w:pPr>
            <w:r>
              <w:rPr>
                <w:rFonts w:ascii="Arial" w:cs="Arial" w:eastAsia="Arial" w:hAnsi="Arial"/>
                <w:sz w:val="18"/>
                <w:szCs w:val="18"/>
                <w:color w:val="auto"/>
              </w:rPr>
              <w:t>15,243.1</w:t>
            </w:r>
          </w:p>
        </w:tc>
        <w:tc>
          <w:tcPr>
            <w:tcW w:w="22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jc w:val="right"/>
              <w:spacing w:after="0" w:line="205" w:lineRule="exact"/>
              <w:rPr>
                <w:sz w:val="20"/>
                <w:szCs w:val="20"/>
                <w:color w:val="auto"/>
              </w:rPr>
            </w:pPr>
            <w:r>
              <w:rPr>
                <w:rFonts w:ascii="Arial" w:cs="Arial" w:eastAsia="Arial" w:hAnsi="Arial"/>
                <w:sz w:val="18"/>
                <w:szCs w:val="18"/>
                <w:color w:val="auto"/>
              </w:rPr>
              <w:t>14,618.0</w:t>
            </w:r>
          </w:p>
        </w:tc>
        <w:tc>
          <w:tcPr>
            <w:tcW w:w="100" w:type="dxa"/>
            <w:vAlign w:val="bottom"/>
          </w:tcPr>
          <w:p>
            <w:pPr>
              <w:spacing w:after="0"/>
              <w:rPr>
                <w:sz w:val="17"/>
                <w:szCs w:val="17"/>
                <w:color w:val="auto"/>
              </w:rPr>
            </w:pPr>
          </w:p>
        </w:tc>
      </w:tr>
      <w:tr>
        <w:trPr>
          <w:trHeight w:val="212"/>
        </w:trPr>
        <w:tc>
          <w:tcPr>
            <w:tcW w:w="8280" w:type="dxa"/>
            <w:vAlign w:val="bottom"/>
            <w:shd w:val="clear" w:color="auto" w:fill="CCEEFF"/>
          </w:tcPr>
          <w:p>
            <w:pPr>
              <w:spacing w:after="0"/>
              <w:rPr>
                <w:sz w:val="20"/>
                <w:szCs w:val="20"/>
                <w:color w:val="auto"/>
              </w:rPr>
            </w:pPr>
            <w:r>
              <w:rPr>
                <w:rFonts w:ascii="Arial" w:cs="Arial" w:eastAsia="Arial" w:hAnsi="Arial"/>
                <w:sz w:val="18"/>
                <w:szCs w:val="18"/>
                <w:color w:val="auto"/>
              </w:rPr>
              <w:t>Net unrealized capital (gains) losses</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(3,473.8)</w:t>
            </w:r>
          </w:p>
        </w:tc>
        <w:tc>
          <w:tcPr>
            <w:tcW w:w="1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(2,815.3)</w:t>
            </w:r>
          </w:p>
        </w:tc>
      </w:tr>
      <w:tr>
        <w:trPr>
          <w:trHeight w:val="225"/>
        </w:trPr>
        <w:tc>
          <w:tcPr>
            <w:tcW w:w="8280" w:type="dxa"/>
            <w:vAlign w:val="bottom"/>
          </w:tcPr>
          <w:p>
            <w:pPr>
              <w:spacing w:after="0"/>
              <w:rPr>
                <w:sz w:val="20"/>
                <w:szCs w:val="20"/>
                <w:color w:val="auto"/>
              </w:rPr>
            </w:pPr>
            <w:r>
              <w:rPr>
                <w:rFonts w:ascii="Arial" w:cs="Arial" w:eastAsia="Arial" w:hAnsi="Arial"/>
                <w:sz w:val="18"/>
                <w:szCs w:val="18"/>
                <w:color w:val="auto"/>
              </w:rPr>
              <w:t>Net unrecognized postretirement benefit obligation</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414.2</w:t>
            </w:r>
          </w:p>
        </w:tc>
        <w:tc>
          <w:tcPr>
            <w:tcW w:w="180" w:type="dxa"/>
            <w:vAlign w:val="bottom"/>
          </w:tcPr>
          <w:p>
            <w:pPr>
              <w:spacing w:after="0"/>
              <w:rPr>
                <w:sz w:val="19"/>
                <w:szCs w:val="19"/>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435.6</w:t>
            </w:r>
          </w:p>
        </w:tc>
      </w:tr>
      <w:tr>
        <w:trPr>
          <w:trHeight w:val="217"/>
        </w:trPr>
        <w:tc>
          <w:tcPr>
            <w:tcW w:w="8280" w:type="dxa"/>
            <w:vAlign w:val="bottom"/>
            <w:tcBorders>
              <w:top w:val="single" w:sz="8" w:color="CCEEFF"/>
            </w:tcBorders>
            <w:shd w:val="clear" w:color="auto" w:fill="CCEEFF"/>
          </w:tcPr>
          <w:p>
            <w:pPr>
              <w:spacing w:after="0" w:line="204" w:lineRule="exact"/>
              <w:rPr>
                <w:sz w:val="20"/>
                <w:szCs w:val="20"/>
                <w:color w:val="auto"/>
              </w:rPr>
            </w:pPr>
            <w:r>
              <w:rPr>
                <w:rFonts w:ascii="Arial" w:cs="Arial" w:eastAsia="Arial" w:hAnsi="Arial"/>
                <w:sz w:val="18"/>
                <w:szCs w:val="18"/>
                <w:color w:val="auto"/>
                <w:w w:val="94"/>
              </w:rPr>
              <w:t>Stockholders’ equity, excluding AOCI other than foreign currency translation adjustment, available to common</w:t>
            </w:r>
          </w:p>
        </w:tc>
        <w:tc>
          <w:tcPr>
            <w:tcW w:w="1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12,183.5</w:t>
            </w:r>
          </w:p>
        </w:tc>
        <w:tc>
          <w:tcPr>
            <w:tcW w:w="2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12,238.3</w:t>
            </w:r>
          </w:p>
        </w:tc>
        <w:tc>
          <w:tcPr>
            <w:tcW w:w="100" w:type="dxa"/>
            <w:vAlign w:val="bottom"/>
            <w:tcBorders>
              <w:top w:val="single" w:sz="8" w:color="CCEEFF"/>
            </w:tcBorders>
            <w:shd w:val="clear" w:color="auto" w:fill="CCEEFF"/>
          </w:tcPr>
          <w:p>
            <w:pPr>
              <w:spacing w:after="0"/>
              <w:rPr>
                <w:sz w:val="18"/>
                <w:szCs w:val="18"/>
                <w:color w:val="auto"/>
              </w:rPr>
            </w:pPr>
          </w:p>
        </w:tc>
      </w:tr>
      <w:tr>
        <w:trPr>
          <w:trHeight w:val="158"/>
        </w:trPr>
        <w:tc>
          <w:tcPr>
            <w:tcW w:w="82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r>
    </w:tbl>
    <w:p>
      <w:pPr>
        <w:sectPr>
          <w:pgSz w:w="11900" w:h="16900" w:orient="portrait"/>
          <w:cols w:equalWidth="0" w:num="1">
            <w:col w:w="11240"/>
          </w:cols>
          <w:pgMar w:left="320" w:top="1440" w:right="339" w:bottom="0" w:gutter="0" w:footer="0" w:header="0"/>
        </w:sectPr>
      </w:pPr>
    </w:p>
    <w:bookmarkStart w:id="20" w:name="page21"/>
    <w:bookmarkEnd w:id="2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9"/>
        </w:trPr>
        <w:tc>
          <w:tcPr>
            <w:tcW w:w="82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stockholders</w:t>
            </w:r>
          </w:p>
        </w:tc>
        <w:tc>
          <w:tcPr>
            <w:tcW w:w="220" w:type="dxa"/>
            <w:vAlign w:val="bottom"/>
            <w:tcBorders>
              <w:bottom w:val="single" w:sz="8" w:color="CCEEFF"/>
            </w:tcBorders>
            <w:shd w:val="clear" w:color="auto" w:fill="CCEEFF"/>
          </w:tcPr>
          <w:p>
            <w:pPr>
              <w:spacing w:after="0"/>
              <w:rPr>
                <w:sz w:val="20"/>
                <w:szCs w:val="20"/>
                <w:color w:val="auto"/>
              </w:rPr>
            </w:pPr>
          </w:p>
        </w:tc>
        <w:tc>
          <w:tcPr>
            <w:tcW w:w="440" w:type="dxa"/>
            <w:vAlign w:val="bottom"/>
            <w:tcBorders>
              <w:bottom w:val="single" w:sz="8" w:color="auto"/>
            </w:tcBorders>
            <w:shd w:val="clear" w:color="auto" w:fill="CCEEFF"/>
          </w:tcPr>
          <w:p>
            <w:pPr>
              <w:spacing w:after="0"/>
              <w:rPr>
                <w:sz w:val="20"/>
                <w:szCs w:val="20"/>
                <w:color w:val="auto"/>
              </w:rPr>
            </w:pPr>
          </w:p>
        </w:tc>
        <w:tc>
          <w:tcPr>
            <w:tcW w:w="820" w:type="dxa"/>
            <w:vAlign w:val="bottom"/>
            <w:tcBorders>
              <w:bottom w:val="single" w:sz="8" w:color="auto"/>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auto"/>
            </w:tcBorders>
            <w:shd w:val="clear" w:color="auto" w:fill="CCEEFF"/>
          </w:tcPr>
          <w:p>
            <w:pPr>
              <w:spacing w:after="0"/>
              <w:rPr>
                <w:sz w:val="20"/>
                <w:szCs w:val="20"/>
                <w:color w:val="auto"/>
              </w:rPr>
            </w:pPr>
          </w:p>
        </w:tc>
        <w:tc>
          <w:tcPr>
            <w:tcW w:w="800" w:type="dxa"/>
            <w:vAlign w:val="bottom"/>
            <w:tcBorders>
              <w:bottom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r>
      <w:tr>
        <w:trPr>
          <w:trHeight w:val="20"/>
        </w:trPr>
        <w:tc>
          <w:tcPr>
            <w:tcW w:w="8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2"/>
        </w:trPr>
        <w:tc>
          <w:tcPr>
            <w:tcW w:w="82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12"/>
        </w:trPr>
        <w:tc>
          <w:tcPr>
            <w:tcW w:w="82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2"/>
              </w:rPr>
              <w:t>Book Value Per Common Share, Excluding AOCI Other Than Foreign Currency Translation Adjustment:</w:t>
            </w:r>
          </w:p>
        </w:tc>
        <w:tc>
          <w:tcPr>
            <w:tcW w:w="2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2"/>
        </w:trPr>
        <w:tc>
          <w:tcPr>
            <w:tcW w:w="8220" w:type="dxa"/>
            <w:vAlign w:val="bottom"/>
          </w:tcPr>
          <w:p>
            <w:pPr>
              <w:spacing w:after="0"/>
              <w:rPr>
                <w:sz w:val="20"/>
                <w:szCs w:val="20"/>
                <w:color w:val="auto"/>
              </w:rPr>
            </w:pPr>
            <w:r>
              <w:rPr>
                <w:rFonts w:ascii="Arial" w:cs="Arial" w:eastAsia="Arial" w:hAnsi="Arial"/>
                <w:sz w:val="18"/>
                <w:szCs w:val="18"/>
                <w:color w:val="auto"/>
              </w:rPr>
              <w:t>Book value per common share</w:t>
            </w:r>
          </w:p>
        </w:tc>
        <w:tc>
          <w:tcPr>
            <w:tcW w:w="6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55.63</w:t>
            </w:r>
          </w:p>
        </w:tc>
        <w:tc>
          <w:tcPr>
            <w:tcW w:w="420" w:type="dxa"/>
            <w:vAlign w:val="bottom"/>
          </w:tcPr>
          <w:p>
            <w:pPr>
              <w:jc w:val="right"/>
              <w:ind w:right="263"/>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52.85</w:t>
            </w:r>
          </w:p>
        </w:tc>
      </w:tr>
      <w:tr>
        <w:trPr>
          <w:trHeight w:val="212"/>
        </w:trPr>
        <w:tc>
          <w:tcPr>
            <w:tcW w:w="8220" w:type="dxa"/>
            <w:vAlign w:val="bottom"/>
            <w:shd w:val="clear" w:color="auto" w:fill="CCEEFF"/>
          </w:tcPr>
          <w:p>
            <w:pPr>
              <w:spacing w:after="0"/>
              <w:rPr>
                <w:sz w:val="20"/>
                <w:szCs w:val="20"/>
                <w:color w:val="auto"/>
              </w:rPr>
            </w:pPr>
            <w:r>
              <w:rPr>
                <w:rFonts w:ascii="Arial" w:cs="Arial" w:eastAsia="Arial" w:hAnsi="Arial"/>
                <w:sz w:val="18"/>
                <w:szCs w:val="18"/>
                <w:color w:val="auto"/>
              </w:rPr>
              <w:t>Net unrealized capital (gains) losses</w:t>
            </w:r>
          </w:p>
        </w:tc>
        <w:tc>
          <w:tcPr>
            <w:tcW w:w="2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(12.67)</w:t>
            </w:r>
          </w:p>
        </w:tc>
        <w:tc>
          <w:tcPr>
            <w:tcW w:w="4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(10.17)</w:t>
            </w:r>
          </w:p>
        </w:tc>
      </w:tr>
      <w:tr>
        <w:trPr>
          <w:trHeight w:val="225"/>
        </w:trPr>
        <w:tc>
          <w:tcPr>
            <w:tcW w:w="82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unrecognized postretirement benefit obligation</w:t>
            </w:r>
          </w:p>
        </w:tc>
        <w:tc>
          <w:tcPr>
            <w:tcW w:w="220" w:type="dxa"/>
            <w:vAlign w:val="bottom"/>
            <w:tcBorders>
              <w:bottom w:val="single" w:sz="8" w:color="CCEEFF"/>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1.51</w:t>
            </w:r>
          </w:p>
        </w:tc>
        <w:tc>
          <w:tcPr>
            <w:tcW w:w="2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1.57</w:t>
            </w:r>
          </w:p>
        </w:tc>
        <w:tc>
          <w:tcPr>
            <w:tcW w:w="100" w:type="dxa"/>
            <w:vAlign w:val="bottom"/>
            <w:tcBorders>
              <w:bottom w:val="single" w:sz="8" w:color="CCEEFF"/>
            </w:tcBorders>
          </w:tcPr>
          <w:p>
            <w:pPr>
              <w:spacing w:after="0"/>
              <w:rPr>
                <w:sz w:val="19"/>
                <w:szCs w:val="19"/>
                <w:color w:val="auto"/>
              </w:rPr>
            </w:pPr>
          </w:p>
        </w:tc>
      </w:tr>
      <w:tr>
        <w:trPr>
          <w:trHeight w:val="219"/>
        </w:trPr>
        <w:tc>
          <w:tcPr>
            <w:tcW w:w="8220" w:type="dxa"/>
            <w:vAlign w:val="bottom"/>
            <w:shd w:val="clear" w:color="auto" w:fill="CCEEFF"/>
          </w:tcPr>
          <w:p>
            <w:pPr>
              <w:spacing w:after="0" w:line="204" w:lineRule="exact"/>
              <w:rPr>
                <w:sz w:val="20"/>
                <w:szCs w:val="20"/>
                <w:color w:val="auto"/>
              </w:rPr>
            </w:pPr>
            <w:r>
              <w:rPr>
                <w:rFonts w:ascii="Arial" w:cs="Arial" w:eastAsia="Arial" w:hAnsi="Arial"/>
                <w:sz w:val="18"/>
                <w:szCs w:val="18"/>
                <w:color w:val="auto"/>
              </w:rPr>
              <w:t>Book value per common share, excluding AOCI other than foreign currency translation adjustment</w:t>
            </w:r>
          </w:p>
        </w:tc>
        <w:tc>
          <w:tcPr>
            <w:tcW w:w="6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44.47</w:t>
            </w:r>
          </w:p>
        </w:tc>
        <w:tc>
          <w:tcPr>
            <w:tcW w:w="420" w:type="dxa"/>
            <w:vAlign w:val="bottom"/>
            <w:shd w:val="clear" w:color="auto" w:fill="CCEEFF"/>
          </w:tcPr>
          <w:p>
            <w:pPr>
              <w:jc w:val="right"/>
              <w:ind w:right="263"/>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44.25</w:t>
            </w:r>
          </w:p>
        </w:tc>
      </w:tr>
      <w:tr>
        <w:trPr>
          <w:trHeight w:val="20"/>
        </w:trPr>
        <w:tc>
          <w:tcPr>
            <w:tcW w:w="82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r>
    </w:tbl>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color w:val="auto"/>
        </w:rPr>
        <w:t>Classification: Company Confidential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10795</wp:posOffset>
            </wp:positionV>
            <wp:extent cx="713486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4860" cy="8255"/>
                    </a:xfrm>
                    <a:prstGeom prst="rect">
                      <a:avLst/>
                    </a:prstGeom>
                    <a:noFill/>
                  </pic:spPr>
                </pic:pic>
              </a:graphicData>
            </a:graphic>
          </wp:anchor>
        </w:drawing>
      </w:r>
    </w:p>
    <w:p>
      <w:pPr>
        <w:sectPr>
          <w:pgSz w:w="11900" w:h="16838" w:orient="portrait"/>
          <w:cols w:equalWidth="0" w:num="1">
            <w:col w:w="11240"/>
          </w:cols>
          <w:pgMar w:left="320" w:top="140" w:right="339" w:bottom="1440" w:gutter="0" w:footer="0" w:header="0"/>
        </w:sectPr>
      </w:pPr>
    </w:p>
    <w:bookmarkStart w:id="21" w:name="page22"/>
    <w:bookmarkEnd w:id="2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207010</wp:posOffset>
            </wp:positionH>
            <wp:positionV relativeFrom="page">
              <wp:posOffset>2377440</wp:posOffset>
            </wp:positionV>
            <wp:extent cx="7134860" cy="220408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clrChange>
                        <a:clrFrom>
                          <a:srgbClr val="FFFFFF"/>
                        </a:clrFrom>
                        <a:clrTo>
                          <a:srgbClr val="FFFFFF">
                            <a:alpha val="0"/>
                          </a:srgbClr>
                        </a:clrTo>
                      </a:clrChange>
                      <a:extLst>
                        <a:ext uri="{28A0092B-C50C-407E-A947-70E740481C1C}"/>
                      </a:extLst>
                    </a:blip>
                    <a:srcRect/>
                    <a:stretch>
                      <a:fillRect/>
                    </a:stretch>
                  </pic:blipFill>
                  <pic:spPr bwMode="auto">
                    <a:xfrm>
                      <a:off x="0" y="0"/>
                      <a:ext cx="7134860" cy="22040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U.S. GAAP to Non-GAAP Financial Measures</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3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720" w:type="dxa"/>
            <w:vAlign w:val="bottom"/>
            <w:gridSpan w:val="6"/>
          </w:tcPr>
          <w:p>
            <w:pPr>
              <w:jc w:val="right"/>
              <w:ind w:right="760"/>
              <w:spacing w:after="0"/>
              <w:rPr>
                <w:sz w:val="20"/>
                <w:szCs w:val="20"/>
                <w:color w:val="auto"/>
              </w:rPr>
            </w:pPr>
            <w:r>
              <w:rPr>
                <w:rFonts w:ascii="Arial" w:cs="Arial" w:eastAsia="Arial" w:hAnsi="Arial"/>
                <w:sz w:val="18"/>
                <w:szCs w:val="18"/>
                <w:b w:val="1"/>
                <w:bCs w:val="1"/>
                <w:color w:val="auto"/>
              </w:rPr>
              <w:t>Three Months Ended,</w:t>
            </w:r>
          </w:p>
        </w:tc>
        <w:tc>
          <w:tcPr>
            <w:tcW w:w="220" w:type="dxa"/>
            <w:vAlign w:val="bottom"/>
          </w:tcPr>
          <w:p>
            <w:pPr>
              <w:spacing w:after="0"/>
              <w:rPr>
                <w:sz w:val="19"/>
                <w:szCs w:val="19"/>
                <w:color w:val="auto"/>
              </w:rPr>
            </w:pPr>
          </w:p>
        </w:tc>
        <w:tc>
          <w:tcPr>
            <w:tcW w:w="2540" w:type="dxa"/>
            <w:vAlign w:val="bottom"/>
            <w:gridSpan w:val="5"/>
          </w:tcPr>
          <w:p>
            <w:pPr>
              <w:jc w:val="right"/>
              <w:ind w:right="500"/>
              <w:spacing w:after="0"/>
              <w:rPr>
                <w:sz w:val="20"/>
                <w:szCs w:val="20"/>
                <w:color w:val="auto"/>
              </w:rPr>
            </w:pPr>
            <w:r>
              <w:rPr>
                <w:rFonts w:ascii="Arial" w:cs="Arial" w:eastAsia="Arial" w:hAnsi="Arial"/>
                <w:sz w:val="18"/>
                <w:szCs w:val="18"/>
                <w:b w:val="1"/>
                <w:bCs w:val="1"/>
                <w:color w:val="auto"/>
                <w:w w:val="98"/>
              </w:rPr>
              <w:t>Trailing Twelve Months,</w:t>
            </w:r>
          </w:p>
        </w:tc>
        <w:tc>
          <w:tcPr>
            <w:tcW w:w="0" w:type="dxa"/>
            <w:vAlign w:val="bottom"/>
          </w:tcPr>
          <w:p>
            <w:pPr>
              <w:spacing w:after="0"/>
              <w:rPr>
                <w:sz w:val="1"/>
                <w:szCs w:val="1"/>
                <w:color w:val="auto"/>
              </w:rPr>
            </w:pPr>
          </w:p>
        </w:tc>
      </w:tr>
      <w:tr>
        <w:trPr>
          <w:trHeight w:val="219"/>
        </w:trPr>
        <w:tc>
          <w:tcPr>
            <w:tcW w:w="5320" w:type="dxa"/>
            <w:vAlign w:val="bottom"/>
            <w:tcBorders>
              <w:bottom w:val="single" w:sz="8" w:color="CCEEFF"/>
            </w:tcBorders>
          </w:tcPr>
          <w:p>
            <w:pPr>
              <w:spacing w:after="0"/>
              <w:rPr>
                <w:sz w:val="19"/>
                <w:szCs w:val="19"/>
                <w:color w:val="auto"/>
              </w:rPr>
            </w:pPr>
          </w:p>
        </w:tc>
        <w:tc>
          <w:tcPr>
            <w:tcW w:w="220" w:type="dxa"/>
            <w:vAlign w:val="bottom"/>
            <w:tcBorders>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272"/>
              <w:spacing w:after="0"/>
              <w:rPr>
                <w:sz w:val="20"/>
                <w:szCs w:val="20"/>
                <w:color w:val="auto"/>
              </w:rPr>
            </w:pPr>
            <w:r>
              <w:rPr>
                <w:rFonts w:ascii="Arial" w:cs="Arial" w:eastAsia="Arial" w:hAnsi="Arial"/>
                <w:sz w:val="18"/>
                <w:szCs w:val="18"/>
                <w:b w:val="1"/>
                <w:bCs w:val="1"/>
                <w:color w:val="auto"/>
              </w:rPr>
              <w:t>6/30/20</w:t>
            </w:r>
          </w:p>
        </w:tc>
        <w:tc>
          <w:tcPr>
            <w:tcW w:w="140" w:type="dxa"/>
            <w:vAlign w:val="bottom"/>
            <w:tcBorders>
              <w:top w:val="single" w:sz="8" w:color="auto"/>
              <w:bottom w:val="single" w:sz="8" w:color="CCEEFF"/>
            </w:tcBorders>
          </w:tcPr>
          <w:p>
            <w:pPr>
              <w:spacing w:after="0"/>
              <w:rPr>
                <w:sz w:val="19"/>
                <w:szCs w:val="19"/>
                <w:color w:val="auto"/>
              </w:rPr>
            </w:pPr>
          </w:p>
        </w:tc>
        <w:tc>
          <w:tcPr>
            <w:tcW w:w="100" w:type="dxa"/>
            <w:vAlign w:val="bottom"/>
            <w:tcBorders>
              <w:top w:val="single" w:sz="8" w:color="auto"/>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272"/>
              <w:spacing w:after="0"/>
              <w:rPr>
                <w:sz w:val="20"/>
                <w:szCs w:val="20"/>
                <w:color w:val="auto"/>
              </w:rPr>
            </w:pPr>
            <w:r>
              <w:rPr>
                <w:rFonts w:ascii="Arial" w:cs="Arial" w:eastAsia="Arial" w:hAnsi="Arial"/>
                <w:sz w:val="18"/>
                <w:szCs w:val="18"/>
                <w:b w:val="1"/>
                <w:bCs w:val="1"/>
                <w:color w:val="auto"/>
              </w:rPr>
              <w:t>6/30/19</w:t>
            </w:r>
          </w:p>
        </w:tc>
        <w:tc>
          <w:tcPr>
            <w:tcW w:w="220" w:type="dxa"/>
            <w:vAlign w:val="bottom"/>
            <w:tcBorders>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jc w:val="right"/>
              <w:ind w:right="252"/>
              <w:spacing w:after="0"/>
              <w:rPr>
                <w:sz w:val="20"/>
                <w:szCs w:val="20"/>
                <w:color w:val="auto"/>
              </w:rPr>
            </w:pPr>
            <w:r>
              <w:rPr>
                <w:rFonts w:ascii="Arial" w:cs="Arial" w:eastAsia="Arial" w:hAnsi="Arial"/>
                <w:sz w:val="18"/>
                <w:szCs w:val="18"/>
                <w:b w:val="1"/>
                <w:bCs w:val="1"/>
                <w:color w:val="auto"/>
              </w:rPr>
              <w:t>6/30/20</w:t>
            </w:r>
          </w:p>
        </w:tc>
        <w:tc>
          <w:tcPr>
            <w:tcW w:w="220" w:type="dxa"/>
            <w:vAlign w:val="bottom"/>
            <w:tcBorders>
              <w:top w:val="single" w:sz="8" w:color="auto"/>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jc w:val="right"/>
              <w:ind w:right="252"/>
              <w:spacing w:after="0"/>
              <w:rPr>
                <w:sz w:val="20"/>
                <w:szCs w:val="20"/>
                <w:color w:val="auto"/>
              </w:rPr>
            </w:pPr>
            <w:r>
              <w:rPr>
                <w:rFonts w:ascii="Arial" w:cs="Arial" w:eastAsia="Arial" w:hAnsi="Arial"/>
                <w:sz w:val="18"/>
                <w:szCs w:val="18"/>
                <w:b w:val="1"/>
                <w:bCs w:val="1"/>
                <w:color w:val="auto"/>
              </w:rPr>
              <w:t>6/30/19</w:t>
            </w:r>
          </w:p>
        </w:tc>
        <w:tc>
          <w:tcPr>
            <w:tcW w:w="10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05"/>
        </w:trPr>
        <w:tc>
          <w:tcPr>
            <w:tcW w:w="5320" w:type="dxa"/>
            <w:vAlign w:val="bottom"/>
            <w:shd w:val="clear" w:color="auto" w:fill="CCEEFF"/>
          </w:tcPr>
          <w:p>
            <w:pPr>
              <w:spacing w:after="0" w:line="205" w:lineRule="exact"/>
              <w:rPr>
                <w:sz w:val="20"/>
                <w:szCs w:val="20"/>
                <w:color w:val="auto"/>
              </w:rPr>
            </w:pPr>
            <w:r>
              <w:rPr>
                <w:rFonts w:ascii="Arial" w:cs="Arial" w:eastAsia="Arial" w:hAnsi="Arial"/>
                <w:sz w:val="18"/>
                <w:szCs w:val="18"/>
                <w:b w:val="1"/>
                <w:bCs w:val="1"/>
                <w:color w:val="auto"/>
              </w:rPr>
              <w:t>Income Taxes:</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5320" w:type="dxa"/>
            <w:vAlign w:val="bottom"/>
          </w:tcPr>
          <w:p>
            <w:pPr>
              <w:spacing w:after="0"/>
              <w:rPr>
                <w:sz w:val="20"/>
                <w:szCs w:val="20"/>
                <w:color w:val="auto"/>
              </w:rPr>
            </w:pPr>
            <w:r>
              <w:rPr>
                <w:rFonts w:ascii="Arial" w:cs="Arial" w:eastAsia="Arial" w:hAnsi="Arial"/>
                <w:sz w:val="18"/>
                <w:szCs w:val="18"/>
                <w:color w:val="auto"/>
              </w:rPr>
              <w:t>Total GAAP income taxes (benefits)</w:t>
            </w:r>
          </w:p>
        </w:tc>
        <w:tc>
          <w:tcPr>
            <w:tcW w:w="4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82.5</w:t>
            </w:r>
          </w:p>
        </w:tc>
        <w:tc>
          <w:tcPr>
            <w:tcW w:w="3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58.2</w:t>
            </w:r>
          </w:p>
        </w:tc>
        <w:tc>
          <w:tcPr>
            <w:tcW w:w="220" w:type="dxa"/>
            <w:vAlign w:val="bottom"/>
          </w:tcPr>
          <w:p>
            <w:pPr>
              <w:jc w:val="right"/>
              <w:ind w:right="32"/>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242.8</w:t>
            </w: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252.4</w:t>
            </w:r>
          </w:p>
        </w:tc>
        <w:tc>
          <w:tcPr>
            <w:tcW w:w="0" w:type="dxa"/>
            <w:vAlign w:val="bottom"/>
          </w:tcPr>
          <w:p>
            <w:pPr>
              <w:spacing w:after="0"/>
              <w:rPr>
                <w:sz w:val="1"/>
                <w:szCs w:val="1"/>
                <w:color w:val="auto"/>
              </w:rPr>
            </w:pPr>
          </w:p>
        </w:tc>
      </w:tr>
      <w:tr>
        <w:trPr>
          <w:trHeight w:val="212"/>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Net realized capital gains (losses) tax adjustments</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(7.6)</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11.5</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10.2</w:t>
            </w:r>
          </w:p>
        </w:tc>
        <w:tc>
          <w:tcPr>
            <w:tcW w:w="2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38.3</w:t>
            </w:r>
          </w:p>
        </w:tc>
        <w:tc>
          <w:tcPr>
            <w:tcW w:w="0" w:type="dxa"/>
            <w:vAlign w:val="bottom"/>
          </w:tcPr>
          <w:p>
            <w:pPr>
              <w:spacing w:after="0"/>
              <w:rPr>
                <w:sz w:val="1"/>
                <w:szCs w:val="1"/>
                <w:color w:val="auto"/>
              </w:rPr>
            </w:pPr>
          </w:p>
        </w:tc>
      </w:tr>
      <w:tr>
        <w:trPr>
          <w:trHeight w:val="200"/>
        </w:trPr>
        <w:tc>
          <w:tcPr>
            <w:tcW w:w="5320" w:type="dxa"/>
            <w:vAlign w:val="bottom"/>
          </w:tcPr>
          <w:p>
            <w:pPr>
              <w:spacing w:after="0" w:line="200" w:lineRule="exact"/>
              <w:rPr>
                <w:sz w:val="20"/>
                <w:szCs w:val="20"/>
                <w:color w:val="auto"/>
              </w:rPr>
            </w:pPr>
            <w:r>
              <w:rPr>
                <w:rFonts w:ascii="Arial" w:cs="Arial" w:eastAsia="Arial" w:hAnsi="Arial"/>
                <w:sz w:val="18"/>
                <w:szCs w:val="18"/>
                <w:color w:val="auto"/>
                <w:w w:val="94"/>
              </w:rPr>
              <w:t>Income taxes related to equity method investments and noncontrolling</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5320" w:type="dxa"/>
            <w:vAlign w:val="bottom"/>
          </w:tcPr>
          <w:p>
            <w:pPr>
              <w:ind w:left="320"/>
              <w:spacing w:after="0"/>
              <w:rPr>
                <w:sz w:val="20"/>
                <w:szCs w:val="20"/>
                <w:color w:val="auto"/>
              </w:rPr>
            </w:pPr>
            <w:r>
              <w:rPr>
                <w:rFonts w:ascii="Arial" w:cs="Arial" w:eastAsia="Arial" w:hAnsi="Arial"/>
                <w:sz w:val="18"/>
                <w:szCs w:val="18"/>
                <w:color w:val="auto"/>
              </w:rPr>
              <w:t>interest</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10.2</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16.4</w:t>
            </w:r>
          </w:p>
        </w:tc>
        <w:tc>
          <w:tcPr>
            <w:tcW w:w="220" w:type="dxa"/>
            <w:vAlign w:val="bottom"/>
          </w:tcPr>
          <w:p>
            <w:pPr>
              <w:spacing w:after="0"/>
              <w:rPr>
                <w:sz w:val="20"/>
                <w:szCs w:val="20"/>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54.2</w:t>
            </w:r>
          </w:p>
        </w:tc>
        <w:tc>
          <w:tcPr>
            <w:tcW w:w="220" w:type="dxa"/>
            <w:vAlign w:val="bottom"/>
          </w:tcPr>
          <w:p>
            <w:pPr>
              <w:spacing w:after="0"/>
              <w:rPr>
                <w:sz w:val="20"/>
                <w:szCs w:val="20"/>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48.8</w:t>
            </w:r>
          </w:p>
        </w:tc>
        <w:tc>
          <w:tcPr>
            <w:tcW w:w="0" w:type="dxa"/>
            <w:vAlign w:val="bottom"/>
          </w:tcPr>
          <w:p>
            <w:pPr>
              <w:spacing w:after="0"/>
              <w:rPr>
                <w:sz w:val="1"/>
                <w:szCs w:val="1"/>
                <w:color w:val="auto"/>
              </w:rPr>
            </w:pPr>
          </w:p>
        </w:tc>
      </w:tr>
      <w:tr>
        <w:trPr>
          <w:trHeight w:val="20"/>
        </w:trPr>
        <w:tc>
          <w:tcPr>
            <w:tcW w:w="532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Income taxes</w:t>
            </w:r>
          </w:p>
        </w:tc>
        <w:tc>
          <w:tcPr>
            <w:tcW w:w="22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9"/>
        </w:trPr>
        <w:tc>
          <w:tcPr>
            <w:tcW w:w="5320" w:type="dxa"/>
            <w:vAlign w:val="bottom"/>
            <w:vMerge w:val="continue"/>
            <w:shd w:val="clear" w:color="auto" w:fill="CCEEFF"/>
          </w:tcPr>
          <w:p>
            <w:pPr>
              <w:spacing w:after="0"/>
              <w:rPr>
                <w:sz w:val="19"/>
                <w:szCs w:val="19"/>
                <w:color w:val="auto"/>
              </w:rPr>
            </w:pPr>
          </w:p>
        </w:tc>
        <w:tc>
          <w:tcPr>
            <w:tcW w:w="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85.1</w:t>
            </w:r>
          </w:p>
        </w:tc>
        <w:tc>
          <w:tcPr>
            <w:tcW w:w="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86.1</w:t>
            </w:r>
          </w:p>
        </w:tc>
        <w:tc>
          <w:tcPr>
            <w:tcW w:w="2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307.2</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339.5</w:t>
            </w:r>
          </w:p>
        </w:tc>
        <w:tc>
          <w:tcPr>
            <w:tcW w:w="0" w:type="dxa"/>
            <w:vAlign w:val="bottom"/>
          </w:tcPr>
          <w:p>
            <w:pPr>
              <w:spacing w:after="0"/>
              <w:rPr>
                <w:sz w:val="1"/>
                <w:szCs w:val="1"/>
                <w:color w:val="auto"/>
              </w:rPr>
            </w:pPr>
          </w:p>
        </w:tc>
      </w:tr>
      <w:tr>
        <w:trPr>
          <w:trHeight w:val="20"/>
        </w:trPr>
        <w:tc>
          <w:tcPr>
            <w:tcW w:w="53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2"/>
        </w:trPr>
        <w:tc>
          <w:tcPr>
            <w:tcW w:w="53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5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Realized Capital Gains (Losses):</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5320" w:type="dxa"/>
            <w:vAlign w:val="bottom"/>
          </w:tcPr>
          <w:p>
            <w:pPr>
              <w:spacing w:after="0"/>
              <w:rPr>
                <w:sz w:val="20"/>
                <w:szCs w:val="20"/>
                <w:color w:val="auto"/>
              </w:rPr>
            </w:pPr>
            <w:r>
              <w:rPr>
                <w:rFonts w:ascii="Arial" w:cs="Arial" w:eastAsia="Arial" w:hAnsi="Arial"/>
                <w:sz w:val="18"/>
                <w:szCs w:val="18"/>
                <w:color w:val="auto"/>
              </w:rPr>
              <w:t>GAAP net realized capital gains (losses)</w:t>
            </w:r>
          </w:p>
        </w:tc>
        <w:tc>
          <w:tcPr>
            <w:tcW w:w="4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80"/>
              <w:spacing w:after="0"/>
              <w:rPr>
                <w:sz w:val="20"/>
                <w:szCs w:val="20"/>
                <w:color w:val="auto"/>
              </w:rPr>
            </w:pPr>
            <w:r>
              <w:rPr>
                <w:rFonts w:ascii="Arial" w:cs="Arial" w:eastAsia="Arial" w:hAnsi="Arial"/>
                <w:sz w:val="18"/>
                <w:szCs w:val="18"/>
                <w:color w:val="auto"/>
              </w:rPr>
              <w:t>(27.4)</w:t>
            </w:r>
          </w:p>
        </w:tc>
        <w:tc>
          <w:tcPr>
            <w:tcW w:w="3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160"/>
              <w:spacing w:after="0"/>
              <w:rPr>
                <w:sz w:val="20"/>
                <w:szCs w:val="20"/>
                <w:color w:val="auto"/>
              </w:rPr>
            </w:pPr>
            <w:r>
              <w:rPr>
                <w:rFonts w:ascii="Arial" w:cs="Arial" w:eastAsia="Arial" w:hAnsi="Arial"/>
                <w:sz w:val="18"/>
                <w:szCs w:val="18"/>
                <w:color w:val="auto"/>
              </w:rPr>
              <w:t>(4.0)</w:t>
            </w:r>
          </w:p>
        </w:tc>
        <w:tc>
          <w:tcPr>
            <w:tcW w:w="220" w:type="dxa"/>
            <w:vAlign w:val="bottom"/>
          </w:tcPr>
          <w:p>
            <w:pPr>
              <w:jc w:val="right"/>
              <w:ind w:right="32"/>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160"/>
              <w:spacing w:after="0"/>
              <w:rPr>
                <w:sz w:val="20"/>
                <w:szCs w:val="20"/>
                <w:color w:val="auto"/>
              </w:rPr>
            </w:pPr>
            <w:r>
              <w:rPr>
                <w:rFonts w:ascii="Arial" w:cs="Arial" w:eastAsia="Arial" w:hAnsi="Arial"/>
                <w:sz w:val="18"/>
                <w:szCs w:val="18"/>
                <w:color w:val="auto"/>
              </w:rPr>
              <w:t>(29.3)</w:t>
            </w: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100" w:type="dxa"/>
            <w:vAlign w:val="bottom"/>
            <w:gridSpan w:val="2"/>
          </w:tcPr>
          <w:p>
            <w:pPr>
              <w:jc w:val="right"/>
              <w:ind w:right="40"/>
              <w:spacing w:after="0"/>
              <w:rPr>
                <w:sz w:val="20"/>
                <w:szCs w:val="20"/>
                <w:color w:val="auto"/>
              </w:rPr>
            </w:pPr>
            <w:r>
              <w:rPr>
                <w:rFonts w:ascii="Arial" w:cs="Arial" w:eastAsia="Arial" w:hAnsi="Arial"/>
                <w:sz w:val="18"/>
                <w:szCs w:val="18"/>
                <w:color w:val="auto"/>
              </w:rPr>
              <w:t>(37.2)</w:t>
            </w:r>
          </w:p>
        </w:tc>
        <w:tc>
          <w:tcPr>
            <w:tcW w:w="0" w:type="dxa"/>
            <w:vAlign w:val="bottom"/>
          </w:tcPr>
          <w:p>
            <w:pPr>
              <w:spacing w:after="0"/>
              <w:rPr>
                <w:sz w:val="1"/>
                <w:szCs w:val="1"/>
                <w:color w:val="auto"/>
              </w:rPr>
            </w:pPr>
          </w:p>
        </w:tc>
      </w:tr>
      <w:tr>
        <w:trPr>
          <w:trHeight w:val="212"/>
        </w:trPr>
        <w:tc>
          <w:tcPr>
            <w:tcW w:w="53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5320" w:type="dxa"/>
            <w:vAlign w:val="bottom"/>
          </w:tcPr>
          <w:p>
            <w:pPr>
              <w:spacing w:after="0"/>
              <w:rPr>
                <w:sz w:val="20"/>
                <w:szCs w:val="20"/>
                <w:color w:val="auto"/>
              </w:rPr>
            </w:pPr>
            <w:r>
              <w:rPr>
                <w:rFonts w:ascii="Arial" w:cs="Arial" w:eastAsia="Arial" w:hAnsi="Arial"/>
                <w:sz w:val="18"/>
                <w:szCs w:val="18"/>
                <w:color w:val="auto"/>
              </w:rPr>
              <w:t>Recognition of front-end fee revenues</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0.5</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4.2</w:t>
            </w:r>
          </w:p>
        </w:tc>
        <w:tc>
          <w:tcPr>
            <w:tcW w:w="22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17.4</w:t>
            </w:r>
          </w:p>
        </w:tc>
        <w:tc>
          <w:tcPr>
            <w:tcW w:w="2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10.1</w:t>
            </w:r>
          </w:p>
        </w:tc>
        <w:tc>
          <w:tcPr>
            <w:tcW w:w="0" w:type="dxa"/>
            <w:vAlign w:val="bottom"/>
          </w:tcPr>
          <w:p>
            <w:pPr>
              <w:spacing w:after="0"/>
              <w:rPr>
                <w:sz w:val="1"/>
                <w:szCs w:val="1"/>
                <w:color w:val="auto"/>
              </w:rPr>
            </w:pPr>
          </w:p>
        </w:tc>
      </w:tr>
      <w:tr>
        <w:trPr>
          <w:trHeight w:val="212"/>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w w:val="93"/>
              </w:rPr>
              <w:t>Net realized capital gains (losses) related to equity method investments</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2.3</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(3.3)</w:t>
            </w:r>
          </w:p>
        </w:tc>
        <w:tc>
          <w:tcPr>
            <w:tcW w:w="2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(0.6)</w:t>
            </w:r>
          </w:p>
        </w:tc>
        <w:tc>
          <w:tcPr>
            <w:tcW w:w="0" w:type="dxa"/>
            <w:vAlign w:val="bottom"/>
          </w:tcPr>
          <w:p>
            <w:pPr>
              <w:spacing w:after="0"/>
              <w:rPr>
                <w:sz w:val="1"/>
                <w:szCs w:val="1"/>
                <w:color w:val="auto"/>
              </w:rPr>
            </w:pPr>
          </w:p>
        </w:tc>
      </w:tr>
      <w:tr>
        <w:trPr>
          <w:trHeight w:val="212"/>
        </w:trPr>
        <w:tc>
          <w:tcPr>
            <w:tcW w:w="5320" w:type="dxa"/>
            <w:vAlign w:val="bottom"/>
          </w:tcPr>
          <w:p>
            <w:pPr>
              <w:spacing w:after="0"/>
              <w:rPr>
                <w:sz w:val="20"/>
                <w:szCs w:val="20"/>
                <w:color w:val="auto"/>
              </w:rPr>
            </w:pPr>
            <w:r>
              <w:rPr>
                <w:rFonts w:ascii="Arial" w:cs="Arial" w:eastAsia="Arial" w:hAnsi="Arial"/>
                <w:sz w:val="18"/>
                <w:szCs w:val="18"/>
                <w:color w:val="auto"/>
              </w:rPr>
              <w:t>Derivative and hedging-related revenue adjustments</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color w:val="auto"/>
              </w:rPr>
              <w:t>(35.1)</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8"/>
                <w:szCs w:val="18"/>
                <w:color w:val="auto"/>
              </w:rPr>
              <w:t>(21.4)</w:t>
            </w:r>
          </w:p>
        </w:tc>
        <w:tc>
          <w:tcPr>
            <w:tcW w:w="22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color w:val="auto"/>
              </w:rPr>
              <w:t>(96.2)</w:t>
            </w:r>
          </w:p>
        </w:tc>
        <w:tc>
          <w:tcPr>
            <w:tcW w:w="2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Arial" w:cs="Arial" w:eastAsia="Arial" w:hAnsi="Arial"/>
                <w:sz w:val="18"/>
                <w:szCs w:val="18"/>
                <w:color w:val="auto"/>
              </w:rPr>
              <w:t>(65.1)</w:t>
            </w:r>
          </w:p>
        </w:tc>
        <w:tc>
          <w:tcPr>
            <w:tcW w:w="0" w:type="dxa"/>
            <w:vAlign w:val="bottom"/>
          </w:tcPr>
          <w:p>
            <w:pPr>
              <w:spacing w:after="0"/>
              <w:rPr>
                <w:sz w:val="1"/>
                <w:szCs w:val="1"/>
                <w:color w:val="auto"/>
              </w:rPr>
            </w:pPr>
          </w:p>
        </w:tc>
      </w:tr>
      <w:tr>
        <w:trPr>
          <w:trHeight w:val="212"/>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Sponsored investment fund adjustments</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3.5</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6.8</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16.2</w:t>
            </w:r>
          </w:p>
        </w:tc>
        <w:tc>
          <w:tcPr>
            <w:tcW w:w="2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22.6</w:t>
            </w:r>
          </w:p>
        </w:tc>
        <w:tc>
          <w:tcPr>
            <w:tcW w:w="0" w:type="dxa"/>
            <w:vAlign w:val="bottom"/>
          </w:tcPr>
          <w:p>
            <w:pPr>
              <w:spacing w:after="0"/>
              <w:rPr>
                <w:sz w:val="1"/>
                <w:szCs w:val="1"/>
                <w:color w:val="auto"/>
              </w:rPr>
            </w:pPr>
          </w:p>
        </w:tc>
      </w:tr>
      <w:tr>
        <w:trPr>
          <w:trHeight w:val="212"/>
        </w:trPr>
        <w:tc>
          <w:tcPr>
            <w:tcW w:w="5320" w:type="dxa"/>
            <w:vAlign w:val="bottom"/>
          </w:tcPr>
          <w:p>
            <w:pPr>
              <w:spacing w:after="0"/>
              <w:rPr>
                <w:sz w:val="20"/>
                <w:szCs w:val="20"/>
                <w:color w:val="auto"/>
              </w:rPr>
            </w:pPr>
            <w:r>
              <w:rPr>
                <w:rFonts w:ascii="Arial" w:cs="Arial" w:eastAsia="Arial" w:hAnsi="Arial"/>
                <w:sz w:val="18"/>
                <w:szCs w:val="18"/>
                <w:color w:val="auto"/>
              </w:rPr>
              <w:t>Amortization of deferred acquisition costs</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82.2</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8"/>
                <w:szCs w:val="18"/>
                <w:color w:val="auto"/>
              </w:rPr>
              <w:t>(16.3)</w:t>
            </w:r>
          </w:p>
        </w:tc>
        <w:tc>
          <w:tcPr>
            <w:tcW w:w="22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color w:val="auto"/>
              </w:rPr>
              <w:t>(75.8)</w:t>
            </w:r>
          </w:p>
        </w:tc>
        <w:tc>
          <w:tcPr>
            <w:tcW w:w="2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Arial" w:cs="Arial" w:eastAsia="Arial" w:hAnsi="Arial"/>
                <w:sz w:val="18"/>
                <w:szCs w:val="18"/>
                <w:color w:val="auto"/>
              </w:rPr>
              <w:t>(47.5)</w:t>
            </w:r>
          </w:p>
        </w:tc>
        <w:tc>
          <w:tcPr>
            <w:tcW w:w="0" w:type="dxa"/>
            <w:vAlign w:val="bottom"/>
          </w:tcPr>
          <w:p>
            <w:pPr>
              <w:spacing w:after="0"/>
              <w:rPr>
                <w:sz w:val="1"/>
                <w:szCs w:val="1"/>
                <w:color w:val="auto"/>
              </w:rPr>
            </w:pPr>
          </w:p>
        </w:tc>
      </w:tr>
      <w:tr>
        <w:trPr>
          <w:trHeight w:val="212"/>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Capital gains distributed – operating expenses</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(6.4)</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(2.9)</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(11.9)</w:t>
            </w:r>
          </w:p>
        </w:tc>
        <w:tc>
          <w:tcPr>
            <w:tcW w:w="2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11.5</w:t>
            </w:r>
          </w:p>
        </w:tc>
        <w:tc>
          <w:tcPr>
            <w:tcW w:w="0" w:type="dxa"/>
            <w:vAlign w:val="bottom"/>
          </w:tcPr>
          <w:p>
            <w:pPr>
              <w:spacing w:after="0"/>
              <w:rPr>
                <w:sz w:val="1"/>
                <w:szCs w:val="1"/>
                <w:color w:val="auto"/>
              </w:rPr>
            </w:pPr>
          </w:p>
        </w:tc>
      </w:tr>
      <w:tr>
        <w:trPr>
          <w:trHeight w:val="212"/>
        </w:trPr>
        <w:tc>
          <w:tcPr>
            <w:tcW w:w="5320" w:type="dxa"/>
            <w:vAlign w:val="bottom"/>
          </w:tcPr>
          <w:p>
            <w:pPr>
              <w:spacing w:after="0"/>
              <w:rPr>
                <w:sz w:val="20"/>
                <w:szCs w:val="20"/>
                <w:color w:val="auto"/>
              </w:rPr>
            </w:pPr>
            <w:r>
              <w:rPr>
                <w:rFonts w:ascii="Arial" w:cs="Arial" w:eastAsia="Arial" w:hAnsi="Arial"/>
                <w:sz w:val="18"/>
                <w:szCs w:val="18"/>
                <w:color w:val="auto"/>
              </w:rPr>
              <w:t>Amortization of other actuarial balances</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7.4</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8"/>
                <w:szCs w:val="18"/>
                <w:color w:val="auto"/>
              </w:rPr>
              <w:t>(12.8)</w:t>
            </w:r>
          </w:p>
        </w:tc>
        <w:tc>
          <w:tcPr>
            <w:tcW w:w="22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color w:val="auto"/>
              </w:rPr>
              <w:t>(49.3)</w:t>
            </w:r>
          </w:p>
        </w:tc>
        <w:tc>
          <w:tcPr>
            <w:tcW w:w="2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Arial" w:cs="Arial" w:eastAsia="Arial" w:hAnsi="Arial"/>
                <w:sz w:val="18"/>
                <w:szCs w:val="18"/>
                <w:color w:val="auto"/>
              </w:rPr>
              <w:t>(31.8)</w:t>
            </w:r>
          </w:p>
        </w:tc>
        <w:tc>
          <w:tcPr>
            <w:tcW w:w="0" w:type="dxa"/>
            <w:vAlign w:val="bottom"/>
          </w:tcPr>
          <w:p>
            <w:pPr>
              <w:spacing w:after="0"/>
              <w:rPr>
                <w:sz w:val="1"/>
                <w:szCs w:val="1"/>
                <w:color w:val="auto"/>
              </w:rPr>
            </w:pPr>
          </w:p>
        </w:tc>
      </w:tr>
      <w:tr>
        <w:trPr>
          <w:trHeight w:val="212"/>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Market value adjustments of embedded derivatives</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0.4</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8.9</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27.7</w:t>
            </w:r>
          </w:p>
        </w:tc>
        <w:tc>
          <w:tcPr>
            <w:tcW w:w="2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26.9</w:t>
            </w:r>
          </w:p>
        </w:tc>
        <w:tc>
          <w:tcPr>
            <w:tcW w:w="0" w:type="dxa"/>
            <w:vAlign w:val="bottom"/>
          </w:tcPr>
          <w:p>
            <w:pPr>
              <w:spacing w:after="0"/>
              <w:rPr>
                <w:sz w:val="1"/>
                <w:szCs w:val="1"/>
                <w:color w:val="auto"/>
              </w:rPr>
            </w:pPr>
          </w:p>
        </w:tc>
      </w:tr>
      <w:tr>
        <w:trPr>
          <w:trHeight w:val="212"/>
        </w:trPr>
        <w:tc>
          <w:tcPr>
            <w:tcW w:w="5320" w:type="dxa"/>
            <w:vAlign w:val="bottom"/>
          </w:tcPr>
          <w:p>
            <w:pPr>
              <w:spacing w:after="0"/>
              <w:rPr>
                <w:sz w:val="20"/>
                <w:szCs w:val="20"/>
                <w:color w:val="auto"/>
              </w:rPr>
            </w:pPr>
            <w:r>
              <w:rPr>
                <w:rFonts w:ascii="Arial" w:cs="Arial" w:eastAsia="Arial" w:hAnsi="Arial"/>
                <w:sz w:val="18"/>
                <w:szCs w:val="18"/>
                <w:color w:val="auto"/>
              </w:rPr>
              <w:t>Capital gains distributed – cost of interest credited</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color w:val="auto"/>
              </w:rPr>
              <w:t>(9.0)</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8"/>
                <w:szCs w:val="18"/>
                <w:color w:val="auto"/>
              </w:rPr>
              <w:t>(12.3)</w:t>
            </w:r>
          </w:p>
        </w:tc>
        <w:tc>
          <w:tcPr>
            <w:tcW w:w="22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color w:val="auto"/>
              </w:rPr>
              <w:t>(4.4)</w:t>
            </w:r>
          </w:p>
        </w:tc>
        <w:tc>
          <w:tcPr>
            <w:tcW w:w="2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Arial" w:cs="Arial" w:eastAsia="Arial" w:hAnsi="Arial"/>
                <w:sz w:val="18"/>
                <w:szCs w:val="18"/>
                <w:color w:val="auto"/>
              </w:rPr>
              <w:t>(23.3)</w:t>
            </w:r>
          </w:p>
        </w:tc>
        <w:tc>
          <w:tcPr>
            <w:tcW w:w="0" w:type="dxa"/>
            <w:vAlign w:val="bottom"/>
          </w:tcPr>
          <w:p>
            <w:pPr>
              <w:spacing w:after="0"/>
              <w:rPr>
                <w:sz w:val="1"/>
                <w:szCs w:val="1"/>
                <w:color w:val="auto"/>
              </w:rPr>
            </w:pPr>
          </w:p>
        </w:tc>
      </w:tr>
      <w:tr>
        <w:trPr>
          <w:trHeight w:val="212"/>
        </w:trPr>
        <w:tc>
          <w:tcPr>
            <w:tcW w:w="5320" w:type="dxa"/>
            <w:vAlign w:val="bottom"/>
            <w:shd w:val="clear" w:color="auto" w:fill="CCEEFF"/>
          </w:tcPr>
          <w:p>
            <w:pPr>
              <w:spacing w:after="0"/>
              <w:rPr>
                <w:sz w:val="20"/>
                <w:szCs w:val="20"/>
                <w:color w:val="auto"/>
              </w:rPr>
            </w:pPr>
            <w:r>
              <w:rPr>
                <w:rFonts w:ascii="Arial" w:cs="Arial" w:eastAsia="Arial" w:hAnsi="Arial"/>
                <w:sz w:val="18"/>
                <w:szCs w:val="18"/>
                <w:color w:val="auto"/>
              </w:rPr>
              <w:t>Net realized capital gains (losses) tax adjustments</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(7.6)</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11.5</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10.2</w:t>
            </w:r>
          </w:p>
        </w:tc>
        <w:tc>
          <w:tcPr>
            <w:tcW w:w="2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38.3</w:t>
            </w:r>
          </w:p>
        </w:tc>
        <w:tc>
          <w:tcPr>
            <w:tcW w:w="0" w:type="dxa"/>
            <w:vAlign w:val="bottom"/>
          </w:tcPr>
          <w:p>
            <w:pPr>
              <w:spacing w:after="0"/>
              <w:rPr>
                <w:sz w:val="1"/>
                <w:szCs w:val="1"/>
                <w:color w:val="auto"/>
              </w:rPr>
            </w:pPr>
          </w:p>
        </w:tc>
      </w:tr>
      <w:tr>
        <w:trPr>
          <w:trHeight w:val="200"/>
        </w:trPr>
        <w:tc>
          <w:tcPr>
            <w:tcW w:w="5320" w:type="dxa"/>
            <w:vAlign w:val="bottom"/>
          </w:tcPr>
          <w:p>
            <w:pPr>
              <w:spacing w:after="0" w:line="200" w:lineRule="exact"/>
              <w:rPr>
                <w:sz w:val="20"/>
                <w:szCs w:val="20"/>
                <w:color w:val="auto"/>
              </w:rPr>
            </w:pPr>
            <w:r>
              <w:rPr>
                <w:rFonts w:ascii="Arial" w:cs="Arial" w:eastAsia="Arial" w:hAnsi="Arial"/>
                <w:sz w:val="18"/>
                <w:szCs w:val="18"/>
                <w:color w:val="auto"/>
                <w:w w:val="93"/>
              </w:rPr>
              <w:t>Net realized capital gains (losses) attributable to noncontrolling interest,</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5320" w:type="dxa"/>
            <w:vAlign w:val="bottom"/>
          </w:tcPr>
          <w:p>
            <w:pPr>
              <w:ind w:left="160"/>
              <w:spacing w:after="0"/>
              <w:rPr>
                <w:sz w:val="20"/>
                <w:szCs w:val="20"/>
                <w:color w:val="auto"/>
              </w:rPr>
            </w:pPr>
            <w:r>
              <w:rPr>
                <w:rFonts w:ascii="Arial" w:cs="Arial" w:eastAsia="Arial" w:hAnsi="Arial"/>
                <w:sz w:val="18"/>
                <w:szCs w:val="18"/>
                <w:color w:val="auto"/>
              </w:rPr>
              <w:t>after-tax</w:t>
            </w: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color w:val="auto"/>
              </w:rPr>
              <w:t>(15.2)</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8"/>
                <w:szCs w:val="18"/>
                <w:color w:val="auto"/>
              </w:rPr>
              <w:t>(3.7)</w:t>
            </w:r>
          </w:p>
        </w:tc>
        <w:tc>
          <w:tcPr>
            <w:tcW w:w="220" w:type="dxa"/>
            <w:vAlign w:val="bottom"/>
          </w:tcPr>
          <w:p>
            <w:pPr>
              <w:spacing w:after="0"/>
              <w:rPr>
                <w:sz w:val="20"/>
                <w:szCs w:val="20"/>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color w:val="auto"/>
              </w:rPr>
              <w:t>(0.1)</w:t>
            </w:r>
          </w:p>
        </w:tc>
        <w:tc>
          <w:tcPr>
            <w:tcW w:w="220" w:type="dxa"/>
            <w:vAlign w:val="bottom"/>
          </w:tcPr>
          <w:p>
            <w:pPr>
              <w:spacing w:after="0"/>
              <w:rPr>
                <w:sz w:val="20"/>
                <w:szCs w:val="20"/>
                <w:color w:val="auto"/>
              </w:rPr>
            </w:pPr>
          </w:p>
        </w:tc>
        <w:tc>
          <w:tcPr>
            <w:tcW w:w="1100" w:type="dxa"/>
            <w:vAlign w:val="bottom"/>
            <w:gridSpan w:val="2"/>
          </w:tcPr>
          <w:p>
            <w:pPr>
              <w:jc w:val="right"/>
              <w:ind w:right="40"/>
              <w:spacing w:after="0"/>
              <w:rPr>
                <w:sz w:val="20"/>
                <w:szCs w:val="20"/>
                <w:color w:val="auto"/>
              </w:rPr>
            </w:pPr>
            <w:r>
              <w:rPr>
                <w:rFonts w:ascii="Arial" w:cs="Arial" w:eastAsia="Arial" w:hAnsi="Arial"/>
                <w:sz w:val="18"/>
                <w:szCs w:val="18"/>
                <w:color w:val="auto"/>
              </w:rPr>
              <w:t>(19.6)</w:t>
            </w:r>
          </w:p>
        </w:tc>
        <w:tc>
          <w:tcPr>
            <w:tcW w:w="0" w:type="dxa"/>
            <w:vAlign w:val="bottom"/>
          </w:tcPr>
          <w:p>
            <w:pPr>
              <w:spacing w:after="0"/>
              <w:rPr>
                <w:sz w:val="1"/>
                <w:szCs w:val="1"/>
                <w:color w:val="auto"/>
              </w:rPr>
            </w:pPr>
          </w:p>
        </w:tc>
      </w:tr>
      <w:tr>
        <w:trPr>
          <w:trHeight w:val="124"/>
        </w:trPr>
        <w:tc>
          <w:tcPr>
            <w:tcW w:w="5320" w:type="dxa"/>
            <w:vAlign w:val="bottom"/>
            <w:tcBorders>
              <w:top w:val="single" w:sz="8" w:color="CCEEFF"/>
            </w:tcBorders>
            <w:shd w:val="clear" w:color="auto" w:fill="CCEEFF"/>
          </w:tcPr>
          <w:p>
            <w:pPr>
              <w:spacing w:after="0"/>
              <w:rPr>
                <w:sz w:val="10"/>
                <w:szCs w:val="10"/>
                <w:color w:val="auto"/>
              </w:rPr>
            </w:pPr>
          </w:p>
        </w:tc>
        <w:tc>
          <w:tcPr>
            <w:tcW w:w="220" w:type="dxa"/>
            <w:vAlign w:val="bottom"/>
            <w:tcBorders>
              <w:top w:val="single" w:sz="8" w:color="CCEEFF"/>
            </w:tcBorders>
            <w:shd w:val="clear" w:color="auto" w:fill="CCEEFF"/>
          </w:tcPr>
          <w:p>
            <w:pPr>
              <w:spacing w:after="0"/>
              <w:rPr>
                <w:sz w:val="10"/>
                <w:szCs w:val="10"/>
                <w:color w:val="auto"/>
              </w:rPr>
            </w:pPr>
          </w:p>
        </w:tc>
        <w:tc>
          <w:tcPr>
            <w:tcW w:w="220" w:type="dxa"/>
            <w:vAlign w:val="bottom"/>
            <w:tcBorders>
              <w:top w:val="single" w:sz="8" w:color="auto"/>
            </w:tcBorders>
            <w:shd w:val="clear" w:color="auto" w:fill="CCEEFF"/>
          </w:tcPr>
          <w:p>
            <w:pPr>
              <w:spacing w:after="0"/>
              <w:rPr>
                <w:sz w:val="10"/>
                <w:szCs w:val="10"/>
                <w:color w:val="auto"/>
              </w:rPr>
            </w:pPr>
          </w:p>
        </w:tc>
        <w:tc>
          <w:tcPr>
            <w:tcW w:w="1020" w:type="dxa"/>
            <w:vAlign w:val="bottom"/>
            <w:tcBorders>
              <w:top w:val="single" w:sz="8" w:color="auto"/>
            </w:tcBorders>
            <w:shd w:val="clear" w:color="auto" w:fill="CCEEFF"/>
          </w:tcPr>
          <w:p>
            <w:pPr>
              <w:spacing w:after="0"/>
              <w:rPr>
                <w:sz w:val="10"/>
                <w:szCs w:val="10"/>
                <w:color w:val="auto"/>
              </w:rPr>
            </w:pPr>
          </w:p>
        </w:tc>
        <w:tc>
          <w:tcPr>
            <w:tcW w:w="14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CCEEFF"/>
            </w:tcBorders>
            <w:shd w:val="clear" w:color="auto" w:fill="CCEEFF"/>
          </w:tcPr>
          <w:p>
            <w:pPr>
              <w:spacing w:after="0"/>
              <w:rPr>
                <w:sz w:val="10"/>
                <w:szCs w:val="10"/>
                <w:color w:val="auto"/>
              </w:rPr>
            </w:pPr>
          </w:p>
        </w:tc>
        <w:tc>
          <w:tcPr>
            <w:tcW w:w="220" w:type="dxa"/>
            <w:vAlign w:val="bottom"/>
            <w:tcBorders>
              <w:top w:val="single" w:sz="8" w:color="auto"/>
            </w:tcBorders>
            <w:shd w:val="clear" w:color="auto" w:fill="CCEEFF"/>
          </w:tcPr>
          <w:p>
            <w:pPr>
              <w:spacing w:after="0"/>
              <w:rPr>
                <w:sz w:val="10"/>
                <w:szCs w:val="10"/>
                <w:color w:val="auto"/>
              </w:rPr>
            </w:pPr>
          </w:p>
        </w:tc>
        <w:tc>
          <w:tcPr>
            <w:tcW w:w="1020" w:type="dxa"/>
            <w:vAlign w:val="bottom"/>
            <w:tcBorders>
              <w:top w:val="single" w:sz="8" w:color="auto"/>
            </w:tcBorders>
            <w:shd w:val="clear" w:color="auto" w:fill="CCEEFF"/>
          </w:tcPr>
          <w:p>
            <w:pPr>
              <w:spacing w:after="0"/>
              <w:rPr>
                <w:sz w:val="10"/>
                <w:szCs w:val="10"/>
                <w:color w:val="auto"/>
              </w:rPr>
            </w:pPr>
          </w:p>
        </w:tc>
        <w:tc>
          <w:tcPr>
            <w:tcW w:w="220" w:type="dxa"/>
            <w:vAlign w:val="bottom"/>
            <w:tcBorders>
              <w:top w:val="single" w:sz="8" w:color="CCEEFF"/>
            </w:tcBorders>
            <w:shd w:val="clear" w:color="auto" w:fill="CCEEFF"/>
          </w:tcPr>
          <w:p>
            <w:pPr>
              <w:spacing w:after="0"/>
              <w:rPr>
                <w:sz w:val="10"/>
                <w:szCs w:val="10"/>
                <w:color w:val="auto"/>
              </w:rPr>
            </w:pPr>
          </w:p>
        </w:tc>
        <w:tc>
          <w:tcPr>
            <w:tcW w:w="220" w:type="dxa"/>
            <w:vAlign w:val="bottom"/>
            <w:tcBorders>
              <w:top w:val="single" w:sz="8" w:color="auto"/>
            </w:tcBorders>
            <w:shd w:val="clear" w:color="auto" w:fill="CCEEFF"/>
          </w:tcPr>
          <w:p>
            <w:pPr>
              <w:spacing w:after="0"/>
              <w:rPr>
                <w:sz w:val="10"/>
                <w:szCs w:val="10"/>
                <w:color w:val="auto"/>
              </w:rPr>
            </w:pPr>
          </w:p>
        </w:tc>
        <w:tc>
          <w:tcPr>
            <w:tcW w:w="1000" w:type="dxa"/>
            <w:vAlign w:val="bottom"/>
            <w:tcBorders>
              <w:top w:val="single" w:sz="8" w:color="auto"/>
            </w:tcBorders>
            <w:shd w:val="clear" w:color="auto" w:fill="CCEEFF"/>
          </w:tcPr>
          <w:p>
            <w:pPr>
              <w:spacing w:after="0"/>
              <w:rPr>
                <w:sz w:val="10"/>
                <w:szCs w:val="10"/>
                <w:color w:val="auto"/>
              </w:rPr>
            </w:pPr>
          </w:p>
        </w:tc>
        <w:tc>
          <w:tcPr>
            <w:tcW w:w="220" w:type="dxa"/>
            <w:vAlign w:val="bottom"/>
            <w:tcBorders>
              <w:top w:val="single" w:sz="8" w:color="CCEEFF"/>
            </w:tcBorders>
            <w:shd w:val="clear" w:color="auto" w:fill="CCEEFF"/>
          </w:tcPr>
          <w:p>
            <w:pPr>
              <w:spacing w:after="0"/>
              <w:rPr>
                <w:sz w:val="10"/>
                <w:szCs w:val="10"/>
                <w:color w:val="auto"/>
              </w:rPr>
            </w:pPr>
          </w:p>
        </w:tc>
        <w:tc>
          <w:tcPr>
            <w:tcW w:w="220" w:type="dxa"/>
            <w:vAlign w:val="bottom"/>
            <w:tcBorders>
              <w:top w:val="single" w:sz="8" w:color="auto"/>
            </w:tcBorders>
            <w:shd w:val="clear" w:color="auto" w:fill="CCEEFF"/>
          </w:tcPr>
          <w:p>
            <w:pPr>
              <w:spacing w:after="0"/>
              <w:rPr>
                <w:sz w:val="10"/>
                <w:szCs w:val="10"/>
                <w:color w:val="auto"/>
              </w:rPr>
            </w:pPr>
          </w:p>
        </w:tc>
        <w:tc>
          <w:tcPr>
            <w:tcW w:w="1000" w:type="dxa"/>
            <w:vAlign w:val="bottom"/>
            <w:tcBorders>
              <w:top w:val="single" w:sz="8" w:color="auto"/>
            </w:tcBorders>
            <w:shd w:val="clear" w:color="auto" w:fill="CCEEFF"/>
          </w:tcPr>
          <w:p>
            <w:pPr>
              <w:spacing w:after="0"/>
              <w:rPr>
                <w:sz w:val="10"/>
                <w:szCs w:val="10"/>
                <w:color w:val="auto"/>
              </w:rPr>
            </w:pPr>
          </w:p>
        </w:tc>
        <w:tc>
          <w:tcPr>
            <w:tcW w:w="100" w:type="dxa"/>
            <w:vAlign w:val="bottom"/>
            <w:tcBorders>
              <w:top w:val="single" w:sz="8" w:color="CCEEFF"/>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bl>
    <w:p>
      <w:pPr>
        <w:sectPr>
          <w:pgSz w:w="11900" w:h="16900" w:orient="portrait"/>
          <w:cols w:equalWidth="0" w:num="1">
            <w:col w:w="11240"/>
          </w:cols>
          <w:pgMar w:left="320" w:top="1440" w:right="339" w:bottom="0" w:gutter="0" w:footer="0" w:header="0"/>
        </w:sectPr>
      </w:pPr>
    </w:p>
    <w:bookmarkStart w:id="22" w:name="page23"/>
    <w:bookmarkEnd w:id="2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5420" w:type="dxa"/>
            <w:vAlign w:val="bottom"/>
            <w:shd w:val="clear" w:color="auto" w:fill="CCEEFF"/>
          </w:tcPr>
          <w:p>
            <w:pPr>
              <w:spacing w:after="0"/>
              <w:rPr>
                <w:sz w:val="20"/>
                <w:szCs w:val="20"/>
                <w:color w:val="auto"/>
              </w:rPr>
            </w:pPr>
            <w:r>
              <w:rPr>
                <w:rFonts w:ascii="Arial" w:cs="Arial" w:eastAsia="Arial" w:hAnsi="Arial"/>
                <w:sz w:val="18"/>
                <w:szCs w:val="18"/>
                <w:color w:val="auto"/>
              </w:rPr>
              <w:t>Total net realized capital gains (losses) after-tax adjustments</w:t>
            </w:r>
          </w:p>
        </w:tc>
        <w:tc>
          <w:tcPr>
            <w:tcW w:w="12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23.0</w:t>
            </w:r>
          </w:p>
        </w:tc>
        <w:tc>
          <w:tcPr>
            <w:tcW w:w="24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(36.8)</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(169.5)</w:t>
            </w:r>
          </w:p>
        </w:tc>
        <w:tc>
          <w:tcPr>
            <w:tcW w:w="2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(78.5)</w:t>
            </w:r>
          </w:p>
        </w:tc>
        <w:tc>
          <w:tcPr>
            <w:tcW w:w="100" w:type="dxa"/>
            <w:vAlign w:val="bottom"/>
            <w:shd w:val="clear" w:color="auto" w:fill="CCEEFF"/>
          </w:tcPr>
          <w:p>
            <w:pPr>
              <w:spacing w:after="0"/>
              <w:rPr>
                <w:sz w:val="19"/>
                <w:szCs w:val="19"/>
                <w:color w:val="auto"/>
              </w:rPr>
            </w:pPr>
          </w:p>
        </w:tc>
      </w:tr>
      <w:tr>
        <w:trPr>
          <w:trHeight w:val="212"/>
        </w:trPr>
        <w:tc>
          <w:tcPr>
            <w:tcW w:w="542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c>
          <w:tcPr>
            <w:tcW w:w="240" w:type="dxa"/>
            <w:vAlign w:val="bottom"/>
            <w:tcBorders>
              <w:bottom w:val="single" w:sz="8" w:color="CCEEFF"/>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spacing w:after="0"/>
              <w:rPr>
                <w:sz w:val="18"/>
                <w:szCs w:val="18"/>
                <w:color w:val="auto"/>
              </w:rPr>
            </w:pPr>
          </w:p>
        </w:tc>
        <w:tc>
          <w:tcPr>
            <w:tcW w:w="220" w:type="dxa"/>
            <w:vAlign w:val="bottom"/>
            <w:tcBorders>
              <w:bottom w:val="single" w:sz="8" w:color="CCEEFF"/>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r>
      <w:tr>
        <w:trPr>
          <w:trHeight w:val="218"/>
        </w:trPr>
        <w:tc>
          <w:tcPr>
            <w:tcW w:w="5420" w:type="dxa"/>
            <w:vAlign w:val="bottom"/>
            <w:shd w:val="clear" w:color="auto" w:fill="CCEEFF"/>
          </w:tcPr>
          <w:p>
            <w:pPr>
              <w:spacing w:after="0" w:line="203" w:lineRule="exact"/>
              <w:rPr>
                <w:sz w:val="20"/>
                <w:szCs w:val="20"/>
                <w:color w:val="auto"/>
              </w:rPr>
            </w:pPr>
            <w:r>
              <w:rPr>
                <w:rFonts w:ascii="Arial" w:cs="Arial" w:eastAsia="Arial" w:hAnsi="Arial"/>
                <w:sz w:val="18"/>
                <w:szCs w:val="18"/>
                <w:color w:val="auto"/>
              </w:rPr>
              <w:t>Net realized capital gains (losses), as adjusted</w:t>
            </w:r>
          </w:p>
        </w:tc>
        <w:tc>
          <w:tcPr>
            <w:tcW w:w="6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240" w:type="dxa"/>
            <w:vAlign w:val="bottom"/>
            <w:shd w:val="clear" w:color="auto" w:fill="CCEEFF"/>
          </w:tcPr>
          <w:p>
            <w:pPr>
              <w:jc w:val="right"/>
              <w:ind w:right="103"/>
              <w:spacing w:after="0"/>
              <w:rPr>
                <w:sz w:val="20"/>
                <w:szCs w:val="20"/>
                <w:color w:val="auto"/>
              </w:rPr>
            </w:pPr>
            <w:r>
              <w:rPr>
                <w:rFonts w:ascii="Arial" w:cs="Arial" w:eastAsia="Arial" w:hAnsi="Arial"/>
                <w:sz w:val="15"/>
                <w:szCs w:val="15"/>
                <w:color w:val="auto"/>
                <w:w w:val="79"/>
              </w:rPr>
              <w:t>)</w:t>
            </w:r>
          </w:p>
        </w:tc>
        <w:tc>
          <w:tcPr>
            <w:tcW w:w="480" w:type="dxa"/>
            <w:vAlign w:val="bottom"/>
            <w:shd w:val="clear" w:color="auto" w:fill="CCEEFF"/>
          </w:tcPr>
          <w:p>
            <w:pPr>
              <w:jc w:val="right"/>
              <w:ind w:right="323"/>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(40.8</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9"/>
              </w:rPr>
              <w:t>)</w:t>
            </w:r>
          </w:p>
        </w:tc>
        <w:tc>
          <w:tcPr>
            <w:tcW w:w="5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(198.8</w:t>
            </w:r>
          </w:p>
        </w:tc>
        <w:tc>
          <w:tcPr>
            <w:tcW w:w="22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9"/>
              </w:rPr>
              <w:t>)</w:t>
            </w:r>
          </w:p>
        </w:tc>
        <w:tc>
          <w:tcPr>
            <w:tcW w:w="420" w:type="dxa"/>
            <w:vAlign w:val="bottom"/>
            <w:shd w:val="clear" w:color="auto" w:fill="CCEEFF"/>
          </w:tcPr>
          <w:p>
            <w:pPr>
              <w:jc w:val="right"/>
              <w:ind w:right="263"/>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(115.7</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9"/>
              </w:rPr>
              <w:t>)</w:t>
            </w:r>
          </w:p>
        </w:tc>
      </w:tr>
      <w:tr>
        <w:trPr>
          <w:trHeight w:val="20"/>
        </w:trPr>
        <w:tc>
          <w:tcPr>
            <w:tcW w:w="54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-319405</wp:posOffset>
            </wp:positionV>
            <wp:extent cx="7134860" cy="14287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4860" cy="142875"/>
                    </a:xfrm>
                    <a:prstGeom prst="rect">
                      <a:avLst/>
                    </a:prstGeom>
                    <a:noFill/>
                  </pic:spPr>
                </pic:pic>
              </a:graphicData>
            </a:graphic>
          </wp:anchor>
        </w:drawing>
      </w:r>
    </w:p>
    <w:p>
      <w:pPr>
        <w:spacing w:after="0" w:line="392" w:lineRule="exact"/>
        <w:rPr>
          <w:sz w:val="20"/>
          <w:szCs w:val="20"/>
          <w:color w:val="auto"/>
        </w:rPr>
      </w:pPr>
    </w:p>
    <w:p>
      <w:pPr>
        <w:spacing w:after="0"/>
        <w:rPr>
          <w:sz w:val="20"/>
          <w:szCs w:val="20"/>
          <w:color w:val="auto"/>
        </w:rPr>
      </w:pPr>
      <w:r>
        <w:rPr>
          <w:rFonts w:ascii="Arial" w:cs="Arial" w:eastAsia="Arial" w:hAnsi="Arial"/>
          <w:sz w:val="18"/>
          <w:szCs w:val="18"/>
          <w:color w:val="auto"/>
        </w:rPr>
        <w:t>Classification: Company Confidential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10795</wp:posOffset>
            </wp:positionV>
            <wp:extent cx="713486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4860" cy="8255"/>
                    </a:xfrm>
                    <a:prstGeom prst="rect">
                      <a:avLst/>
                    </a:prstGeom>
                    <a:noFill/>
                  </pic:spPr>
                </pic:pic>
              </a:graphicData>
            </a:graphic>
          </wp:anchor>
        </w:drawing>
      </w:r>
    </w:p>
    <w:p>
      <w:pPr>
        <w:sectPr>
          <w:pgSz w:w="11900" w:h="16838" w:orient="portrait"/>
          <w:cols w:equalWidth="0" w:num="1">
            <w:col w:w="11240"/>
          </w:cols>
          <w:pgMar w:left="320" w:top="140" w:right="339" w:bottom="1440" w:gutter="0" w:footer="0" w:header="0"/>
        </w:sectPr>
      </w:pPr>
    </w:p>
    <w:bookmarkStart w:id="23" w:name="page24"/>
    <w:bookmarkEnd w:id="2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207010</wp:posOffset>
            </wp:positionH>
            <wp:positionV relativeFrom="page">
              <wp:posOffset>2377440</wp:posOffset>
            </wp:positionV>
            <wp:extent cx="7134860" cy="22040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clrChange>
                        <a:clrFrom>
                          <a:srgbClr val="FFFFFF"/>
                        </a:clrFrom>
                        <a:clrTo>
                          <a:srgbClr val="FFFFFF">
                            <a:alpha val="0"/>
                          </a:srgbClr>
                        </a:clrTo>
                      </a:clrChange>
                      <a:extLst>
                        <a:ext uri="{28A0092B-C50C-407E-A947-70E740481C1C}"/>
                      </a:extLst>
                    </a:blip>
                    <a:srcRect/>
                    <a:stretch>
                      <a:fillRect/>
                    </a:stretch>
                  </pic:blipFill>
                  <pic:spPr bwMode="auto">
                    <a:xfrm>
                      <a:off x="0" y="0"/>
                      <a:ext cx="7134860" cy="22040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U.S. GAAP to Non-GAAP Financial Measures</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5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720" w:type="dxa"/>
            <w:vAlign w:val="bottom"/>
            <w:gridSpan w:val="6"/>
          </w:tcPr>
          <w:p>
            <w:pPr>
              <w:jc w:val="right"/>
              <w:ind w:right="760"/>
              <w:spacing w:after="0"/>
              <w:rPr>
                <w:sz w:val="20"/>
                <w:szCs w:val="20"/>
                <w:color w:val="auto"/>
              </w:rPr>
            </w:pPr>
            <w:r>
              <w:rPr>
                <w:rFonts w:ascii="Arial" w:cs="Arial" w:eastAsia="Arial" w:hAnsi="Arial"/>
                <w:sz w:val="18"/>
                <w:szCs w:val="18"/>
                <w:b w:val="1"/>
                <w:bCs w:val="1"/>
                <w:color w:val="auto"/>
              </w:rPr>
              <w:t>Three Months Ended,</w:t>
            </w:r>
          </w:p>
        </w:tc>
        <w:tc>
          <w:tcPr>
            <w:tcW w:w="220" w:type="dxa"/>
            <w:vAlign w:val="bottom"/>
          </w:tcPr>
          <w:p>
            <w:pPr>
              <w:spacing w:after="0"/>
              <w:rPr>
                <w:sz w:val="19"/>
                <w:szCs w:val="19"/>
                <w:color w:val="auto"/>
              </w:rPr>
            </w:pPr>
          </w:p>
        </w:tc>
        <w:tc>
          <w:tcPr>
            <w:tcW w:w="2540" w:type="dxa"/>
            <w:vAlign w:val="bottom"/>
            <w:gridSpan w:val="5"/>
          </w:tcPr>
          <w:p>
            <w:pPr>
              <w:jc w:val="right"/>
              <w:ind w:right="500"/>
              <w:spacing w:after="0"/>
              <w:rPr>
                <w:sz w:val="20"/>
                <w:szCs w:val="20"/>
                <w:color w:val="auto"/>
              </w:rPr>
            </w:pPr>
            <w:r>
              <w:rPr>
                <w:rFonts w:ascii="Arial" w:cs="Arial" w:eastAsia="Arial" w:hAnsi="Arial"/>
                <w:sz w:val="18"/>
                <w:szCs w:val="18"/>
                <w:b w:val="1"/>
                <w:bCs w:val="1"/>
                <w:color w:val="auto"/>
                <w:w w:val="98"/>
              </w:rPr>
              <w:t>Trailing Twelve Months,</w:t>
            </w:r>
          </w:p>
        </w:tc>
        <w:tc>
          <w:tcPr>
            <w:tcW w:w="0" w:type="dxa"/>
            <w:vAlign w:val="bottom"/>
          </w:tcPr>
          <w:p>
            <w:pPr>
              <w:spacing w:after="0"/>
              <w:rPr>
                <w:sz w:val="1"/>
                <w:szCs w:val="1"/>
                <w:color w:val="auto"/>
              </w:rPr>
            </w:pPr>
          </w:p>
        </w:tc>
      </w:tr>
      <w:tr>
        <w:trPr>
          <w:trHeight w:val="219"/>
        </w:trPr>
        <w:tc>
          <w:tcPr>
            <w:tcW w:w="5540" w:type="dxa"/>
            <w:vAlign w:val="bottom"/>
            <w:tcBorders>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272"/>
              <w:spacing w:after="0"/>
              <w:rPr>
                <w:sz w:val="20"/>
                <w:szCs w:val="20"/>
                <w:color w:val="auto"/>
              </w:rPr>
            </w:pPr>
            <w:r>
              <w:rPr>
                <w:rFonts w:ascii="Arial" w:cs="Arial" w:eastAsia="Arial" w:hAnsi="Arial"/>
                <w:sz w:val="18"/>
                <w:szCs w:val="18"/>
                <w:b w:val="1"/>
                <w:bCs w:val="1"/>
                <w:color w:val="auto"/>
              </w:rPr>
              <w:t>6/30/20</w:t>
            </w:r>
          </w:p>
        </w:tc>
        <w:tc>
          <w:tcPr>
            <w:tcW w:w="140" w:type="dxa"/>
            <w:vAlign w:val="bottom"/>
            <w:tcBorders>
              <w:top w:val="single" w:sz="8" w:color="auto"/>
              <w:bottom w:val="single" w:sz="8" w:color="CCEEFF"/>
            </w:tcBorders>
          </w:tcPr>
          <w:p>
            <w:pPr>
              <w:spacing w:after="0"/>
              <w:rPr>
                <w:sz w:val="19"/>
                <w:szCs w:val="19"/>
                <w:color w:val="auto"/>
              </w:rPr>
            </w:pPr>
          </w:p>
        </w:tc>
        <w:tc>
          <w:tcPr>
            <w:tcW w:w="100" w:type="dxa"/>
            <w:vAlign w:val="bottom"/>
            <w:tcBorders>
              <w:top w:val="single" w:sz="8" w:color="auto"/>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272"/>
              <w:spacing w:after="0"/>
              <w:rPr>
                <w:sz w:val="20"/>
                <w:szCs w:val="20"/>
                <w:color w:val="auto"/>
              </w:rPr>
            </w:pPr>
            <w:r>
              <w:rPr>
                <w:rFonts w:ascii="Arial" w:cs="Arial" w:eastAsia="Arial" w:hAnsi="Arial"/>
                <w:sz w:val="18"/>
                <w:szCs w:val="18"/>
                <w:b w:val="1"/>
                <w:bCs w:val="1"/>
                <w:color w:val="auto"/>
              </w:rPr>
              <w:t>6/30/19</w:t>
            </w:r>
          </w:p>
        </w:tc>
        <w:tc>
          <w:tcPr>
            <w:tcW w:w="220" w:type="dxa"/>
            <w:vAlign w:val="bottom"/>
            <w:tcBorders>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jc w:val="right"/>
              <w:ind w:right="252"/>
              <w:spacing w:after="0"/>
              <w:rPr>
                <w:sz w:val="20"/>
                <w:szCs w:val="20"/>
                <w:color w:val="auto"/>
              </w:rPr>
            </w:pPr>
            <w:r>
              <w:rPr>
                <w:rFonts w:ascii="Arial" w:cs="Arial" w:eastAsia="Arial" w:hAnsi="Arial"/>
                <w:sz w:val="18"/>
                <w:szCs w:val="18"/>
                <w:b w:val="1"/>
                <w:bCs w:val="1"/>
                <w:color w:val="auto"/>
              </w:rPr>
              <w:t>6/30/20</w:t>
            </w:r>
          </w:p>
        </w:tc>
        <w:tc>
          <w:tcPr>
            <w:tcW w:w="220" w:type="dxa"/>
            <w:vAlign w:val="bottom"/>
            <w:tcBorders>
              <w:top w:val="single" w:sz="8" w:color="auto"/>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jc w:val="right"/>
              <w:ind w:right="252"/>
              <w:spacing w:after="0"/>
              <w:rPr>
                <w:sz w:val="20"/>
                <w:szCs w:val="20"/>
                <w:color w:val="auto"/>
              </w:rPr>
            </w:pPr>
            <w:r>
              <w:rPr>
                <w:rFonts w:ascii="Arial" w:cs="Arial" w:eastAsia="Arial" w:hAnsi="Arial"/>
                <w:sz w:val="18"/>
                <w:szCs w:val="18"/>
                <w:b w:val="1"/>
                <w:bCs w:val="1"/>
                <w:color w:val="auto"/>
              </w:rPr>
              <w:t>6/30/19</w:t>
            </w:r>
          </w:p>
        </w:tc>
        <w:tc>
          <w:tcPr>
            <w:tcW w:w="10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174"/>
        </w:trPr>
        <w:tc>
          <w:tcPr>
            <w:tcW w:w="5540" w:type="dxa"/>
            <w:vAlign w:val="bottom"/>
            <w:tcBorders>
              <w:right w:val="single" w:sz="8" w:color="CCEEFF"/>
            </w:tcBorders>
            <w:shd w:val="clear" w:color="auto" w:fill="CCEEFF"/>
          </w:tcPr>
          <w:p>
            <w:pPr>
              <w:spacing w:after="0" w:line="174" w:lineRule="exact"/>
              <w:rPr>
                <w:sz w:val="20"/>
                <w:szCs w:val="20"/>
                <w:color w:val="auto"/>
              </w:rPr>
            </w:pPr>
            <w:r>
              <w:rPr>
                <w:rFonts w:ascii="Arial" w:cs="Arial" w:eastAsia="Arial" w:hAnsi="Arial"/>
                <w:sz w:val="18"/>
                <w:szCs w:val="18"/>
                <w:b w:val="1"/>
                <w:bCs w:val="1"/>
                <w:color w:val="auto"/>
                <w:w w:val="95"/>
              </w:rPr>
              <w:t>Principal Global Investors Operating Revenues Less Pass-Through</w:t>
            </w:r>
          </w:p>
        </w:tc>
        <w:tc>
          <w:tcPr>
            <w:tcW w:w="22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5540" w:type="dxa"/>
            <w:vAlign w:val="bottom"/>
            <w:tcBorders>
              <w:right w:val="single" w:sz="8" w:color="CCEEFF"/>
            </w:tcBorders>
            <w:shd w:val="clear" w:color="auto" w:fill="CCEEFF"/>
          </w:tcPr>
          <w:p>
            <w:pPr>
              <w:ind w:left="160"/>
              <w:spacing w:after="0"/>
              <w:rPr>
                <w:sz w:val="20"/>
                <w:szCs w:val="20"/>
                <w:color w:val="auto"/>
              </w:rPr>
            </w:pPr>
            <w:r>
              <w:rPr>
                <w:rFonts w:ascii="Arial" w:cs="Arial" w:eastAsia="Arial" w:hAnsi="Arial"/>
                <w:sz w:val="18"/>
                <w:szCs w:val="18"/>
                <w:b w:val="1"/>
                <w:bCs w:val="1"/>
                <w:color w:val="auto"/>
              </w:rPr>
              <w:t>Expenses:</w:t>
            </w:r>
          </w:p>
        </w:tc>
        <w:tc>
          <w:tcPr>
            <w:tcW w:w="220" w:type="dxa"/>
            <w:vAlign w:val="bottom"/>
            <w:shd w:val="clear" w:color="auto" w:fill="CCEEFF"/>
          </w:tcPr>
          <w:p>
            <w:pPr>
              <w:spacing w:after="0"/>
              <w:rPr>
                <w:sz w:val="20"/>
                <w:szCs w:val="20"/>
                <w:color w:val="auto"/>
              </w:rPr>
            </w:pPr>
          </w:p>
        </w:tc>
        <w:tc>
          <w:tcPr>
            <w:tcW w:w="10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0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0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0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2"/>
        </w:trPr>
        <w:tc>
          <w:tcPr>
            <w:tcW w:w="5540" w:type="dxa"/>
            <w:vAlign w:val="bottom"/>
          </w:tcPr>
          <w:p>
            <w:pPr>
              <w:spacing w:after="0"/>
              <w:rPr>
                <w:sz w:val="20"/>
                <w:szCs w:val="20"/>
                <w:color w:val="auto"/>
              </w:rPr>
            </w:pPr>
            <w:r>
              <w:rPr>
                <w:rFonts w:ascii="Arial" w:cs="Arial" w:eastAsia="Arial" w:hAnsi="Arial"/>
                <w:sz w:val="18"/>
                <w:szCs w:val="18"/>
                <w:color w:val="auto"/>
              </w:rPr>
              <w:t>Operating revenues</w:t>
            </w: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352.9</w:t>
            </w:r>
          </w:p>
        </w:tc>
        <w:tc>
          <w:tcPr>
            <w:tcW w:w="3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359.5</w:t>
            </w:r>
          </w:p>
        </w:tc>
        <w:tc>
          <w:tcPr>
            <w:tcW w:w="220" w:type="dxa"/>
            <w:vAlign w:val="bottom"/>
          </w:tcPr>
          <w:p>
            <w:pPr>
              <w:jc w:val="right"/>
              <w:ind w:right="32"/>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1,551.0</w:t>
            </w: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1,686.7</w:t>
            </w:r>
          </w:p>
        </w:tc>
        <w:tc>
          <w:tcPr>
            <w:tcW w:w="0" w:type="dxa"/>
            <w:vAlign w:val="bottom"/>
          </w:tcPr>
          <w:p>
            <w:pPr>
              <w:spacing w:after="0"/>
              <w:rPr>
                <w:sz w:val="1"/>
                <w:szCs w:val="1"/>
                <w:color w:val="auto"/>
              </w:rPr>
            </w:pPr>
          </w:p>
        </w:tc>
      </w:tr>
      <w:tr>
        <w:trPr>
          <w:trHeight w:val="225"/>
        </w:trPr>
        <w:tc>
          <w:tcPr>
            <w:tcW w:w="554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Commissions and other expenses</w:t>
            </w:r>
          </w:p>
        </w:tc>
        <w:tc>
          <w:tcPr>
            <w:tcW w:w="220" w:type="dxa"/>
            <w:vAlign w:val="bottom"/>
            <w:shd w:val="clear" w:color="auto" w:fill="CCEEFF"/>
          </w:tcPr>
          <w:p>
            <w:pPr>
              <w:spacing w:after="0"/>
              <w:rPr>
                <w:sz w:val="19"/>
                <w:szCs w:val="19"/>
                <w:color w:val="auto"/>
              </w:rPr>
            </w:pPr>
          </w:p>
        </w:tc>
        <w:tc>
          <w:tcPr>
            <w:tcW w:w="11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(36.1)</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(35.9)</w:t>
            </w:r>
          </w:p>
        </w:tc>
        <w:tc>
          <w:tcPr>
            <w:tcW w:w="22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(169.7)</w:t>
            </w:r>
          </w:p>
        </w:tc>
        <w:tc>
          <w:tcPr>
            <w:tcW w:w="22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(151.4)</w:t>
            </w:r>
          </w:p>
        </w:tc>
        <w:tc>
          <w:tcPr>
            <w:tcW w:w="0" w:type="dxa"/>
            <w:vAlign w:val="bottom"/>
          </w:tcPr>
          <w:p>
            <w:pPr>
              <w:spacing w:after="0"/>
              <w:rPr>
                <w:sz w:val="1"/>
                <w:szCs w:val="1"/>
                <w:color w:val="auto"/>
              </w:rPr>
            </w:pPr>
          </w:p>
        </w:tc>
      </w:tr>
      <w:tr>
        <w:trPr>
          <w:trHeight w:val="20"/>
        </w:trPr>
        <w:tc>
          <w:tcPr>
            <w:tcW w:w="5540" w:type="dxa"/>
            <w:vAlign w:val="bottom"/>
            <w:vMerge w:val="restart"/>
          </w:tcPr>
          <w:p>
            <w:pPr>
              <w:spacing w:after="0"/>
              <w:rPr>
                <w:sz w:val="20"/>
                <w:szCs w:val="20"/>
                <w:color w:val="auto"/>
              </w:rPr>
            </w:pPr>
            <w:r>
              <w:rPr>
                <w:rFonts w:ascii="Arial" w:cs="Arial" w:eastAsia="Arial" w:hAnsi="Arial"/>
                <w:sz w:val="18"/>
                <w:szCs w:val="18"/>
                <w:color w:val="auto"/>
              </w:rPr>
              <w:t>Operating revenues less pass-through expenses</w:t>
            </w:r>
          </w:p>
        </w:tc>
        <w:tc>
          <w:tcPr>
            <w:tcW w:w="2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8"/>
        </w:trPr>
        <w:tc>
          <w:tcPr>
            <w:tcW w:w="5540" w:type="dxa"/>
            <w:vAlign w:val="bottom"/>
            <w:vMerge w:val="continue"/>
          </w:tcPr>
          <w:p>
            <w:pPr>
              <w:spacing w:after="0"/>
              <w:rPr>
                <w:sz w:val="22"/>
                <w:szCs w:val="22"/>
                <w:color w:val="auto"/>
              </w:rPr>
            </w:pP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316.8</w:t>
            </w:r>
          </w:p>
        </w:tc>
        <w:tc>
          <w:tcPr>
            <w:tcW w:w="3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323.6</w:t>
            </w:r>
          </w:p>
        </w:tc>
        <w:tc>
          <w:tcPr>
            <w:tcW w:w="220" w:type="dxa"/>
            <w:vAlign w:val="bottom"/>
          </w:tcPr>
          <w:p>
            <w:pPr>
              <w:jc w:val="right"/>
              <w:ind w:right="32"/>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1,381.3</w:t>
            </w: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1,535.3</w:t>
            </w:r>
          </w:p>
        </w:tc>
        <w:tc>
          <w:tcPr>
            <w:tcW w:w="0" w:type="dxa"/>
            <w:vAlign w:val="bottom"/>
          </w:tcPr>
          <w:p>
            <w:pPr>
              <w:spacing w:after="0"/>
              <w:rPr>
                <w:sz w:val="1"/>
                <w:szCs w:val="1"/>
                <w:color w:val="auto"/>
              </w:rPr>
            </w:pPr>
          </w:p>
        </w:tc>
      </w:tr>
      <w:tr>
        <w:trPr>
          <w:trHeight w:val="192"/>
        </w:trPr>
        <w:tc>
          <w:tcPr>
            <w:tcW w:w="5540" w:type="dxa"/>
            <w:vAlign w:val="bottom"/>
            <w:tcBorders>
              <w:top w:val="single" w:sz="8" w:color="CCEEFF"/>
              <w:right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102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102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100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10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5540" w:type="dxa"/>
            <w:vAlign w:val="bottom"/>
          </w:tcPr>
          <w:p>
            <w:pPr>
              <w:spacing w:after="0"/>
              <w:rPr>
                <w:sz w:val="20"/>
                <w:szCs w:val="20"/>
                <w:color w:val="auto"/>
              </w:rPr>
            </w:pPr>
            <w:r>
              <w:rPr>
                <w:rFonts w:ascii="Arial" w:cs="Arial" w:eastAsia="Arial" w:hAnsi="Arial"/>
                <w:sz w:val="18"/>
                <w:szCs w:val="18"/>
                <w:b w:val="1"/>
                <w:bCs w:val="1"/>
                <w:color w:val="auto"/>
              </w:rPr>
              <w:t>Principal International Combined Net Revenue (at PFG Share)</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554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Pre-tax operating earnings</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94.5</w:t>
            </w:r>
          </w:p>
        </w:tc>
        <w:tc>
          <w:tcPr>
            <w:tcW w:w="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93.2</w:t>
            </w:r>
          </w:p>
        </w:tc>
        <w:tc>
          <w:tcPr>
            <w:tcW w:w="2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311.7</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299.1</w:t>
            </w:r>
          </w:p>
        </w:tc>
        <w:tc>
          <w:tcPr>
            <w:tcW w:w="0" w:type="dxa"/>
            <w:vAlign w:val="bottom"/>
          </w:tcPr>
          <w:p>
            <w:pPr>
              <w:spacing w:after="0"/>
              <w:rPr>
                <w:sz w:val="1"/>
                <w:szCs w:val="1"/>
                <w:color w:val="auto"/>
              </w:rPr>
            </w:pPr>
          </w:p>
        </w:tc>
      </w:tr>
      <w:tr>
        <w:trPr>
          <w:trHeight w:val="200"/>
        </w:trPr>
        <w:tc>
          <w:tcPr>
            <w:tcW w:w="5540" w:type="dxa"/>
            <w:vAlign w:val="bottom"/>
          </w:tcPr>
          <w:p>
            <w:pPr>
              <w:spacing w:after="0" w:line="200" w:lineRule="exact"/>
              <w:rPr>
                <w:sz w:val="20"/>
                <w:szCs w:val="20"/>
                <w:color w:val="auto"/>
              </w:rPr>
            </w:pPr>
            <w:r>
              <w:rPr>
                <w:rFonts w:ascii="Arial" w:cs="Arial" w:eastAsia="Arial" w:hAnsi="Arial"/>
                <w:sz w:val="18"/>
                <w:szCs w:val="18"/>
                <w:color w:val="auto"/>
                <w:w w:val="89"/>
              </w:rPr>
              <w:t>Combined operating expenses other than pass-through commissions (at PFG</w:t>
            </w: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5540" w:type="dxa"/>
            <w:vAlign w:val="bottom"/>
          </w:tcPr>
          <w:p>
            <w:pPr>
              <w:ind w:left="160"/>
              <w:spacing w:after="0"/>
              <w:rPr>
                <w:sz w:val="20"/>
                <w:szCs w:val="20"/>
                <w:color w:val="auto"/>
              </w:rPr>
            </w:pPr>
            <w:r>
              <w:rPr>
                <w:rFonts w:ascii="Arial" w:cs="Arial" w:eastAsia="Arial" w:hAnsi="Arial"/>
                <w:sz w:val="18"/>
                <w:szCs w:val="18"/>
                <w:color w:val="auto"/>
              </w:rPr>
              <w:t>share)</w:t>
            </w:r>
          </w:p>
        </w:tc>
        <w:tc>
          <w:tcPr>
            <w:tcW w:w="22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137.2</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151.2</w:t>
            </w:r>
          </w:p>
        </w:tc>
        <w:tc>
          <w:tcPr>
            <w:tcW w:w="220" w:type="dxa"/>
            <w:vAlign w:val="bottom"/>
          </w:tcPr>
          <w:p>
            <w:pPr>
              <w:spacing w:after="0"/>
              <w:rPr>
                <w:sz w:val="20"/>
                <w:szCs w:val="20"/>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606.8</w:t>
            </w:r>
          </w:p>
        </w:tc>
        <w:tc>
          <w:tcPr>
            <w:tcW w:w="220" w:type="dxa"/>
            <w:vAlign w:val="bottom"/>
          </w:tcPr>
          <w:p>
            <w:pPr>
              <w:spacing w:after="0"/>
              <w:rPr>
                <w:sz w:val="20"/>
                <w:szCs w:val="20"/>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650.4</w:t>
            </w:r>
          </w:p>
        </w:tc>
        <w:tc>
          <w:tcPr>
            <w:tcW w:w="0" w:type="dxa"/>
            <w:vAlign w:val="bottom"/>
          </w:tcPr>
          <w:p>
            <w:pPr>
              <w:spacing w:after="0"/>
              <w:rPr>
                <w:sz w:val="1"/>
                <w:szCs w:val="1"/>
                <w:color w:val="auto"/>
              </w:rPr>
            </w:pPr>
          </w:p>
        </w:tc>
      </w:tr>
      <w:tr>
        <w:trPr>
          <w:trHeight w:val="20"/>
        </w:trPr>
        <w:tc>
          <w:tcPr>
            <w:tcW w:w="5540" w:type="dxa"/>
            <w:vAlign w:val="bottom"/>
            <w:tcBorders>
              <w:right w:val="single" w:sz="8" w:color="CCEEFF"/>
            </w:tcBorders>
            <w:vMerge w:val="restart"/>
            <w:shd w:val="clear" w:color="auto" w:fill="CCEEFF"/>
          </w:tcPr>
          <w:p>
            <w:pPr>
              <w:spacing w:after="0"/>
              <w:rPr>
                <w:sz w:val="20"/>
                <w:szCs w:val="20"/>
                <w:color w:val="auto"/>
              </w:rPr>
            </w:pPr>
            <w:r>
              <w:rPr>
                <w:rFonts w:ascii="Arial" w:cs="Arial" w:eastAsia="Arial" w:hAnsi="Arial"/>
                <w:sz w:val="18"/>
                <w:szCs w:val="18"/>
                <w:color w:val="auto"/>
              </w:rPr>
              <w:t>Combined net revenue (at PFG share)</w:t>
            </w:r>
          </w:p>
        </w:tc>
        <w:tc>
          <w:tcPr>
            <w:tcW w:w="2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8"/>
        </w:trPr>
        <w:tc>
          <w:tcPr>
            <w:tcW w:w="5540" w:type="dxa"/>
            <w:vAlign w:val="bottom"/>
            <w:tcBorders>
              <w:right w:val="single" w:sz="8" w:color="CCEEFF"/>
            </w:tcBorders>
            <w:vMerge w:val="continue"/>
            <w:shd w:val="clear" w:color="auto" w:fill="CCEEFF"/>
          </w:tcPr>
          <w:p>
            <w:pPr>
              <w:spacing w:after="0"/>
              <w:rPr>
                <w:sz w:val="19"/>
                <w:szCs w:val="19"/>
                <w:color w:val="auto"/>
              </w:rPr>
            </w:pP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231.7</w:t>
            </w:r>
          </w:p>
        </w:tc>
        <w:tc>
          <w:tcPr>
            <w:tcW w:w="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244.4</w:t>
            </w:r>
          </w:p>
        </w:tc>
        <w:tc>
          <w:tcPr>
            <w:tcW w:w="2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918.5</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949.5</w:t>
            </w:r>
          </w:p>
        </w:tc>
        <w:tc>
          <w:tcPr>
            <w:tcW w:w="0" w:type="dxa"/>
            <w:vAlign w:val="bottom"/>
          </w:tcPr>
          <w:p>
            <w:pPr>
              <w:spacing w:after="0"/>
              <w:rPr>
                <w:sz w:val="1"/>
                <w:szCs w:val="1"/>
                <w:color w:val="auto"/>
              </w:rPr>
            </w:pPr>
          </w:p>
        </w:tc>
      </w:tr>
      <w:tr>
        <w:trPr>
          <w:trHeight w:val="20"/>
        </w:trPr>
        <w:tc>
          <w:tcPr>
            <w:tcW w:w="55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color w:val="auto"/>
        </w:rPr>
        <w:t>Classification: Company Confidential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10795</wp:posOffset>
            </wp:positionV>
            <wp:extent cx="713486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4860" cy="8255"/>
                    </a:xfrm>
                    <a:prstGeom prst="rect">
                      <a:avLst/>
                    </a:prstGeom>
                    <a:noFill/>
                  </pic:spPr>
                </pic:pic>
              </a:graphicData>
            </a:graphic>
          </wp:anchor>
        </w:drawing>
      </w:r>
    </w:p>
    <w:sectPr>
      <w:pgSz w:w="11900" w:h="16838" w:orient="portrait"/>
      <w:cols w:equalWidth="0" w:num="1">
        <w:col w:w="11240"/>
      </w:cols>
      <w:pgMar w:left="320" w:top="144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EF438D"/>
    <w:multiLevelType w:val="hybridMultilevel"/>
    <w:lvl w:ilvl="0">
      <w:lvlJc w:val="left"/>
      <w:lvlText w:val="☐"/>
      <w:numFmt w:val="bullet"/>
      <w:start w:val="1"/>
    </w:lvl>
  </w:abstractNum>
  <w:abstractNum w:abstractNumId="1">
    <w:nsid w:val="140E0F76"/>
    <w:multiLevelType w:val="hybridMultilevel"/>
    <w:lvl w:ilvl="0">
      <w:lvlJc w:val="left"/>
      <w:lvlText w:val="☐"/>
      <w:numFmt w:val="bullet"/>
      <w:start w:val="1"/>
    </w:lvl>
  </w:abstractNum>
  <w:abstractNum w:abstractNumId="2">
    <w:nsid w:val="3352255A"/>
    <w:multiLevelType w:val="hybridMultilevel"/>
    <w:lvl w:ilvl="0">
      <w:lvlJc w:val="left"/>
      <w:lvlText w:val="·"/>
      <w:numFmt w:val="bullet"/>
      <w:start w:val="1"/>
    </w:lvl>
  </w:abstractNum>
  <w:abstractNum w:abstractNumId="3">
    <w:nsid w:val="109CF92E"/>
    <w:multiLevelType w:val="hybridMultilevel"/>
    <w:lvl w:ilvl="0">
      <w:lvlJc w:val="left"/>
      <w:lvlText w:val="·"/>
      <w:numFmt w:val="bullet"/>
      <w:start w:val="1"/>
    </w:lvl>
  </w:abstractNum>
  <w:abstractNum w:abstractNumId="4">
    <w:nsid w:val="DED7263"/>
    <w:multiLevelType w:val="hybridMultilevel"/>
    <w:lvl w:ilvl="0">
      <w:lvlJc w:val="left"/>
      <w:lvlText w:val="1"/>
      <w:numFmt w:val="bullet"/>
      <w:start w:val="1"/>
    </w:lvl>
  </w:abstractNum>
  <w:abstractNum w:abstractNumId="5">
    <w:nsid w:val="7FDCC233"/>
    <w:multiLevelType w:val="hybridMultilevel"/>
    <w:lvl w:ilvl="0">
      <w:lvlJc w:val="left"/>
      <w:lvlText w:val="·"/>
      <w:numFmt w:val="bullet"/>
      <w:start w:val="1"/>
    </w:lvl>
    <w:lvl w:ilvl="1">
      <w:lvlJc w:val="left"/>
      <w:lvlText w:val="·"/>
      <w:numFmt w:val="bullet"/>
      <w:start w:val="1"/>
    </w:lvl>
  </w:abstractNum>
  <w:abstractNum w:abstractNumId="6">
    <w:nsid w:val="1BEFD79F"/>
    <w:multiLevelType w:val="hybridMultilevel"/>
    <w:lvl w:ilvl="0">
      <w:lvlJc w:val="left"/>
      <w:lvlText w:val="·"/>
      <w:numFmt w:val="bullet"/>
      <w:start w:val="1"/>
    </w:lvl>
  </w:abstractNum>
  <w:abstractNum w:abstractNumId="7">
    <w:nsid w:val="41A7C4C9"/>
    <w:multiLevelType w:val="hybridMultilevel"/>
    <w:lvl w:ilvl="0">
      <w:lvlJc w:val="left"/>
      <w:lvlText w:val="2"/>
      <w:numFmt w:val="bullet"/>
      <w:start w:val="1"/>
    </w:lvl>
  </w:abstractNum>
  <w:abstractNum w:abstractNumId="8">
    <w:nsid w:val="6B68079A"/>
    <w:multiLevelType w:val="hybridMultilevel"/>
    <w:lvl w:ilvl="0">
      <w:lvlJc w:val="left"/>
      <w:lvlText w:val="4"/>
      <w:numFmt w:val="bullet"/>
      <w:start w:val="1"/>
    </w:lvl>
  </w:abstractNum>
  <w:abstractNum w:abstractNumId="9">
    <w:nsid w:val="4E6AFB66"/>
    <w:multiLevelType w:val="hybridMultilevel"/>
    <w:lvl w:ilvl="0">
      <w:lvlJc w:val="left"/>
      <w:lvlText w:val="·"/>
      <w:numFmt w:val="bullet"/>
      <w:start w:val="1"/>
    </w:lvl>
  </w:abstractNum>
  <w:abstractNum w:abstractNumId="10">
    <w:nsid w:val="25E45D32"/>
    <w:multiLevelType w:val="hybridMultilevel"/>
    <w:lvl w:ilvl="0">
      <w:lvlJc w:val="left"/>
      <w:lvlText w:val="·"/>
      <w:numFmt w:val="bullet"/>
      <w:start w:val="1"/>
    </w:lvl>
  </w:abstractNum>
  <w:abstractNum w:abstractNumId="11">
    <w:nsid w:val="519B500D"/>
    <w:multiLevelType w:val="hybridMultilevel"/>
    <w:lvl w:ilvl="0">
      <w:lvlJc w:val="left"/>
      <w:lvlText w:val="5"/>
      <w:numFmt w:val="bullet"/>
      <w:start w:val="1"/>
    </w:lvl>
  </w:abstractNum>
  <w:abstractNum w:abstractNumId="12">
    <w:nsid w:val="431BD7B7"/>
    <w:multiLevelType w:val="hybridMultilevel"/>
    <w:lvl w:ilvl="0">
      <w:lvlJc w:val="left"/>
      <w:lvlText w:val="6"/>
      <w:numFmt w:val="bullet"/>
      <w:start w:val="1"/>
    </w:lvl>
  </w:abstractNum>
  <w:abstractNum w:abstractNumId="13">
    <w:nsid w:val="3F2DBA31"/>
    <w:multiLevelType w:val="hybridMultilevel"/>
    <w:lvl w:ilvl="0">
      <w:lvlJc w:val="left"/>
      <w:lvlText w:val="·"/>
      <w:numFmt w:val="bullet"/>
      <w:start w:val="1"/>
    </w:lvl>
  </w:abstractNum>
  <w:abstractNum w:abstractNumId="14">
    <w:nsid w:val="7C83E458"/>
    <w:multiLevelType w:val="hybridMultilevel"/>
    <w:lvl w:ilvl="0">
      <w:lvlJc w:val="left"/>
      <w:lvlText w:val="·"/>
      <w:numFmt w:val="bullet"/>
      <w:start w:val="1"/>
    </w:lvl>
  </w:abstractNum>
  <w:abstractNum w:abstractNumId="15">
    <w:nsid w:val="257130A3"/>
    <w:multiLevelType w:val="hybridMultilevel"/>
    <w:lvl w:ilvl="0">
      <w:lvlJc w:val="left"/>
      <w:lvlText w:val="8"/>
      <w:numFmt w:val="bullet"/>
      <w:start w:val="1"/>
    </w:lvl>
  </w:abstractNum>
  <w:abstractNum w:abstractNumId="16">
    <w:nsid w:val="62BBD95A"/>
    <w:multiLevelType w:val="hybridMultilevel"/>
    <w:lvl w:ilvl="0">
      <w:lvlJc w:val="left"/>
      <w:lvlText w:val="9"/>
      <w:numFmt w:val="bullet"/>
      <w:start w:val="1"/>
    </w:lvl>
  </w:abstractNum>
  <w:abstractNum w:abstractNumId="17">
    <w:nsid w:val="436C6125"/>
    <w:multiLevelType w:val="hybridMultilevel"/>
    <w:lvl w:ilvl="0">
      <w:lvlJc w:val="left"/>
      <w:lvlText w:val="%1"/>
      <w:numFmt w:val="decimal"/>
      <w:start w:val="10"/>
    </w:lvl>
  </w:abstractNum>
  <w:abstractNum w:abstractNumId="18">
    <w:nsid w:val="628C895D"/>
    <w:multiLevelType w:val="hybridMultilevel"/>
    <w:lvl w:ilvl="0">
      <w:lvlJc w:val="left"/>
      <w:lvlText w:val="·"/>
      <w:numFmt w:val="bullet"/>
      <w:start w:val="1"/>
    </w:lvl>
  </w:abstractNum>
  <w:abstractNum w:abstractNumId="19">
    <w:nsid w:val="333AB105"/>
    <w:multiLevelType w:val="hybridMultilevel"/>
    <w:lvl w:ilvl="0">
      <w:lvlJc w:val="left"/>
      <w:lvlText w:val="·"/>
      <w:numFmt w:val="bullet"/>
      <w:start w:val="1"/>
    </w:lvl>
  </w:abstractNum>
  <w:abstractNum w:abstractNumId="20">
    <w:nsid w:val="721DA317"/>
    <w:multiLevelType w:val="hybridMultilevel"/>
    <w:lvl w:ilvl="0">
      <w:lvlJc w:val="left"/>
      <w:lvlText w:val="·"/>
      <w:numFmt w:val="bullet"/>
      <w:start w:val="1"/>
    </w:lvl>
  </w:abstractNum>
  <w:abstractNum w:abstractNumId="21">
    <w:nsid w:val="2443A858"/>
    <w:multiLevelType w:val="hybridMultilevel"/>
    <w:lvl w:ilvl="0">
      <w:lvlJc w:val="left"/>
      <w:lvlText w:val="·"/>
      <w:numFmt w:val="bullet"/>
      <w:start w:val="1"/>
    </w:lvl>
  </w:abstractNum>
  <w:abstractNum w:abstractNumId="22">
    <w:nsid w:val="2D1D5AE9"/>
    <w:multiLevelType w:val="hybridMultilevel"/>
    <w:lvl w:ilvl="0">
      <w:lvlJc w:val="left"/>
      <w:lvlText w:val="%1"/>
      <w:numFmt w:val="decimal"/>
      <w:start w:val="1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image" Target="media/image21.png"/><Relationship Id="rId29" Type="http://schemas.openxmlformats.org/officeDocument/2006/relationships/image" Target="media/image22.jpeg"/><Relationship Id="rId30" Type="http://schemas.openxmlformats.org/officeDocument/2006/relationships/image" Target="media/image23.png"/><Relationship Id="rId31" Type="http://schemas.openxmlformats.org/officeDocument/2006/relationships/image" Target="media/image24.jpe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jpe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jpeg"/><Relationship Id="rId38" Type="http://schemas.openxmlformats.org/officeDocument/2006/relationships/image" Target="media/image31.png"/><Relationship Id="rId39" Type="http://schemas.openxmlformats.org/officeDocument/2006/relationships/image" Target="media/image32.jpe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jpeg"/><Relationship Id="rId43" Type="http://schemas.openxmlformats.org/officeDocument/2006/relationships/image" Target="media/image3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2020-07-27T15:17:32Z</dcterms:created>
  <dcterms:modified xsi:type="dcterms:W3CDTF">2020-07-27T15:17:32Z</dcterms:modified>
</cp:coreProperties>
</file>