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SEC Form 3</w:t>
            </w: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2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FORM 3</w:t>
            </w:r>
          </w:p>
        </w:tc>
        <w:tc>
          <w:tcPr>
            <w:tcW w:w="6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60" w:type="dxa"/>
            <w:vAlign w:val="bottom"/>
            <w:vMerge w:val="restart"/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OMB APPROVAL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60" w:type="dxa"/>
            <w:vAlign w:val="bottom"/>
            <w:vMerge w:val="restart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OMB Number: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7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Estimated average burden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hours per response: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6965950</wp:posOffset>
            </wp:positionH>
            <wp:positionV relativeFrom="paragraph">
              <wp:posOffset>-469900</wp:posOffset>
            </wp:positionV>
            <wp:extent cx="6350" cy="4705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5624830</wp:posOffset>
            </wp:positionH>
            <wp:positionV relativeFrom="paragraph">
              <wp:posOffset>-476250</wp:posOffset>
            </wp:positionV>
            <wp:extent cx="6350" cy="4768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5643880</wp:posOffset>
            </wp:positionH>
            <wp:positionV relativeFrom="paragraph">
              <wp:posOffset>-457200</wp:posOffset>
            </wp:positionV>
            <wp:extent cx="1309370" cy="4387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6997700" cy="12522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20"/>
          </w:cols>
          <w:pgMar w:left="440" w:top="203" w:right="4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 Date of Event Requiring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16"/>
                <w:szCs w:val="16"/>
                <w:u w:val="single" w:color="auto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Richer Clare Stack</w:t>
              </w:r>
            </w:hyperlink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Statement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05/26/2020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(Last)</w:t>
            </w:r>
          </w:p>
        </w:tc>
        <w:tc>
          <w:tcPr>
            <w:tcW w:w="13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(First)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3. Issuer Name 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Ticker or Trading Symbol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5"/>
          <w:szCs w:val="15"/>
          <w:color w:val="0000EE"/>
        </w:rPr>
      </w:pPr>
      <w:hyperlink r:id="rId13">
        <w:r>
          <w:rPr>
            <w:rFonts w:ascii="Arial" w:cs="Arial" w:eastAsia="Arial" w:hAnsi="Arial"/>
            <w:sz w:val="15"/>
            <w:szCs w:val="15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15"/>
            <w:szCs w:val="15"/>
            <w:color w:val="0000EE"/>
          </w:rPr>
          <w:t xml:space="preserve"> </w:t>
        </w:r>
      </w:hyperlink>
      <w:r>
        <w:rPr>
          <w:rFonts w:ascii="Arial" w:cs="Arial" w:eastAsia="Arial" w:hAnsi="Arial"/>
          <w:sz w:val="15"/>
          <w:szCs w:val="15"/>
          <w:color w:val="000000"/>
        </w:rPr>
        <w:t>[</w:t>
      </w:r>
      <w:r>
        <w:rPr>
          <w:rFonts w:ascii="Arial" w:cs="Arial" w:eastAsia="Arial" w:hAnsi="Arial"/>
          <w:sz w:val="15"/>
          <w:szCs w:val="15"/>
          <w:color w:val="0000EE"/>
        </w:rPr>
        <w:t xml:space="preserve"> </w:t>
      </w:r>
      <w:r>
        <w:rPr>
          <w:rFonts w:ascii="Arial" w:cs="Arial" w:eastAsia="Arial" w:hAnsi="Arial"/>
          <w:sz w:val="12"/>
          <w:szCs w:val="12"/>
          <w:color w:val="0000FF"/>
        </w:rPr>
        <w:t>PFG</w:t>
      </w:r>
      <w:r>
        <w:rPr>
          <w:rFonts w:ascii="Arial" w:cs="Arial" w:eastAsia="Arial" w:hAnsi="Arial"/>
          <w:sz w:val="15"/>
          <w:szCs w:val="15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00"/>
        </w:rPr>
        <w:t>]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620" w:space="380"/>
            <w:col w:w="6020"/>
          </w:cols>
          <w:pgMar w:left="440" w:top="203" w:right="439" w:bottom="1440" w:gutter="0" w:footer="0" w:header="0"/>
          <w:type w:val="continuous"/>
        </w:sectPr>
      </w:pP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1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711 HIGH STREET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72"/>
        </w:trPr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(Street)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8"/>
        </w:trPr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DES MOINES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IA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50392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940" w:hanging="5"/>
        <w:spacing w:after="0" w:line="241" w:lineRule="auto"/>
        <w:tabs>
          <w:tab w:leader="none" w:pos="117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5" w:val="left"/>
          <w:tab w:leader="none" w:pos="208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13" w:hanging="113"/>
        <w:spacing w:after="0"/>
        <w:tabs>
          <w:tab w:leader="none" w:pos="113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If Amendment, Date of Original Filed (Month/Day/Year)</w:t>
      </w:r>
    </w:p>
    <w:p>
      <w:pPr>
        <w:spacing w:after="0" w:line="235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173" w:right="180" w:hanging="173"/>
        <w:spacing w:after="0" w:line="294" w:lineRule="auto"/>
        <w:tabs>
          <w:tab w:leader="none" w:pos="111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3"/>
          <w:szCs w:val="13"/>
          <w:color w:val="0000FF"/>
        </w:rPr>
        <w:t xml:space="preserve">X </w:t>
      </w:r>
      <w:r>
        <w:rPr>
          <w:rFonts w:ascii="Arial" w:cs="Arial" w:eastAsia="Arial" w:hAnsi="Arial"/>
          <w:sz w:val="10"/>
          <w:szCs w:val="10"/>
          <w:color w:val="000000"/>
        </w:rPr>
        <w:t>Form filed by One Reporting Person</w:t>
      </w:r>
    </w:p>
    <w:p>
      <w:pPr>
        <w:spacing w:after="0" w:line="16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453"/>
        <w:spacing w:after="0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Form filed by More than One Reporting Person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5" w:space="720"/>
            <w:col w:w="3045" w:space="247"/>
            <w:col w:w="2733"/>
          </w:cols>
          <w:pgMar w:left="440" w:top="203" w:right="439" w:bottom="1440" w:gutter="0" w:footer="0" w:header="0"/>
          <w:type w:val="continuous"/>
        </w:sectPr>
      </w:pP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6997700" cy="4451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Table I - Non-Derivative Securities Beneficially Owned</w:t>
      </w:r>
    </w:p>
    <w:p>
      <w:pPr>
        <w:spacing w:after="0" w:line="9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8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2. Amount of Securities Beneficially</w:t>
            </w:r>
          </w:p>
        </w:tc>
        <w:tc>
          <w:tcPr>
            <w:tcW w:w="13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3. Ownership Form: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4. Nature of Indirect Beneficial Ownership (Instr. 5)</w:t>
            </w: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178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Owned (Instr. 4)</w:t>
            </w:r>
          </w:p>
        </w:tc>
        <w:tc>
          <w:tcPr>
            <w:tcW w:w="1340" w:type="dxa"/>
            <w:vAlign w:val="bottom"/>
          </w:tcPr>
          <w:p>
            <w:pPr>
              <w:ind w:left="20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Direct (D) or Indirect (I)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6997700" cy="813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Table II - Derivative Securities Beneficially Owned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30480</wp:posOffset>
            </wp:positionV>
            <wp:extent cx="6985000" cy="5467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3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3. Title and Amount of Securities Underlying 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640" w:type="dxa"/>
            <w:vAlign w:val="bottom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Security (Instr. 4)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2460" w:type="dxa"/>
            <w:vAlign w:val="bottom"/>
            <w:gridSpan w:val="4"/>
          </w:tcPr>
          <w:p>
            <w:pPr>
              <w:ind w:left="2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Form: Direct (D) 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ind w:left="2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Title</w:t>
            </w: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Date</w:t>
            </w: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Shares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No securities are beneficially owned.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Alex P. Montz, by Power of Attorney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05/29/2020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** Signature of Reporting 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Reminder: Report on a separate line for each class of securities beneficially owned directly or indirectly.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0"/>
          <w:szCs w:val="10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Instruction 5 (b)(v).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40" w:right="5220" w:hanging="10"/>
        <w:spacing w:after="0" w:line="345" w:lineRule="auto"/>
        <w:tabs>
          <w:tab w:leader="none" w:pos="14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020"/>
          </w:cols>
          <w:pgMar w:left="440" w:top="203" w:right="4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Know all by these presents, that the undersigned hereby constitutes and appoints Daniel J. Houston, Deanna D. Strable-Soethout, Christopher J.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execute for and on behalf of the undersigned, in the undersigned's capacity as a beneficial owner of securities of Principal Financial Gro</w:t>
      </w:r>
    </w:p>
    <w:p>
      <w:pPr>
        <w:spacing w:after="0" w:line="200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spacing w:after="0" w:line="263" w:lineRule="exact"/>
        <w:rPr>
          <w:rFonts w:ascii="Courier New" w:cs="Courier New" w:eastAsia="Courier New" w:hAnsi="Courier New"/>
          <w:sz w:val="12"/>
          <w:szCs w:val="12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3"/>
          <w:szCs w:val="13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do and perform any and all acts for and on behalf of the undersigned which may be necessary or desirable to complete and execute any such</w:t>
      </w:r>
    </w:p>
    <w:p>
      <w:pPr>
        <w:spacing w:after="0" w:line="200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 w:line="253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3"/>
          <w:szCs w:val="13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take any other action of any type whatsoever in connection with the foregoing which, in the opinion of each such attorney-in-fact, may be</w:t>
      </w:r>
    </w:p>
    <w:p>
      <w:pPr>
        <w:spacing w:after="0" w:line="200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 w:line="253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13"/>
          <w:szCs w:val="13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The undersigned hereby grants to each such attorney-in-fact power and authority to do and perform any and every act and thing whatsoever requi</w:t>
      </w:r>
    </w:p>
    <w:p>
      <w:pPr>
        <w:spacing w:after="0" w:line="200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 w:line="253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13"/>
          <w:szCs w:val="13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The Power of Attorney shall remain in full force and effect until the undersigned is no longer required to file Schedules 13(d), Forms 3, 4 an</w:t>
      </w:r>
    </w:p>
    <w:p>
      <w:pPr>
        <w:spacing w:after="0" w:line="200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 w:line="253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13"/>
          <w:szCs w:val="13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From and after the date hereof, any Power of Attorney previously granted by the undersigned concerning the subject matter hereof is hereby rev</w:t>
      </w:r>
    </w:p>
    <w:p>
      <w:pPr>
        <w:spacing w:after="0" w:line="200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 w:line="253" w:lineRule="exact"/>
        <w:rPr>
          <w:rFonts w:ascii="Courier New" w:cs="Courier New" w:eastAsia="Courier New" w:hAnsi="Courier New"/>
          <w:sz w:val="13"/>
          <w:szCs w:val="13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13"/>
          <w:szCs w:val="13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IN WITNESS WHEREOF, the undersigned has caused this Power of Attorney to be executed as of this 27th day of May, 2020.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/s/ Clare S. Richer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Name:</w:t>
        <w:tab/>
        <w:t>Clare S. Richer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3"/>
          <w:szCs w:val="13"/>
          <w:color w:val="auto"/>
        </w:rPr>
        <w:t>Page 2</w:t>
      </w:r>
    </w:p>
    <w:sectPr>
      <w:pgSz w:w="11900" w:h="16838" w:orient="portrait"/>
      <w:cols w:equalWidth="0" w:num="1">
        <w:col w:w="11080"/>
      </w:cols>
      <w:pgMar w:left="440" w:top="140" w:right="37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**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5108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2020-05-29T11:45:04Z</dcterms:created>
  <dcterms:modified xsi:type="dcterms:W3CDTF">2020-05-29T11:45:04Z</dcterms:modified>
</cp:coreProperties>
</file>