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3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ind w:left="4520"/>
        <w:spacing w:after="0"/>
        <w:rPr>
          <w:sz w:val="20"/>
          <w:szCs w:val="20"/>
          <w:color w:val="auto"/>
        </w:rPr>
      </w:pPr>
      <w:r>
        <w:rPr>
          <w:rFonts w:ascii="Arial" w:cs="Arial" w:eastAsia="Arial" w:hAnsi="Arial"/>
          <w:sz w:val="18"/>
          <w:szCs w:val="18"/>
          <w:color w:val="auto"/>
        </w:rPr>
        <w:t xml:space="preserve">Date of Report: </w:t>
      </w:r>
      <w:r>
        <w:rPr>
          <w:rFonts w:ascii="Arial" w:cs="Arial" w:eastAsia="Arial" w:hAnsi="Arial"/>
          <w:sz w:val="18"/>
          <w:szCs w:val="18"/>
          <w:b w:val="1"/>
          <w:bCs w:val="1"/>
          <w:color w:val="auto"/>
        </w:rPr>
        <w:t>May 19, 2020</w:t>
      </w:r>
    </w:p>
    <w:p>
      <w:pPr>
        <w:spacing w:after="0" w:line="27" w:lineRule="exact"/>
        <w:rPr>
          <w:sz w:val="24"/>
          <w:szCs w:val="24"/>
          <w:color w:val="auto"/>
        </w:rPr>
      </w:pPr>
    </w:p>
    <w:p>
      <w:pPr>
        <w:ind w:left="4480"/>
        <w:spacing w:after="0"/>
        <w:rPr>
          <w:sz w:val="20"/>
          <w:szCs w:val="20"/>
          <w:color w:val="auto"/>
        </w:rPr>
      </w:pPr>
      <w:r>
        <w:rPr>
          <w:rFonts w:ascii="Arial" w:cs="Arial" w:eastAsia="Arial" w:hAnsi="Arial"/>
          <w:sz w:val="18"/>
          <w:szCs w:val="18"/>
          <w:color w:val="auto"/>
        </w:rPr>
        <w:t>(Date of earliest event reported)</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PRINCIPAL FINANCIAL GROUP, INC.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7"/>
          <w:szCs w:val="17"/>
          <w:color w:val="auto"/>
        </w:rPr>
        <w:t>(Exact name of registrant as specified in its charter)</w:t>
      </w:r>
    </w:p>
    <w:p>
      <w:pPr>
        <w:sectPr>
          <w:pgSz w:w="11900" w:h="16838" w:orient="portrait"/>
          <w:cols w:equalWidth="0" w:num="1">
            <w:col w:w="11240"/>
          </w:cols>
          <w:pgMar w:left="320" w:top="837" w:right="339" w:bottom="1440" w:gutter="0" w:footer="0" w:header="0"/>
        </w:sectPr>
      </w:pPr>
    </w:p>
    <w:p>
      <w:pPr>
        <w:spacing w:after="0" w:line="245" w:lineRule="exact"/>
        <w:rPr>
          <w:sz w:val="24"/>
          <w:szCs w:val="24"/>
          <w:color w:val="auto"/>
        </w:rPr>
      </w:pPr>
    </w:p>
    <w:p>
      <w:pPr>
        <w:ind w:left="156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8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30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25" w:lineRule="exact"/>
        <w:rPr>
          <w:sz w:val="24"/>
          <w:szCs w:val="24"/>
          <w:color w:val="auto"/>
        </w:rPr>
      </w:pPr>
    </w:p>
    <w:p>
      <w:pPr>
        <w:jc w:val="center"/>
        <w:ind w:right="1200"/>
        <w:spacing w:after="0"/>
        <w:rPr>
          <w:sz w:val="20"/>
          <w:szCs w:val="20"/>
          <w:color w:val="auto"/>
        </w:rPr>
      </w:pPr>
      <w:r>
        <w:rPr>
          <w:rFonts w:ascii="Arial" w:cs="Arial" w:eastAsia="Arial" w:hAnsi="Arial"/>
          <w:sz w:val="18"/>
          <w:szCs w:val="18"/>
          <w:b w:val="1"/>
          <w:bCs w:val="1"/>
          <w:color w:val="auto"/>
        </w:rPr>
        <w:t>1-16725</w:t>
      </w:r>
    </w:p>
    <w:p>
      <w:pPr>
        <w:spacing w:after="0" w:line="27" w:lineRule="exact"/>
        <w:rPr>
          <w:sz w:val="24"/>
          <w:szCs w:val="24"/>
          <w:color w:val="auto"/>
        </w:rPr>
      </w:pPr>
    </w:p>
    <w:p>
      <w:pPr>
        <w:jc w:val="center"/>
        <w:ind w:right="120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25" w:lineRule="exact"/>
        <w:rPr>
          <w:sz w:val="24"/>
          <w:szCs w:val="24"/>
          <w:color w:val="auto"/>
        </w:rPr>
      </w:pPr>
    </w:p>
    <w:p>
      <w:pPr>
        <w:jc w:val="center"/>
        <w:ind w:right="1020"/>
        <w:spacing w:after="0"/>
        <w:rPr>
          <w:sz w:val="20"/>
          <w:szCs w:val="20"/>
          <w:color w:val="auto"/>
        </w:rPr>
      </w:pPr>
      <w:r>
        <w:rPr>
          <w:rFonts w:ascii="Arial" w:cs="Arial" w:eastAsia="Arial" w:hAnsi="Arial"/>
          <w:sz w:val="18"/>
          <w:szCs w:val="18"/>
          <w:b w:val="1"/>
          <w:bCs w:val="1"/>
          <w:color w:val="auto"/>
        </w:rPr>
        <w:t>42-1520346</w:t>
      </w:r>
    </w:p>
    <w:p>
      <w:pPr>
        <w:spacing w:after="0" w:line="27" w:lineRule="exact"/>
        <w:rPr>
          <w:sz w:val="24"/>
          <w:szCs w:val="24"/>
          <w:color w:val="auto"/>
        </w:rPr>
      </w:pPr>
    </w:p>
    <w:p>
      <w:pPr>
        <w:jc w:val="center"/>
        <w:ind w:right="102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020"/>
        <w:spacing w:after="0"/>
        <w:rPr>
          <w:sz w:val="20"/>
          <w:szCs w:val="20"/>
          <w:color w:val="auto"/>
        </w:rPr>
      </w:pPr>
      <w:r>
        <w:rPr>
          <w:rFonts w:ascii="Arial" w:cs="Arial" w:eastAsia="Arial" w:hAnsi="Arial"/>
          <w:sz w:val="16"/>
          <w:szCs w:val="16"/>
          <w:color w:val="auto"/>
        </w:rPr>
        <w:t>Identification Number)</w:t>
      </w:r>
    </w:p>
    <w:p>
      <w:pPr>
        <w:spacing w:after="0" w:line="222" w:lineRule="exact"/>
        <w:rPr>
          <w:sz w:val="24"/>
          <w:szCs w:val="24"/>
          <w:color w:val="auto"/>
        </w:rPr>
      </w:pPr>
    </w:p>
    <w:p>
      <w:pPr>
        <w:sectPr>
          <w:pgSz w:w="11900" w:h="16838" w:orient="portrait"/>
          <w:cols w:equalWidth="0" w:num="3">
            <w:col w:w="4020" w:space="720"/>
            <w:col w:w="3100" w:space="720"/>
            <w:col w:w="2680"/>
          </w:cols>
          <w:pgMar w:left="320" w:top="837" w:right="339" w:bottom="1440" w:gutter="0" w:footer="0" w:header="0"/>
          <w:type w:val="continuous"/>
        </w:sectPr>
      </w:pP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(515) 247-5111</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240"/>
          </w:cols>
          <w:pgMar w:left="320" w:top="837" w:right="339" w:bottom="1440" w:gutter="0" w:footer="0" w:header="0"/>
          <w:type w:val="continuous"/>
        </w:sectPr>
      </w:pPr>
    </w:p>
    <w:p>
      <w:pPr>
        <w:spacing w:after="0" w:line="234"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9"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9"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4560" w:type="dxa"/>
            <w:vAlign w:val="bottom"/>
            <w:gridSpan w:val="3"/>
          </w:tcPr>
          <w:p>
            <w:pPr>
              <w:spacing w:after="0"/>
              <w:rPr>
                <w:sz w:val="20"/>
                <w:szCs w:val="20"/>
                <w:color w:val="auto"/>
              </w:rPr>
            </w:pPr>
            <w:r>
              <w:rPr>
                <w:rFonts w:ascii="Arial" w:cs="Arial" w:eastAsia="Arial" w:hAnsi="Arial"/>
                <w:sz w:val="18"/>
                <w:szCs w:val="18"/>
                <w:color w:val="auto"/>
                <w:w w:val="99"/>
              </w:rPr>
              <w:t>Securities registered pursuant to Section 12(b) of the Act:</w:t>
            </w:r>
          </w:p>
        </w:tc>
        <w:tc>
          <w:tcPr>
            <w:tcW w:w="28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600" w:type="dxa"/>
            <w:vAlign w:val="bottom"/>
          </w:tcPr>
          <w:p>
            <w:pPr>
              <w:spacing w:after="0"/>
              <w:rPr>
                <w:sz w:val="18"/>
                <w:szCs w:val="18"/>
                <w:color w:val="auto"/>
              </w:rPr>
            </w:pPr>
          </w:p>
        </w:tc>
      </w:tr>
      <w:tr>
        <w:trPr>
          <w:trHeight w:val="230"/>
        </w:trPr>
        <w:tc>
          <w:tcPr>
            <w:tcW w:w="4560" w:type="dxa"/>
            <w:vAlign w:val="bottom"/>
            <w:gridSpan w:val="3"/>
          </w:tcPr>
          <w:p>
            <w:pPr>
              <w:jc w:val="center"/>
              <w:ind w:right="940"/>
              <w:spacing w:after="0"/>
              <w:rPr>
                <w:sz w:val="20"/>
                <w:szCs w:val="20"/>
                <w:color w:val="auto"/>
              </w:rPr>
            </w:pPr>
            <w:r>
              <w:rPr>
                <w:rFonts w:ascii="Arial" w:cs="Arial" w:eastAsia="Arial" w:hAnsi="Arial"/>
                <w:sz w:val="18"/>
                <w:szCs w:val="18"/>
                <w:color w:val="auto"/>
                <w:w w:val="90"/>
              </w:rPr>
              <w:t>Title of each class</w:t>
            </w:r>
          </w:p>
        </w:tc>
        <w:tc>
          <w:tcPr>
            <w:tcW w:w="3080" w:type="dxa"/>
            <w:vAlign w:val="bottom"/>
            <w:gridSpan w:val="2"/>
          </w:tcPr>
          <w:p>
            <w:pPr>
              <w:jc w:val="center"/>
              <w:ind w:right="920"/>
              <w:spacing w:after="0"/>
              <w:rPr>
                <w:sz w:val="20"/>
                <w:szCs w:val="20"/>
                <w:color w:val="auto"/>
              </w:rPr>
            </w:pPr>
            <w:r>
              <w:rPr>
                <w:rFonts w:ascii="Arial" w:cs="Arial" w:eastAsia="Arial" w:hAnsi="Arial"/>
                <w:sz w:val="18"/>
                <w:szCs w:val="18"/>
                <w:color w:val="auto"/>
                <w:w w:val="92"/>
              </w:rPr>
              <w:t>Trading Symbol(s)</w:t>
            </w:r>
          </w:p>
        </w:tc>
        <w:tc>
          <w:tcPr>
            <w:tcW w:w="3600" w:type="dxa"/>
            <w:vAlign w:val="bottom"/>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24"/>
        </w:trPr>
        <w:tc>
          <w:tcPr>
            <w:tcW w:w="36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Common Stock</w:t>
            </w:r>
          </w:p>
        </w:tc>
        <w:tc>
          <w:tcPr>
            <w:tcW w:w="220" w:type="dxa"/>
            <w:vAlign w:val="bottom"/>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2880" w:type="dxa"/>
            <w:vAlign w:val="bottom"/>
            <w:tcBorders>
              <w:top w:val="single" w:sz="8" w:color="auto"/>
            </w:tcBorders>
          </w:tcPr>
          <w:p>
            <w:pPr>
              <w:jc w:val="center"/>
              <w:ind w:right="630"/>
              <w:spacing w:after="0"/>
              <w:rPr>
                <w:sz w:val="20"/>
                <w:szCs w:val="20"/>
                <w:color w:val="auto"/>
              </w:rPr>
            </w:pPr>
            <w:r>
              <w:rPr>
                <w:rFonts w:ascii="Arial" w:cs="Arial" w:eastAsia="Arial" w:hAnsi="Arial"/>
                <w:sz w:val="18"/>
                <w:szCs w:val="18"/>
                <w:color w:val="auto"/>
                <w:w w:val="86"/>
              </w:rPr>
              <w:t>PFG</w:t>
            </w:r>
          </w:p>
        </w:tc>
        <w:tc>
          <w:tcPr>
            <w:tcW w:w="20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187" w:lineRule="exact"/>
        <w:rPr>
          <w:sz w:val="24"/>
          <w:szCs w:val="24"/>
          <w:color w:val="auto"/>
        </w:rPr>
      </w:pPr>
    </w:p>
    <w:p>
      <w:pPr>
        <w:ind w:left="380" w:right="140" w:hanging="372"/>
        <w:spacing w:after="0" w:line="255" w:lineRule="auto"/>
        <w:tabs>
          <w:tab w:leader="none" w:pos="3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Indicate by check mark whether the registrant is an emerging growth company as defined in Rule 405 of the Securities Act of 1933 (§203.405 of this chapter) or rule 12b-2 of the Securities Exchange Act of 1934 (§240.12b-2 of this chapter).</w:t>
      </w:r>
    </w:p>
    <w:p>
      <w:pPr>
        <w:spacing w:after="0" w:line="1" w:lineRule="exact"/>
        <w:rPr>
          <w:sz w:val="24"/>
          <w:szCs w:val="24"/>
          <w:color w:val="auto"/>
        </w:rPr>
      </w:pPr>
    </w:p>
    <w:p>
      <w:pPr>
        <w:jc w:val="right"/>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6" w:lineRule="exact"/>
        <w:rPr>
          <w:sz w:val="24"/>
          <w:szCs w:val="24"/>
          <w:color w:val="auto"/>
        </w:rPr>
      </w:pPr>
    </w:p>
    <w:p>
      <w:pPr>
        <w:ind w:left="380" w:right="140" w:hanging="372"/>
        <w:spacing w:after="0" w:line="277" w:lineRule="auto"/>
        <w:tabs>
          <w:tab w:leader="none" w:pos="3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151765</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400050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871855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37"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22"/>
          <w:szCs w:val="22"/>
          <w:b w:val="1"/>
          <w:bCs w:val="1"/>
          <w:color w:val="auto"/>
        </w:rPr>
        <w:t>SECTION 5. CORPORATE GOVERNANCE AND MANAGEMENT</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5.07 Submission of Matters to a Vote of Security Holders</w:t>
      </w:r>
    </w:p>
    <w:p>
      <w:pPr>
        <w:spacing w:after="0" w:line="22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Principal Financial Group, Inc.’s (the “Company”) annual meeting of shareholders was held on May 19, 2020 (the “2020 Annual Meeting”). The matters that were voted upon at the 2020 Annual Meeting, and the number of votes cast for or against, as well as the number of abstentions and broker non-votes as to each such matter, as applicable, are set forth below. Abstentions and broker non-votes were treated as being present at the meeting for the purpose of determining a quorum, but were not counted as votes.</w:t>
      </w:r>
    </w:p>
    <w:p>
      <w:pPr>
        <w:spacing w:after="0" w:line="190" w:lineRule="exact"/>
        <w:rPr>
          <w:sz w:val="20"/>
          <w:szCs w:val="20"/>
          <w:color w:val="auto"/>
        </w:rPr>
      </w:pPr>
    </w:p>
    <w:p>
      <w:pPr>
        <w:ind w:right="40"/>
        <w:spacing w:after="0" w:line="232" w:lineRule="auto"/>
        <w:rPr>
          <w:sz w:val="20"/>
          <w:szCs w:val="20"/>
          <w:color w:val="auto"/>
        </w:rPr>
      </w:pPr>
      <w:r>
        <w:rPr>
          <w:rFonts w:ascii="Arial" w:cs="Arial" w:eastAsia="Arial" w:hAnsi="Arial"/>
          <w:sz w:val="16"/>
          <w:szCs w:val="16"/>
          <w:color w:val="auto"/>
        </w:rPr>
        <w:t>At the 2020 Annual Meeting, the shareholders: elected three Class I directors each for a term expiring at the Company’s 2023 Annual Meeting</w:t>
      </w:r>
      <w:r>
        <w:rPr>
          <w:rFonts w:ascii="Arial" w:cs="Arial" w:eastAsia="Arial" w:hAnsi="Arial"/>
          <w:sz w:val="26"/>
          <w:szCs w:val="26"/>
          <w:color w:val="auto"/>
          <w:vertAlign w:val="superscript"/>
        </w:rPr>
        <w:t>(1)</w:t>
      </w:r>
      <w:r>
        <w:rPr>
          <w:rFonts w:ascii="Arial" w:cs="Arial" w:eastAsia="Arial" w:hAnsi="Arial"/>
          <w:sz w:val="16"/>
          <w:szCs w:val="16"/>
          <w:color w:val="auto"/>
        </w:rPr>
        <w:t>; approved an Amended and Restated Directors Stock Plan, as disclosed in the Proxy Statement</w:t>
      </w:r>
      <w:r>
        <w:rPr>
          <w:rFonts w:ascii="Arial" w:cs="Arial" w:eastAsia="Arial" w:hAnsi="Arial"/>
          <w:sz w:val="26"/>
          <w:szCs w:val="26"/>
          <w:color w:val="auto"/>
          <w:vertAlign w:val="superscript"/>
        </w:rPr>
        <w:t>(2)</w:t>
      </w:r>
      <w:r>
        <w:rPr>
          <w:rFonts w:ascii="Arial" w:cs="Arial" w:eastAsia="Arial" w:hAnsi="Arial"/>
          <w:sz w:val="16"/>
          <w:szCs w:val="16"/>
          <w:color w:val="auto"/>
        </w:rPr>
        <w:t>; approved an Amended and Restated Employee Stock Purchase Plan, as disclosed in the Proxy Statement</w:t>
      </w:r>
      <w:r>
        <w:rPr>
          <w:rFonts w:ascii="Arial" w:cs="Arial" w:eastAsia="Arial" w:hAnsi="Arial"/>
          <w:sz w:val="26"/>
          <w:szCs w:val="26"/>
          <w:color w:val="auto"/>
          <w:vertAlign w:val="superscript"/>
        </w:rPr>
        <w:t>(3)</w:t>
      </w:r>
      <w:r>
        <w:rPr>
          <w:rFonts w:ascii="Arial" w:cs="Arial" w:eastAsia="Arial" w:hAnsi="Arial"/>
          <w:sz w:val="16"/>
          <w:szCs w:val="16"/>
          <w:color w:val="auto"/>
        </w:rPr>
        <w:t>; approved, on an advisory basis, the compensation paid to the Company’s Named Executive Officers as disclosed in the Proxy Statement</w:t>
      </w:r>
      <w:r>
        <w:rPr>
          <w:rFonts w:ascii="Arial" w:cs="Arial" w:eastAsia="Arial" w:hAnsi="Arial"/>
          <w:sz w:val="26"/>
          <w:szCs w:val="26"/>
          <w:color w:val="auto"/>
          <w:vertAlign w:val="superscript"/>
        </w:rPr>
        <w:t>(4)</w:t>
      </w:r>
      <w:r>
        <w:rPr>
          <w:rFonts w:ascii="Arial" w:cs="Arial" w:eastAsia="Arial" w:hAnsi="Arial"/>
          <w:sz w:val="16"/>
          <w:szCs w:val="16"/>
          <w:color w:val="auto"/>
        </w:rPr>
        <w:t>; and ratified the appointment of Ernst &amp; Young LLP as the Company’s independent auditor for 2020</w:t>
      </w:r>
      <w:r>
        <w:rPr>
          <w:rFonts w:ascii="Arial" w:cs="Arial" w:eastAsia="Arial" w:hAnsi="Arial"/>
          <w:sz w:val="26"/>
          <w:szCs w:val="26"/>
          <w:color w:val="auto"/>
          <w:vertAlign w:val="superscript"/>
        </w:rPr>
        <w:t>(5)</w:t>
      </w:r>
      <w:r>
        <w:rPr>
          <w:rFonts w:ascii="Arial" w:cs="Arial" w:eastAsia="Arial" w:hAnsi="Arial"/>
          <w:sz w:val="16"/>
          <w:szCs w:val="16"/>
          <w:color w:val="auto"/>
        </w:rPr>
        <w:t>.</w:t>
      </w:r>
    </w:p>
    <w:p>
      <w:pPr>
        <w:spacing w:after="0" w:line="82" w:lineRule="exact"/>
        <w:rPr>
          <w:sz w:val="20"/>
          <w:szCs w:val="20"/>
          <w:color w:val="auto"/>
        </w:rPr>
      </w:pPr>
    </w:p>
    <w:p>
      <w:pPr>
        <w:spacing w:after="0"/>
        <w:rPr>
          <w:sz w:val="20"/>
          <w:szCs w:val="20"/>
          <w:color w:val="auto"/>
        </w:rPr>
      </w:pPr>
      <w:r>
        <w:rPr>
          <w:rFonts w:ascii="Arial" w:cs="Arial" w:eastAsia="Arial" w:hAnsi="Arial"/>
          <w:sz w:val="18"/>
          <w:szCs w:val="18"/>
          <w:color w:val="auto"/>
        </w:rPr>
        <w:t>The voting results were as follows:</w:t>
      </w:r>
    </w:p>
    <w:p>
      <w:pPr>
        <w:spacing w:after="0" w:line="225" w:lineRule="exact"/>
        <w:rPr>
          <w:sz w:val="20"/>
          <w:szCs w:val="20"/>
          <w:color w:val="auto"/>
        </w:rPr>
      </w:pPr>
    </w:p>
    <w:p>
      <w:pPr>
        <w:ind w:left="500" w:hanging="492"/>
        <w:spacing w:after="0"/>
        <w:tabs>
          <w:tab w:leader="none" w:pos="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Election of Directors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20" w:type="dxa"/>
            <w:vAlign w:val="bottom"/>
          </w:tcPr>
          <w:p>
            <w:pPr>
              <w:spacing w:after="0"/>
              <w:rPr>
                <w:sz w:val="18"/>
                <w:szCs w:val="18"/>
                <w:color w:val="auto"/>
              </w:rPr>
            </w:pPr>
          </w:p>
        </w:tc>
        <w:tc>
          <w:tcPr>
            <w:tcW w:w="1500" w:type="dxa"/>
            <w:vAlign w:val="bottom"/>
            <w:gridSpan w:val="2"/>
          </w:tcPr>
          <w:p>
            <w:pPr>
              <w:jc w:val="right"/>
              <w:ind w:right="560"/>
              <w:spacing w:after="0"/>
              <w:rPr>
                <w:sz w:val="20"/>
                <w:szCs w:val="20"/>
                <w:color w:val="auto"/>
              </w:rPr>
            </w:pPr>
            <w:r>
              <w:rPr>
                <w:rFonts w:ascii="Arial" w:cs="Arial" w:eastAsia="Arial" w:hAnsi="Arial"/>
                <w:sz w:val="18"/>
                <w:szCs w:val="18"/>
                <w:b w:val="1"/>
                <w:bCs w:val="1"/>
                <w:color w:val="auto"/>
              </w:rPr>
              <w:t>VOTES</w:t>
            </w:r>
          </w:p>
        </w:tc>
        <w:tc>
          <w:tcPr>
            <w:tcW w:w="144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VOTES</w:t>
            </w:r>
          </w:p>
        </w:tc>
        <w:tc>
          <w:tcPr>
            <w:tcW w:w="1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9"/>
              </w:rPr>
              <w:t>BROKER</w:t>
            </w:r>
          </w:p>
        </w:tc>
      </w:tr>
      <w:tr>
        <w:trPr>
          <w:trHeight w:val="234"/>
        </w:trPr>
        <w:tc>
          <w:tcPr>
            <w:tcW w:w="5520" w:type="dxa"/>
            <w:vAlign w:val="bottom"/>
          </w:tcPr>
          <w:p>
            <w:pPr>
              <w:spacing w:after="0"/>
              <w:rPr>
                <w:sz w:val="20"/>
                <w:szCs w:val="20"/>
                <w:color w:val="auto"/>
              </w:rPr>
            </w:pPr>
          </w:p>
        </w:tc>
        <w:tc>
          <w:tcPr>
            <w:tcW w:w="1500" w:type="dxa"/>
            <w:vAlign w:val="bottom"/>
            <w:gridSpan w:val="2"/>
          </w:tcPr>
          <w:p>
            <w:pPr>
              <w:jc w:val="right"/>
              <w:ind w:right="680"/>
              <w:spacing w:after="0"/>
              <w:rPr>
                <w:sz w:val="20"/>
                <w:szCs w:val="20"/>
                <w:color w:val="auto"/>
              </w:rPr>
            </w:pPr>
            <w:r>
              <w:rPr>
                <w:rFonts w:ascii="Arial" w:cs="Arial" w:eastAsia="Arial" w:hAnsi="Arial"/>
                <w:sz w:val="18"/>
                <w:szCs w:val="18"/>
                <w:b w:val="1"/>
                <w:bCs w:val="1"/>
                <w:color w:val="auto"/>
              </w:rPr>
              <w:t>FOR</w:t>
            </w:r>
          </w:p>
        </w:tc>
        <w:tc>
          <w:tcPr>
            <w:tcW w:w="1440" w:type="dxa"/>
            <w:vAlign w:val="bottom"/>
            <w:gridSpan w:val="2"/>
          </w:tcPr>
          <w:p>
            <w:pPr>
              <w:jc w:val="right"/>
              <w:ind w:right="420"/>
              <w:spacing w:after="0"/>
              <w:rPr>
                <w:sz w:val="20"/>
                <w:szCs w:val="20"/>
                <w:color w:val="auto"/>
              </w:rPr>
            </w:pPr>
            <w:r>
              <w:rPr>
                <w:rFonts w:ascii="Arial" w:cs="Arial" w:eastAsia="Arial" w:hAnsi="Arial"/>
                <w:sz w:val="18"/>
                <w:szCs w:val="18"/>
                <w:b w:val="1"/>
                <w:bCs w:val="1"/>
                <w:color w:val="auto"/>
              </w:rPr>
              <w:t>AGAINST</w:t>
            </w:r>
          </w:p>
        </w:tc>
        <w:tc>
          <w:tcPr>
            <w:tcW w:w="1440" w:type="dxa"/>
            <w:vAlign w:val="bottom"/>
            <w:gridSpan w:val="2"/>
          </w:tcPr>
          <w:p>
            <w:pPr>
              <w:ind w:left="100"/>
              <w:spacing w:after="0"/>
              <w:rPr>
                <w:sz w:val="20"/>
                <w:szCs w:val="20"/>
                <w:color w:val="auto"/>
              </w:rPr>
            </w:pPr>
            <w:r>
              <w:rPr>
                <w:rFonts w:ascii="Arial" w:cs="Arial" w:eastAsia="Arial" w:hAnsi="Arial"/>
                <w:sz w:val="18"/>
                <w:szCs w:val="18"/>
                <w:b w:val="1"/>
                <w:bCs w:val="1"/>
                <w:color w:val="auto"/>
              </w:rPr>
              <w:t>ABSTAINED</w:t>
            </w:r>
          </w:p>
        </w:tc>
        <w:tc>
          <w:tcPr>
            <w:tcW w:w="13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rPr>
              <w:t>NON-VOTES</w:t>
            </w:r>
          </w:p>
        </w:tc>
      </w:tr>
      <w:tr>
        <w:trPr>
          <w:trHeight w:val="209"/>
        </w:trPr>
        <w:tc>
          <w:tcPr>
            <w:tcW w:w="55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Jonathan S. Auerbach</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178,141,659</w:t>
            </w:r>
          </w:p>
        </w:tc>
        <w:tc>
          <w:tcPr>
            <w:tcW w:w="240" w:type="dxa"/>
            <w:vAlign w:val="bottom"/>
            <w:tcBorders>
              <w:top w:val="single" w:sz="8" w:color="CCEEFF"/>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1,802,916</w:t>
            </w:r>
          </w:p>
        </w:tc>
        <w:tc>
          <w:tcPr>
            <w:tcW w:w="220" w:type="dxa"/>
            <w:vAlign w:val="bottom"/>
            <w:tcBorders>
              <w:top w:val="single" w:sz="8" w:color="CCEEFF"/>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ind w:left="640"/>
              <w:spacing w:after="0"/>
              <w:rPr>
                <w:sz w:val="20"/>
                <w:szCs w:val="20"/>
                <w:color w:val="auto"/>
              </w:rPr>
            </w:pPr>
            <w:r>
              <w:rPr>
                <w:rFonts w:ascii="Arial" w:cs="Arial" w:eastAsia="Arial" w:hAnsi="Arial"/>
                <w:sz w:val="18"/>
                <w:szCs w:val="18"/>
                <w:color w:val="auto"/>
                <w:w w:val="86"/>
              </w:rPr>
              <w:t>459,479</w:t>
            </w:r>
          </w:p>
        </w:tc>
        <w:tc>
          <w:tcPr>
            <w:tcW w:w="2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20,542,360</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520" w:type="dxa"/>
            <w:vAlign w:val="bottom"/>
          </w:tcPr>
          <w:p>
            <w:pPr>
              <w:spacing w:after="0"/>
              <w:rPr>
                <w:sz w:val="20"/>
                <w:szCs w:val="20"/>
                <w:color w:val="auto"/>
              </w:rPr>
            </w:pPr>
            <w:r>
              <w:rPr>
                <w:rFonts w:ascii="Arial" w:cs="Arial" w:eastAsia="Arial" w:hAnsi="Arial"/>
                <w:sz w:val="18"/>
                <w:szCs w:val="18"/>
                <w:color w:val="auto"/>
              </w:rPr>
              <w:t>Jocelyn Carter-Miller</w:t>
            </w:r>
          </w:p>
        </w:tc>
        <w:tc>
          <w:tcPr>
            <w:tcW w:w="1500" w:type="dxa"/>
            <w:vAlign w:val="bottom"/>
            <w:gridSpan w:val="2"/>
          </w:tcPr>
          <w:p>
            <w:pPr>
              <w:jc w:val="right"/>
              <w:ind w:right="240"/>
              <w:spacing w:after="0"/>
              <w:rPr>
                <w:sz w:val="20"/>
                <w:szCs w:val="20"/>
                <w:color w:val="auto"/>
              </w:rPr>
            </w:pPr>
            <w:r>
              <w:rPr>
                <w:rFonts w:ascii="Arial" w:cs="Arial" w:eastAsia="Arial" w:hAnsi="Arial"/>
                <w:sz w:val="18"/>
                <w:szCs w:val="18"/>
                <w:color w:val="auto"/>
              </w:rPr>
              <w:t>173,249,010</w:t>
            </w:r>
          </w:p>
        </w:tc>
        <w:tc>
          <w:tcPr>
            <w:tcW w:w="1440" w:type="dxa"/>
            <w:vAlign w:val="bottom"/>
            <w:gridSpan w:val="2"/>
          </w:tcPr>
          <w:p>
            <w:pPr>
              <w:jc w:val="right"/>
              <w:ind w:right="220"/>
              <w:spacing w:after="0"/>
              <w:rPr>
                <w:sz w:val="20"/>
                <w:szCs w:val="20"/>
                <w:color w:val="auto"/>
              </w:rPr>
            </w:pPr>
            <w:r>
              <w:rPr>
                <w:rFonts w:ascii="Arial" w:cs="Arial" w:eastAsia="Arial" w:hAnsi="Arial"/>
                <w:sz w:val="18"/>
                <w:szCs w:val="18"/>
                <w:color w:val="auto"/>
              </w:rPr>
              <w:t>6,676,490</w:t>
            </w:r>
          </w:p>
        </w:tc>
        <w:tc>
          <w:tcPr>
            <w:tcW w:w="1440" w:type="dxa"/>
            <w:vAlign w:val="bottom"/>
            <w:gridSpan w:val="2"/>
          </w:tcPr>
          <w:p>
            <w:pPr>
              <w:ind w:left="640"/>
              <w:spacing w:after="0"/>
              <w:rPr>
                <w:sz w:val="20"/>
                <w:szCs w:val="20"/>
                <w:color w:val="auto"/>
              </w:rPr>
            </w:pPr>
            <w:r>
              <w:rPr>
                <w:rFonts w:ascii="Arial" w:cs="Arial" w:eastAsia="Arial" w:hAnsi="Arial"/>
                <w:sz w:val="18"/>
                <w:szCs w:val="18"/>
                <w:color w:val="auto"/>
              </w:rPr>
              <w:t>478,554</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20,542,360</w:t>
            </w:r>
          </w:p>
        </w:tc>
      </w:tr>
      <w:tr>
        <w:trPr>
          <w:trHeight w:val="216"/>
        </w:trPr>
        <w:tc>
          <w:tcPr>
            <w:tcW w:w="5520" w:type="dxa"/>
            <w:vAlign w:val="bottom"/>
            <w:shd w:val="clear" w:color="auto" w:fill="CCEEFF"/>
          </w:tcPr>
          <w:p>
            <w:pPr>
              <w:spacing w:after="0"/>
              <w:rPr>
                <w:sz w:val="20"/>
                <w:szCs w:val="20"/>
                <w:color w:val="auto"/>
              </w:rPr>
            </w:pPr>
            <w:r>
              <w:rPr>
                <w:rFonts w:ascii="Arial" w:cs="Arial" w:eastAsia="Arial" w:hAnsi="Arial"/>
                <w:sz w:val="18"/>
                <w:szCs w:val="18"/>
                <w:color w:val="auto"/>
              </w:rPr>
              <w:t>Scott M. Mills</w:t>
            </w:r>
          </w:p>
        </w:tc>
        <w:tc>
          <w:tcPr>
            <w:tcW w:w="15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175,912,772</w:t>
            </w:r>
          </w:p>
        </w:tc>
        <w:tc>
          <w:tcPr>
            <w:tcW w:w="14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4,025,518</w:t>
            </w:r>
          </w:p>
        </w:tc>
        <w:tc>
          <w:tcPr>
            <w:tcW w:w="144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465,765</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20,542,360</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The directors whose terms of office continued and the years their terms expire are as follows:</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Class II Directors Continuing in Office Whose Term Expires in 2021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Roger C. Hochschild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Daniel J. Houston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Diane C. Nordin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Elizabeth E. Tallett</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Class III Directors Continuing in Office Whose Term Expires in 2022</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Michael T. Dan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Sandra L. Helton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Blair C. Pickerell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79" w:right="3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16"/>
        </w:trPr>
        <w:tc>
          <w:tcPr>
            <w:tcW w:w="340" w:type="dxa"/>
            <w:vAlign w:val="bottom"/>
          </w:tcPr>
          <w:p>
            <w:pPr>
              <w:spacing w:after="0"/>
              <w:rPr>
                <w:sz w:val="18"/>
                <w:szCs w:val="18"/>
                <w:color w:val="auto"/>
              </w:rPr>
            </w:pPr>
          </w:p>
        </w:tc>
        <w:tc>
          <w:tcPr>
            <w:tcW w:w="5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4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Votes</w:t>
            </w:r>
          </w:p>
        </w:tc>
        <w:tc>
          <w:tcPr>
            <w:tcW w:w="1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2"/>
              </w:rPr>
              <w:t>Broker Non-</w:t>
            </w:r>
          </w:p>
        </w:tc>
      </w:tr>
      <w:tr>
        <w:trPr>
          <w:trHeight w:val="234"/>
        </w:trPr>
        <w:tc>
          <w:tcPr>
            <w:tcW w:w="340" w:type="dxa"/>
            <w:vAlign w:val="bottom"/>
          </w:tcPr>
          <w:p>
            <w:pPr>
              <w:spacing w:after="0"/>
              <w:rPr>
                <w:sz w:val="20"/>
                <w:szCs w:val="20"/>
                <w:color w:val="auto"/>
              </w:rPr>
            </w:pPr>
          </w:p>
        </w:tc>
        <w:tc>
          <w:tcPr>
            <w:tcW w:w="5200" w:type="dxa"/>
            <w:vAlign w:val="bottom"/>
          </w:tcPr>
          <w:p>
            <w:pPr>
              <w:spacing w:after="0"/>
              <w:rPr>
                <w:sz w:val="20"/>
                <w:szCs w:val="20"/>
                <w:color w:val="auto"/>
              </w:rPr>
            </w:pPr>
          </w:p>
        </w:tc>
        <w:tc>
          <w:tcPr>
            <w:tcW w:w="1480" w:type="dxa"/>
            <w:vAlign w:val="bottom"/>
            <w:gridSpan w:val="2"/>
          </w:tcPr>
          <w:p>
            <w:pPr>
              <w:ind w:left="260"/>
              <w:spacing w:after="0"/>
              <w:rPr>
                <w:sz w:val="20"/>
                <w:szCs w:val="20"/>
                <w:color w:val="auto"/>
              </w:rPr>
            </w:pPr>
            <w:r>
              <w:rPr>
                <w:rFonts w:ascii="Arial" w:cs="Arial" w:eastAsia="Arial" w:hAnsi="Arial"/>
                <w:sz w:val="18"/>
                <w:szCs w:val="18"/>
                <w:b w:val="1"/>
                <w:bCs w:val="1"/>
                <w:color w:val="auto"/>
              </w:rPr>
              <w:t>Votes For</w:t>
            </w:r>
          </w:p>
        </w:tc>
        <w:tc>
          <w:tcPr>
            <w:tcW w:w="1440" w:type="dxa"/>
            <w:vAlign w:val="bottom"/>
            <w:gridSpan w:val="2"/>
          </w:tcPr>
          <w:p>
            <w:pPr>
              <w:jc w:val="right"/>
              <w:ind w:right="540"/>
              <w:spacing w:after="0"/>
              <w:rPr>
                <w:sz w:val="20"/>
                <w:szCs w:val="20"/>
                <w:color w:val="auto"/>
              </w:rPr>
            </w:pPr>
            <w:r>
              <w:rPr>
                <w:rFonts w:ascii="Arial" w:cs="Arial" w:eastAsia="Arial" w:hAnsi="Arial"/>
                <w:sz w:val="18"/>
                <w:szCs w:val="18"/>
                <w:b w:val="1"/>
                <w:bCs w:val="1"/>
                <w:color w:val="auto"/>
              </w:rPr>
              <w:t>Against</w:t>
            </w:r>
          </w:p>
        </w:tc>
        <w:tc>
          <w:tcPr>
            <w:tcW w:w="1440" w:type="dxa"/>
            <w:vAlign w:val="bottom"/>
            <w:gridSpan w:val="2"/>
          </w:tcPr>
          <w:p>
            <w:pPr>
              <w:ind w:left="220"/>
              <w:spacing w:after="0"/>
              <w:rPr>
                <w:sz w:val="20"/>
                <w:szCs w:val="20"/>
                <w:color w:val="auto"/>
              </w:rPr>
            </w:pPr>
            <w:r>
              <w:rPr>
                <w:rFonts w:ascii="Arial" w:cs="Arial" w:eastAsia="Arial" w:hAnsi="Arial"/>
                <w:sz w:val="18"/>
                <w:szCs w:val="18"/>
                <w:b w:val="1"/>
                <w:bCs w:val="1"/>
                <w:color w:val="auto"/>
              </w:rPr>
              <w:t>Abstained</w:t>
            </w:r>
          </w:p>
        </w:tc>
        <w:tc>
          <w:tcPr>
            <w:tcW w:w="13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1"/>
              </w:rPr>
              <w:t>Votes</w:t>
            </w:r>
          </w:p>
        </w:tc>
      </w:tr>
      <w:tr>
        <w:trPr>
          <w:trHeight w:val="210"/>
        </w:trPr>
        <w:tc>
          <w:tcPr>
            <w:tcW w:w="340" w:type="dxa"/>
            <w:vAlign w:val="bottom"/>
            <w:tcBorders>
              <w:top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0"/>
              </w:rPr>
              <w:t>(2)</w:t>
            </w:r>
          </w:p>
        </w:tc>
        <w:tc>
          <w:tcPr>
            <w:tcW w:w="5200" w:type="dxa"/>
            <w:vAlign w:val="bottom"/>
            <w:tcBorders>
              <w:top w:val="single" w:sz="8" w:color="CCEEFF"/>
            </w:tcBorders>
            <w:shd w:val="clear" w:color="auto" w:fill="CCEEFF"/>
          </w:tcPr>
          <w:p>
            <w:pPr>
              <w:ind w:left="120"/>
              <w:spacing w:after="0"/>
              <w:rPr>
                <w:sz w:val="20"/>
                <w:szCs w:val="20"/>
                <w:color w:val="auto"/>
              </w:rPr>
            </w:pPr>
            <w:r>
              <w:rPr>
                <w:rFonts w:ascii="Arial" w:cs="Arial" w:eastAsia="Arial" w:hAnsi="Arial"/>
                <w:sz w:val="18"/>
                <w:szCs w:val="18"/>
                <w:color w:val="auto"/>
              </w:rPr>
              <w:t>Approve Amended and Restated Directors Stock Plan</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175,013,651</w:t>
            </w:r>
          </w:p>
        </w:tc>
        <w:tc>
          <w:tcPr>
            <w:tcW w:w="220" w:type="dxa"/>
            <w:vAlign w:val="bottom"/>
            <w:tcBorders>
              <w:top w:val="single" w:sz="8" w:color="CCEEFF"/>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4,656,546</w:t>
            </w:r>
          </w:p>
        </w:tc>
        <w:tc>
          <w:tcPr>
            <w:tcW w:w="220" w:type="dxa"/>
            <w:vAlign w:val="bottom"/>
            <w:tcBorders>
              <w:top w:val="single" w:sz="8" w:color="CCEEFF"/>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ind w:left="640"/>
              <w:spacing w:after="0"/>
              <w:rPr>
                <w:sz w:val="20"/>
                <w:szCs w:val="20"/>
                <w:color w:val="auto"/>
              </w:rPr>
            </w:pPr>
            <w:r>
              <w:rPr>
                <w:rFonts w:ascii="Arial" w:cs="Arial" w:eastAsia="Arial" w:hAnsi="Arial"/>
                <w:sz w:val="18"/>
                <w:szCs w:val="18"/>
                <w:color w:val="auto"/>
                <w:w w:val="86"/>
              </w:rPr>
              <w:t>733,858</w:t>
            </w:r>
          </w:p>
        </w:tc>
        <w:tc>
          <w:tcPr>
            <w:tcW w:w="220" w:type="dxa"/>
            <w:vAlign w:val="bottom"/>
            <w:tcBorders>
              <w:top w:val="single" w:sz="8" w:color="CCEEFF"/>
            </w:tcBorders>
            <w:shd w:val="clear" w:color="auto" w:fill="CCEEFF"/>
          </w:tcPr>
          <w:p>
            <w:pPr>
              <w:spacing w:after="0"/>
              <w:rPr>
                <w:sz w:val="18"/>
                <w:szCs w:val="18"/>
                <w:color w:val="auto"/>
              </w:rPr>
            </w:pPr>
          </w:p>
        </w:tc>
        <w:tc>
          <w:tcPr>
            <w:tcW w:w="12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20,542,360</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340" w:type="dxa"/>
            <w:vAlign w:val="bottom"/>
          </w:tcPr>
          <w:p>
            <w:pPr>
              <w:jc w:val="right"/>
              <w:ind w:right="30"/>
              <w:spacing w:after="0"/>
              <w:rPr>
                <w:sz w:val="20"/>
                <w:szCs w:val="20"/>
                <w:color w:val="auto"/>
              </w:rPr>
            </w:pPr>
            <w:r>
              <w:rPr>
                <w:rFonts w:ascii="Arial" w:cs="Arial" w:eastAsia="Arial" w:hAnsi="Arial"/>
                <w:sz w:val="18"/>
                <w:szCs w:val="18"/>
                <w:color w:val="auto"/>
                <w:w w:val="90"/>
              </w:rPr>
              <w:t>(3)</w:t>
            </w:r>
          </w:p>
        </w:tc>
        <w:tc>
          <w:tcPr>
            <w:tcW w:w="5200" w:type="dxa"/>
            <w:vAlign w:val="bottom"/>
          </w:tcPr>
          <w:p>
            <w:pPr>
              <w:ind w:left="120"/>
              <w:spacing w:after="0"/>
              <w:rPr>
                <w:sz w:val="20"/>
                <w:szCs w:val="20"/>
                <w:color w:val="auto"/>
              </w:rPr>
            </w:pPr>
            <w:r>
              <w:rPr>
                <w:rFonts w:ascii="Arial" w:cs="Arial" w:eastAsia="Arial" w:hAnsi="Arial"/>
                <w:sz w:val="18"/>
                <w:szCs w:val="18"/>
                <w:color w:val="auto"/>
                <w:w w:val="97"/>
              </w:rPr>
              <w:t>Approve Amended and Restated Employee Stock Purchase Plan</w:t>
            </w:r>
          </w:p>
        </w:tc>
        <w:tc>
          <w:tcPr>
            <w:tcW w:w="1480" w:type="dxa"/>
            <w:vAlign w:val="bottom"/>
            <w:gridSpan w:val="2"/>
          </w:tcPr>
          <w:p>
            <w:pPr>
              <w:jc w:val="right"/>
              <w:ind w:right="220"/>
              <w:spacing w:after="0"/>
              <w:rPr>
                <w:sz w:val="20"/>
                <w:szCs w:val="20"/>
                <w:color w:val="auto"/>
              </w:rPr>
            </w:pPr>
            <w:r>
              <w:rPr>
                <w:rFonts w:ascii="Arial" w:cs="Arial" w:eastAsia="Arial" w:hAnsi="Arial"/>
                <w:sz w:val="18"/>
                <w:szCs w:val="18"/>
                <w:color w:val="auto"/>
              </w:rPr>
              <w:t>178,841,877</w:t>
            </w:r>
          </w:p>
        </w:tc>
        <w:tc>
          <w:tcPr>
            <w:tcW w:w="1440" w:type="dxa"/>
            <w:vAlign w:val="bottom"/>
            <w:gridSpan w:val="2"/>
          </w:tcPr>
          <w:p>
            <w:pPr>
              <w:jc w:val="right"/>
              <w:ind w:right="220"/>
              <w:spacing w:after="0"/>
              <w:rPr>
                <w:sz w:val="20"/>
                <w:szCs w:val="20"/>
                <w:color w:val="auto"/>
              </w:rPr>
            </w:pPr>
            <w:r>
              <w:rPr>
                <w:rFonts w:ascii="Arial" w:cs="Arial" w:eastAsia="Arial" w:hAnsi="Arial"/>
                <w:sz w:val="18"/>
                <w:szCs w:val="18"/>
                <w:color w:val="auto"/>
              </w:rPr>
              <w:t>994,590</w:t>
            </w:r>
          </w:p>
        </w:tc>
        <w:tc>
          <w:tcPr>
            <w:tcW w:w="1440" w:type="dxa"/>
            <w:vAlign w:val="bottom"/>
            <w:gridSpan w:val="2"/>
          </w:tcPr>
          <w:p>
            <w:pPr>
              <w:ind w:left="640"/>
              <w:spacing w:after="0"/>
              <w:rPr>
                <w:sz w:val="20"/>
                <w:szCs w:val="20"/>
                <w:color w:val="auto"/>
              </w:rPr>
            </w:pPr>
            <w:r>
              <w:rPr>
                <w:rFonts w:ascii="Arial" w:cs="Arial" w:eastAsia="Arial" w:hAnsi="Arial"/>
                <w:sz w:val="18"/>
                <w:szCs w:val="18"/>
                <w:color w:val="auto"/>
              </w:rPr>
              <w:t>567,587</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20,542,360</w:t>
            </w:r>
          </w:p>
        </w:tc>
      </w:tr>
      <w:tr>
        <w:trPr>
          <w:trHeight w:val="216"/>
        </w:trPr>
        <w:tc>
          <w:tcPr>
            <w:tcW w:w="3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0"/>
              </w:rPr>
              <w:t>(4)</w:t>
            </w:r>
          </w:p>
        </w:tc>
        <w:tc>
          <w:tcPr>
            <w:tcW w:w="52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Advisory Vote on Executive Compensation</w:t>
            </w:r>
          </w:p>
        </w:tc>
        <w:tc>
          <w:tcPr>
            <w:tcW w:w="14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169,495,423</w:t>
            </w:r>
          </w:p>
        </w:tc>
        <w:tc>
          <w:tcPr>
            <w:tcW w:w="14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10,184,819</w:t>
            </w:r>
          </w:p>
        </w:tc>
        <w:tc>
          <w:tcPr>
            <w:tcW w:w="144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rPr>
              <w:t>723,813</w:t>
            </w:r>
          </w:p>
        </w:tc>
        <w:tc>
          <w:tcPr>
            <w:tcW w:w="13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20,542,360</w:t>
            </w:r>
          </w:p>
        </w:tc>
      </w:tr>
      <w:tr>
        <w:trPr>
          <w:trHeight w:val="230"/>
        </w:trPr>
        <w:tc>
          <w:tcPr>
            <w:tcW w:w="340" w:type="dxa"/>
            <w:vAlign w:val="bottom"/>
          </w:tcPr>
          <w:p>
            <w:pPr>
              <w:jc w:val="right"/>
              <w:ind w:right="30"/>
              <w:spacing w:after="0"/>
              <w:rPr>
                <w:sz w:val="20"/>
                <w:szCs w:val="20"/>
                <w:color w:val="auto"/>
              </w:rPr>
            </w:pPr>
            <w:r>
              <w:rPr>
                <w:rFonts w:ascii="Arial" w:cs="Arial" w:eastAsia="Arial" w:hAnsi="Arial"/>
                <w:sz w:val="18"/>
                <w:szCs w:val="18"/>
                <w:color w:val="auto"/>
                <w:w w:val="90"/>
              </w:rPr>
              <w:t>(5)</w:t>
            </w:r>
          </w:p>
        </w:tc>
        <w:tc>
          <w:tcPr>
            <w:tcW w:w="5200" w:type="dxa"/>
            <w:vAlign w:val="bottom"/>
          </w:tcPr>
          <w:p>
            <w:pPr>
              <w:ind w:left="120"/>
              <w:spacing w:after="0"/>
              <w:rPr>
                <w:sz w:val="20"/>
                <w:szCs w:val="20"/>
                <w:color w:val="auto"/>
              </w:rPr>
            </w:pPr>
            <w:r>
              <w:rPr>
                <w:rFonts w:ascii="Arial" w:cs="Arial" w:eastAsia="Arial" w:hAnsi="Arial"/>
                <w:sz w:val="18"/>
                <w:szCs w:val="18"/>
                <w:color w:val="auto"/>
              </w:rPr>
              <w:t>Ratification of Independent Auditors</w:t>
            </w:r>
          </w:p>
        </w:tc>
        <w:tc>
          <w:tcPr>
            <w:tcW w:w="1480" w:type="dxa"/>
            <w:vAlign w:val="bottom"/>
            <w:gridSpan w:val="2"/>
          </w:tcPr>
          <w:p>
            <w:pPr>
              <w:jc w:val="right"/>
              <w:ind w:right="220"/>
              <w:spacing w:after="0"/>
              <w:rPr>
                <w:sz w:val="20"/>
                <w:szCs w:val="20"/>
                <w:color w:val="auto"/>
              </w:rPr>
            </w:pPr>
            <w:r>
              <w:rPr>
                <w:rFonts w:ascii="Arial" w:cs="Arial" w:eastAsia="Arial" w:hAnsi="Arial"/>
                <w:sz w:val="18"/>
                <w:szCs w:val="18"/>
                <w:color w:val="auto"/>
              </w:rPr>
              <w:t>189,177,480</w:t>
            </w:r>
          </w:p>
        </w:tc>
        <w:tc>
          <w:tcPr>
            <w:tcW w:w="1440" w:type="dxa"/>
            <w:vAlign w:val="bottom"/>
            <w:gridSpan w:val="2"/>
          </w:tcPr>
          <w:p>
            <w:pPr>
              <w:jc w:val="right"/>
              <w:ind w:right="220"/>
              <w:spacing w:after="0"/>
              <w:rPr>
                <w:sz w:val="20"/>
                <w:szCs w:val="20"/>
                <w:color w:val="auto"/>
              </w:rPr>
            </w:pPr>
            <w:r>
              <w:rPr>
                <w:rFonts w:ascii="Arial" w:cs="Arial" w:eastAsia="Arial" w:hAnsi="Arial"/>
                <w:sz w:val="18"/>
                <w:szCs w:val="18"/>
                <w:color w:val="auto"/>
              </w:rPr>
              <w:t>11,015,533</w:t>
            </w:r>
          </w:p>
        </w:tc>
        <w:tc>
          <w:tcPr>
            <w:tcW w:w="1440" w:type="dxa"/>
            <w:vAlign w:val="bottom"/>
            <w:gridSpan w:val="2"/>
          </w:tcPr>
          <w:p>
            <w:pPr>
              <w:ind w:left="640"/>
              <w:spacing w:after="0"/>
              <w:rPr>
                <w:sz w:val="20"/>
                <w:szCs w:val="20"/>
                <w:color w:val="auto"/>
              </w:rPr>
            </w:pPr>
            <w:r>
              <w:rPr>
                <w:rFonts w:ascii="Arial" w:cs="Arial" w:eastAsia="Arial" w:hAnsi="Arial"/>
                <w:sz w:val="18"/>
                <w:szCs w:val="18"/>
                <w:color w:val="auto"/>
              </w:rPr>
              <w:t>753,402</w:t>
            </w:r>
          </w:p>
        </w:tc>
        <w:tc>
          <w:tcPr>
            <w:tcW w:w="1340" w:type="dxa"/>
            <w:vAlign w:val="bottom"/>
            <w:gridSpan w:val="2"/>
          </w:tcPr>
          <w:p>
            <w:pPr>
              <w:jc w:val="right"/>
              <w:ind w:right="100"/>
              <w:spacing w:after="0"/>
              <w:rPr>
                <w:sz w:val="20"/>
                <w:szCs w:val="20"/>
                <w:color w:val="auto"/>
              </w:rPr>
            </w:pPr>
            <w:r>
              <w:rPr>
                <w:rFonts w:ascii="Arial" w:cs="Arial" w:eastAsia="Arial" w:hAnsi="Arial"/>
                <w:sz w:val="18"/>
                <w:szCs w:val="18"/>
                <w:color w:val="auto"/>
              </w:rPr>
              <w:t>0</w:t>
            </w:r>
          </w:p>
        </w:tc>
      </w:tr>
    </w:tbl>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PRINCIPAL FINANCIAL GROUP, INC.</w:t>
      </w:r>
    </w:p>
    <w:p>
      <w:pPr>
        <w:spacing w:after="0" w:line="229" w:lineRule="exact"/>
        <w:rPr>
          <w:sz w:val="20"/>
          <w:szCs w:val="20"/>
          <w:color w:val="auto"/>
        </w:rPr>
      </w:pPr>
    </w:p>
    <w:p>
      <w:pPr>
        <w:ind w:left="5620"/>
        <w:spacing w:after="0"/>
        <w:tabs>
          <w:tab w:leader="none" w:pos="61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Chris Littlefield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3922395</wp:posOffset>
            </wp:positionH>
            <wp:positionV relativeFrom="paragraph">
              <wp:posOffset>14605</wp:posOffset>
            </wp:positionV>
            <wp:extent cx="321437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14370" cy="8255"/>
                    </a:xfrm>
                    <a:prstGeom prst="rect">
                      <a:avLst/>
                    </a:prstGeom>
                    <a:noFill/>
                  </pic:spPr>
                </pic:pic>
              </a:graphicData>
            </a:graphic>
          </wp:anchor>
        </w:drawing>
      </w:r>
    </w:p>
    <w:p>
      <w:pPr>
        <w:spacing w:after="0" w:line="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Name: Chris Littlefield</w:t>
      </w:r>
    </w:p>
    <w:p>
      <w:pPr>
        <w:spacing w:after="0" w:line="23" w:lineRule="exact"/>
        <w:rPr>
          <w:sz w:val="20"/>
          <w:szCs w:val="20"/>
          <w:color w:val="auto"/>
        </w:rPr>
      </w:pPr>
    </w:p>
    <w:p>
      <w:pPr>
        <w:ind w:left="5620"/>
        <w:spacing w:after="0"/>
        <w:tabs>
          <w:tab w:leader="none" w:pos="6160" w:val="left"/>
        </w:tabs>
        <w:rPr>
          <w:sz w:val="20"/>
          <w:szCs w:val="20"/>
          <w:color w:val="auto"/>
        </w:rPr>
      </w:pPr>
      <w:r>
        <w:rPr>
          <w:rFonts w:ascii="Arial" w:cs="Arial" w:eastAsia="Arial" w:hAnsi="Arial"/>
          <w:sz w:val="18"/>
          <w:szCs w:val="18"/>
          <w:color w:val="auto"/>
        </w:rPr>
        <w:t>Title:</w:t>
      </w:r>
      <w:r>
        <w:rPr>
          <w:sz w:val="20"/>
          <w:szCs w:val="20"/>
          <w:color w:val="auto"/>
        </w:rPr>
        <w:tab/>
      </w:r>
      <w:r>
        <w:rPr>
          <w:rFonts w:ascii="Arial" w:cs="Arial" w:eastAsia="Arial" w:hAnsi="Arial"/>
          <w:sz w:val="16"/>
          <w:szCs w:val="16"/>
          <w:color w:val="auto"/>
        </w:rPr>
        <w:t>Executive Vice President, General Counsel and Secretary</w:t>
      </w:r>
    </w:p>
    <w:p>
      <w:pPr>
        <w:spacing w:after="0" w:line="211" w:lineRule="exact"/>
        <w:rPr>
          <w:sz w:val="20"/>
          <w:szCs w:val="20"/>
          <w:color w:val="auto"/>
        </w:rPr>
      </w:pPr>
    </w:p>
    <w:p>
      <w:pPr>
        <w:spacing w:after="0"/>
        <w:tabs>
          <w:tab w:leader="none" w:pos="600" w:val="left"/>
        </w:tabs>
        <w:rPr>
          <w:sz w:val="20"/>
          <w:szCs w:val="20"/>
          <w:color w:val="auto"/>
        </w:rPr>
      </w:pPr>
      <w:r>
        <w:rPr>
          <w:rFonts w:ascii="Arial" w:cs="Arial" w:eastAsia="Arial" w:hAnsi="Arial"/>
          <w:sz w:val="18"/>
          <w:szCs w:val="18"/>
          <w:color w:val="auto"/>
        </w:rPr>
        <w:t>Date:</w:t>
        <w:tab/>
        <w:t>May 21,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2020-05-21T13:03:13Z</dcterms:created>
  <dcterms:modified xsi:type="dcterms:W3CDTF">2020-05-21T13:03:13Z</dcterms:modified>
</cp:coreProperties>
</file>