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ind w:left="4500"/>
        <w:spacing w:after="0"/>
        <w:rPr>
          <w:sz w:val="20"/>
          <w:szCs w:val="20"/>
          <w:color w:val="auto"/>
        </w:rPr>
      </w:pPr>
      <w:r>
        <w:rPr>
          <w:rFonts w:ascii="Arial" w:cs="Arial" w:eastAsia="Arial" w:hAnsi="Arial"/>
          <w:sz w:val="18"/>
          <w:szCs w:val="18"/>
          <w:color w:val="auto"/>
        </w:rPr>
        <w:t xml:space="preserve">Date of Report: </w:t>
      </w:r>
      <w:r>
        <w:rPr>
          <w:rFonts w:ascii="Arial" w:cs="Arial" w:eastAsia="Arial" w:hAnsi="Arial"/>
          <w:sz w:val="18"/>
          <w:szCs w:val="18"/>
          <w:b w:val="1"/>
          <w:bCs w:val="1"/>
          <w:color w:val="auto"/>
        </w:rPr>
        <w:t>April 27, 2020</w:t>
      </w:r>
    </w:p>
    <w:p>
      <w:pPr>
        <w:spacing w:after="0" w:line="27" w:lineRule="exact"/>
        <w:rPr>
          <w:sz w:val="24"/>
          <w:szCs w:val="24"/>
          <w:color w:val="auto"/>
        </w:rPr>
      </w:pPr>
    </w:p>
    <w:p>
      <w:pPr>
        <w:ind w:left="4480"/>
        <w:spacing w:after="0"/>
        <w:rPr>
          <w:sz w:val="20"/>
          <w:szCs w:val="20"/>
          <w:color w:val="auto"/>
        </w:rPr>
      </w:pPr>
      <w:r>
        <w:rPr>
          <w:rFonts w:ascii="Arial" w:cs="Arial" w:eastAsia="Arial" w:hAnsi="Arial"/>
          <w:sz w:val="18"/>
          <w:szCs w:val="18"/>
          <w:color w:val="auto"/>
        </w:rPr>
        <w:t>(Date of earliest event reported)</w:t>
      </w:r>
    </w:p>
    <w:p>
      <w:pPr>
        <w:spacing w:after="0" w:line="202"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PRINCIPAL FINANCIAL GROUP,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4"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2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60"/>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12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02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102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020"/>
        <w:spacing w:after="0"/>
        <w:rPr>
          <w:sz w:val="20"/>
          <w:szCs w:val="20"/>
          <w:color w:val="auto"/>
        </w:rPr>
      </w:pPr>
      <w:r>
        <w:rPr>
          <w:rFonts w:ascii="Arial" w:cs="Arial" w:eastAsia="Arial" w:hAnsi="Arial"/>
          <w:sz w:val="16"/>
          <w:szCs w:val="16"/>
          <w:color w:val="auto"/>
        </w:rPr>
        <w:t>Identification Number)</w:t>
      </w:r>
    </w:p>
    <w:p>
      <w:pPr>
        <w:spacing w:after="0" w:line="222" w:lineRule="exact"/>
        <w:rPr>
          <w:sz w:val="24"/>
          <w:szCs w:val="24"/>
          <w:color w:val="auto"/>
        </w:rPr>
      </w:pPr>
    </w:p>
    <w:p>
      <w:pPr>
        <w:sectPr>
          <w:pgSz w:w="11900" w:h="16838" w:orient="portrait"/>
          <w:cols w:equalWidth="0" w:num="3">
            <w:col w:w="3960" w:space="720"/>
            <w:col w:w="3160" w:space="720"/>
            <w:col w:w="2680"/>
          </w:cols>
          <w:pgMar w:left="320" w:top="594"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240"/>
          </w:cols>
          <w:pgMar w:left="320" w:top="594" w:right="339" w:bottom="1440" w:gutter="0" w:footer="0" w:header="0"/>
          <w:type w:val="continuous"/>
        </w:sectPr>
      </w:pPr>
    </w:p>
    <w:p>
      <w:pPr>
        <w:spacing w:after="0" w:line="23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20" w:hanging="331"/>
        <w:spacing w:after="0"/>
        <w:tabs>
          <w:tab w:leader="none" w:pos="420" w:val="left"/>
        </w:tabs>
        <w:numPr>
          <w:ilvl w:val="2"/>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20" w:hanging="331"/>
        <w:spacing w:after="0"/>
        <w:tabs>
          <w:tab w:leader="none" w:pos="420" w:val="left"/>
        </w:tabs>
        <w:numPr>
          <w:ilvl w:val="2"/>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00" w:hanging="325"/>
        <w:spacing w:after="0"/>
        <w:tabs>
          <w:tab w:leader="none" w:pos="40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400" w:hanging="325"/>
        <w:spacing w:after="0"/>
        <w:tabs>
          <w:tab w:leader="none" w:pos="40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Indicate by check mark whether the registrant is an emerging growth company as defined in Rule 405 of the Securities Act of 1933 (§203.405 of this</w:t>
      </w:r>
    </w:p>
    <w:p>
      <w:pPr>
        <w:spacing w:after="0" w:line="41" w:lineRule="exact"/>
        <w:rPr>
          <w:sz w:val="24"/>
          <w:szCs w:val="24"/>
          <w:color w:val="auto"/>
        </w:rPr>
      </w:pPr>
    </w:p>
    <w:p>
      <w:pPr>
        <w:ind w:left="340"/>
        <w:spacing w:after="0" w:line="207" w:lineRule="exact"/>
        <w:tabs>
          <w:tab w:leader="none" w:pos="8300" w:val="left"/>
          <w:tab w:leader="none" w:pos="10460" w:val="left"/>
        </w:tabs>
        <w:rPr>
          <w:sz w:val="20"/>
          <w:szCs w:val="20"/>
          <w:color w:val="auto"/>
        </w:rPr>
      </w:pPr>
      <w:r>
        <w:rPr>
          <w:rFonts w:ascii="Arial" w:cs="Arial" w:eastAsia="Arial" w:hAnsi="Arial"/>
          <w:sz w:val="18"/>
          <w:szCs w:val="18"/>
          <w:color w:val="auto"/>
        </w:rPr>
        <w:t>chapter) or rule 12b-2 of the Securities Exchange Act of 1934 (§240.12b-2 of this chapter).</w:t>
      </w:r>
      <w:r>
        <w:rPr>
          <w:sz w:val="20"/>
          <w:szCs w:val="20"/>
          <w:color w:val="auto"/>
        </w:rPr>
        <w:tab/>
      </w:r>
      <w:r>
        <w:rPr>
          <w:rFonts w:ascii="Arial" w:cs="Arial" w:eastAsia="Arial" w:hAnsi="Arial"/>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216" w:lineRule="exact"/>
        <w:rPr>
          <w:sz w:val="24"/>
          <w:szCs w:val="24"/>
          <w:color w:val="auto"/>
        </w:rPr>
      </w:pPr>
    </w:p>
    <w:p>
      <w:pPr>
        <w:ind w:left="340" w:right="180" w:hanging="332"/>
        <w:spacing w:after="0" w:line="277" w:lineRule="auto"/>
        <w:tabs>
          <w:tab w:leader="none" w:pos="3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70" w:lineRule="exact"/>
        <w:rPr>
          <w:rFonts w:ascii="MS PGothic" w:cs="MS PGothic" w:eastAsia="MS PGothic" w:hAnsi="MS PGothic"/>
          <w:sz w:val="18"/>
          <w:szCs w:val="18"/>
          <w:color w:val="auto"/>
        </w:rPr>
      </w:pPr>
    </w:p>
    <w:p>
      <w:pPr>
        <w:ind w:left="340"/>
        <w:spacing w:after="0"/>
        <w:rPr>
          <w:rFonts w:ascii="MS PGothic" w:cs="MS PGothic" w:eastAsia="MS PGothic" w:hAnsi="MS PGothic"/>
          <w:sz w:val="18"/>
          <w:szCs w:val="18"/>
          <w:color w:val="auto"/>
        </w:rPr>
      </w:pPr>
      <w:r>
        <w:rPr>
          <w:rFonts w:ascii="Arial" w:cs="Arial" w:eastAsia="Arial" w:hAnsi="Arial"/>
          <w:sz w:val="18"/>
          <w:szCs w:val="18"/>
          <w:color w:val="auto"/>
        </w:rPr>
        <w:t>Section 13(a) of the Exchange Act:</w:t>
      </w: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20"/>
        </w:trPr>
        <w:tc>
          <w:tcPr>
            <w:tcW w:w="3820" w:type="dxa"/>
            <w:vAlign w:val="bottom"/>
          </w:tcPr>
          <w:p>
            <w:pPr>
              <w:jc w:val="center"/>
              <w:ind w:left="150"/>
              <w:spacing w:after="0"/>
              <w:rPr>
                <w:sz w:val="20"/>
                <w:szCs w:val="20"/>
                <w:color w:val="auto"/>
              </w:rPr>
            </w:pPr>
            <w:r>
              <w:rPr>
                <w:rFonts w:ascii="Arial" w:cs="Arial" w:eastAsia="Arial" w:hAnsi="Arial"/>
                <w:sz w:val="18"/>
                <w:szCs w:val="18"/>
                <w:b w:val="1"/>
                <w:bCs w:val="1"/>
                <w:color w:val="auto"/>
                <w:w w:val="86"/>
              </w:rPr>
              <w:t>Title of each class</w:t>
            </w:r>
          </w:p>
        </w:tc>
        <w:tc>
          <w:tcPr>
            <w:tcW w:w="3120" w:type="dxa"/>
            <w:vAlign w:val="bottom"/>
          </w:tcPr>
          <w:p>
            <w:pPr>
              <w:jc w:val="center"/>
              <w:ind w:left="430"/>
              <w:spacing w:after="0"/>
              <w:rPr>
                <w:sz w:val="20"/>
                <w:szCs w:val="20"/>
                <w:color w:val="auto"/>
              </w:rPr>
            </w:pPr>
            <w:r>
              <w:rPr>
                <w:rFonts w:ascii="Arial" w:cs="Arial" w:eastAsia="Arial" w:hAnsi="Arial"/>
                <w:sz w:val="18"/>
                <w:szCs w:val="18"/>
                <w:b w:val="1"/>
                <w:bCs w:val="1"/>
                <w:color w:val="auto"/>
                <w:w w:val="89"/>
              </w:rPr>
              <w:t>Trading symbol(s)</w:t>
            </w:r>
          </w:p>
        </w:tc>
        <w:tc>
          <w:tcPr>
            <w:tcW w:w="4300" w:type="dxa"/>
            <w:vAlign w:val="bottom"/>
          </w:tcPr>
          <w:p>
            <w:pPr>
              <w:jc w:val="center"/>
              <w:ind w:left="19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30"/>
        </w:trPr>
        <w:tc>
          <w:tcPr>
            <w:tcW w:w="3820" w:type="dxa"/>
            <w:vAlign w:val="bottom"/>
          </w:tcPr>
          <w:p>
            <w:pPr>
              <w:jc w:val="center"/>
              <w:ind w:left="170"/>
              <w:spacing w:after="0"/>
              <w:rPr>
                <w:sz w:val="20"/>
                <w:szCs w:val="20"/>
                <w:color w:val="auto"/>
              </w:rPr>
            </w:pPr>
            <w:r>
              <w:rPr>
                <w:rFonts w:ascii="Arial" w:cs="Arial" w:eastAsia="Arial" w:hAnsi="Arial"/>
                <w:sz w:val="18"/>
                <w:szCs w:val="18"/>
                <w:color w:val="auto"/>
                <w:w w:val="90"/>
              </w:rPr>
              <w:t>Common Stock</w:t>
            </w:r>
          </w:p>
        </w:tc>
        <w:tc>
          <w:tcPr>
            <w:tcW w:w="3120" w:type="dxa"/>
            <w:vAlign w:val="bottom"/>
          </w:tcPr>
          <w:p>
            <w:pPr>
              <w:jc w:val="center"/>
              <w:ind w:left="430"/>
              <w:spacing w:after="0"/>
              <w:rPr>
                <w:sz w:val="20"/>
                <w:szCs w:val="20"/>
                <w:color w:val="auto"/>
              </w:rPr>
            </w:pPr>
            <w:r>
              <w:rPr>
                <w:rFonts w:ascii="Arial" w:cs="Arial" w:eastAsia="Arial" w:hAnsi="Arial"/>
                <w:sz w:val="18"/>
                <w:szCs w:val="18"/>
                <w:color w:val="auto"/>
                <w:w w:val="86"/>
              </w:rPr>
              <w:t>PFG</w:t>
            </w:r>
          </w:p>
        </w:tc>
        <w:tc>
          <w:tcPr>
            <w:tcW w:w="4300" w:type="dxa"/>
            <w:vAlign w:val="bottom"/>
          </w:tcPr>
          <w:p>
            <w:pPr>
              <w:jc w:val="center"/>
              <w:ind w:left="170"/>
              <w:spacing w:after="0"/>
              <w:rPr>
                <w:sz w:val="20"/>
                <w:szCs w:val="20"/>
                <w:color w:val="auto"/>
              </w:rPr>
            </w:pPr>
            <w:r>
              <w:rPr>
                <w:rFonts w:ascii="Arial" w:cs="Arial" w:eastAsia="Arial" w:hAnsi="Arial"/>
                <w:sz w:val="18"/>
                <w:szCs w:val="18"/>
                <w:color w:val="auto"/>
                <w:w w:val="90"/>
              </w:rPr>
              <w:t>Nasdaq Global Select Market</w:t>
            </w:r>
          </w:p>
        </w:tc>
      </w:tr>
      <w:tr>
        <w:trPr>
          <w:trHeight w:val="270"/>
        </w:trPr>
        <w:tc>
          <w:tcPr>
            <w:tcW w:w="3820" w:type="dxa"/>
            <w:vAlign w:val="bottom"/>
            <w:tcBorders>
              <w:bottom w:val="single" w:sz="8" w:color="auto"/>
            </w:tcBorders>
          </w:tcPr>
          <w:p>
            <w:pPr>
              <w:spacing w:after="0"/>
              <w:rPr>
                <w:sz w:val="23"/>
                <w:szCs w:val="23"/>
                <w:color w:val="auto"/>
              </w:rPr>
            </w:pPr>
          </w:p>
        </w:tc>
        <w:tc>
          <w:tcPr>
            <w:tcW w:w="3120" w:type="dxa"/>
            <w:vAlign w:val="bottom"/>
            <w:tcBorders>
              <w:bottom w:val="single" w:sz="8" w:color="auto"/>
            </w:tcBorders>
          </w:tcPr>
          <w:p>
            <w:pPr>
              <w:spacing w:after="0"/>
              <w:rPr>
                <w:sz w:val="23"/>
                <w:szCs w:val="23"/>
                <w:color w:val="auto"/>
              </w:rPr>
            </w:pPr>
          </w:p>
        </w:tc>
        <w:tc>
          <w:tcPr>
            <w:tcW w:w="4300" w:type="dxa"/>
            <w:vAlign w:val="bottom"/>
            <w:tcBorders>
              <w:bottom w:val="single" w:sz="8" w:color="auto"/>
            </w:tcBorders>
          </w:tcPr>
          <w:p>
            <w:pPr>
              <w:spacing w:after="0"/>
              <w:rPr>
                <w:sz w:val="23"/>
                <w:szCs w:val="23"/>
                <w:color w:val="auto"/>
              </w:rPr>
            </w:pPr>
          </w:p>
        </w:tc>
      </w:tr>
      <w:tr>
        <w:trPr>
          <w:trHeight w:val="27"/>
        </w:trPr>
        <w:tc>
          <w:tcPr>
            <w:tcW w:w="382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4300" w:type="dxa"/>
            <w:vAlign w:val="bottom"/>
            <w:tcBorders>
              <w:bottom w:val="single" w:sz="8" w:color="auto"/>
            </w:tcBorders>
          </w:tcPr>
          <w:p>
            <w:pPr>
              <w:spacing w:after="0"/>
              <w:rPr>
                <w:sz w:val="2"/>
                <w:szCs w:val="2"/>
                <w:color w:val="auto"/>
              </w:rPr>
            </w:pPr>
          </w:p>
        </w:tc>
      </w:tr>
      <w:tr>
        <w:trPr>
          <w:trHeight w:val="446"/>
        </w:trPr>
        <w:tc>
          <w:tcPr>
            <w:tcW w:w="382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94"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April 27, 2020, Principal Financial Group, Inc. publicly announced information regarding its results of operations and financial condition for the quarter and calendar year ended March 31, 2020. The text of the announcement is included herewith as Exhibit 99.</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tabs>
          <w:tab w:leader="none" w:pos="600" w:val="left"/>
        </w:tabs>
        <w:rPr>
          <w:rFonts w:ascii="Arial" w:cs="Arial" w:eastAsia="Arial" w:hAnsi="Arial"/>
          <w:sz w:val="18"/>
          <w:szCs w:val="18"/>
          <w:u w:val="single" w:color="auto"/>
          <w:color w:val="0000EE"/>
        </w:rPr>
      </w:pPr>
      <w:r>
        <w:rPr>
          <w:rFonts w:ascii="Arial" w:cs="Arial" w:eastAsia="Arial" w:hAnsi="Arial"/>
          <w:sz w:val="18"/>
          <w:szCs w:val="18"/>
          <w:u w:val="single" w:color="auto"/>
          <w:color w:val="0000EE"/>
        </w:rPr>
        <w:t>99</w:t>
      </w:r>
      <w:r>
        <w:rPr>
          <w:sz w:val="20"/>
          <w:szCs w:val="20"/>
          <w:color w:val="auto"/>
        </w:rPr>
        <w:tab/>
      </w:r>
      <w:hyperlink w:anchor="page3">
        <w:r>
          <w:rPr>
            <w:rFonts w:ascii="Arial" w:cs="Arial" w:eastAsia="Arial" w:hAnsi="Arial"/>
            <w:sz w:val="18"/>
            <w:szCs w:val="18"/>
            <w:u w:val="single" w:color="auto"/>
            <w:color w:val="0000EE"/>
          </w:rPr>
          <w:t>First Quarter 2020 Earnings Release</w:t>
        </w:r>
      </w:hyperlink>
    </w:p>
    <w:p>
      <w:pPr>
        <w:spacing w:after="0" w:line="23" w:lineRule="exact"/>
        <w:rPr>
          <w:sz w:val="20"/>
          <w:szCs w:val="20"/>
          <w:color w:val="auto"/>
        </w:rPr>
      </w:pPr>
    </w:p>
    <w:p>
      <w:pPr>
        <w:ind w:left="620" w:hanging="612"/>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Cover Page to this Current Report on Form 8-K in Inline XBRL</w:t>
      </w:r>
    </w:p>
    <w:p>
      <w:pPr>
        <w:spacing w:after="0" w:line="206" w:lineRule="exact"/>
        <w:rPr>
          <w:rFonts w:ascii="Arial" w:cs="Arial" w:eastAsia="Arial" w:hAnsi="Arial"/>
          <w:sz w:val="18"/>
          <w:szCs w:val="18"/>
          <w:color w:val="auto"/>
        </w:rPr>
      </w:pPr>
    </w:p>
    <w:p>
      <w:pPr>
        <w:ind w:left="5100"/>
        <w:spacing w:after="0"/>
        <w:rPr>
          <w:rFonts w:ascii="Arial" w:cs="Arial" w:eastAsia="Arial" w:hAnsi="Arial"/>
          <w:sz w:val="18"/>
          <w:szCs w:val="18"/>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GROUP, INC.</w:t>
      </w:r>
    </w:p>
    <w:p>
      <w:pPr>
        <w:spacing w:after="0" w:line="225"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By: /s/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51530"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Deanna D. Strable-Soethout</w:t>
      </w:r>
    </w:p>
    <w:p>
      <w:pPr>
        <w:spacing w:after="0" w:line="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Title: Executive Vice President and Chief Financial Officer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Date:April 27,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color w:val="auto"/>
        </w:rPr>
        <w:t>Exhibit 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5457190</wp:posOffset>
            </wp:positionH>
            <wp:positionV relativeFrom="paragraph">
              <wp:posOffset>165735</wp:posOffset>
            </wp:positionV>
            <wp:extent cx="1680210" cy="5575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480" w:type="dxa"/>
            <w:vAlign w:val="bottom"/>
          </w:tcPr>
          <w:p>
            <w:pPr>
              <w:spacing w:after="0"/>
              <w:rPr>
                <w:sz w:val="20"/>
                <w:szCs w:val="20"/>
                <w:color w:val="auto"/>
              </w:rPr>
            </w:pPr>
            <w:r>
              <w:rPr>
                <w:rFonts w:ascii="Arial" w:cs="Arial" w:eastAsia="Arial" w:hAnsi="Arial"/>
                <w:sz w:val="18"/>
                <w:szCs w:val="18"/>
                <w:color w:val="auto"/>
              </w:rPr>
              <w:t>Release:</w:t>
            </w:r>
          </w:p>
        </w:tc>
        <w:tc>
          <w:tcPr>
            <w:tcW w:w="4340" w:type="dxa"/>
            <w:vAlign w:val="bottom"/>
            <w:gridSpan w:val="4"/>
          </w:tcPr>
          <w:p>
            <w:pPr>
              <w:ind w:left="220"/>
              <w:spacing w:after="0"/>
              <w:rPr>
                <w:sz w:val="20"/>
                <w:szCs w:val="20"/>
                <w:color w:val="auto"/>
              </w:rPr>
            </w:pPr>
            <w:r>
              <w:rPr>
                <w:rFonts w:ascii="Arial" w:cs="Arial" w:eastAsia="Arial" w:hAnsi="Arial"/>
                <w:sz w:val="18"/>
                <w:szCs w:val="18"/>
                <w:color w:val="auto"/>
              </w:rPr>
              <w:t>On receipt, Apr. 27, 2020</w:t>
            </w:r>
          </w:p>
        </w:tc>
      </w:tr>
      <w:tr>
        <w:trPr>
          <w:trHeight w:val="190"/>
        </w:trPr>
        <w:tc>
          <w:tcPr>
            <w:tcW w:w="1480" w:type="dxa"/>
            <w:vAlign w:val="bottom"/>
          </w:tcPr>
          <w:p>
            <w:pPr>
              <w:spacing w:after="0" w:line="190" w:lineRule="exact"/>
              <w:rPr>
                <w:sz w:val="20"/>
                <w:szCs w:val="20"/>
                <w:color w:val="auto"/>
              </w:rPr>
            </w:pPr>
            <w:r>
              <w:rPr>
                <w:rFonts w:ascii="Arial" w:cs="Arial" w:eastAsia="Arial" w:hAnsi="Arial"/>
                <w:sz w:val="18"/>
                <w:szCs w:val="18"/>
                <w:color w:val="auto"/>
              </w:rPr>
              <w:t>Media Contact:</w:t>
            </w:r>
          </w:p>
        </w:tc>
        <w:tc>
          <w:tcPr>
            <w:tcW w:w="4340" w:type="dxa"/>
            <w:vAlign w:val="bottom"/>
            <w:gridSpan w:val="4"/>
          </w:tcPr>
          <w:p>
            <w:pPr>
              <w:ind w:left="220"/>
              <w:spacing w:after="0" w:line="190" w:lineRule="exact"/>
              <w:rPr>
                <w:sz w:val="20"/>
                <w:szCs w:val="20"/>
                <w:color w:val="auto"/>
              </w:rPr>
            </w:pPr>
            <w:r>
              <w:rPr>
                <w:rFonts w:ascii="Arial" w:cs="Arial" w:eastAsia="Arial" w:hAnsi="Arial"/>
                <w:sz w:val="18"/>
                <w:szCs w:val="18"/>
                <w:color w:val="auto"/>
                <w:w w:val="89"/>
              </w:rPr>
              <w:t>Jane Slusark, 515-362-0482, slusark.jane@principal.com</w:t>
            </w:r>
          </w:p>
        </w:tc>
      </w:tr>
      <w:tr>
        <w:trPr>
          <w:trHeight w:val="20"/>
        </w:trPr>
        <w:tc>
          <w:tcPr>
            <w:tcW w:w="14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r>
      <w:tr>
        <w:trPr>
          <w:trHeight w:val="196"/>
        </w:trPr>
        <w:tc>
          <w:tcPr>
            <w:tcW w:w="1480" w:type="dxa"/>
            <w:vAlign w:val="bottom"/>
          </w:tcPr>
          <w:p>
            <w:pPr>
              <w:spacing w:after="0" w:line="196" w:lineRule="exact"/>
              <w:rPr>
                <w:sz w:val="20"/>
                <w:szCs w:val="20"/>
                <w:color w:val="auto"/>
              </w:rPr>
            </w:pPr>
            <w:r>
              <w:rPr>
                <w:rFonts w:ascii="Arial" w:cs="Arial" w:eastAsia="Arial" w:hAnsi="Arial"/>
                <w:sz w:val="18"/>
                <w:szCs w:val="18"/>
                <w:color w:val="auto"/>
              </w:rPr>
              <w:t>Investor Contact:</w:t>
            </w:r>
          </w:p>
        </w:tc>
        <w:tc>
          <w:tcPr>
            <w:tcW w:w="4340" w:type="dxa"/>
            <w:vAlign w:val="bottom"/>
            <w:gridSpan w:val="4"/>
          </w:tcPr>
          <w:p>
            <w:pPr>
              <w:ind w:left="220"/>
              <w:spacing w:after="0" w:line="196" w:lineRule="exact"/>
              <w:rPr>
                <w:sz w:val="20"/>
                <w:szCs w:val="20"/>
                <w:color w:val="auto"/>
              </w:rPr>
            </w:pPr>
            <w:r>
              <w:rPr>
                <w:rFonts w:ascii="Arial" w:cs="Arial" w:eastAsia="Arial" w:hAnsi="Arial"/>
                <w:sz w:val="18"/>
                <w:szCs w:val="18"/>
                <w:color w:val="auto"/>
                <w:w w:val="97"/>
              </w:rPr>
              <w:t>John Egan, 515-235-9500, egan.john@principal.com</w:t>
            </w:r>
          </w:p>
        </w:tc>
      </w:tr>
      <w:tr>
        <w:trPr>
          <w:trHeight w:val="20"/>
        </w:trPr>
        <w:tc>
          <w:tcPr>
            <w:tcW w:w="148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bl>
    <w:p>
      <w:pPr>
        <w:spacing w:after="0" w:line="247"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Principal</w:t>
      </w:r>
      <w:r>
        <w:rPr>
          <w:rFonts w:ascii="Arial" w:cs="Arial" w:eastAsia="Arial" w:hAnsi="Arial"/>
          <w:sz w:val="14"/>
          <w:szCs w:val="14"/>
          <w:color w:val="auto"/>
        </w:rPr>
        <w:t>®</w:t>
      </w:r>
      <w:r>
        <w:rPr>
          <w:rFonts w:ascii="Arial" w:cs="Arial" w:eastAsia="Arial" w:hAnsi="Arial"/>
          <w:sz w:val="25"/>
          <w:szCs w:val="25"/>
          <w:b w:val="1"/>
          <w:bCs w:val="1"/>
          <w:color w:val="auto"/>
        </w:rPr>
        <w:t xml:space="preserve"> announces First Quarter 2020 results</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Company also announces common stock dividend</w:t>
      </w:r>
    </w:p>
    <w:p>
      <w:pPr>
        <w:spacing w:after="0" w:line="223"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Company Highlights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7543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754380"/>
                    </a:xfrm>
                    <a:prstGeom prst="rect">
                      <a:avLst/>
                    </a:prstGeom>
                    <a:noFill/>
                  </pic:spPr>
                </pic:pic>
              </a:graphicData>
            </a:graphic>
          </wp:anchor>
        </w:drawing>
      </w:r>
    </w:p>
    <w:p>
      <w:pPr>
        <w:ind w:left="660" w:hanging="315"/>
        <w:spacing w:after="0" w:line="197" w:lineRule="auto"/>
        <w:tabs>
          <w:tab w:leader="none" w:pos="660" w:val="left"/>
        </w:tabs>
        <w:numPr>
          <w:ilvl w:val="0"/>
          <w:numId w:val="4"/>
        </w:numPr>
        <w:rPr>
          <w:rFonts w:ascii="Arial" w:cs="Arial" w:eastAsia="Arial" w:hAnsi="Arial"/>
          <w:sz w:val="34"/>
          <w:szCs w:val="34"/>
          <w:color w:val="auto"/>
          <w:vertAlign w:val="superscript"/>
        </w:rPr>
      </w:pPr>
      <w:r>
        <w:rPr>
          <w:rFonts w:ascii="Arial" w:cs="Arial" w:eastAsia="Arial" w:hAnsi="Arial"/>
          <w:sz w:val="17"/>
          <w:szCs w:val="17"/>
          <w:b w:val="1"/>
          <w:bCs w:val="1"/>
          <w:color w:val="auto"/>
        </w:rPr>
        <w:t>First quarter 2020 net income attributable to Principal Financial Group</w:t>
      </w:r>
      <w:r>
        <w:rPr>
          <w:rFonts w:ascii="Arial" w:cs="Arial" w:eastAsia="Arial" w:hAnsi="Arial"/>
          <w:sz w:val="27"/>
          <w:szCs w:val="27"/>
          <w:color w:val="auto"/>
          <w:vertAlign w:val="superscript"/>
        </w:rPr>
        <w:t>®</w:t>
      </w:r>
      <w:r>
        <w:rPr>
          <w:rFonts w:ascii="Arial" w:cs="Arial" w:eastAsia="Arial" w:hAnsi="Arial"/>
          <w:sz w:val="17"/>
          <w:szCs w:val="17"/>
          <w:b w:val="1"/>
          <w:bCs w:val="1"/>
          <w:color w:val="auto"/>
        </w:rPr>
        <w:t>, Inc. (PFG) of $288.9 million, or $1.04 per diluted share</w:t>
      </w:r>
    </w:p>
    <w:p>
      <w:pPr>
        <w:spacing w:after="0" w:line="1" w:lineRule="exact"/>
        <w:rPr>
          <w:rFonts w:ascii="Arial" w:cs="Arial" w:eastAsia="Arial" w:hAnsi="Arial"/>
          <w:sz w:val="34"/>
          <w:szCs w:val="34"/>
          <w:color w:val="auto"/>
          <w:vertAlign w:val="superscript"/>
        </w:rPr>
      </w:pPr>
    </w:p>
    <w:p>
      <w:pPr>
        <w:ind w:left="660" w:hanging="315"/>
        <w:spacing w:after="0" w:line="180" w:lineRule="auto"/>
        <w:tabs>
          <w:tab w:leader="none" w:pos="660" w:val="left"/>
        </w:tabs>
        <w:numPr>
          <w:ilvl w:val="0"/>
          <w:numId w:val="4"/>
        </w:numPr>
        <w:rPr>
          <w:rFonts w:ascii="Arial" w:cs="Arial" w:eastAsia="Arial" w:hAnsi="Arial"/>
          <w:sz w:val="25"/>
          <w:szCs w:val="25"/>
          <w:color w:val="auto"/>
          <w:vertAlign w:val="superscript"/>
        </w:rPr>
      </w:pPr>
      <w:r>
        <w:rPr>
          <w:rFonts w:ascii="Arial" w:cs="Arial" w:eastAsia="Arial" w:hAnsi="Arial"/>
          <w:sz w:val="14"/>
          <w:szCs w:val="14"/>
          <w:b w:val="1"/>
          <w:bCs w:val="1"/>
          <w:color w:val="auto"/>
        </w:rPr>
        <w:t>First quarter 2020 non-GAAP operating earnings</w:t>
      </w:r>
      <w:r>
        <w:rPr>
          <w:rFonts w:ascii="Arial" w:cs="Arial" w:eastAsia="Arial" w:hAnsi="Arial"/>
          <w:sz w:val="21"/>
          <w:szCs w:val="21"/>
          <w:b w:val="1"/>
          <w:bCs w:val="1"/>
          <w:color w:val="auto"/>
          <w:vertAlign w:val="superscript"/>
        </w:rPr>
        <w:t>1</w:t>
      </w:r>
      <w:r>
        <w:rPr>
          <w:rFonts w:ascii="Arial" w:cs="Arial" w:eastAsia="Arial" w:hAnsi="Arial"/>
          <w:sz w:val="14"/>
          <w:szCs w:val="14"/>
          <w:b w:val="1"/>
          <w:bCs w:val="1"/>
          <w:color w:val="auto"/>
        </w:rPr>
        <w:t xml:space="preserve"> of $319.6 million, or $1.15 per diluted share</w:t>
      </w:r>
    </w:p>
    <w:p>
      <w:pPr>
        <w:ind w:left="660" w:hanging="315"/>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Assets under management (AUM) of $631.1 billion</w:t>
      </w:r>
    </w:p>
    <w:p>
      <w:pPr>
        <w:spacing w:after="0" w:line="7" w:lineRule="exact"/>
        <w:rPr>
          <w:rFonts w:ascii="Arial" w:cs="Arial" w:eastAsia="Arial" w:hAnsi="Arial"/>
          <w:sz w:val="18"/>
          <w:szCs w:val="18"/>
          <w:color w:val="auto"/>
        </w:rPr>
      </w:pPr>
    </w:p>
    <w:p>
      <w:pPr>
        <w:ind w:left="660" w:hanging="315"/>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b w:val="1"/>
          <w:bCs w:val="1"/>
          <w:color w:val="auto"/>
        </w:rPr>
        <w:t>Company declares second quarter 2020 common stock dividend of $0.56 per share; a 4% increase over second quarter 2019</w:t>
      </w:r>
    </w:p>
    <w:p>
      <w:pPr>
        <w:spacing w:after="0" w:line="239" w:lineRule="exact"/>
        <w:rPr>
          <w:sz w:val="20"/>
          <w:szCs w:val="20"/>
          <w:color w:val="auto"/>
        </w:rPr>
      </w:pPr>
    </w:p>
    <w:p>
      <w:pPr>
        <w:ind w:right="340"/>
        <w:spacing w:after="0" w:line="224" w:lineRule="auto"/>
        <w:rPr>
          <w:sz w:val="20"/>
          <w:szCs w:val="20"/>
          <w:color w:val="auto"/>
        </w:rPr>
      </w:pPr>
      <w:r>
        <w:rPr>
          <w:rFonts w:ascii="Arial" w:cs="Arial" w:eastAsia="Arial" w:hAnsi="Arial"/>
          <w:sz w:val="18"/>
          <w:szCs w:val="18"/>
          <w:color w:val="auto"/>
        </w:rPr>
        <w:t>(Des Moines, Iowa) – During the first quarter of 2020, Principal Financial Group</w:t>
      </w:r>
      <w:r>
        <w:rPr>
          <w:rFonts w:ascii="Arial" w:cs="Arial" w:eastAsia="Arial" w:hAnsi="Arial"/>
          <w:sz w:val="29"/>
          <w:szCs w:val="29"/>
          <w:color w:val="auto"/>
          <w:vertAlign w:val="superscript"/>
        </w:rPr>
        <w:t>®</w:t>
      </w:r>
      <w:r>
        <w:rPr>
          <w:rFonts w:ascii="Arial" w:cs="Arial" w:eastAsia="Arial" w:hAnsi="Arial"/>
          <w:sz w:val="18"/>
          <w:szCs w:val="18"/>
          <w:color w:val="auto"/>
        </w:rPr>
        <w:t xml:space="preserve"> (Nasdaq: PFG) managed and responded to the global COVID-19 pandemic – successfully redirecting resources and efforts to maintain operations, continuing to serve customers worldwide, and keeping our employees safe.</w:t>
      </w:r>
    </w:p>
    <w:p>
      <w:pPr>
        <w:spacing w:after="0" w:line="203" w:lineRule="exact"/>
        <w:rPr>
          <w:sz w:val="20"/>
          <w:szCs w:val="20"/>
          <w:color w:val="auto"/>
        </w:rPr>
      </w:pPr>
    </w:p>
    <w:p>
      <w:pPr>
        <w:ind w:right="140"/>
        <w:spacing w:after="0" w:line="291" w:lineRule="auto"/>
        <w:rPr>
          <w:sz w:val="20"/>
          <w:szCs w:val="20"/>
          <w:color w:val="auto"/>
        </w:rPr>
      </w:pPr>
      <w:r>
        <w:rPr>
          <w:rFonts w:ascii="Arial" w:cs="Arial" w:eastAsia="Arial" w:hAnsi="Arial"/>
          <w:sz w:val="16"/>
          <w:szCs w:val="16"/>
          <w:color w:val="auto"/>
        </w:rPr>
        <w:t>“The COVID-19 health crisis has touched every aspect of our lives and our business, and I’m extremely proud of our leadership team and employees who adapted quickly to ensure we could continue to meet the needs of our customers and stay aligned to our core values and our long-term strategy,” said Dan</w:t>
      </w:r>
    </w:p>
    <w:p>
      <w:pPr>
        <w:ind w:right="20"/>
        <w:spacing w:after="0" w:line="250" w:lineRule="auto"/>
        <w:rPr>
          <w:sz w:val="20"/>
          <w:szCs w:val="20"/>
          <w:color w:val="auto"/>
        </w:rPr>
      </w:pPr>
      <w:r>
        <w:rPr>
          <w:rFonts w:ascii="Arial" w:cs="Arial" w:eastAsia="Arial" w:hAnsi="Arial"/>
          <w:sz w:val="16"/>
          <w:szCs w:val="16"/>
          <w:color w:val="auto"/>
        </w:rPr>
        <w:t>Houston, chairman, president, and CEO of Principal</w:t>
      </w:r>
      <w:r>
        <w:rPr>
          <w:rFonts w:ascii="Arial" w:cs="Arial" w:eastAsia="Arial" w:hAnsi="Arial"/>
          <w:sz w:val="26"/>
          <w:szCs w:val="26"/>
          <w:color w:val="auto"/>
          <w:vertAlign w:val="superscript"/>
        </w:rPr>
        <w:t>®</w:t>
      </w:r>
      <w:r>
        <w:rPr>
          <w:rFonts w:ascii="Arial" w:cs="Arial" w:eastAsia="Arial" w:hAnsi="Arial"/>
          <w:sz w:val="16"/>
          <w:szCs w:val="16"/>
          <w:color w:val="auto"/>
        </w:rPr>
        <w:t>. “We started 2020 from a position of financial strength and stability with a solid balance sheet, high quality investment portfolio, and ample liquidity. Coupled with our diversified operating model, Principal is not only able to meet the financial needs of our business, but along with the Principal Foundation we are also providing more than $25 million in customer relief and support to our communities.”</w:t>
      </w:r>
    </w:p>
    <w:p>
      <w:pPr>
        <w:spacing w:after="0" w:line="195"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At the onset of COVID-19, Principal prioritized the health and safety of its nearly 18,000 global employees. Today, 95 percent of company employees are working remotely with no significant interruption for its 37 million customers. In the U.S., Principal has also extended grace periods, waived loan origination and hardship withdrawal fees, among other adjustments to help its customers financially impacted by the pandemic and make it easier to do business with the company.</w:t>
      </w:r>
    </w:p>
    <w:p>
      <w:pPr>
        <w:spacing w:after="0" w:line="183"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 xml:space="preserve">Additional details on the impacts of COVID-19 to Principal </w:t>
      </w:r>
      <w:r>
        <w:rPr>
          <w:rFonts w:ascii="Arial" w:cs="Arial" w:eastAsia="Arial" w:hAnsi="Arial"/>
          <w:sz w:val="18"/>
          <w:szCs w:val="18"/>
          <w:color w:val="auto"/>
        </w:rPr>
        <w:t>can be found in our first quarter 2020 earnings call slide presentation and</w:t>
      </w:r>
      <w:r>
        <w:rPr>
          <w:rFonts w:ascii="Arial" w:cs="Arial" w:eastAsia="Arial" w:hAnsi="Arial"/>
          <w:sz w:val="18"/>
          <w:szCs w:val="18"/>
          <w:b w:val="1"/>
          <w:bCs w:val="1"/>
          <w:color w:val="auto"/>
        </w:rPr>
        <w:t xml:space="preserve"> details of our U.S. investment portfolio </w:t>
      </w:r>
      <w:r>
        <w:rPr>
          <w:rFonts w:ascii="Arial" w:cs="Arial" w:eastAsia="Arial" w:hAnsi="Arial"/>
          <w:sz w:val="18"/>
          <w:szCs w:val="18"/>
          <w:color w:val="auto"/>
        </w:rPr>
        <w:t>are available in a supplemental slide presentation, both available at principal.com/investor.</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2020 financial results</w:t>
      </w:r>
    </w:p>
    <w:p>
      <w:pPr>
        <w:spacing w:after="0" w:line="225" w:lineRule="exact"/>
        <w:rPr>
          <w:sz w:val="20"/>
          <w:szCs w:val="20"/>
          <w:color w:val="auto"/>
        </w:rPr>
      </w:pPr>
    </w:p>
    <w:p>
      <w:pPr>
        <w:ind w:left="820" w:right="160" w:hanging="326"/>
        <w:spacing w:after="0" w:line="282" w:lineRule="auto"/>
        <w:tabs>
          <w:tab w:leader="none" w:pos="82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Net income attributable to PFG for first quarter 2020 of $288.9 million</w:t>
      </w:r>
      <w:r>
        <w:rPr>
          <w:rFonts w:ascii="Arial" w:cs="Arial" w:eastAsia="Arial" w:hAnsi="Arial"/>
          <w:sz w:val="18"/>
          <w:szCs w:val="18"/>
          <w:color w:val="auto"/>
        </w:rPr>
        <w:t>, compared to $429.9 million for first quarter 2019. Net income per</w:t>
      </w:r>
      <w:r>
        <w:rPr>
          <w:rFonts w:ascii="Arial" w:cs="Arial" w:eastAsia="Arial" w:hAnsi="Arial"/>
          <w:sz w:val="18"/>
          <w:szCs w:val="18"/>
          <w:b w:val="1"/>
          <w:bCs w:val="1"/>
          <w:color w:val="auto"/>
        </w:rPr>
        <w:t xml:space="preserve"> </w:t>
      </w:r>
      <w:r>
        <w:rPr>
          <w:rFonts w:ascii="Arial" w:cs="Arial" w:eastAsia="Arial" w:hAnsi="Arial"/>
          <w:sz w:val="18"/>
          <w:szCs w:val="18"/>
          <w:color w:val="auto"/>
        </w:rPr>
        <w:t>diluted share of $1.04 for first quarter 2020 compared to $1.53 in the prior year quarter.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17830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133" w:lineRule="exact"/>
        <w:rPr>
          <w:sz w:val="20"/>
          <w:szCs w:val="20"/>
          <w:color w:val="auto"/>
        </w:rPr>
      </w:pPr>
    </w:p>
    <w:p>
      <w:pPr>
        <w:ind w:left="120" w:hanging="112"/>
        <w:spacing w:after="0"/>
        <w:tabs>
          <w:tab w:leader="none" w:pos="120" w:val="left"/>
        </w:tabs>
        <w:numPr>
          <w:ilvl w:val="0"/>
          <w:numId w:val="6"/>
        </w:numPr>
        <w:rPr>
          <w:rFonts w:ascii="Arial" w:cs="Arial" w:eastAsia="Arial" w:hAnsi="Arial"/>
          <w:sz w:val="27"/>
          <w:szCs w:val="27"/>
          <w:color w:val="auto"/>
          <w:vertAlign w:val="superscript"/>
        </w:rPr>
      </w:pPr>
      <w:r>
        <w:rPr>
          <w:rFonts w:ascii="Arial" w:cs="Arial" w:eastAsia="Arial" w:hAnsi="Arial"/>
          <w:sz w:val="16"/>
          <w:szCs w:val="16"/>
          <w:color w:val="auto"/>
        </w:rPr>
        <w:t>Use of non-GAAP financial measures is discussed in this release after segment results. Non-GAAP operating earnings for total company is after tax.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436880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1" w:right="33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586105</wp:posOffset>
            </wp:positionV>
            <wp:extent cx="1680210" cy="5575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12" w:lineRule="exact"/>
        <w:rPr>
          <w:sz w:val="20"/>
          <w:szCs w:val="20"/>
          <w:color w:val="auto"/>
        </w:rPr>
      </w:pPr>
    </w:p>
    <w:p>
      <w:pPr>
        <w:ind w:left="820" w:right="460" w:hanging="326"/>
        <w:spacing w:after="0" w:line="282"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b w:val="1"/>
          <w:bCs w:val="1"/>
          <w:color w:val="auto"/>
        </w:rPr>
        <w:t xml:space="preserve">Non-GAAP operating earnings for first quarter 2020 of $319.6 million, </w:t>
      </w:r>
      <w:r>
        <w:rPr>
          <w:rFonts w:ascii="Arial" w:cs="Arial" w:eastAsia="Arial" w:hAnsi="Arial"/>
          <w:sz w:val="18"/>
          <w:szCs w:val="18"/>
          <w:color w:val="auto"/>
        </w:rPr>
        <w:t>compared to $400.3 million for first quarter 2019. Non-GAAP</w:t>
      </w:r>
      <w:r>
        <w:rPr>
          <w:rFonts w:ascii="Arial" w:cs="Arial" w:eastAsia="Arial" w:hAnsi="Arial"/>
          <w:sz w:val="18"/>
          <w:szCs w:val="18"/>
          <w:b w:val="1"/>
          <w:bCs w:val="1"/>
          <w:color w:val="auto"/>
        </w:rPr>
        <w:t xml:space="preserve"> </w:t>
      </w:r>
      <w:r>
        <w:rPr>
          <w:rFonts w:ascii="Arial" w:cs="Arial" w:eastAsia="Arial" w:hAnsi="Arial"/>
          <w:sz w:val="18"/>
          <w:szCs w:val="18"/>
          <w:color w:val="auto"/>
        </w:rPr>
        <w:t>operating earnings per diluted share of $1.15 for first quarter 2020 compared to $1.43 for first quarter 2019.</w:t>
      </w:r>
    </w:p>
    <w:p>
      <w:pPr>
        <w:spacing w:after="0" w:line="161" w:lineRule="exact"/>
        <w:rPr>
          <w:rFonts w:ascii="Arial" w:cs="Arial" w:eastAsia="Arial" w:hAnsi="Arial"/>
          <w:sz w:val="18"/>
          <w:szCs w:val="18"/>
          <w:color w:val="auto"/>
        </w:rPr>
      </w:pPr>
    </w:p>
    <w:p>
      <w:pPr>
        <w:jc w:val="both"/>
        <w:ind w:left="820" w:right="60" w:hanging="326"/>
        <w:spacing w:after="0" w:line="266" w:lineRule="auto"/>
        <w:tabs>
          <w:tab w:leader="none" w:pos="820" w:val="left"/>
        </w:tabs>
        <w:numPr>
          <w:ilvl w:val="0"/>
          <w:numId w:val="7"/>
        </w:numPr>
        <w:rPr>
          <w:rFonts w:ascii="Arial" w:cs="Arial" w:eastAsia="Arial" w:hAnsi="Arial"/>
          <w:sz w:val="18"/>
          <w:szCs w:val="18"/>
          <w:color w:val="auto"/>
        </w:rPr>
      </w:pPr>
      <w:r>
        <w:rPr>
          <w:rFonts w:ascii="Arial" w:cs="Arial" w:eastAsia="Arial" w:hAnsi="Arial"/>
          <w:sz w:val="18"/>
          <w:szCs w:val="18"/>
          <w:b w:val="1"/>
          <w:bCs w:val="1"/>
          <w:color w:val="auto"/>
        </w:rPr>
        <w:t xml:space="preserve">Quarterly common stock dividend of $0.56 per share </w:t>
      </w:r>
      <w:r>
        <w:rPr>
          <w:rFonts w:ascii="Arial" w:cs="Arial" w:eastAsia="Arial" w:hAnsi="Arial"/>
          <w:sz w:val="18"/>
          <w:szCs w:val="18"/>
          <w:color w:val="auto"/>
        </w:rPr>
        <w:t>for second quarter 2020 was authorized by the company’s Board of Directors, bringing</w:t>
      </w:r>
      <w:r>
        <w:rPr>
          <w:rFonts w:ascii="Arial" w:cs="Arial" w:eastAsia="Arial" w:hAnsi="Arial"/>
          <w:sz w:val="18"/>
          <w:szCs w:val="18"/>
          <w:b w:val="1"/>
          <w:bCs w:val="1"/>
          <w:color w:val="auto"/>
        </w:rPr>
        <w:t xml:space="preserve"> </w:t>
      </w:r>
      <w:r>
        <w:rPr>
          <w:rFonts w:ascii="Arial" w:cs="Arial" w:eastAsia="Arial" w:hAnsi="Arial"/>
          <w:sz w:val="18"/>
          <w:szCs w:val="18"/>
          <w:color w:val="auto"/>
        </w:rPr>
        <w:t>the trailing twelve-month dividend to $2.22 per share, a 3% increase compared to the prior year trailing twelve-month period. The dividend will be payable on June 26, 2020, to shareholders of record as of June 1, 2020.</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first quarter highlights</w:t>
      </w:r>
    </w:p>
    <w:p>
      <w:pPr>
        <w:spacing w:after="0" w:line="233" w:lineRule="exact"/>
        <w:rPr>
          <w:sz w:val="20"/>
          <w:szCs w:val="20"/>
          <w:color w:val="auto"/>
        </w:rPr>
      </w:pPr>
    </w:p>
    <w:p>
      <w:pPr>
        <w:ind w:left="660" w:right="200" w:hanging="328"/>
        <w:spacing w:after="0" w:line="214" w:lineRule="auto"/>
        <w:tabs>
          <w:tab w:leader="none" w:pos="660" w:val="left"/>
        </w:tabs>
        <w:numPr>
          <w:ilvl w:val="0"/>
          <w:numId w:val="8"/>
        </w:numPr>
        <w:rPr>
          <w:rFonts w:ascii="Arial" w:cs="Arial" w:eastAsia="Arial" w:hAnsi="Arial"/>
          <w:sz w:val="25"/>
          <w:szCs w:val="25"/>
          <w:color w:val="auto"/>
        </w:rPr>
      </w:pPr>
      <w:r>
        <w:rPr>
          <w:rFonts w:ascii="Arial" w:cs="Arial" w:eastAsia="Arial" w:hAnsi="Arial"/>
          <w:sz w:val="18"/>
          <w:szCs w:val="18"/>
          <w:color w:val="auto"/>
        </w:rPr>
        <w:t>Strong Morningstar investment performance</w:t>
      </w:r>
      <w:r>
        <w:rPr>
          <w:rFonts w:ascii="Arial" w:cs="Arial" w:eastAsia="Arial" w:hAnsi="Arial"/>
          <w:sz w:val="29"/>
          <w:szCs w:val="29"/>
          <w:color w:val="auto"/>
          <w:vertAlign w:val="superscript"/>
        </w:rPr>
        <w:t>2</w:t>
      </w:r>
      <w:r>
        <w:rPr>
          <w:rFonts w:ascii="Arial" w:cs="Arial" w:eastAsia="Arial" w:hAnsi="Arial"/>
          <w:sz w:val="18"/>
          <w:szCs w:val="18"/>
          <w:color w:val="auto"/>
        </w:rPr>
        <w:t>, with 64% of Principal investment options above median on a one-year basis, 77% on a three-year basis, and 80% on a five-year basis. Additionally, 73% of fund level AUM had a 4- or 5-star rating.</w:t>
      </w:r>
    </w:p>
    <w:p>
      <w:pPr>
        <w:spacing w:after="0" w:line="206" w:lineRule="exact"/>
        <w:rPr>
          <w:rFonts w:ascii="Arial" w:cs="Arial" w:eastAsia="Arial" w:hAnsi="Arial"/>
          <w:sz w:val="25"/>
          <w:szCs w:val="25"/>
          <w:color w:val="auto"/>
        </w:rPr>
      </w:pPr>
    </w:p>
    <w:p>
      <w:pPr>
        <w:ind w:left="660" w:right="280" w:hanging="328"/>
        <w:spacing w:after="0" w:line="214" w:lineRule="auto"/>
        <w:tabs>
          <w:tab w:leader="none" w:pos="660" w:val="left"/>
        </w:tabs>
        <w:numPr>
          <w:ilvl w:val="0"/>
          <w:numId w:val="8"/>
        </w:numPr>
        <w:rPr>
          <w:rFonts w:ascii="Arial" w:cs="Arial" w:eastAsia="Arial" w:hAnsi="Arial"/>
          <w:sz w:val="25"/>
          <w:szCs w:val="25"/>
          <w:color w:val="auto"/>
        </w:rPr>
      </w:pPr>
      <w:r>
        <w:rPr>
          <w:rFonts w:ascii="Arial" w:cs="Arial" w:eastAsia="Arial" w:hAnsi="Arial"/>
          <w:sz w:val="18"/>
          <w:szCs w:val="18"/>
          <w:color w:val="auto"/>
        </w:rPr>
        <w:t>Retirement and Income Solutions (RIS) - Fee sales</w:t>
      </w:r>
      <w:r>
        <w:rPr>
          <w:rFonts w:ascii="Arial" w:cs="Arial" w:eastAsia="Arial" w:hAnsi="Arial"/>
          <w:sz w:val="29"/>
          <w:szCs w:val="29"/>
          <w:color w:val="auto"/>
          <w:vertAlign w:val="superscript"/>
        </w:rPr>
        <w:t>3</w:t>
      </w:r>
      <w:r>
        <w:rPr>
          <w:rFonts w:ascii="Arial" w:cs="Arial" w:eastAsia="Arial" w:hAnsi="Arial"/>
          <w:sz w:val="18"/>
          <w:szCs w:val="18"/>
          <w:color w:val="auto"/>
        </w:rPr>
        <w:t xml:space="preserve"> were $4.8 billion and net cash flow was $2.1 billion, including a 14% increase in recurring deposits from the prior year quarter.</w:t>
      </w:r>
    </w:p>
    <w:p>
      <w:pPr>
        <w:spacing w:after="0" w:line="202" w:lineRule="exact"/>
        <w:rPr>
          <w:rFonts w:ascii="Arial" w:cs="Arial" w:eastAsia="Arial" w:hAnsi="Arial"/>
          <w:sz w:val="25"/>
          <w:szCs w:val="25"/>
          <w:color w:val="auto"/>
        </w:rPr>
      </w:pPr>
    </w:p>
    <w:p>
      <w:pPr>
        <w:ind w:left="660" w:right="140" w:hanging="328"/>
        <w:spacing w:after="0" w:line="182" w:lineRule="auto"/>
        <w:tabs>
          <w:tab w:leader="none" w:pos="660" w:val="left"/>
        </w:tabs>
        <w:numPr>
          <w:ilvl w:val="0"/>
          <w:numId w:val="8"/>
        </w:numPr>
        <w:rPr>
          <w:rFonts w:ascii="Arial" w:cs="Arial" w:eastAsia="Arial" w:hAnsi="Arial"/>
          <w:sz w:val="36"/>
          <w:szCs w:val="36"/>
          <w:color w:val="auto"/>
          <w:vertAlign w:val="subscript"/>
        </w:rPr>
      </w:pPr>
      <w:r>
        <w:rPr>
          <w:rFonts w:ascii="Arial" w:cs="Arial" w:eastAsia="Arial" w:hAnsi="Arial"/>
          <w:sz w:val="15"/>
          <w:szCs w:val="15"/>
          <w:color w:val="auto"/>
        </w:rPr>
        <w:t>RIS-Spread account values were $52.5 billion, a 12% increase over the prior year quarter. First quarter sales were $2.3 billion, including a record $1.5 billion of pension risk transfer sales.</w:t>
      </w:r>
    </w:p>
    <w:p>
      <w:pPr>
        <w:spacing w:after="0" w:line="1" w:lineRule="exact"/>
        <w:rPr>
          <w:rFonts w:ascii="Arial" w:cs="Arial" w:eastAsia="Arial" w:hAnsi="Arial"/>
          <w:sz w:val="36"/>
          <w:szCs w:val="36"/>
          <w:color w:val="auto"/>
          <w:vertAlign w:val="subscript"/>
        </w:rPr>
      </w:pPr>
    </w:p>
    <w:p>
      <w:pPr>
        <w:ind w:left="660" w:hanging="328"/>
        <w:spacing w:after="0" w:line="180" w:lineRule="auto"/>
        <w:tabs>
          <w:tab w:leader="none" w:pos="660" w:val="left"/>
        </w:tabs>
        <w:numPr>
          <w:ilvl w:val="0"/>
          <w:numId w:val="8"/>
        </w:numPr>
        <w:rPr>
          <w:rFonts w:ascii="Arial" w:cs="Arial" w:eastAsia="Arial" w:hAnsi="Arial"/>
          <w:sz w:val="50"/>
          <w:szCs w:val="50"/>
          <w:color w:val="auto"/>
          <w:vertAlign w:val="subscript"/>
        </w:rPr>
      </w:pPr>
      <w:r>
        <w:rPr>
          <w:rFonts w:ascii="Arial" w:cs="Arial" w:eastAsia="Arial" w:hAnsi="Arial"/>
          <w:sz w:val="18"/>
          <w:szCs w:val="18"/>
          <w:color w:val="auto"/>
        </w:rPr>
        <w:t>Principal Global Investors (PGI) managed AUM was $405.5 billion. First quarter U.S. Mutual Funds sales were a record $7.9 billion.</w:t>
      </w:r>
    </w:p>
    <w:p>
      <w:pPr>
        <w:spacing w:after="0" w:line="90" w:lineRule="exact"/>
        <w:rPr>
          <w:rFonts w:ascii="Arial" w:cs="Arial" w:eastAsia="Arial" w:hAnsi="Arial"/>
          <w:sz w:val="50"/>
          <w:szCs w:val="50"/>
          <w:color w:val="auto"/>
          <w:vertAlign w:val="subscript"/>
        </w:rPr>
      </w:pPr>
    </w:p>
    <w:p>
      <w:pPr>
        <w:ind w:left="660" w:hanging="328"/>
        <w:spacing w:after="0" w:line="180" w:lineRule="auto"/>
        <w:tabs>
          <w:tab w:leader="none" w:pos="660" w:val="left"/>
        </w:tabs>
        <w:numPr>
          <w:ilvl w:val="0"/>
          <w:numId w:val="8"/>
        </w:numPr>
        <w:rPr>
          <w:rFonts w:ascii="Arial" w:cs="Arial" w:eastAsia="Arial" w:hAnsi="Arial"/>
          <w:sz w:val="49"/>
          <w:szCs w:val="49"/>
          <w:color w:val="auto"/>
          <w:vertAlign w:val="subscript"/>
        </w:rPr>
      </w:pPr>
      <w:r>
        <w:rPr>
          <w:rFonts w:ascii="Arial" w:cs="Arial" w:eastAsia="Arial" w:hAnsi="Arial"/>
          <w:sz w:val="18"/>
          <w:szCs w:val="18"/>
          <w:color w:val="auto"/>
        </w:rPr>
        <w:t>Principal International (PI) generated net cash flow of $0.3 billion, marking its 46th consecutive quarter of positive net cash flow.</w:t>
      </w:r>
    </w:p>
    <w:p>
      <w:pPr>
        <w:spacing w:after="0" w:line="263" w:lineRule="exact"/>
        <w:rPr>
          <w:sz w:val="20"/>
          <w:szCs w:val="20"/>
          <w:color w:val="auto"/>
        </w:rPr>
      </w:pPr>
    </w:p>
    <w:p>
      <w:pPr>
        <w:ind w:left="660" w:hanging="328"/>
        <w:spacing w:after="0"/>
        <w:tabs>
          <w:tab w:leader="none" w:pos="660" w:val="left"/>
        </w:tabs>
        <w:numPr>
          <w:ilvl w:val="0"/>
          <w:numId w:val="9"/>
        </w:numPr>
        <w:rPr>
          <w:rFonts w:ascii="Arial" w:cs="Arial" w:eastAsia="Arial" w:hAnsi="Arial"/>
          <w:sz w:val="36"/>
          <w:szCs w:val="36"/>
          <w:color w:val="auto"/>
          <w:vertAlign w:val="superscript"/>
        </w:rPr>
      </w:pPr>
      <w:r>
        <w:rPr>
          <w:rFonts w:ascii="Arial" w:cs="Arial" w:eastAsia="Arial" w:hAnsi="Arial"/>
          <w:sz w:val="18"/>
          <w:szCs w:val="18"/>
          <w:color w:val="auto"/>
        </w:rPr>
        <w:t>Specialty Benefits pre-tax return on premium and fees</w:t>
      </w:r>
      <w:r>
        <w:rPr>
          <w:rFonts w:ascii="Arial" w:cs="Arial" w:eastAsia="Arial" w:hAnsi="Arial"/>
          <w:sz w:val="29"/>
          <w:szCs w:val="29"/>
          <w:color w:val="auto"/>
          <w:vertAlign w:val="superscript"/>
        </w:rPr>
        <w:t>4</w:t>
      </w:r>
      <w:r>
        <w:rPr>
          <w:rFonts w:ascii="Arial" w:cs="Arial" w:eastAsia="Arial" w:hAnsi="Arial"/>
          <w:sz w:val="18"/>
          <w:szCs w:val="18"/>
          <w:color w:val="auto"/>
        </w:rPr>
        <w:t xml:space="preserve"> of 14.8% increased 430 basis points from the prior year quarter.</w:t>
      </w:r>
    </w:p>
    <w:p>
      <w:pPr>
        <w:spacing w:after="0" w:line="78" w:lineRule="exact"/>
        <w:rPr>
          <w:rFonts w:ascii="Arial" w:cs="Arial" w:eastAsia="Arial" w:hAnsi="Arial"/>
          <w:sz w:val="36"/>
          <w:szCs w:val="36"/>
          <w:color w:val="auto"/>
          <w:vertAlign w:val="superscript"/>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Individual Life premium and fees increased 7% over the prior year quarter.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Continued strong financial position at the end of the first quarter</w:t>
      </w:r>
    </w:p>
    <w:p>
      <w:pPr>
        <w:spacing w:after="0" w:line="229" w:lineRule="exact"/>
        <w:rPr>
          <w:sz w:val="20"/>
          <w:szCs w:val="20"/>
          <w:color w:val="auto"/>
        </w:rPr>
      </w:pPr>
    </w:p>
    <w:p>
      <w:pPr>
        <w:ind w:left="660" w:right="520" w:hanging="328"/>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$3.0 billion of total company available cash and liquid assets. We also have $800 million of revolving credit facilities available for liquidity purposes.</w:t>
      </w:r>
    </w:p>
    <w:p>
      <w:pPr>
        <w:spacing w:after="0" w:line="170" w:lineRule="exact"/>
        <w:rPr>
          <w:rFonts w:ascii="Arial" w:cs="Arial" w:eastAsia="Arial" w:hAnsi="Arial"/>
          <w:sz w:val="18"/>
          <w:szCs w:val="18"/>
          <w:color w:val="auto"/>
        </w:rPr>
      </w:pPr>
    </w:p>
    <w:p>
      <w:pPr>
        <w:jc w:val="both"/>
        <w:ind w:left="660" w:right="20" w:hanging="328"/>
        <w:spacing w:after="0" w:line="341" w:lineRule="auto"/>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$1.7 billion of cash and liquid assets held in our holding companies and other subsidiaries, which is available for corporate purposes. Additionally, we have access to a contingent capital facility that allows us to borrow up to $1 billion, the current fair value of the Treasury assets in the facility</w:t>
      </w:r>
      <w:r>
        <w:rPr>
          <w:rFonts w:ascii="Arial" w:cs="Arial" w:eastAsia="Arial" w:hAnsi="Arial"/>
          <w:sz w:val="26"/>
          <w:szCs w:val="26"/>
          <w:color w:val="auto"/>
          <w:vertAlign w:val="superscript"/>
        </w:rPr>
        <w:t>5</w:t>
      </w:r>
      <w:r>
        <w:rPr>
          <w:rFonts w:ascii="Arial" w:cs="Arial" w:eastAsia="Arial" w:hAnsi="Arial"/>
          <w:sz w:val="16"/>
          <w:szCs w:val="16"/>
          <w:color w:val="auto"/>
        </w:rPr>
        <w:t>.</w:t>
      </w:r>
    </w:p>
    <w:p>
      <w:pPr>
        <w:spacing w:after="0" w:line="2" w:lineRule="exact"/>
        <w:rPr>
          <w:rFonts w:ascii="Arial" w:cs="Arial" w:eastAsia="Arial" w:hAnsi="Arial"/>
          <w:sz w:val="16"/>
          <w:szCs w:val="16"/>
          <w:color w:val="auto"/>
        </w:rPr>
      </w:pPr>
    </w:p>
    <w:p>
      <w:pPr>
        <w:ind w:left="660" w:right="180" w:hanging="328"/>
        <w:spacing w:after="0" w:line="27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Estimated statutory risk-based capital (RBC) ratio for Principal Life Insurance Company of 409%; above the midpoint of our targeted RBC ratio range of 400%.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178308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26" w:lineRule="exact"/>
        <w:rPr>
          <w:sz w:val="20"/>
          <w:szCs w:val="20"/>
          <w:color w:val="auto"/>
        </w:rPr>
      </w:pPr>
    </w:p>
    <w:p>
      <w:pPr>
        <w:ind w:right="260" w:firstLine="8"/>
        <w:spacing w:after="0" w:line="209" w:lineRule="auto"/>
        <w:tabs>
          <w:tab w:leader="none" w:pos="120" w:val="left"/>
        </w:tabs>
        <w:numPr>
          <w:ilvl w:val="0"/>
          <w:numId w:val="11"/>
        </w:numPr>
        <w:rPr>
          <w:rFonts w:ascii="Arial" w:cs="Arial" w:eastAsia="Arial" w:hAnsi="Arial"/>
          <w:sz w:val="30"/>
          <w:szCs w:val="30"/>
          <w:color w:val="auto"/>
          <w:vertAlign w:val="superscript"/>
        </w:rPr>
      </w:pPr>
      <w:r>
        <w:rPr>
          <w:rFonts w:ascii="Arial" w:cs="Arial" w:eastAsia="Arial" w:hAnsi="Arial"/>
          <w:sz w:val="18"/>
          <w:szCs w:val="18"/>
          <w:color w:val="auto"/>
        </w:rPr>
        <w:t>Represents the percentage of Principal actively managed mutual funds, exchange traded funds (ETFs), insurance separate accounts, and collective investment trusts (CITs) in the top two Morningstar quartiles. Excludes Money Market, Stable Value, Liability Driven Investment, Hedge Fund Separate Account and US Property Separate Account.</w:t>
      </w:r>
    </w:p>
    <w:p>
      <w:pPr>
        <w:spacing w:after="0" w:line="1" w:lineRule="exact"/>
        <w:rPr>
          <w:rFonts w:ascii="Arial" w:cs="Arial" w:eastAsia="Arial" w:hAnsi="Arial"/>
          <w:sz w:val="30"/>
          <w:szCs w:val="30"/>
          <w:color w:val="auto"/>
          <w:vertAlign w:val="superscript"/>
        </w:rPr>
      </w:pPr>
    </w:p>
    <w:p>
      <w:pPr>
        <w:ind w:right="3740"/>
        <w:spacing w:after="0" w:line="191" w:lineRule="auto"/>
        <w:rPr>
          <w:rFonts w:ascii="Arial" w:cs="Arial" w:eastAsia="Arial" w:hAnsi="Arial"/>
          <w:sz w:val="30"/>
          <w:szCs w:val="30"/>
          <w:color w:val="auto"/>
          <w:vertAlign w:val="superscript"/>
        </w:rPr>
      </w:pPr>
      <w:r>
        <w:rPr>
          <w:rFonts w:ascii="Arial" w:cs="Arial" w:eastAsia="Arial" w:hAnsi="Arial"/>
          <w:sz w:val="28"/>
          <w:szCs w:val="28"/>
          <w:color w:val="auto"/>
          <w:vertAlign w:val="superscript"/>
        </w:rPr>
        <w:t>3</w:t>
      </w:r>
      <w:r>
        <w:rPr>
          <w:rFonts w:ascii="Arial" w:cs="Arial" w:eastAsia="Arial" w:hAnsi="Arial"/>
          <w:sz w:val="17"/>
          <w:szCs w:val="17"/>
          <w:color w:val="auto"/>
        </w:rPr>
        <w:t xml:space="preserve"> RIS-Fee reported sales, net cash flow, and recurring deposit growth does not include the IRT business. </w:t>
      </w:r>
      <w:r>
        <w:rPr>
          <w:rFonts w:ascii="Arial" w:cs="Arial" w:eastAsia="Arial" w:hAnsi="Arial"/>
          <w:sz w:val="28"/>
          <w:szCs w:val="28"/>
          <w:color w:val="auto"/>
          <w:vertAlign w:val="superscript"/>
        </w:rPr>
        <w:t>4</w:t>
      </w:r>
      <w:r>
        <w:rPr>
          <w:rFonts w:ascii="Arial" w:cs="Arial" w:eastAsia="Arial" w:hAnsi="Arial"/>
          <w:sz w:val="17"/>
          <w:szCs w:val="17"/>
          <w:color w:val="auto"/>
        </w:rPr>
        <w:t xml:space="preserve"> Premium and fees = premiums and other considerations plus fees and other revenues.</w:t>
      </w:r>
    </w:p>
    <w:p>
      <w:pPr>
        <w:spacing w:after="0" w:line="27" w:lineRule="exact"/>
        <w:rPr>
          <w:sz w:val="20"/>
          <w:szCs w:val="20"/>
          <w:color w:val="auto"/>
        </w:rPr>
      </w:pPr>
    </w:p>
    <w:p>
      <w:pPr>
        <w:ind w:firstLine="8"/>
        <w:spacing w:after="0" w:line="194" w:lineRule="auto"/>
        <w:tabs>
          <w:tab w:leader="none" w:pos="120" w:val="left"/>
        </w:tabs>
        <w:numPr>
          <w:ilvl w:val="0"/>
          <w:numId w:val="12"/>
        </w:numPr>
        <w:rPr>
          <w:rFonts w:ascii="Arial" w:cs="Arial" w:eastAsia="Arial" w:hAnsi="Arial"/>
          <w:sz w:val="30"/>
          <w:szCs w:val="30"/>
          <w:color w:val="auto"/>
          <w:vertAlign w:val="superscript"/>
        </w:rPr>
      </w:pPr>
      <w:r>
        <w:rPr>
          <w:rFonts w:ascii="Arial" w:cs="Arial" w:eastAsia="Arial" w:hAnsi="Arial"/>
          <w:sz w:val="18"/>
          <w:szCs w:val="18"/>
          <w:color w:val="auto"/>
        </w:rPr>
        <w:t>On March 8, 2018, we entered into two contingent funding agreements that give us the right at any time over a ten-year or thirty-year period to issue up to $400.0 million or $350.0 million, respectively, of senior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437515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586105</wp:posOffset>
            </wp:positionV>
            <wp:extent cx="1680210" cy="5575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next debt maturity, for $300 million, isn’t until 2022 and is followed by a balanced, laddered maturity schedule into the future.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Deployed $371.4 million of capital during the first quarter, including:</w:t>
      </w:r>
    </w:p>
    <w:p>
      <w:pPr>
        <w:spacing w:after="0" w:line="225" w:lineRule="exact"/>
        <w:rPr>
          <w:sz w:val="20"/>
          <w:szCs w:val="20"/>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$153.6 million of common stock dividends with the $0.56 per share common dividend paid in the first quarter, and</w:t>
      </w:r>
    </w:p>
    <w:p>
      <w:pPr>
        <w:spacing w:after="0" w:line="225"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$217.8 million to repurchase 4.1 million shares of common stock.</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80" w:type="dxa"/>
            <w:vAlign w:val="bottom"/>
          </w:tcPr>
          <w:p>
            <w:pPr>
              <w:spacing w:after="0"/>
              <w:rPr>
                <w:sz w:val="20"/>
                <w:szCs w:val="20"/>
                <w:color w:val="auto"/>
              </w:rPr>
            </w:pPr>
            <w:r>
              <w:rPr>
                <w:rFonts w:ascii="Arial" w:cs="Arial" w:eastAsia="Arial" w:hAnsi="Arial"/>
                <w:sz w:val="18"/>
                <w:szCs w:val="18"/>
                <w:b w:val="1"/>
                <w:bCs w:val="1"/>
                <w:color w:val="auto"/>
              </w:rPr>
              <w:t>Segment Results</w:t>
            </w: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4280" w:type="dxa"/>
            <w:vAlign w:val="bottom"/>
          </w:tcPr>
          <w:p>
            <w:pPr>
              <w:spacing w:after="0"/>
              <w:rPr>
                <w:sz w:val="20"/>
                <w:szCs w:val="20"/>
                <w:color w:val="auto"/>
              </w:rPr>
            </w:pPr>
            <w:r>
              <w:rPr>
                <w:rFonts w:ascii="Arial" w:cs="Arial" w:eastAsia="Arial" w:hAnsi="Arial"/>
                <w:sz w:val="18"/>
                <w:szCs w:val="18"/>
                <w:b w:val="1"/>
                <w:bCs w:val="1"/>
                <w:color w:val="auto"/>
              </w:rPr>
              <w:t>Retirement and Income Solutions - Fee</w:t>
            </w: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280" w:type="dxa"/>
            <w:vAlign w:val="bottom"/>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vMerge w:val="restart"/>
          </w:tcPr>
          <w:p>
            <w:pPr>
              <w:jc w:val="right"/>
              <w:ind w:right="380"/>
              <w:spacing w:after="0"/>
              <w:rPr>
                <w:sz w:val="20"/>
                <w:szCs w:val="20"/>
                <w:color w:val="auto"/>
              </w:rPr>
            </w:pPr>
            <w:r>
              <w:rPr>
                <w:rFonts w:ascii="Arial" w:cs="Arial" w:eastAsia="Arial" w:hAnsi="Arial"/>
                <w:sz w:val="18"/>
                <w:szCs w:val="18"/>
                <w:b w:val="1"/>
                <w:bCs w:val="1"/>
                <w:i w:val="1"/>
                <w:iCs w:val="1"/>
                <w:color w:val="auto"/>
                <w:w w:val="92"/>
              </w:rPr>
              <w:t>Quarter</w:t>
            </w: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300" w:type="dxa"/>
            <w:vAlign w:val="bottom"/>
            <w:gridSpan w:val="8"/>
            <w:vMerge w:val="restart"/>
          </w:tcPr>
          <w:p>
            <w:pPr>
              <w:jc w:val="right"/>
              <w:ind w:right="9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223"/>
        </w:trPr>
        <w:tc>
          <w:tcPr>
            <w:tcW w:w="428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vMerge w:val="continue"/>
          </w:tcPr>
          <w:p>
            <w:pPr>
              <w:spacing w:after="0"/>
              <w:rPr>
                <w:sz w:val="19"/>
                <w:szCs w:val="19"/>
                <w:color w:val="auto"/>
              </w:rPr>
            </w:pPr>
          </w:p>
        </w:tc>
        <w:tc>
          <w:tcPr>
            <w:tcW w:w="90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300" w:type="dxa"/>
            <w:vAlign w:val="bottom"/>
            <w:gridSpan w:val="8"/>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200" w:type="dxa"/>
            <w:vAlign w:val="bottom"/>
            <w:tcBorders>
              <w:top w:val="single" w:sz="8" w:color="auto"/>
              <w:bottom w:val="single" w:sz="8" w:color="CCEEFF"/>
            </w:tcBorders>
          </w:tcPr>
          <w:p>
            <w:pPr>
              <w:spacing w:after="0"/>
              <w:rPr>
                <w:sz w:val="19"/>
                <w:szCs w:val="19"/>
                <w:color w:val="auto"/>
              </w:rPr>
            </w:pPr>
          </w:p>
        </w:tc>
        <w:tc>
          <w:tcPr>
            <w:tcW w:w="60" w:type="dxa"/>
            <w:vAlign w:val="bottom"/>
            <w:tcBorders>
              <w:top w:val="single" w:sz="8" w:color="auto"/>
              <w:bottom w:val="single" w:sz="8" w:color="CCEEFF"/>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1Q19</w:t>
            </w:r>
          </w:p>
        </w:tc>
        <w:tc>
          <w:tcPr>
            <w:tcW w:w="240" w:type="dxa"/>
            <w:vAlign w:val="bottom"/>
            <w:tcBorders>
              <w:top w:val="single" w:sz="8" w:color="auto"/>
              <w:bottom w:val="single" w:sz="8" w:color="CCEEFF"/>
            </w:tcBorders>
          </w:tcPr>
          <w:p>
            <w:pPr>
              <w:spacing w:after="0"/>
              <w:rPr>
                <w:sz w:val="19"/>
                <w:szCs w:val="19"/>
                <w:color w:val="auto"/>
              </w:rPr>
            </w:pPr>
          </w:p>
        </w:tc>
        <w:tc>
          <w:tcPr>
            <w:tcW w:w="900" w:type="dxa"/>
            <w:vAlign w:val="bottom"/>
            <w:tcBorders>
              <w:top w:val="single" w:sz="8" w:color="auto"/>
              <w:bottom w:val="single" w:sz="8" w:color="CCEEFF"/>
            </w:tcBorders>
          </w:tcPr>
          <w:p>
            <w:pPr>
              <w:ind w:left="100"/>
              <w:spacing w:after="0"/>
              <w:rPr>
                <w:sz w:val="20"/>
                <w:szCs w:val="20"/>
                <w:color w:val="auto"/>
              </w:rPr>
            </w:pPr>
            <w:r>
              <w:rPr>
                <w:rFonts w:ascii="Arial" w:cs="Arial" w:eastAsia="Arial" w:hAnsi="Arial"/>
                <w:sz w:val="18"/>
                <w:szCs w:val="18"/>
                <w:color w:val="auto"/>
                <w:w w:val="92"/>
              </w:rPr>
              <w:t>% Change</w:t>
            </w:r>
          </w:p>
        </w:tc>
        <w:tc>
          <w:tcPr>
            <w:tcW w:w="240" w:type="dxa"/>
            <w:vAlign w:val="bottom"/>
            <w:tcBorders>
              <w:bottom w:val="single" w:sz="8" w:color="CCEEFF"/>
              <w:right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b w:val="1"/>
                <w:bCs w:val="1"/>
                <w:color w:val="auto"/>
              </w:rPr>
              <w:t>1Q20</w:t>
            </w:r>
          </w:p>
        </w:tc>
        <w:tc>
          <w:tcPr>
            <w:tcW w:w="220" w:type="dxa"/>
            <w:vAlign w:val="bottom"/>
            <w:tcBorders>
              <w:top w:val="single" w:sz="8" w:color="auto"/>
              <w:bottom w:val="single" w:sz="8" w:color="CCEEFF"/>
            </w:tcBorders>
          </w:tcPr>
          <w:p>
            <w:pPr>
              <w:spacing w:after="0"/>
              <w:rPr>
                <w:sz w:val="19"/>
                <w:szCs w:val="19"/>
                <w:color w:val="auto"/>
              </w:rPr>
            </w:pPr>
          </w:p>
        </w:tc>
        <w:tc>
          <w:tcPr>
            <w:tcW w:w="60" w:type="dxa"/>
            <w:vAlign w:val="bottom"/>
            <w:tcBorders>
              <w:top w:val="single" w:sz="8" w:color="auto"/>
              <w:bottom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b w:val="1"/>
                <w:bCs w:val="1"/>
                <w:color w:val="auto"/>
              </w:rPr>
              <w:t>1Q20</w:t>
            </w:r>
          </w:p>
        </w:tc>
        <w:tc>
          <w:tcPr>
            <w:tcW w:w="280" w:type="dxa"/>
            <w:vAlign w:val="bottom"/>
            <w:tcBorders>
              <w:top w:val="single" w:sz="8" w:color="auto"/>
              <w:bottom w:val="single" w:sz="8" w:color="CCEEFF"/>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 Change</w:t>
            </w:r>
          </w:p>
        </w:tc>
        <w:tc>
          <w:tcPr>
            <w:tcW w:w="16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4280" w:type="dxa"/>
            <w:vAlign w:val="bottom"/>
            <w:shd w:val="clear" w:color="auto" w:fill="CCEEFF"/>
          </w:tcPr>
          <w:p>
            <w:pPr>
              <w:spacing w:after="0" w:line="236" w:lineRule="exact"/>
              <w:rPr>
                <w:sz w:val="20"/>
                <w:szCs w:val="20"/>
                <w:color w:val="auto"/>
              </w:rPr>
            </w:pPr>
            <w:r>
              <w:rPr>
                <w:rFonts w:ascii="Arial" w:cs="Arial" w:eastAsia="Arial" w:hAnsi="Arial"/>
                <w:sz w:val="17"/>
                <w:szCs w:val="17"/>
                <w:color w:val="auto"/>
              </w:rPr>
              <w:t>Pre-tax operating earnings</w:t>
            </w:r>
            <w:r>
              <w:rPr>
                <w:rFonts w:ascii="Arial" w:cs="Arial" w:eastAsia="Arial" w:hAnsi="Arial"/>
                <w:sz w:val="27"/>
                <w:szCs w:val="27"/>
                <w:color w:val="auto"/>
                <w:vertAlign w:val="superscript"/>
              </w:rPr>
              <w:t>6</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83.1</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128.6</w:t>
            </w:r>
          </w:p>
        </w:tc>
        <w:tc>
          <w:tcPr>
            <w:tcW w:w="1140" w:type="dxa"/>
            <w:vAlign w:val="bottom"/>
            <w:tcBorders>
              <w:right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416.3</w:t>
            </w:r>
          </w:p>
        </w:tc>
        <w:tc>
          <w:tcPr>
            <w:tcW w:w="2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493.7</w:t>
            </w:r>
          </w:p>
        </w:tc>
        <w:tc>
          <w:tcPr>
            <w:tcW w:w="1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57"/>
        </w:trPr>
        <w:tc>
          <w:tcPr>
            <w:tcW w:w="4280" w:type="dxa"/>
            <w:vAlign w:val="bottom"/>
          </w:tcPr>
          <w:p>
            <w:pPr>
              <w:spacing w:after="0" w:line="256" w:lineRule="exact"/>
              <w:rPr>
                <w:sz w:val="20"/>
                <w:szCs w:val="20"/>
                <w:color w:val="auto"/>
              </w:rPr>
            </w:pPr>
            <w:r>
              <w:rPr>
                <w:rFonts w:ascii="Arial" w:cs="Arial" w:eastAsia="Arial" w:hAnsi="Arial"/>
                <w:sz w:val="18"/>
                <w:szCs w:val="18"/>
                <w:color w:val="auto"/>
              </w:rPr>
              <w:t>Net revenue</w:t>
            </w:r>
            <w:r>
              <w:rPr>
                <w:rFonts w:ascii="Arial" w:cs="Arial" w:eastAsia="Arial" w:hAnsi="Arial"/>
                <w:sz w:val="29"/>
                <w:szCs w:val="29"/>
                <w:color w:val="auto"/>
                <w:vertAlign w:val="superscript"/>
              </w:rPr>
              <w:t>7</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00"/>
              <w:spacing w:after="0"/>
              <w:rPr>
                <w:sz w:val="20"/>
                <w:szCs w:val="20"/>
                <w:color w:val="auto"/>
              </w:rPr>
            </w:pPr>
            <w:r>
              <w:rPr>
                <w:rFonts w:ascii="Arial" w:cs="Arial" w:eastAsia="Arial" w:hAnsi="Arial"/>
                <w:sz w:val="18"/>
                <w:szCs w:val="18"/>
                <w:color w:val="auto"/>
              </w:rPr>
              <w:t>486.1</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379.7</w:t>
            </w:r>
          </w:p>
        </w:tc>
        <w:tc>
          <w:tcPr>
            <w:tcW w:w="1140" w:type="dxa"/>
            <w:vAlign w:val="bottom"/>
            <w:tcBorders>
              <w:right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28%</w:t>
            </w:r>
          </w:p>
        </w:tc>
        <w:tc>
          <w:tcPr>
            <w:tcW w:w="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1,859.9</w:t>
            </w:r>
          </w:p>
        </w:tc>
        <w:tc>
          <w:tcPr>
            <w:tcW w:w="2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80"/>
              <w:spacing w:after="0"/>
              <w:rPr>
                <w:sz w:val="20"/>
                <w:szCs w:val="20"/>
                <w:color w:val="auto"/>
              </w:rPr>
            </w:pPr>
            <w:r>
              <w:rPr>
                <w:rFonts w:ascii="Arial" w:cs="Arial" w:eastAsia="Arial" w:hAnsi="Arial"/>
                <w:sz w:val="18"/>
                <w:szCs w:val="18"/>
                <w:color w:val="auto"/>
              </w:rPr>
              <w:t>1,552.4</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0"/>
        </w:trPr>
        <w:tc>
          <w:tcPr>
            <w:tcW w:w="4280" w:type="dxa"/>
            <w:vAlign w:val="bottom"/>
            <w:shd w:val="clear" w:color="auto" w:fill="CCEEFF"/>
          </w:tcPr>
          <w:p>
            <w:pPr>
              <w:spacing w:after="0" w:line="270" w:lineRule="exact"/>
              <w:rPr>
                <w:sz w:val="20"/>
                <w:szCs w:val="20"/>
                <w:color w:val="auto"/>
              </w:rPr>
            </w:pPr>
            <w:r>
              <w:rPr>
                <w:rFonts w:ascii="Arial" w:cs="Arial" w:eastAsia="Arial" w:hAnsi="Arial"/>
                <w:sz w:val="18"/>
                <w:szCs w:val="18"/>
                <w:color w:val="auto"/>
              </w:rPr>
              <w:t>Pre-tax return on net revenue</w:t>
            </w:r>
            <w:r>
              <w:rPr>
                <w:rFonts w:ascii="Arial" w:cs="Arial" w:eastAsia="Arial" w:hAnsi="Arial"/>
                <w:sz w:val="29"/>
                <w:szCs w:val="29"/>
                <w:color w:val="auto"/>
                <w:vertAlign w:val="superscript"/>
              </w:rPr>
              <w:t>8</w:t>
            </w:r>
          </w:p>
        </w:tc>
        <w:tc>
          <w:tcPr>
            <w:tcW w:w="160" w:type="dxa"/>
            <w:vAlign w:val="bottom"/>
            <w:shd w:val="clear" w:color="auto" w:fill="CCEEFF"/>
          </w:tcPr>
          <w:p>
            <w:pPr>
              <w:spacing w:after="0"/>
              <w:rPr>
                <w:sz w:val="23"/>
                <w:szCs w:val="23"/>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17.1%</w:t>
            </w:r>
          </w:p>
        </w:tc>
        <w:tc>
          <w:tcPr>
            <w:tcW w:w="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33.9%</w:t>
            </w:r>
          </w:p>
        </w:tc>
        <w:tc>
          <w:tcPr>
            <w:tcW w:w="900" w:type="dxa"/>
            <w:vAlign w:val="bottom"/>
            <w:shd w:val="clear" w:color="auto" w:fill="CCEEFF"/>
          </w:tcPr>
          <w:p>
            <w:pPr>
              <w:spacing w:after="0"/>
              <w:rPr>
                <w:sz w:val="23"/>
                <w:szCs w:val="23"/>
                <w:color w:val="auto"/>
              </w:rPr>
            </w:pPr>
          </w:p>
        </w:tc>
        <w:tc>
          <w:tcPr>
            <w:tcW w:w="240" w:type="dxa"/>
            <w:vAlign w:val="bottom"/>
            <w:tcBorders>
              <w:right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22.4%</w:t>
            </w:r>
          </w:p>
        </w:tc>
        <w:tc>
          <w:tcPr>
            <w:tcW w:w="6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31.8%</w:t>
            </w:r>
          </w:p>
        </w:tc>
        <w:tc>
          <w:tcPr>
            <w:tcW w:w="98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660" w:right="360" w:hanging="328"/>
        <w:spacing w:after="0" w:line="282"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$45.5 million primarily due to higher deferred acquisition cost (DAC) amortization expense due to the</w:t>
      </w:r>
      <w:r>
        <w:rPr>
          <w:rFonts w:ascii="Arial" w:cs="Arial" w:eastAsia="Arial" w:hAnsi="Arial"/>
          <w:sz w:val="18"/>
          <w:szCs w:val="18"/>
          <w:b w:val="1"/>
          <w:bCs w:val="1"/>
          <w:color w:val="auto"/>
        </w:rPr>
        <w:t xml:space="preserve"> </w:t>
      </w:r>
      <w:r>
        <w:rPr>
          <w:rFonts w:ascii="Arial" w:cs="Arial" w:eastAsia="Arial" w:hAnsi="Arial"/>
          <w:sz w:val="18"/>
          <w:szCs w:val="18"/>
          <w:color w:val="auto"/>
        </w:rPr>
        <w:t>lower equity markets and impacts associated with the Institutional Retirement and Trust (IRT) business.</w:t>
      </w:r>
    </w:p>
    <w:p>
      <w:pPr>
        <w:spacing w:after="0" w:line="161"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increased $106.4 million primarily due to the addition of the IRT business.</w:t>
      </w:r>
    </w:p>
    <w:p>
      <w:pPr>
        <w:sectPr>
          <w:pgSz w:w="11900" w:h="16838" w:orient="portrait"/>
          <w:cols w:equalWidth="0" w:num="1">
            <w:col w:w="11240"/>
          </w:cols>
          <w:pgMar w:left="320" w:top="1440" w:right="339" w:bottom="1440" w:gutter="0" w:footer="0" w:header="0"/>
        </w:sect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240" w:type="dxa"/>
            <w:vAlign w:val="bottom"/>
          </w:tcPr>
          <w:p>
            <w:pPr>
              <w:spacing w:after="0"/>
              <w:rPr>
                <w:sz w:val="20"/>
                <w:szCs w:val="20"/>
                <w:color w:val="auto"/>
              </w:rPr>
            </w:pPr>
            <w:r>
              <w:rPr>
                <w:rFonts w:ascii="Arial" w:cs="Arial" w:eastAsia="Arial" w:hAnsi="Arial"/>
                <w:sz w:val="18"/>
                <w:szCs w:val="18"/>
                <w:b w:val="1"/>
                <w:bCs w:val="1"/>
                <w:color w:val="auto"/>
              </w:rPr>
              <w:t>Retirement and Income Solutions - Spread</w:t>
            </w: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240" w:type="dxa"/>
            <w:vAlign w:val="bottom"/>
            <w:vMerge w:val="restart"/>
          </w:tcPr>
          <w:p>
            <w:pPr>
              <w:spacing w:after="0"/>
              <w:rPr>
                <w:sz w:val="20"/>
                <w:szCs w:val="20"/>
                <w:color w:val="auto"/>
              </w:rPr>
            </w:pPr>
            <w:r>
              <w:rPr>
                <w:rFonts w:ascii="Arial" w:cs="Arial" w:eastAsia="Arial" w:hAnsi="Arial"/>
                <w:sz w:val="18"/>
                <w:szCs w:val="18"/>
                <w:i w:val="1"/>
                <w:iCs w:val="1"/>
                <w:color w:val="auto"/>
              </w:rPr>
              <w:t>(in millions except percentages or otherwise noted)</w:t>
            </w: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vMerge w:val="restart"/>
          </w:tcPr>
          <w:p>
            <w:pPr>
              <w:jc w:val="right"/>
              <w:ind w:right="400"/>
              <w:spacing w:after="0"/>
              <w:rPr>
                <w:sz w:val="20"/>
                <w:szCs w:val="20"/>
                <w:color w:val="auto"/>
              </w:rPr>
            </w:pPr>
            <w:r>
              <w:rPr>
                <w:rFonts w:ascii="Arial" w:cs="Arial" w:eastAsia="Arial" w:hAnsi="Arial"/>
                <w:sz w:val="18"/>
                <w:szCs w:val="18"/>
                <w:b w:val="1"/>
                <w:bCs w:val="1"/>
                <w:i w:val="1"/>
                <w:iCs w:val="1"/>
                <w:color w:val="auto"/>
                <w:w w:val="89"/>
              </w:rPr>
              <w:t>Quarter</w:t>
            </w: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240" w:type="dxa"/>
            <w:vAlign w:val="bottom"/>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gridSpan w:val="2"/>
            <w:vMerge w:val="continue"/>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1Q20</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1Q19</w:t>
            </w:r>
          </w:p>
        </w:tc>
        <w:tc>
          <w:tcPr>
            <w:tcW w:w="900" w:type="dxa"/>
            <w:vAlign w:val="bottom"/>
          </w:tcPr>
          <w:p>
            <w:pPr>
              <w:ind w:left="80"/>
              <w:spacing w:after="0"/>
              <w:rPr>
                <w:sz w:val="20"/>
                <w:szCs w:val="20"/>
                <w:color w:val="auto"/>
              </w:rPr>
            </w:pPr>
            <w:r>
              <w:rPr>
                <w:rFonts w:ascii="Arial" w:cs="Arial" w:eastAsia="Arial" w:hAnsi="Arial"/>
                <w:sz w:val="18"/>
                <w:szCs w:val="18"/>
                <w:color w:val="auto"/>
                <w:w w:val="95"/>
              </w:rPr>
              <w:t>% Change</w:t>
            </w:r>
          </w:p>
        </w:tc>
        <w:tc>
          <w:tcPr>
            <w:tcW w:w="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5"/>
        </w:trPr>
        <w:tc>
          <w:tcPr>
            <w:tcW w:w="4240" w:type="dxa"/>
            <w:vAlign w:val="bottom"/>
          </w:tcPr>
          <w:p>
            <w:pPr>
              <w:spacing w:after="0" w:line="195" w:lineRule="exact"/>
              <w:rPr>
                <w:sz w:val="20"/>
                <w:szCs w:val="20"/>
                <w:color w:val="auto"/>
              </w:rPr>
            </w:pPr>
            <w:r>
              <w:rPr>
                <w:rFonts w:ascii="Arial" w:cs="Arial" w:eastAsia="Arial" w:hAnsi="Arial"/>
                <w:sz w:val="18"/>
                <w:szCs w:val="18"/>
                <w:color w:val="auto"/>
              </w:rPr>
              <w:t>Pre-tax operating earnings</w:t>
            </w:r>
          </w:p>
        </w:tc>
        <w:tc>
          <w:tcPr>
            <w:tcW w:w="1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122.0</w:t>
            </w: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112.0</w:t>
            </w:r>
          </w:p>
        </w:tc>
        <w:tc>
          <w:tcPr>
            <w:tcW w:w="220" w:type="dxa"/>
            <w:vAlign w:val="bottom"/>
          </w:tcPr>
          <w:p>
            <w:pPr>
              <w:spacing w:after="0"/>
              <w:rPr>
                <w:sz w:val="16"/>
                <w:szCs w:val="16"/>
                <w:color w:val="auto"/>
              </w:rPr>
            </w:pPr>
          </w:p>
        </w:tc>
        <w:tc>
          <w:tcPr>
            <w:tcW w:w="1140" w:type="dxa"/>
            <w:vAlign w:val="bottom"/>
            <w:tcBorders>
              <w:right w:val="single" w:sz="8" w:color="auto"/>
            </w:tcBorders>
            <w:gridSpan w:val="2"/>
          </w:tcPr>
          <w:p>
            <w:pPr>
              <w:jc w:val="right"/>
              <w:ind w:right="100"/>
              <w:spacing w:after="0" w:line="195"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Arial" w:cs="Arial" w:eastAsia="Arial" w:hAnsi="Arial"/>
                <w:sz w:val="18"/>
                <w:szCs w:val="18"/>
                <w:color w:val="auto"/>
              </w:rPr>
              <w:t>Net revenue</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166.9</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169.2</w:t>
            </w:r>
          </w:p>
        </w:tc>
        <w:tc>
          <w:tcPr>
            <w:tcW w:w="220" w:type="dxa"/>
            <w:vAlign w:val="bottom"/>
          </w:tcPr>
          <w:p>
            <w:pPr>
              <w:spacing w:after="0"/>
              <w:rPr>
                <w:sz w:val="18"/>
                <w:szCs w:val="18"/>
                <w:color w:val="auto"/>
              </w:rPr>
            </w:pPr>
          </w:p>
        </w:tc>
        <w:tc>
          <w:tcPr>
            <w:tcW w:w="1140" w:type="dxa"/>
            <w:vAlign w:val="bottom"/>
            <w:tcBorders>
              <w:right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44"/>
        </w:trPr>
        <w:tc>
          <w:tcPr>
            <w:tcW w:w="4240" w:type="dxa"/>
            <w:vAlign w:val="bottom"/>
          </w:tcPr>
          <w:p>
            <w:pPr>
              <w:spacing w:after="0"/>
              <w:rPr>
                <w:sz w:val="20"/>
                <w:szCs w:val="20"/>
                <w:color w:val="auto"/>
              </w:rPr>
            </w:pPr>
            <w:r>
              <w:rPr>
                <w:rFonts w:ascii="Arial" w:cs="Arial" w:eastAsia="Arial" w:hAnsi="Arial"/>
                <w:sz w:val="18"/>
                <w:szCs w:val="18"/>
                <w:color w:val="auto"/>
              </w:rPr>
              <w:t>Pre-tax return on net revenue</w:t>
            </w:r>
          </w:p>
        </w:tc>
        <w:tc>
          <w:tcPr>
            <w:tcW w:w="160" w:type="dxa"/>
            <w:vAlign w:val="bottom"/>
          </w:tcPr>
          <w:p>
            <w:pPr>
              <w:spacing w:after="0"/>
              <w:rPr>
                <w:sz w:val="21"/>
                <w:szCs w:val="21"/>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8"/>
                <w:szCs w:val="18"/>
                <w:color w:val="auto"/>
              </w:rPr>
              <w:t>73.1%</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66.2%</w:t>
            </w:r>
          </w:p>
        </w:tc>
        <w:tc>
          <w:tcPr>
            <w:tcW w:w="900" w:type="dxa"/>
            <w:vAlign w:val="bottom"/>
          </w:tcPr>
          <w:p>
            <w:pPr>
              <w:spacing w:after="0"/>
              <w:rPr>
                <w:sz w:val="21"/>
                <w:szCs w:val="21"/>
                <w:color w:val="auto"/>
              </w:rPr>
            </w:pPr>
          </w:p>
        </w:tc>
        <w:tc>
          <w:tcPr>
            <w:tcW w:w="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-436245</wp:posOffset>
            </wp:positionV>
            <wp:extent cx="7132320" cy="146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-153670</wp:posOffset>
            </wp:positionV>
            <wp:extent cx="7132320" cy="146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760"/>
        <w:spacing w:after="0"/>
        <w:rPr>
          <w:sz w:val="20"/>
          <w:szCs w:val="20"/>
          <w:color w:val="auto"/>
        </w:rPr>
      </w:pPr>
      <w:r>
        <w:rPr>
          <w:rFonts w:ascii="Arial" w:cs="Arial" w:eastAsia="Arial" w:hAnsi="Arial"/>
          <w:sz w:val="18"/>
          <w:szCs w:val="18"/>
          <w:b w:val="1"/>
          <w:bCs w:val="1"/>
          <w:i w:val="1"/>
          <w:iCs w:val="1"/>
          <w:color w:val="auto"/>
        </w:rPr>
        <w:t>Trailing Twelve Months</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28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1Q19</w:t>
            </w:r>
          </w:p>
        </w:tc>
        <w:tc>
          <w:tcPr>
            <w:tcW w:w="260" w:type="dxa"/>
            <w:vAlign w:val="bottom"/>
            <w:tcBorders>
              <w:top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w w:val="99"/>
              </w:rPr>
              <w:t>% Change</w:t>
            </w:r>
          </w:p>
        </w:tc>
        <w:tc>
          <w:tcPr>
            <w:tcW w:w="220" w:type="dxa"/>
            <w:vAlign w:val="bottom"/>
          </w:tcPr>
          <w:p>
            <w:pPr>
              <w:spacing w:after="0"/>
              <w:rPr>
                <w:sz w:val="19"/>
                <w:szCs w:val="19"/>
                <w:color w:val="auto"/>
              </w:rPr>
            </w:pPr>
          </w:p>
        </w:tc>
      </w:tr>
      <w:tr>
        <w:trPr>
          <w:trHeight w:val="195"/>
        </w:trPr>
        <w:tc>
          <w:tcPr>
            <w:tcW w:w="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line="195" w:lineRule="exact"/>
              <w:rPr>
                <w:sz w:val="20"/>
                <w:szCs w:val="20"/>
                <w:color w:val="auto"/>
              </w:rPr>
            </w:pPr>
            <w:r>
              <w:rPr>
                <w:rFonts w:ascii="Arial" w:cs="Arial" w:eastAsia="Arial" w:hAnsi="Arial"/>
                <w:sz w:val="18"/>
                <w:szCs w:val="18"/>
                <w:color w:val="auto"/>
              </w:rPr>
              <w:t>422.2</w:t>
            </w:r>
          </w:p>
        </w:tc>
        <w:tc>
          <w:tcPr>
            <w:tcW w:w="280" w:type="dxa"/>
            <w:vAlign w:val="bottom"/>
          </w:tcPr>
          <w:p>
            <w:pPr>
              <w:spacing w:after="0"/>
              <w:rPr>
                <w:sz w:val="16"/>
                <w:szCs w:val="16"/>
                <w:color w:val="auto"/>
              </w:rPr>
            </w:pP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line="195" w:lineRule="exact"/>
              <w:rPr>
                <w:sz w:val="20"/>
                <w:szCs w:val="20"/>
                <w:color w:val="auto"/>
              </w:rPr>
            </w:pPr>
            <w:r>
              <w:rPr>
                <w:rFonts w:ascii="Arial" w:cs="Arial" w:eastAsia="Arial" w:hAnsi="Arial"/>
                <w:sz w:val="18"/>
                <w:szCs w:val="18"/>
                <w:color w:val="auto"/>
              </w:rPr>
              <w:t>425.2</w:t>
            </w:r>
          </w:p>
        </w:tc>
        <w:tc>
          <w:tcPr>
            <w:tcW w:w="260" w:type="dxa"/>
            <w:vAlign w:val="bottom"/>
          </w:tcPr>
          <w:p>
            <w:pPr>
              <w:spacing w:after="0"/>
              <w:rPr>
                <w:sz w:val="16"/>
                <w:szCs w:val="16"/>
                <w:color w:val="auto"/>
              </w:rPr>
            </w:pPr>
          </w:p>
        </w:tc>
        <w:tc>
          <w:tcPr>
            <w:tcW w:w="1200" w:type="dxa"/>
            <w:vAlign w:val="bottom"/>
            <w:gridSpan w:val="2"/>
          </w:tcPr>
          <w:p>
            <w:pPr>
              <w:jc w:val="right"/>
              <w:spacing w:after="0" w:line="195" w:lineRule="exact"/>
              <w:rPr>
                <w:sz w:val="20"/>
                <w:szCs w:val="20"/>
                <w:color w:val="auto"/>
              </w:rPr>
            </w:pPr>
            <w:r>
              <w:rPr>
                <w:rFonts w:ascii="Arial" w:cs="Arial" w:eastAsia="Arial" w:hAnsi="Arial"/>
                <w:sz w:val="18"/>
                <w:szCs w:val="18"/>
                <w:color w:val="auto"/>
              </w:rPr>
              <w:t>(1)%</w:t>
            </w:r>
          </w:p>
        </w:tc>
      </w:tr>
      <w:tr>
        <w:trPr>
          <w:trHeight w:val="216"/>
        </w:trPr>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80"/>
              <w:spacing w:after="0"/>
              <w:rPr>
                <w:sz w:val="20"/>
                <w:szCs w:val="20"/>
                <w:color w:val="auto"/>
              </w:rPr>
            </w:pPr>
            <w:r>
              <w:rPr>
                <w:rFonts w:ascii="Arial" w:cs="Arial" w:eastAsia="Arial" w:hAnsi="Arial"/>
                <w:sz w:val="18"/>
                <w:szCs w:val="18"/>
                <w:color w:val="auto"/>
              </w:rPr>
              <w:t>614.7</w:t>
            </w:r>
          </w:p>
        </w:tc>
        <w:tc>
          <w:tcPr>
            <w:tcW w:w="160" w:type="dxa"/>
            <w:vAlign w:val="bottom"/>
          </w:tcPr>
          <w:p>
            <w:pPr>
              <w:jc w:val="right"/>
              <w:ind w:right="7"/>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604.7</w:t>
            </w:r>
          </w:p>
        </w:tc>
        <w:tc>
          <w:tcPr>
            <w:tcW w:w="26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r>
      <w:tr>
        <w:trPr>
          <w:trHeight w:val="244"/>
        </w:trPr>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68.7%</w:t>
            </w:r>
          </w:p>
        </w:tc>
        <w:tc>
          <w:tcPr>
            <w:tcW w:w="160" w:type="dxa"/>
            <w:vAlign w:val="bottom"/>
          </w:tcPr>
          <w:p>
            <w:pPr>
              <w:spacing w:after="0"/>
              <w:rPr>
                <w:sz w:val="21"/>
                <w:szCs w:val="21"/>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70.3%</w:t>
            </w: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r>
      <w:tr>
        <w:trPr>
          <w:trHeight w:val="20"/>
        </w:trPr>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7640" w:space="100"/>
            <w:col w:w="3500"/>
          </w:cols>
          <w:pgMar w:left="320" w:top="1440" w:right="339" w:bottom="1440" w:gutter="0" w:footer="0" w:header="0"/>
          <w:type w:val="continuous"/>
        </w:sectPr>
      </w:pPr>
    </w:p>
    <w:p>
      <w:pPr>
        <w:ind w:left="660" w:right="60" w:hanging="328"/>
        <w:spacing w:after="0" w:line="282"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due to favorable experience gains and higher variable investment income, partially offset by the net impact</w:t>
      </w:r>
      <w:r>
        <w:rPr>
          <w:rFonts w:ascii="Arial" w:cs="Arial" w:eastAsia="Arial" w:hAnsi="Arial"/>
          <w:sz w:val="18"/>
          <w:szCs w:val="18"/>
          <w:b w:val="1"/>
          <w:bCs w:val="1"/>
          <w:color w:val="auto"/>
        </w:rPr>
        <w:t xml:space="preserve"> </w:t>
      </w:r>
      <w:r>
        <w:rPr>
          <w:rFonts w:ascii="Arial" w:cs="Arial" w:eastAsia="Arial" w:hAnsi="Arial"/>
          <w:sz w:val="18"/>
          <w:szCs w:val="18"/>
          <w:color w:val="auto"/>
        </w:rPr>
        <w:t>of lower annuity sales in the quarter.</w:t>
      </w:r>
    </w:p>
    <w:p>
      <w:pPr>
        <w:spacing w:after="0" w:line="161"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b w:val="1"/>
          <w:bCs w:val="1"/>
          <w:color w:val="auto"/>
        </w:rPr>
        <w:t xml:space="preserve">Net revenue </w:t>
      </w:r>
      <w:r>
        <w:rPr>
          <w:rFonts w:ascii="Arial" w:cs="Arial" w:eastAsia="Arial" w:hAnsi="Arial"/>
          <w:sz w:val="18"/>
          <w:szCs w:val="18"/>
          <w:color w:val="auto"/>
        </w:rPr>
        <w:t>decreased $2.3 million due to lower fixed annuity sales.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78308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70" w:lineRule="exact"/>
        <w:rPr>
          <w:sz w:val="20"/>
          <w:szCs w:val="20"/>
          <w:color w:val="auto"/>
        </w:rPr>
      </w:pPr>
    </w:p>
    <w:p>
      <w:pPr>
        <w:ind w:left="120" w:hanging="112"/>
        <w:spacing w:after="0"/>
        <w:tabs>
          <w:tab w:leader="none" w:pos="120" w:val="left"/>
        </w:tabs>
        <w:numPr>
          <w:ilvl w:val="0"/>
          <w:numId w:val="17"/>
        </w:numPr>
        <w:rPr>
          <w:rFonts w:ascii="Arial" w:cs="Arial" w:eastAsia="Arial" w:hAnsi="Arial"/>
          <w:sz w:val="30"/>
          <w:szCs w:val="30"/>
          <w:color w:val="auto"/>
          <w:vertAlign w:val="superscript"/>
        </w:rPr>
      </w:pPr>
      <w:r>
        <w:rPr>
          <w:rFonts w:ascii="Arial" w:cs="Arial" w:eastAsia="Arial" w:hAnsi="Arial"/>
          <w:sz w:val="18"/>
          <w:szCs w:val="18"/>
          <w:color w:val="auto"/>
        </w:rPr>
        <w:t>Pre-tax operating earnings = operating earnings before income taxes and after noncontrolling interest.</w:t>
      </w:r>
    </w:p>
    <w:p>
      <w:pPr>
        <w:ind w:left="120" w:hanging="112"/>
        <w:spacing w:after="0" w:line="184" w:lineRule="auto"/>
        <w:tabs>
          <w:tab w:leader="none" w:pos="120" w:val="left"/>
        </w:tabs>
        <w:numPr>
          <w:ilvl w:val="0"/>
          <w:numId w:val="18"/>
        </w:numPr>
        <w:rPr>
          <w:rFonts w:ascii="Arial" w:cs="Arial" w:eastAsia="Arial" w:hAnsi="Arial"/>
          <w:sz w:val="29"/>
          <w:szCs w:val="29"/>
          <w:color w:val="auto"/>
          <w:vertAlign w:val="superscript"/>
        </w:rPr>
      </w:pPr>
      <w:r>
        <w:rPr>
          <w:rFonts w:ascii="Arial" w:cs="Arial" w:eastAsia="Arial" w:hAnsi="Arial"/>
          <w:sz w:val="17"/>
          <w:szCs w:val="17"/>
          <w:color w:val="auto"/>
        </w:rPr>
        <w:t>Net revenue = operating revenues less benefits, claims and settlement expenses less dividends to policyholders.</w:t>
      </w:r>
    </w:p>
    <w:p>
      <w:pPr>
        <w:spacing w:after="0" w:line="42" w:lineRule="exact"/>
        <w:rPr>
          <w:rFonts w:ascii="Arial" w:cs="Arial" w:eastAsia="Arial" w:hAnsi="Arial"/>
          <w:sz w:val="29"/>
          <w:szCs w:val="29"/>
          <w:color w:val="auto"/>
          <w:vertAlign w:val="superscript"/>
        </w:rPr>
      </w:pPr>
    </w:p>
    <w:p>
      <w:pPr>
        <w:spacing w:after="0"/>
        <w:rPr>
          <w:rFonts w:ascii="Arial" w:cs="Arial" w:eastAsia="Arial" w:hAnsi="Arial"/>
          <w:sz w:val="29"/>
          <w:szCs w:val="29"/>
          <w:color w:val="auto"/>
          <w:vertAlign w:val="superscript"/>
        </w:rPr>
      </w:pPr>
      <w:r>
        <w:rPr>
          <w:rFonts w:ascii="Arial" w:cs="Arial" w:eastAsia="Arial" w:hAnsi="Arial"/>
          <w:sz w:val="29"/>
          <w:szCs w:val="29"/>
          <w:color w:val="auto"/>
          <w:vertAlign w:val="superscript"/>
        </w:rPr>
        <w:t>8</w:t>
      </w:r>
      <w:r>
        <w:rPr>
          <w:rFonts w:ascii="Arial" w:cs="Arial" w:eastAsia="Arial" w:hAnsi="Arial"/>
          <w:sz w:val="18"/>
          <w:szCs w:val="18"/>
          <w:color w:val="auto"/>
        </w:rPr>
        <w:t xml:space="preserve"> Pre-tax return on net revenue = pre-tax operating earnings divided by net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361315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586105</wp:posOffset>
            </wp:positionV>
            <wp:extent cx="1680210" cy="5575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Principal Global Investors</w:t>
      </w:r>
    </w:p>
    <w:p>
      <w:pPr>
        <w:sectPr>
          <w:pgSz w:w="11900" w:h="16838" w:orient="portrait"/>
          <w:cols w:equalWidth="0" w:num="1">
            <w:col w:w="11240"/>
          </w:cols>
          <w:pgMar w:left="320" w:top="1440" w:right="339" w:bottom="1440" w:gutter="0" w:footer="0" w:header="0"/>
        </w:sectPr>
      </w:pP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40" w:type="dxa"/>
            <w:vAlign w:val="bottom"/>
            <w:vMerge w:val="restart"/>
          </w:tcPr>
          <w:p>
            <w:pPr>
              <w:spacing w:after="0"/>
              <w:rPr>
                <w:sz w:val="20"/>
                <w:szCs w:val="20"/>
                <w:color w:val="auto"/>
              </w:rPr>
            </w:pPr>
            <w:r>
              <w:rPr>
                <w:rFonts w:ascii="Arial" w:cs="Arial" w:eastAsia="Arial" w:hAnsi="Arial"/>
                <w:sz w:val="18"/>
                <w:szCs w:val="18"/>
                <w:color w:val="auto"/>
              </w:rPr>
              <w:t>(in millions except percentages or otherwise</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gridSpan w:val="2"/>
          </w:tcPr>
          <w:p>
            <w:pPr>
              <w:jc w:val="right"/>
              <w:ind w:right="540"/>
              <w:spacing w:after="0"/>
              <w:rPr>
                <w:sz w:val="20"/>
                <w:szCs w:val="20"/>
                <w:color w:val="auto"/>
              </w:rPr>
            </w:pPr>
            <w:r>
              <w:rPr>
                <w:rFonts w:ascii="Arial" w:cs="Arial" w:eastAsia="Arial" w:hAnsi="Arial"/>
                <w:sz w:val="18"/>
                <w:szCs w:val="18"/>
                <w:b w:val="1"/>
                <w:bCs w:val="1"/>
                <w:i w:val="1"/>
                <w:iCs w:val="1"/>
                <w:color w:val="auto"/>
              </w:rPr>
              <w:t>Quarter</w:t>
            </w:r>
          </w:p>
        </w:tc>
        <w:tc>
          <w:tcPr>
            <w:tcW w:w="880" w:type="dxa"/>
            <w:vAlign w:val="bottom"/>
            <w:tcBorders>
              <w:bottom w:val="single" w:sz="8" w:color="auto"/>
            </w:tcBorders>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1Q20</w:t>
            </w:r>
          </w:p>
        </w:tc>
        <w:tc>
          <w:tcPr>
            <w:tcW w:w="220" w:type="dxa"/>
            <w:vAlign w:val="bottom"/>
            <w:vMerge w:val="restart"/>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1Q19</w:t>
            </w:r>
          </w:p>
        </w:tc>
        <w:tc>
          <w:tcPr>
            <w:tcW w:w="380" w:type="dxa"/>
            <w:vAlign w:val="bottom"/>
            <w:vMerge w:val="restart"/>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6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noted)</w:t>
            </w:r>
          </w:p>
        </w:tc>
        <w:tc>
          <w:tcPr>
            <w:tcW w:w="220" w:type="dxa"/>
            <w:vAlign w:val="bottom"/>
            <w:gridSpan w:val="2"/>
            <w:vMerge w:val="restart"/>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vMerge w:val="continue"/>
          </w:tcPr>
          <w:p>
            <w:pPr>
              <w:spacing w:after="0"/>
              <w:rPr>
                <w:sz w:val="20"/>
                <w:szCs w:val="20"/>
                <w:color w:val="auto"/>
              </w:rPr>
            </w:pPr>
          </w:p>
        </w:tc>
        <w:tc>
          <w:tcPr>
            <w:tcW w:w="220" w:type="dxa"/>
            <w:vAlign w:val="bottom"/>
            <w:vMerge w:val="continue"/>
          </w:tcPr>
          <w:p>
            <w:pPr>
              <w:spacing w:after="0"/>
              <w:rPr>
                <w:sz w:val="20"/>
                <w:szCs w:val="20"/>
                <w:color w:val="auto"/>
              </w:rPr>
            </w:pP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vMerge w:val="continue"/>
          </w:tcPr>
          <w:p>
            <w:pPr>
              <w:spacing w:after="0"/>
              <w:rPr>
                <w:sz w:val="20"/>
                <w:szCs w:val="20"/>
                <w:color w:val="auto"/>
              </w:rPr>
            </w:pPr>
          </w:p>
        </w:tc>
        <w:tc>
          <w:tcPr>
            <w:tcW w:w="380" w:type="dxa"/>
            <w:vAlign w:val="bottom"/>
            <w:vMerge w:val="continue"/>
          </w:tcPr>
          <w:p>
            <w:pPr>
              <w:spacing w:after="0"/>
              <w:rPr>
                <w:sz w:val="20"/>
                <w:szCs w:val="20"/>
                <w:color w:val="auto"/>
              </w:rPr>
            </w:pPr>
          </w:p>
        </w:tc>
        <w:tc>
          <w:tcPr>
            <w:tcW w:w="88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w w:val="99"/>
              </w:rPr>
              <w:t>% Change</w:t>
            </w:r>
          </w:p>
        </w:tc>
        <w:tc>
          <w:tcPr>
            <w:tcW w:w="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9"/>
        </w:trPr>
        <w:tc>
          <w:tcPr>
            <w:tcW w:w="3640" w:type="dxa"/>
            <w:vAlign w:val="bottom"/>
          </w:tcPr>
          <w:p>
            <w:pPr>
              <w:spacing w:after="0" w:line="199" w:lineRule="exact"/>
              <w:rPr>
                <w:sz w:val="20"/>
                <w:szCs w:val="20"/>
                <w:color w:val="auto"/>
              </w:rPr>
            </w:pPr>
            <w:r>
              <w:rPr>
                <w:rFonts w:ascii="Arial" w:cs="Arial" w:eastAsia="Arial" w:hAnsi="Arial"/>
                <w:sz w:val="18"/>
                <w:szCs w:val="18"/>
                <w:color w:val="auto"/>
              </w:rPr>
              <w:t>Pre-tax operating earnings</w:t>
            </w:r>
          </w:p>
        </w:tc>
        <w:tc>
          <w:tcPr>
            <w:tcW w:w="220" w:type="dxa"/>
            <w:vAlign w:val="bottom"/>
            <w:gridSpan w:val="2"/>
            <w:vMerge w:val="continue"/>
          </w:tcPr>
          <w:p>
            <w:pPr>
              <w:spacing w:after="0"/>
              <w:rPr>
                <w:sz w:val="17"/>
                <w:szCs w:val="17"/>
                <w:color w:val="auto"/>
              </w:rPr>
            </w:pPr>
          </w:p>
        </w:tc>
        <w:tc>
          <w:tcPr>
            <w:tcW w:w="840" w:type="dxa"/>
            <w:vAlign w:val="bottom"/>
          </w:tcPr>
          <w:p>
            <w:pPr>
              <w:jc w:val="right"/>
              <w:spacing w:after="0" w:line="199" w:lineRule="exact"/>
              <w:rPr>
                <w:sz w:val="20"/>
                <w:szCs w:val="20"/>
                <w:color w:val="auto"/>
              </w:rPr>
            </w:pPr>
            <w:r>
              <w:rPr>
                <w:rFonts w:ascii="Arial" w:cs="Arial" w:eastAsia="Arial" w:hAnsi="Arial"/>
                <w:sz w:val="18"/>
                <w:szCs w:val="18"/>
                <w:color w:val="auto"/>
              </w:rPr>
              <w:t>111.7</w:t>
            </w:r>
          </w:p>
        </w:tc>
        <w:tc>
          <w:tcPr>
            <w:tcW w:w="220" w:type="dxa"/>
            <w:vAlign w:val="bottom"/>
          </w:tcPr>
          <w:p>
            <w:pPr>
              <w:spacing w:after="0"/>
              <w:rPr>
                <w:sz w:val="17"/>
                <w:szCs w:val="17"/>
                <w:color w:val="auto"/>
              </w:rPr>
            </w:pPr>
          </w:p>
        </w:tc>
        <w:tc>
          <w:tcPr>
            <w:tcW w:w="160" w:type="dxa"/>
            <w:vAlign w:val="bottom"/>
            <w:vMerge w:val="continue"/>
          </w:tcPr>
          <w:p>
            <w:pPr>
              <w:spacing w:after="0"/>
              <w:rPr>
                <w:sz w:val="17"/>
                <w:szCs w:val="17"/>
                <w:color w:val="auto"/>
              </w:rPr>
            </w:pPr>
          </w:p>
        </w:tc>
        <w:tc>
          <w:tcPr>
            <w:tcW w:w="860" w:type="dxa"/>
            <w:vAlign w:val="bottom"/>
          </w:tcPr>
          <w:p>
            <w:pPr>
              <w:jc w:val="right"/>
              <w:spacing w:after="0" w:line="199" w:lineRule="exact"/>
              <w:rPr>
                <w:sz w:val="20"/>
                <w:szCs w:val="20"/>
                <w:color w:val="auto"/>
              </w:rPr>
            </w:pPr>
            <w:r>
              <w:rPr>
                <w:rFonts w:ascii="Arial" w:cs="Arial" w:eastAsia="Arial" w:hAnsi="Arial"/>
                <w:sz w:val="18"/>
                <w:szCs w:val="18"/>
                <w:color w:val="auto"/>
              </w:rPr>
              <w:t>100.7</w:t>
            </w:r>
          </w:p>
        </w:tc>
        <w:tc>
          <w:tcPr>
            <w:tcW w:w="380" w:type="dxa"/>
            <w:vAlign w:val="bottom"/>
          </w:tcPr>
          <w:p>
            <w:pPr>
              <w:spacing w:after="0"/>
              <w:rPr>
                <w:sz w:val="17"/>
                <w:szCs w:val="17"/>
                <w:color w:val="auto"/>
              </w:rPr>
            </w:pPr>
          </w:p>
        </w:tc>
        <w:tc>
          <w:tcPr>
            <w:tcW w:w="1120" w:type="dxa"/>
            <w:vAlign w:val="bottom"/>
            <w:tcBorders>
              <w:right w:val="single" w:sz="8" w:color="auto"/>
            </w:tcBorders>
            <w:gridSpan w:val="2"/>
          </w:tcPr>
          <w:p>
            <w:pPr>
              <w:jc w:val="right"/>
              <w:ind w:right="80"/>
              <w:spacing w:after="0" w:line="199" w:lineRule="exact"/>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53"/>
        </w:trPr>
        <w:tc>
          <w:tcPr>
            <w:tcW w:w="3640" w:type="dxa"/>
            <w:vAlign w:val="bottom"/>
          </w:tcPr>
          <w:p>
            <w:pPr>
              <w:spacing w:after="0" w:line="252" w:lineRule="exact"/>
              <w:rPr>
                <w:sz w:val="20"/>
                <w:szCs w:val="20"/>
                <w:color w:val="auto"/>
              </w:rPr>
            </w:pPr>
            <w:r>
              <w:rPr>
                <w:rFonts w:ascii="Arial" w:cs="Arial" w:eastAsia="Arial" w:hAnsi="Arial"/>
                <w:sz w:val="18"/>
                <w:szCs w:val="18"/>
                <w:color w:val="auto"/>
                <w:w w:val="89"/>
              </w:rPr>
              <w:t xml:space="preserve">Operating revenues less pass-through expenses </w:t>
            </w:r>
            <w:r>
              <w:rPr>
                <w:rFonts w:ascii="Arial" w:cs="Arial" w:eastAsia="Arial" w:hAnsi="Arial"/>
                <w:sz w:val="29"/>
                <w:szCs w:val="29"/>
                <w:color w:val="auto"/>
                <w:w w:val="89"/>
                <w:vertAlign w:val="superscript"/>
              </w:rPr>
              <w:t>9</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347.1</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303.6</w:t>
            </w:r>
          </w:p>
        </w:tc>
        <w:tc>
          <w:tcPr>
            <w:tcW w:w="1120" w:type="dxa"/>
            <w:vAlign w:val="bottom"/>
            <w:tcBorders>
              <w:right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20"/>
        </w:trPr>
        <w:tc>
          <w:tcPr>
            <w:tcW w:w="3640" w:type="dxa"/>
            <w:vAlign w:val="bottom"/>
          </w:tcPr>
          <w:p>
            <w:pPr>
              <w:spacing w:after="0"/>
              <w:rPr>
                <w:sz w:val="20"/>
                <w:szCs w:val="20"/>
                <w:color w:val="auto"/>
              </w:rPr>
            </w:pPr>
            <w:r>
              <w:rPr>
                <w:rFonts w:ascii="Arial" w:cs="Arial" w:eastAsia="Arial" w:hAnsi="Arial"/>
                <w:sz w:val="18"/>
                <w:szCs w:val="18"/>
                <w:color w:val="auto"/>
                <w:w w:val="95"/>
              </w:rPr>
              <w:t>Pre-tax return on operating revenues less pass-</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3"/>
        </w:trPr>
        <w:tc>
          <w:tcPr>
            <w:tcW w:w="3640" w:type="dxa"/>
            <w:vAlign w:val="bottom"/>
          </w:tcPr>
          <w:p>
            <w:pPr>
              <w:ind w:left="180"/>
              <w:spacing w:after="0" w:line="252" w:lineRule="exact"/>
              <w:rPr>
                <w:sz w:val="20"/>
                <w:szCs w:val="20"/>
                <w:color w:val="auto"/>
              </w:rPr>
            </w:pPr>
            <w:r>
              <w:rPr>
                <w:rFonts w:ascii="Arial" w:cs="Arial" w:eastAsia="Arial" w:hAnsi="Arial"/>
                <w:sz w:val="18"/>
                <w:szCs w:val="18"/>
                <w:color w:val="auto"/>
              </w:rPr>
              <w:t xml:space="preserve">through expenses </w:t>
            </w:r>
            <w:r>
              <w:rPr>
                <w:rFonts w:ascii="Arial" w:cs="Arial" w:eastAsia="Arial" w:hAnsi="Arial"/>
                <w:sz w:val="29"/>
                <w:szCs w:val="29"/>
                <w:color w:val="auto"/>
                <w:vertAlign w:val="superscript"/>
              </w:rPr>
              <w:t>10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32.6%</w:t>
            </w:r>
          </w:p>
        </w:tc>
        <w:tc>
          <w:tcPr>
            <w:tcW w:w="16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33.6%</w:t>
            </w:r>
          </w:p>
        </w:tc>
        <w:tc>
          <w:tcPr>
            <w:tcW w:w="880" w:type="dxa"/>
            <w:vAlign w:val="bottom"/>
          </w:tcPr>
          <w:p>
            <w:pPr>
              <w:spacing w:after="0"/>
              <w:rPr>
                <w:sz w:val="21"/>
                <w:szCs w:val="21"/>
                <w:color w:val="auto"/>
              </w:rPr>
            </w:pPr>
          </w:p>
        </w:tc>
        <w:tc>
          <w:tcPr>
            <w:tcW w:w="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3640" w:type="dxa"/>
            <w:vAlign w:val="bottom"/>
          </w:tcPr>
          <w:p>
            <w:pPr>
              <w:spacing w:after="0"/>
              <w:rPr>
                <w:sz w:val="20"/>
                <w:szCs w:val="20"/>
                <w:color w:val="auto"/>
              </w:rPr>
            </w:pPr>
            <w:r>
              <w:rPr>
                <w:rFonts w:ascii="Arial" w:cs="Arial" w:eastAsia="Arial" w:hAnsi="Arial"/>
                <w:sz w:val="18"/>
                <w:szCs w:val="18"/>
                <w:color w:val="auto"/>
                <w:w w:val="98"/>
              </w:rPr>
              <w:t xml:space="preserve">Total PGI assets under management </w:t>
            </w:r>
            <w:r>
              <w:rPr>
                <w:rFonts w:ascii="Arial" w:cs="Arial" w:eastAsia="Arial" w:hAnsi="Arial"/>
                <w:sz w:val="18"/>
                <w:szCs w:val="18"/>
                <w:i w:val="1"/>
                <w:iCs w:val="1"/>
                <w:color w:val="auto"/>
                <w:w w:val="98"/>
              </w:rPr>
              <w:t>(billions)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405.5</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423.1</w:t>
            </w:r>
          </w:p>
        </w:tc>
        <w:tc>
          <w:tcPr>
            <w:tcW w:w="1120" w:type="dxa"/>
            <w:vAlign w:val="bottom"/>
            <w:tcBorders>
              <w:right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44"/>
        </w:trPr>
        <w:tc>
          <w:tcPr>
            <w:tcW w:w="3640" w:type="dxa"/>
            <w:vAlign w:val="bottom"/>
          </w:tcPr>
          <w:p>
            <w:pPr>
              <w:spacing w:after="0"/>
              <w:rPr>
                <w:sz w:val="20"/>
                <w:szCs w:val="20"/>
                <w:color w:val="auto"/>
              </w:rPr>
            </w:pPr>
            <w:r>
              <w:rPr>
                <w:rFonts w:ascii="Arial" w:cs="Arial" w:eastAsia="Arial" w:hAnsi="Arial"/>
                <w:sz w:val="18"/>
                <w:szCs w:val="18"/>
                <w:color w:val="auto"/>
                <w:w w:val="92"/>
              </w:rPr>
              <w:t xml:space="preserve">PGI sourced assets under management </w:t>
            </w:r>
            <w:r>
              <w:rPr>
                <w:rFonts w:ascii="Arial" w:cs="Arial" w:eastAsia="Arial" w:hAnsi="Arial"/>
                <w:sz w:val="18"/>
                <w:szCs w:val="18"/>
                <w:i w:val="1"/>
                <w:iCs w:val="1"/>
                <w:color w:val="auto"/>
                <w:w w:val="92"/>
              </w:rPr>
              <w:t>(billions)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192.7</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205.6</w:t>
            </w:r>
          </w:p>
        </w:tc>
        <w:tc>
          <w:tcPr>
            <w:tcW w:w="1120" w:type="dxa"/>
            <w:vAlign w:val="bottom"/>
            <w:tcBorders>
              <w:right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-890905</wp:posOffset>
            </wp:positionV>
            <wp:extent cx="7132320" cy="1454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-582295</wp:posOffset>
            </wp:positionV>
            <wp:extent cx="7132320" cy="3003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3003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-145415</wp:posOffset>
            </wp:positionV>
            <wp:extent cx="7132320" cy="146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46" w:lineRule="exact"/>
        <w:rPr>
          <w:sz w:val="20"/>
          <w:szCs w:val="20"/>
          <w:color w:val="auto"/>
        </w:rPr>
      </w:pPr>
    </w:p>
    <w:p>
      <w:pPr>
        <w:ind w:left="860"/>
        <w:spacing w:after="0"/>
        <w:rPr>
          <w:sz w:val="20"/>
          <w:szCs w:val="20"/>
          <w:color w:val="auto"/>
        </w:rPr>
      </w:pPr>
      <w:r>
        <w:rPr>
          <w:rFonts w:ascii="Arial" w:cs="Arial" w:eastAsia="Arial" w:hAnsi="Arial"/>
          <w:sz w:val="18"/>
          <w:szCs w:val="18"/>
          <w:b w:val="1"/>
          <w:bCs w:val="1"/>
          <w:i w:val="1"/>
          <w:iCs w:val="1"/>
          <w:color w:val="auto"/>
        </w:rPr>
        <w:t>Trailing Twelve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14605</wp:posOffset>
            </wp:positionV>
            <wp:extent cx="221996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219960" cy="8255"/>
                    </a:xfrm>
                    <a:prstGeom prst="rect">
                      <a:avLst/>
                    </a:prstGeom>
                    <a:noFill/>
                  </pic:spPr>
                </pic:pic>
              </a:graphicData>
            </a:graphic>
          </wp:anchor>
        </w:drawing>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0" w:type="dxa"/>
            <w:vAlign w:val="bottom"/>
          </w:tcPr>
          <w:p>
            <w:pPr>
              <w:spacing w:after="0"/>
              <w:rPr>
                <w:sz w:val="20"/>
                <w:szCs w:val="20"/>
                <w:color w:val="auto"/>
              </w:rPr>
            </w:pPr>
          </w:p>
        </w:tc>
        <w:tc>
          <w:tcPr>
            <w:tcW w:w="10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1Q20</w:t>
            </w:r>
          </w:p>
        </w:tc>
        <w:tc>
          <w:tcPr>
            <w:tcW w:w="180" w:type="dxa"/>
            <w:vAlign w:val="bottom"/>
          </w:tcPr>
          <w:p>
            <w:pPr>
              <w:spacing w:after="0"/>
              <w:rPr>
                <w:sz w:val="20"/>
                <w:szCs w:val="20"/>
                <w:color w:val="auto"/>
              </w:rPr>
            </w:pPr>
          </w:p>
        </w:tc>
        <w:tc>
          <w:tcPr>
            <w:tcW w:w="124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1Q19</w:t>
            </w:r>
          </w:p>
        </w:tc>
        <w:tc>
          <w:tcPr>
            <w:tcW w:w="1100" w:type="dxa"/>
            <w:vAlign w:val="bottom"/>
            <w:gridSpan w:val="2"/>
          </w:tcPr>
          <w:p>
            <w:pPr>
              <w:jc w:val="right"/>
              <w:ind w:right="190"/>
              <w:spacing w:after="0"/>
              <w:rPr>
                <w:sz w:val="20"/>
                <w:szCs w:val="20"/>
                <w:color w:val="auto"/>
              </w:rPr>
            </w:pPr>
            <w:r>
              <w:rPr>
                <w:rFonts w:ascii="Arial" w:cs="Arial" w:eastAsia="Arial" w:hAnsi="Arial"/>
                <w:sz w:val="18"/>
                <w:szCs w:val="18"/>
                <w:color w:val="auto"/>
                <w:w w:val="95"/>
              </w:rPr>
              <w:t>% Change</w:t>
            </w:r>
          </w:p>
        </w:tc>
      </w:tr>
      <w:tr>
        <w:trPr>
          <w:trHeight w:val="224"/>
        </w:trPr>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494.3</w:t>
            </w:r>
          </w:p>
        </w:tc>
        <w:tc>
          <w:tcPr>
            <w:tcW w:w="2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549.1</w:t>
            </w:r>
          </w:p>
        </w:tc>
        <w:tc>
          <w:tcPr>
            <w:tcW w:w="380" w:type="dxa"/>
            <w:vAlign w:val="bottom"/>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2"/>
        </w:trPr>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1,388.1</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1,549.4</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(10)%</w:t>
            </w:r>
          </w:p>
        </w:tc>
      </w:tr>
      <w:tr>
        <w:trPr>
          <w:trHeight w:val="473"/>
        </w:trPr>
        <w:tc>
          <w:tcPr>
            <w:tcW w:w="120" w:type="dxa"/>
            <w:vAlign w:val="bottom"/>
          </w:tcPr>
          <w:p>
            <w:pPr>
              <w:spacing w:after="0"/>
              <w:rPr>
                <w:sz w:val="24"/>
                <w:szCs w:val="24"/>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36.1%</w:t>
            </w:r>
          </w:p>
        </w:tc>
        <w:tc>
          <w:tcPr>
            <w:tcW w:w="180" w:type="dxa"/>
            <w:vAlign w:val="bottom"/>
          </w:tcPr>
          <w:p>
            <w:pPr>
              <w:spacing w:after="0"/>
              <w:rPr>
                <w:sz w:val="24"/>
                <w:szCs w:val="24"/>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35.8%</w:t>
            </w: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r>
    </w:tbl>
    <w:p>
      <w:pPr>
        <w:spacing w:after="0" w:line="645" w:lineRule="exact"/>
        <w:rPr>
          <w:sz w:val="20"/>
          <w:szCs w:val="20"/>
          <w:color w:val="auto"/>
        </w:rPr>
      </w:pPr>
    </w:p>
    <w:p>
      <w:pPr>
        <w:sectPr>
          <w:pgSz w:w="11900" w:h="16838" w:orient="portrait"/>
          <w:cols w:equalWidth="0" w:num="2">
            <w:col w:w="7440" w:space="80"/>
            <w:col w:w="3720"/>
          </w:cols>
          <w:pgMar w:left="320" w:top="1440" w:right="339" w:bottom="1440" w:gutter="0" w:footer="0" w:header="0"/>
          <w:type w:val="continuous"/>
        </w:sectPr>
      </w:pPr>
    </w:p>
    <w:p>
      <w:pPr>
        <w:spacing w:after="0" w:line="25" w:lineRule="exact"/>
        <w:rPr>
          <w:sz w:val="20"/>
          <w:szCs w:val="20"/>
          <w:color w:val="auto"/>
        </w:rPr>
      </w:pPr>
    </w:p>
    <w:p>
      <w:pPr>
        <w:ind w:left="660" w:right="420" w:hanging="328"/>
        <w:spacing w:after="0" w:line="282"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$11.0 million from the prior year quarter primarily due to higher operating revenues less pass-through</w:t>
      </w:r>
      <w:r>
        <w:rPr>
          <w:rFonts w:ascii="Arial" w:cs="Arial" w:eastAsia="Arial" w:hAnsi="Arial"/>
          <w:sz w:val="18"/>
          <w:szCs w:val="18"/>
          <w:b w:val="1"/>
          <w:bCs w:val="1"/>
          <w:color w:val="auto"/>
        </w:rPr>
        <w:t xml:space="preserve"> </w:t>
      </w:r>
      <w:r>
        <w:rPr>
          <w:rFonts w:ascii="Arial" w:cs="Arial" w:eastAsia="Arial" w:hAnsi="Arial"/>
          <w:sz w:val="18"/>
          <w:szCs w:val="18"/>
          <w:color w:val="auto"/>
        </w:rPr>
        <w:t>expenses partially offset by higher variable expenses.</w:t>
      </w:r>
    </w:p>
    <w:p>
      <w:pPr>
        <w:spacing w:after="0" w:line="161"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b w:val="1"/>
          <w:bCs w:val="1"/>
          <w:color w:val="auto"/>
        </w:rPr>
        <w:t xml:space="preserve">Operating revenues less pass-through expenses </w:t>
      </w:r>
      <w:r>
        <w:rPr>
          <w:rFonts w:ascii="Arial" w:cs="Arial" w:eastAsia="Arial" w:hAnsi="Arial"/>
          <w:sz w:val="18"/>
          <w:szCs w:val="18"/>
          <w:color w:val="auto"/>
        </w:rPr>
        <w:t>increased $43.5 million primarily due to growth in management fees.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40" w:type="dxa"/>
            <w:vAlign w:val="bottom"/>
          </w:tcPr>
          <w:p>
            <w:pPr>
              <w:spacing w:after="0"/>
              <w:rPr>
                <w:sz w:val="20"/>
                <w:szCs w:val="20"/>
                <w:color w:val="auto"/>
              </w:rPr>
            </w:pPr>
            <w:r>
              <w:rPr>
                <w:rFonts w:ascii="Arial" w:cs="Arial" w:eastAsia="Arial" w:hAnsi="Arial"/>
                <w:sz w:val="18"/>
                <w:szCs w:val="18"/>
                <w:b w:val="1"/>
                <w:bCs w:val="1"/>
                <w:color w:val="auto"/>
              </w:rPr>
              <w:t>Principal International</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40" w:type="dxa"/>
            <w:vAlign w:val="bottom"/>
            <w:vMerge w:val="restart"/>
          </w:tcPr>
          <w:p>
            <w:pPr>
              <w:spacing w:after="0"/>
              <w:rPr>
                <w:sz w:val="20"/>
                <w:szCs w:val="20"/>
                <w:color w:val="auto"/>
              </w:rPr>
            </w:pPr>
            <w:r>
              <w:rPr>
                <w:rFonts w:ascii="Arial" w:cs="Arial" w:eastAsia="Arial" w:hAnsi="Arial"/>
                <w:sz w:val="18"/>
                <w:szCs w:val="18"/>
                <w:color w:val="auto"/>
              </w:rPr>
              <w:t>(in millions except percentages or otherwise</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vMerge w:val="restart"/>
          </w:tcPr>
          <w:p>
            <w:pPr>
              <w:jc w:val="right"/>
              <w:ind w:right="560"/>
              <w:spacing w:after="0"/>
              <w:rPr>
                <w:sz w:val="20"/>
                <w:szCs w:val="20"/>
                <w:color w:val="auto"/>
              </w:rPr>
            </w:pPr>
            <w:r>
              <w:rPr>
                <w:rFonts w:ascii="Arial" w:cs="Arial" w:eastAsia="Arial" w:hAnsi="Arial"/>
                <w:sz w:val="18"/>
                <w:szCs w:val="18"/>
                <w:b w:val="1"/>
                <w:bCs w:val="1"/>
                <w:i w:val="1"/>
                <w:iCs w:val="1"/>
                <w:color w:val="auto"/>
              </w:rPr>
              <w:t>Quarter</w:t>
            </w:r>
          </w:p>
        </w:tc>
        <w:tc>
          <w:tcPr>
            <w:tcW w:w="8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560" w:type="dxa"/>
            <w:vAlign w:val="bottom"/>
            <w:gridSpan w:val="6"/>
            <w:vMerge w:val="restart"/>
          </w:tcPr>
          <w:p>
            <w:pPr>
              <w:ind w:left="760"/>
              <w:spacing w:after="0"/>
              <w:rPr>
                <w:sz w:val="20"/>
                <w:szCs w:val="20"/>
                <w:color w:val="auto"/>
              </w:rPr>
            </w:pPr>
            <w:r>
              <w:rPr>
                <w:rFonts w:ascii="Arial" w:cs="Arial" w:eastAsia="Arial" w:hAnsi="Arial"/>
                <w:sz w:val="18"/>
                <w:szCs w:val="18"/>
                <w:b w:val="1"/>
                <w:bCs w:val="1"/>
                <w:i w:val="1"/>
                <w:iCs w:val="1"/>
                <w:color w:val="auto"/>
                <w:w w:val="89"/>
              </w:rPr>
              <w:t>Trailing Twelve Months</w:t>
            </w: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gridSpan w:val="2"/>
            <w:vMerge w:val="continue"/>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560" w:type="dxa"/>
            <w:vAlign w:val="bottom"/>
            <w:tcBorders>
              <w:bottom w:val="single" w:sz="8" w:color="auto"/>
            </w:tcBorders>
            <w:gridSpan w:val="6"/>
            <w:vMerge w:val="continue"/>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1Q20</w:t>
            </w:r>
          </w:p>
        </w:tc>
        <w:tc>
          <w:tcPr>
            <w:tcW w:w="200" w:type="dxa"/>
            <w:vAlign w:val="bottom"/>
            <w:vMerge w:val="restart"/>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1Q19</w:t>
            </w:r>
          </w:p>
        </w:tc>
        <w:tc>
          <w:tcPr>
            <w:tcW w:w="380" w:type="dxa"/>
            <w:vAlign w:val="bottom"/>
            <w:vMerge w:val="restart"/>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200" w:type="dxa"/>
            <w:vAlign w:val="bottom"/>
            <w:vMerge w:val="restart"/>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vMerge w:val="restart"/>
          </w:tcPr>
          <w:p>
            <w:pPr>
              <w:jc w:val="right"/>
              <w:ind w:right="130"/>
              <w:spacing w:after="0"/>
              <w:rPr>
                <w:sz w:val="20"/>
                <w:szCs w:val="20"/>
                <w:color w:val="auto"/>
              </w:rPr>
            </w:pPr>
            <w:r>
              <w:rPr>
                <w:rFonts w:ascii="Arial" w:cs="Arial" w:eastAsia="Arial" w:hAnsi="Arial"/>
                <w:sz w:val="18"/>
                <w:szCs w:val="18"/>
                <w:b w:val="1"/>
                <w:bCs w:val="1"/>
                <w:color w:val="auto"/>
              </w:rPr>
              <w:t>1Q19</w:t>
            </w:r>
          </w:p>
        </w:tc>
        <w:tc>
          <w:tcPr>
            <w:tcW w:w="380" w:type="dxa"/>
            <w:vAlign w:val="bottom"/>
            <w:vMerge w:val="restart"/>
          </w:tcPr>
          <w:p>
            <w:pPr>
              <w:spacing w:after="0"/>
              <w:rPr>
                <w:sz w:val="15"/>
                <w:szCs w:val="15"/>
                <w:color w:val="auto"/>
              </w:rPr>
            </w:pPr>
          </w:p>
        </w:tc>
        <w:tc>
          <w:tcPr>
            <w:tcW w:w="60" w:type="dxa"/>
            <w:vAlign w:val="bottom"/>
            <w:vMerge w:val="restart"/>
          </w:tcPr>
          <w:p>
            <w:pPr>
              <w:spacing w:after="0"/>
              <w:rPr>
                <w:sz w:val="15"/>
                <w:szCs w:val="15"/>
                <w:color w:val="auto"/>
              </w:rPr>
            </w:pP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6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noted)</w:t>
            </w:r>
          </w:p>
        </w:tc>
        <w:tc>
          <w:tcPr>
            <w:tcW w:w="100" w:type="dxa"/>
            <w:vAlign w:val="bottom"/>
            <w:tcBorders>
              <w:bottom w:val="single" w:sz="8" w:color="CCEEFF"/>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86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vMerge w:val="continue"/>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860" w:type="dxa"/>
            <w:vAlign w:val="bottom"/>
            <w:tcBorders>
              <w:bottom w:val="single" w:sz="8" w:color="auto"/>
            </w:tcBorders>
            <w:vMerge w:val="continue"/>
          </w:tcPr>
          <w:p>
            <w:pPr>
              <w:spacing w:after="0"/>
              <w:rPr>
                <w:sz w:val="20"/>
                <w:szCs w:val="20"/>
                <w:color w:val="auto"/>
              </w:rPr>
            </w:pPr>
          </w:p>
        </w:tc>
        <w:tc>
          <w:tcPr>
            <w:tcW w:w="380" w:type="dxa"/>
            <w:vAlign w:val="bottom"/>
            <w:tcBorders>
              <w:bottom w:val="single" w:sz="8" w:color="CCEEFF"/>
            </w:tcBorders>
            <w:vMerge w:val="continue"/>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 Change</w:t>
            </w:r>
          </w:p>
        </w:tc>
        <w:tc>
          <w:tcPr>
            <w:tcW w:w="240" w:type="dxa"/>
            <w:vAlign w:val="bottom"/>
            <w:tcBorders>
              <w:bottom w:val="single" w:sz="8" w:color="CCEEFF"/>
              <w:right w:val="single" w:sz="8" w:color="auto"/>
            </w:tcBorders>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200" w:type="dxa"/>
            <w:vAlign w:val="bottom"/>
            <w:tcBorders>
              <w:bottom w:val="single" w:sz="8" w:color="CCEEFF"/>
            </w:tcBorders>
            <w:vMerge w:val="continue"/>
          </w:tcPr>
          <w:p>
            <w:pPr>
              <w:spacing w:after="0"/>
              <w:rPr>
                <w:sz w:val="20"/>
                <w:szCs w:val="20"/>
                <w:color w:val="auto"/>
              </w:rPr>
            </w:pPr>
          </w:p>
        </w:tc>
        <w:tc>
          <w:tcPr>
            <w:tcW w:w="180" w:type="dxa"/>
            <w:vAlign w:val="bottom"/>
            <w:tcBorders>
              <w:bottom w:val="single" w:sz="8" w:color="CCEEFF"/>
            </w:tcBorders>
          </w:tcPr>
          <w:p>
            <w:pPr>
              <w:spacing w:after="0"/>
              <w:rPr>
                <w:sz w:val="20"/>
                <w:szCs w:val="20"/>
                <w:color w:val="auto"/>
              </w:rPr>
            </w:pPr>
          </w:p>
        </w:tc>
        <w:tc>
          <w:tcPr>
            <w:tcW w:w="860" w:type="dxa"/>
            <w:vAlign w:val="bottom"/>
            <w:tcBorders>
              <w:bottom w:val="single" w:sz="8" w:color="auto"/>
            </w:tcBorders>
            <w:vMerge w:val="continue"/>
          </w:tcPr>
          <w:p>
            <w:pPr>
              <w:spacing w:after="0"/>
              <w:rPr>
                <w:sz w:val="20"/>
                <w:szCs w:val="20"/>
                <w:color w:val="auto"/>
              </w:rPr>
            </w:pPr>
          </w:p>
        </w:tc>
        <w:tc>
          <w:tcPr>
            <w:tcW w:w="380" w:type="dxa"/>
            <w:vAlign w:val="bottom"/>
            <w:tcBorders>
              <w:bottom w:val="single" w:sz="8" w:color="CCEEFF"/>
            </w:tcBorders>
            <w:vMerge w:val="continue"/>
          </w:tcPr>
          <w:p>
            <w:pPr>
              <w:spacing w:after="0"/>
              <w:rPr>
                <w:sz w:val="20"/>
                <w:szCs w:val="20"/>
                <w:color w:val="auto"/>
              </w:rPr>
            </w:pPr>
          </w:p>
        </w:tc>
        <w:tc>
          <w:tcPr>
            <w:tcW w:w="60" w:type="dxa"/>
            <w:vAlign w:val="bottom"/>
            <w:tcBorders>
              <w:bottom w:val="single" w:sz="8" w:color="auto"/>
            </w:tcBorders>
            <w:vMerge w:val="continue"/>
          </w:tcPr>
          <w:p>
            <w:pPr>
              <w:spacing w:after="0"/>
              <w:rPr>
                <w:sz w:val="20"/>
                <w:szCs w:val="20"/>
                <w:color w:val="auto"/>
              </w:rPr>
            </w:pPr>
          </w:p>
        </w:tc>
        <w:tc>
          <w:tcPr>
            <w:tcW w:w="8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w w:val="92"/>
              </w:rPr>
              <w:t>% Change</w:t>
            </w:r>
          </w:p>
        </w:tc>
        <w:tc>
          <w:tcPr>
            <w:tcW w:w="22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111.1</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24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310.4</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292.2</w:t>
            </w: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3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3640" w:type="dxa"/>
            <w:vAlign w:val="bottom"/>
            <w:shd w:val="clear" w:color="auto" w:fill="CCEEFF"/>
          </w:tcPr>
          <w:p>
            <w:pPr>
              <w:spacing w:after="0" w:line="256" w:lineRule="exact"/>
              <w:rPr>
                <w:sz w:val="20"/>
                <w:szCs w:val="20"/>
                <w:color w:val="auto"/>
              </w:rPr>
            </w:pPr>
            <w:r>
              <w:rPr>
                <w:rFonts w:ascii="Arial" w:cs="Arial" w:eastAsia="Arial" w:hAnsi="Arial"/>
                <w:sz w:val="18"/>
                <w:szCs w:val="18"/>
                <w:color w:val="auto"/>
              </w:rPr>
              <w:t>Combined</w:t>
            </w:r>
            <w:r>
              <w:rPr>
                <w:rFonts w:ascii="Arial" w:cs="Arial" w:eastAsia="Arial" w:hAnsi="Arial"/>
                <w:sz w:val="29"/>
                <w:szCs w:val="29"/>
                <w:color w:val="auto"/>
                <w:vertAlign w:val="superscript"/>
              </w:rPr>
              <w:t>11</w:t>
            </w:r>
            <w:r>
              <w:rPr>
                <w:rFonts w:ascii="Arial" w:cs="Arial" w:eastAsia="Arial" w:hAnsi="Arial"/>
                <w:sz w:val="18"/>
                <w:szCs w:val="18"/>
                <w:color w:val="auto"/>
              </w:rPr>
              <w:t xml:space="preserve"> net revenue (at PFG share)</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180.0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252.1</w:t>
            </w:r>
          </w:p>
        </w:tc>
        <w:tc>
          <w:tcPr>
            <w:tcW w:w="1120" w:type="dxa"/>
            <w:vAlign w:val="bottom"/>
            <w:tcBorders>
              <w:right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931.2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951.9</w:t>
            </w:r>
          </w:p>
        </w:tc>
        <w:tc>
          <w:tcPr>
            <w:tcW w:w="6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2"/>
        </w:trPr>
        <w:tc>
          <w:tcPr>
            <w:tcW w:w="3640" w:type="dxa"/>
            <w:vAlign w:val="bottom"/>
          </w:tcPr>
          <w:p>
            <w:pPr>
              <w:spacing w:after="0" w:line="201" w:lineRule="exact"/>
              <w:rPr>
                <w:sz w:val="20"/>
                <w:szCs w:val="20"/>
                <w:color w:val="auto"/>
              </w:rPr>
            </w:pPr>
            <w:r>
              <w:rPr>
                <w:rFonts w:ascii="Arial" w:cs="Arial" w:eastAsia="Arial" w:hAnsi="Arial"/>
                <w:sz w:val="18"/>
                <w:szCs w:val="18"/>
                <w:color w:val="auto"/>
                <w:w w:val="92"/>
              </w:rPr>
              <w:t>Pre-tax return on combined net  revenue (at PFG</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640" w:type="dxa"/>
            <w:vAlign w:val="bottom"/>
          </w:tcPr>
          <w:p>
            <w:pPr>
              <w:ind w:left="180"/>
              <w:spacing w:after="0"/>
              <w:rPr>
                <w:sz w:val="20"/>
                <w:szCs w:val="20"/>
                <w:color w:val="auto"/>
              </w:rPr>
            </w:pPr>
            <w:r>
              <w:rPr>
                <w:rFonts w:ascii="Arial" w:cs="Arial" w:eastAsia="Arial" w:hAnsi="Arial"/>
                <w:sz w:val="18"/>
                <w:szCs w:val="18"/>
                <w:color w:val="auto"/>
              </w:rPr>
              <w:t>share)</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17.1%</w:t>
            </w:r>
          </w:p>
        </w:tc>
        <w:tc>
          <w:tcPr>
            <w:tcW w:w="18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44.1%</w:t>
            </w:r>
          </w:p>
        </w:tc>
        <w:tc>
          <w:tcPr>
            <w:tcW w:w="880" w:type="dxa"/>
            <w:vAlign w:val="bottom"/>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33.3%</w:t>
            </w:r>
          </w:p>
        </w:tc>
        <w:tc>
          <w:tcPr>
            <w:tcW w:w="18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30.7%</w:t>
            </w: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40" w:type="dxa"/>
            <w:vAlign w:val="bottom"/>
            <w:tcBorders>
              <w:right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40" w:type="dxa"/>
            <w:vAlign w:val="bottom"/>
          </w:tcPr>
          <w:p>
            <w:pPr>
              <w:spacing w:after="0"/>
              <w:rPr>
                <w:sz w:val="20"/>
                <w:szCs w:val="20"/>
                <w:color w:val="auto"/>
              </w:rPr>
            </w:pPr>
            <w:r>
              <w:rPr>
                <w:rFonts w:ascii="Arial" w:cs="Arial" w:eastAsia="Arial" w:hAnsi="Arial"/>
                <w:sz w:val="18"/>
                <w:szCs w:val="18"/>
                <w:color w:val="auto"/>
              </w:rPr>
              <w:t xml:space="preserve">Assets under management </w:t>
            </w:r>
            <w:r>
              <w:rPr>
                <w:rFonts w:ascii="Arial" w:cs="Arial" w:eastAsia="Arial" w:hAnsi="Arial"/>
                <w:sz w:val="18"/>
                <w:szCs w:val="18"/>
                <w:i w:val="1"/>
                <w:iCs w:val="1"/>
                <w:color w:val="auto"/>
              </w:rPr>
              <w:t>(billions)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134.5</w:t>
            </w:r>
          </w:p>
        </w:tc>
        <w:tc>
          <w:tcPr>
            <w:tcW w:w="18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161.4</w:t>
            </w:r>
          </w:p>
        </w:tc>
        <w:tc>
          <w:tcPr>
            <w:tcW w:w="1120" w:type="dxa"/>
            <w:vAlign w:val="bottom"/>
            <w:tcBorders>
              <w:right w:val="single" w:sz="8" w:color="auto"/>
            </w:tcBorders>
            <w:gridSpan w:val="2"/>
          </w:tcPr>
          <w:p>
            <w:pPr>
              <w:jc w:val="right"/>
              <w:spacing w:after="0"/>
              <w:rPr>
                <w:sz w:val="20"/>
                <w:szCs w:val="20"/>
                <w:color w:val="auto"/>
              </w:rPr>
            </w:pPr>
            <w:r>
              <w:rPr>
                <w:rFonts w:ascii="Arial" w:cs="Arial" w:eastAsia="Arial" w:hAnsi="Arial"/>
                <w:sz w:val="18"/>
                <w:szCs w:val="18"/>
                <w:color w:val="auto"/>
              </w:rPr>
              <w:t>(17)%</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660" w:right="140" w:hanging="328"/>
        <w:spacing w:after="0" w:line="282"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$80.3 million primarily due to unfavorable encaje performance in the current quarter relative to favorable</w:t>
      </w:r>
      <w:r>
        <w:rPr>
          <w:rFonts w:ascii="Arial" w:cs="Arial" w:eastAsia="Arial" w:hAnsi="Arial"/>
          <w:sz w:val="18"/>
          <w:szCs w:val="18"/>
          <w:b w:val="1"/>
          <w:bCs w:val="1"/>
          <w:color w:val="auto"/>
        </w:rPr>
        <w:t xml:space="preserve"> </w:t>
      </w:r>
      <w:r>
        <w:rPr>
          <w:rFonts w:ascii="Arial" w:cs="Arial" w:eastAsia="Arial" w:hAnsi="Arial"/>
          <w:sz w:val="18"/>
          <w:szCs w:val="18"/>
          <w:color w:val="auto"/>
        </w:rPr>
        <w:t>encaje performance in the year ago quarter as well as foreign currency translation headwinds.</w:t>
      </w:r>
    </w:p>
    <w:p>
      <w:pPr>
        <w:spacing w:after="0" w:line="161" w:lineRule="exact"/>
        <w:rPr>
          <w:rFonts w:ascii="Arial" w:cs="Arial" w:eastAsia="Arial" w:hAnsi="Arial"/>
          <w:sz w:val="18"/>
          <w:szCs w:val="18"/>
          <w:color w:val="auto"/>
        </w:rPr>
      </w:pPr>
    </w:p>
    <w:p>
      <w:pPr>
        <w:ind w:left="660" w:right="700" w:hanging="328"/>
        <w:spacing w:after="0" w:line="282"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b w:val="1"/>
          <w:bCs w:val="1"/>
          <w:color w:val="auto"/>
        </w:rPr>
        <w:t xml:space="preserve">Combined net revenue (at PFG share) </w:t>
      </w:r>
      <w:r>
        <w:rPr>
          <w:rFonts w:ascii="Arial" w:cs="Arial" w:eastAsia="Arial" w:hAnsi="Arial"/>
          <w:sz w:val="18"/>
          <w:szCs w:val="18"/>
          <w:color w:val="auto"/>
        </w:rPr>
        <w:t>decreased $72.1 million due to unfavorable encaje performance and foreign currency translation</w:t>
      </w:r>
      <w:r>
        <w:rPr>
          <w:rFonts w:ascii="Arial" w:cs="Arial" w:eastAsia="Arial" w:hAnsi="Arial"/>
          <w:sz w:val="18"/>
          <w:szCs w:val="18"/>
          <w:b w:val="1"/>
          <w:bCs w:val="1"/>
          <w:color w:val="auto"/>
        </w:rPr>
        <w:t xml:space="preserve"> </w:t>
      </w:r>
      <w:r>
        <w:rPr>
          <w:rFonts w:ascii="Arial" w:cs="Arial" w:eastAsia="Arial" w:hAnsi="Arial"/>
          <w:sz w:val="18"/>
          <w:szCs w:val="18"/>
          <w:color w:val="auto"/>
        </w:rPr>
        <w:t>headwinds.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178308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13" w:lineRule="exact"/>
        <w:rPr>
          <w:sz w:val="20"/>
          <w:szCs w:val="20"/>
          <w:color w:val="auto"/>
        </w:rPr>
      </w:pPr>
    </w:p>
    <w:p>
      <w:pPr>
        <w:jc w:val="both"/>
        <w:ind w:right="260" w:firstLine="8"/>
        <w:spacing w:after="0" w:line="234" w:lineRule="auto"/>
        <w:tabs>
          <w:tab w:leader="none" w:pos="120" w:val="left"/>
        </w:tabs>
        <w:numPr>
          <w:ilvl w:val="0"/>
          <w:numId w:val="21"/>
        </w:numPr>
        <w:rPr>
          <w:rFonts w:ascii="Arial" w:cs="Arial" w:eastAsia="Arial" w:hAnsi="Arial"/>
          <w:sz w:val="27"/>
          <w:szCs w:val="27"/>
          <w:color w:val="auto"/>
          <w:vertAlign w:val="superscript"/>
        </w:rPr>
      </w:pPr>
      <w:r>
        <w:rPr>
          <w:rFonts w:ascii="Arial" w:cs="Arial" w:eastAsia="Arial" w:hAnsi="Arial"/>
          <w:sz w:val="16"/>
          <w:szCs w:val="16"/>
          <w:color w:val="auto"/>
        </w:rPr>
        <w:t>The company has provided reconciliations of the non-GAAP measures to the most directly comparable U.S. GAAP measures at the end of the release. The company has determined this measure is more representative of underlying operating revenues growth for PGI as it removes commissions and other expenses that are collected through fee revenue and passed through expenses with no impact to pre-tax operating earnings.</w:t>
      </w:r>
    </w:p>
    <w:p>
      <w:pPr>
        <w:spacing w:after="0" w:line="27" w:lineRule="exact"/>
        <w:rPr>
          <w:sz w:val="20"/>
          <w:szCs w:val="20"/>
          <w:color w:val="auto"/>
        </w:rPr>
      </w:pPr>
    </w:p>
    <w:p>
      <w:pPr>
        <w:ind w:right="180" w:firstLine="8"/>
        <w:spacing w:after="0" w:line="232" w:lineRule="auto"/>
        <w:tabs>
          <w:tab w:leader="none" w:pos="195" w:val="left"/>
        </w:tabs>
        <w:numPr>
          <w:ilvl w:val="0"/>
          <w:numId w:val="22"/>
        </w:numPr>
        <w:rPr>
          <w:rFonts w:ascii="Arial" w:cs="Arial" w:eastAsia="Arial" w:hAnsi="Arial"/>
          <w:sz w:val="25"/>
          <w:szCs w:val="25"/>
          <w:color w:val="auto"/>
          <w:vertAlign w:val="superscript"/>
        </w:rPr>
      </w:pPr>
      <w:r>
        <w:rPr>
          <w:rFonts w:ascii="Arial" w:cs="Arial" w:eastAsia="Arial" w:hAnsi="Arial"/>
          <w:sz w:val="15"/>
          <w:szCs w:val="15"/>
          <w:color w:val="auto"/>
        </w:rPr>
        <w:t>Pre-tax return on operating revenues less pass-through expenses = pre-tax operating earnings, adjusted for noncontrolling interest divided by operating revenues less pass-through expenses.</w:t>
      </w:r>
    </w:p>
    <w:p>
      <w:pPr>
        <w:spacing w:after="0" w:line="27" w:lineRule="exact"/>
        <w:rPr>
          <w:rFonts w:ascii="Arial" w:cs="Arial" w:eastAsia="Arial" w:hAnsi="Arial"/>
          <w:sz w:val="25"/>
          <w:szCs w:val="25"/>
          <w:color w:val="auto"/>
          <w:vertAlign w:val="superscript"/>
        </w:rPr>
      </w:pPr>
    </w:p>
    <w:p>
      <w:pPr>
        <w:ind w:right="220" w:firstLine="8"/>
        <w:spacing w:after="0" w:line="269" w:lineRule="auto"/>
        <w:tabs>
          <w:tab w:leader="none" w:pos="189" w:val="left"/>
        </w:tabs>
        <w:numPr>
          <w:ilvl w:val="0"/>
          <w:numId w:val="22"/>
        </w:numPr>
        <w:rPr>
          <w:rFonts w:ascii="Arial" w:cs="Arial" w:eastAsia="Arial" w:hAnsi="Arial"/>
          <w:sz w:val="23"/>
          <w:szCs w:val="23"/>
          <w:color w:val="auto"/>
          <w:vertAlign w:val="superscript"/>
        </w:rPr>
      </w:pPr>
      <w:r>
        <w:rPr>
          <w:rFonts w:ascii="Arial" w:cs="Arial" w:eastAsia="Arial" w:hAnsi="Arial"/>
          <w:sz w:val="15"/>
          <w:szCs w:val="15"/>
          <w:color w:val="auto"/>
        </w:rPr>
        <w:t>Combined net revenue: net revenue for all PI companies at 100% less pass-through commissions. The company has determined combined net revenue (at PFG share) is more representative of underlying net revenue growth for PI as it reflects our proportionate share of consolidated and equity method subsidiaries. In addition, using this net revenue metric provides a more meaningful representation of our profit margins.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269875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586105</wp:posOffset>
            </wp:positionV>
            <wp:extent cx="1680210" cy="5575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tcPr>
          <w:p>
            <w:pPr>
              <w:spacing w:after="0"/>
              <w:rPr>
                <w:sz w:val="20"/>
                <w:szCs w:val="20"/>
                <w:color w:val="auto"/>
              </w:rPr>
            </w:pPr>
            <w:r>
              <w:rPr>
                <w:rFonts w:ascii="Arial" w:cs="Arial" w:eastAsia="Arial" w:hAnsi="Arial"/>
                <w:sz w:val="18"/>
                <w:szCs w:val="18"/>
                <w:b w:val="1"/>
                <w:bCs w:val="1"/>
                <w:color w:val="auto"/>
              </w:rPr>
              <w:t>Specialty Benefits Insurance</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660" w:type="dxa"/>
            <w:vAlign w:val="bottom"/>
            <w:vMerge w:val="restart"/>
          </w:tcPr>
          <w:p>
            <w:pPr>
              <w:spacing w:after="0"/>
              <w:rPr>
                <w:sz w:val="20"/>
                <w:szCs w:val="20"/>
                <w:color w:val="auto"/>
              </w:rPr>
            </w:pPr>
            <w:r>
              <w:rPr>
                <w:rFonts w:ascii="Arial" w:cs="Arial" w:eastAsia="Arial" w:hAnsi="Arial"/>
                <w:sz w:val="18"/>
                <w:szCs w:val="18"/>
                <w:color w:val="auto"/>
              </w:rPr>
              <w:t>(in millions except percentages or otherwise</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gridSpan w:val="2"/>
            <w:vMerge w:val="restart"/>
          </w:tcPr>
          <w:p>
            <w:pPr>
              <w:jc w:val="right"/>
              <w:ind w:right="580"/>
              <w:spacing w:after="0"/>
              <w:rPr>
                <w:sz w:val="20"/>
                <w:szCs w:val="20"/>
                <w:color w:val="auto"/>
              </w:rPr>
            </w:pPr>
            <w:r>
              <w:rPr>
                <w:rFonts w:ascii="Arial" w:cs="Arial" w:eastAsia="Arial" w:hAnsi="Arial"/>
                <w:sz w:val="18"/>
                <w:szCs w:val="18"/>
                <w:b w:val="1"/>
                <w:bCs w:val="1"/>
                <w:i w:val="1"/>
                <w:iCs w:val="1"/>
                <w:color w:val="auto"/>
              </w:rPr>
              <w:t>Quarter</w:t>
            </w:r>
          </w:p>
        </w:tc>
        <w:tc>
          <w:tcPr>
            <w:tcW w:w="8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80" w:type="dxa"/>
            <w:vAlign w:val="bottom"/>
            <w:gridSpan w:val="6"/>
            <w:vMerge w:val="restart"/>
          </w:tcPr>
          <w:p>
            <w:pPr>
              <w:ind w:left="760"/>
              <w:spacing w:after="0"/>
              <w:rPr>
                <w:sz w:val="20"/>
                <w:szCs w:val="20"/>
                <w:color w:val="auto"/>
              </w:rPr>
            </w:pPr>
            <w:r>
              <w:rPr>
                <w:rFonts w:ascii="Arial" w:cs="Arial" w:eastAsia="Arial" w:hAnsi="Arial"/>
                <w:sz w:val="18"/>
                <w:szCs w:val="18"/>
                <w:b w:val="1"/>
                <w:bCs w:val="1"/>
                <w:i w:val="1"/>
                <w:iCs w:val="1"/>
                <w:color w:val="auto"/>
                <w:w w:val="90"/>
              </w:rPr>
              <w:t>Trailing Twelve Months</w:t>
            </w:r>
          </w:p>
        </w:tc>
        <w:tc>
          <w:tcPr>
            <w:tcW w:w="8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366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gridSpan w:val="2"/>
            <w:vMerge w:val="continue"/>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580" w:type="dxa"/>
            <w:vAlign w:val="bottom"/>
            <w:tcBorders>
              <w:bottom w:val="single" w:sz="8" w:color="auto"/>
            </w:tcBorders>
            <w:gridSpan w:val="6"/>
            <w:vMerge w:val="continue"/>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220" w:type="dxa"/>
            <w:vAlign w:val="bottom"/>
            <w:vMerge w:val="restart"/>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1Q19</w:t>
            </w:r>
          </w:p>
        </w:tc>
        <w:tc>
          <w:tcPr>
            <w:tcW w:w="380" w:type="dxa"/>
            <w:vAlign w:val="bottom"/>
            <w:vMerge w:val="restart"/>
          </w:tcPr>
          <w:p>
            <w:pPr>
              <w:spacing w:after="0"/>
              <w:rPr>
                <w:sz w:val="15"/>
                <w:szCs w:val="15"/>
                <w:color w:val="auto"/>
              </w:rPr>
            </w:pPr>
          </w:p>
        </w:tc>
        <w:tc>
          <w:tcPr>
            <w:tcW w:w="88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220" w:type="dxa"/>
            <w:vAlign w:val="bottom"/>
            <w:vMerge w:val="restart"/>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vMerge w:val="restart"/>
          </w:tcPr>
          <w:p>
            <w:pPr>
              <w:jc w:val="right"/>
              <w:ind w:right="150"/>
              <w:spacing w:after="0"/>
              <w:rPr>
                <w:sz w:val="20"/>
                <w:szCs w:val="20"/>
                <w:color w:val="auto"/>
              </w:rPr>
            </w:pPr>
            <w:r>
              <w:rPr>
                <w:rFonts w:ascii="Arial" w:cs="Arial" w:eastAsia="Arial" w:hAnsi="Arial"/>
                <w:sz w:val="18"/>
                <w:szCs w:val="18"/>
                <w:b w:val="1"/>
                <w:bCs w:val="1"/>
                <w:color w:val="auto"/>
              </w:rPr>
              <w:t>1Q19</w:t>
            </w:r>
          </w:p>
        </w:tc>
        <w:tc>
          <w:tcPr>
            <w:tcW w:w="380" w:type="dxa"/>
            <w:vAlign w:val="bottom"/>
            <w:vMerge w:val="restart"/>
          </w:tcPr>
          <w:p>
            <w:pPr>
              <w:spacing w:after="0"/>
              <w:rPr>
                <w:sz w:val="15"/>
                <w:szCs w:val="15"/>
                <w:color w:val="auto"/>
              </w:rPr>
            </w:pPr>
          </w:p>
        </w:tc>
        <w:tc>
          <w:tcPr>
            <w:tcW w:w="60" w:type="dxa"/>
            <w:vAlign w:val="bottom"/>
            <w:vMerge w:val="restart"/>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noted)</w:t>
            </w:r>
          </w:p>
        </w:tc>
        <w:tc>
          <w:tcPr>
            <w:tcW w:w="12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22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380" w:type="dxa"/>
            <w:vAlign w:val="bottom"/>
            <w:tcBorders>
              <w:bottom w:val="single" w:sz="8" w:color="CCEEFF"/>
            </w:tcBorders>
            <w:vMerge w:val="continue"/>
          </w:tcPr>
          <w:p>
            <w:pPr>
              <w:spacing w:after="0"/>
              <w:rPr>
                <w:sz w:val="20"/>
                <w:szCs w:val="20"/>
                <w:color w:val="auto"/>
              </w:rPr>
            </w:pPr>
          </w:p>
        </w:tc>
        <w:tc>
          <w:tcPr>
            <w:tcW w:w="8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5"/>
              </w:rPr>
              <w:t>% Change</w:t>
            </w:r>
          </w:p>
        </w:tc>
        <w:tc>
          <w:tcPr>
            <w:tcW w:w="180" w:type="dxa"/>
            <w:vAlign w:val="bottom"/>
            <w:tcBorders>
              <w:bottom w:val="single" w:sz="8" w:color="CCEEFF"/>
              <w:right w:val="single" w:sz="8" w:color="auto"/>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22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880" w:type="dxa"/>
            <w:vAlign w:val="bottom"/>
            <w:tcBorders>
              <w:bottom w:val="single" w:sz="8" w:color="auto"/>
            </w:tcBorders>
            <w:vMerge w:val="continue"/>
          </w:tcPr>
          <w:p>
            <w:pPr>
              <w:spacing w:after="0"/>
              <w:rPr>
                <w:sz w:val="20"/>
                <w:szCs w:val="20"/>
                <w:color w:val="auto"/>
              </w:rPr>
            </w:pPr>
          </w:p>
        </w:tc>
        <w:tc>
          <w:tcPr>
            <w:tcW w:w="380" w:type="dxa"/>
            <w:vAlign w:val="bottom"/>
            <w:tcBorders>
              <w:bottom w:val="single" w:sz="8" w:color="CCEEFF"/>
            </w:tcBorders>
            <w:vMerge w:val="continue"/>
          </w:tcPr>
          <w:p>
            <w:pPr>
              <w:spacing w:after="0"/>
              <w:rPr>
                <w:sz w:val="20"/>
                <w:szCs w:val="20"/>
                <w:color w:val="auto"/>
              </w:rPr>
            </w:pPr>
          </w:p>
        </w:tc>
        <w:tc>
          <w:tcPr>
            <w:tcW w:w="60" w:type="dxa"/>
            <w:vAlign w:val="bottom"/>
            <w:tcBorders>
              <w:bottom w:val="single" w:sz="8" w:color="auto"/>
            </w:tcBorders>
            <w:vMerge w:val="continue"/>
          </w:tcPr>
          <w:p>
            <w:pPr>
              <w:spacing w:after="0"/>
              <w:rPr>
                <w:sz w:val="20"/>
                <w:szCs w:val="20"/>
                <w:color w:val="auto"/>
              </w:rPr>
            </w:pPr>
          </w:p>
        </w:tc>
        <w:tc>
          <w:tcPr>
            <w:tcW w:w="8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w w:val="95"/>
              </w:rPr>
              <w:t>% Change</w:t>
            </w:r>
          </w:p>
        </w:tc>
        <w:tc>
          <w:tcPr>
            <w:tcW w:w="16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earnings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88.2</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w:t>
            </w:r>
          </w:p>
        </w:tc>
        <w:tc>
          <w:tcPr>
            <w:tcW w:w="380" w:type="dxa"/>
            <w:vAlign w:val="bottom"/>
            <w:shd w:val="clear" w:color="auto" w:fill="CCEEFF"/>
          </w:tcPr>
          <w:p>
            <w:pPr>
              <w:spacing w:after="0"/>
              <w:rPr>
                <w:sz w:val="18"/>
                <w:szCs w:val="18"/>
                <w:color w:val="auto"/>
              </w:rPr>
            </w:pPr>
          </w:p>
        </w:tc>
        <w:tc>
          <w:tcPr>
            <w:tcW w:w="1060" w:type="dxa"/>
            <w:vAlign w:val="bottom"/>
            <w:tcBorders>
              <w:right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380.9</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280.2</w:t>
            </w: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6"/>
        </w:trPr>
        <w:tc>
          <w:tcPr>
            <w:tcW w:w="3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597.1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564.5</w:t>
            </w:r>
          </w:p>
        </w:tc>
        <w:tc>
          <w:tcPr>
            <w:tcW w:w="1060" w:type="dxa"/>
            <w:vAlign w:val="bottom"/>
            <w:tcBorders>
              <w:right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2,359.8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2,208.1</w:t>
            </w:r>
          </w:p>
        </w:tc>
        <w:tc>
          <w:tcPr>
            <w:tcW w:w="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57"/>
        </w:trPr>
        <w:tc>
          <w:tcPr>
            <w:tcW w:w="3660" w:type="dxa"/>
            <w:vAlign w:val="bottom"/>
          </w:tcPr>
          <w:p>
            <w:pPr>
              <w:spacing w:after="0" w:line="256" w:lineRule="exact"/>
              <w:rPr>
                <w:sz w:val="20"/>
                <w:szCs w:val="20"/>
                <w:color w:val="auto"/>
              </w:rPr>
            </w:pPr>
            <w:r>
              <w:rPr>
                <w:rFonts w:ascii="Arial" w:cs="Arial" w:eastAsia="Arial" w:hAnsi="Arial"/>
                <w:sz w:val="18"/>
                <w:szCs w:val="18"/>
                <w:color w:val="auto"/>
              </w:rPr>
              <w:t xml:space="preserve">Pre-tax return on premium and fees </w:t>
            </w:r>
            <w:r>
              <w:rPr>
                <w:rFonts w:ascii="Arial" w:cs="Arial" w:eastAsia="Arial" w:hAnsi="Arial"/>
                <w:sz w:val="29"/>
                <w:szCs w:val="29"/>
                <w:color w:val="auto"/>
                <w:vertAlign w:val="superscript"/>
              </w:rPr>
              <w:t>12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8"/>
                <w:szCs w:val="18"/>
                <w:color w:val="auto"/>
              </w:rPr>
              <w:t>14.8%</w:t>
            </w:r>
          </w:p>
        </w:tc>
        <w:tc>
          <w:tcPr>
            <w:tcW w:w="160" w:type="dxa"/>
            <w:vAlign w:val="bottom"/>
          </w:tcPr>
          <w:p>
            <w:pPr>
              <w:spacing w:after="0"/>
              <w:rPr>
                <w:sz w:val="22"/>
                <w:szCs w:val="22"/>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10.5%</w:t>
            </w:r>
          </w:p>
        </w:tc>
        <w:tc>
          <w:tcPr>
            <w:tcW w:w="88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8"/>
                <w:szCs w:val="18"/>
                <w:color w:val="auto"/>
              </w:rPr>
              <w:t>16.1%</w:t>
            </w:r>
          </w:p>
        </w:tc>
        <w:tc>
          <w:tcPr>
            <w:tcW w:w="16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12.7%</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80" w:type="dxa"/>
            <w:vAlign w:val="bottom"/>
            <w:tcBorders>
              <w:right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660" w:type="dxa"/>
            <w:vAlign w:val="bottom"/>
          </w:tcPr>
          <w:p>
            <w:pPr>
              <w:spacing w:after="0"/>
              <w:rPr>
                <w:sz w:val="20"/>
                <w:szCs w:val="20"/>
                <w:color w:val="auto"/>
              </w:rPr>
            </w:pPr>
            <w:r>
              <w:rPr>
                <w:rFonts w:ascii="Arial" w:cs="Arial" w:eastAsia="Arial" w:hAnsi="Arial"/>
                <w:sz w:val="18"/>
                <w:szCs w:val="18"/>
                <w:color w:val="auto"/>
              </w:rPr>
              <w:t>Incurred loss ratio</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8"/>
                <w:szCs w:val="18"/>
                <w:color w:val="auto"/>
              </w:rPr>
              <w:t>59.6%</w:t>
            </w:r>
          </w:p>
        </w:tc>
        <w:tc>
          <w:tcPr>
            <w:tcW w:w="160" w:type="dxa"/>
            <w:vAlign w:val="bottom"/>
          </w:tcPr>
          <w:p>
            <w:pPr>
              <w:spacing w:after="0"/>
              <w:rPr>
                <w:sz w:val="19"/>
                <w:szCs w:val="19"/>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64.2%</w:t>
            </w:r>
          </w:p>
        </w:tc>
        <w:tc>
          <w:tcPr>
            <w:tcW w:w="88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8"/>
                <w:szCs w:val="18"/>
                <w:color w:val="auto"/>
              </w:rPr>
              <w:t>60.0%</w:t>
            </w:r>
          </w:p>
        </w:tc>
        <w:tc>
          <w:tcPr>
            <w:tcW w:w="16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62.1%</w:t>
            </w:r>
          </w:p>
        </w:tc>
        <w:tc>
          <w:tcPr>
            <w:tcW w:w="6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increased $28.7 million primarily due to a very favorable loss ratio and growth in the business.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increased $32.6 million reflecting retention, sales, and in-group growth.</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 xml:space="preserve">Incurred loss ratio </w:t>
      </w:r>
      <w:r>
        <w:rPr>
          <w:rFonts w:ascii="Arial" w:cs="Arial" w:eastAsia="Arial" w:hAnsi="Arial"/>
          <w:sz w:val="18"/>
          <w:szCs w:val="18"/>
          <w:color w:val="auto"/>
        </w:rPr>
        <w:t>decreased primarily due to lower dental and vision claims related to COVID-19 provider office closures.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20" w:type="dxa"/>
            <w:vAlign w:val="bottom"/>
          </w:tcPr>
          <w:p>
            <w:pPr>
              <w:spacing w:after="0"/>
              <w:rPr>
                <w:sz w:val="20"/>
                <w:szCs w:val="20"/>
                <w:color w:val="auto"/>
              </w:rPr>
            </w:pPr>
            <w:r>
              <w:rPr>
                <w:rFonts w:ascii="Arial" w:cs="Arial" w:eastAsia="Arial" w:hAnsi="Arial"/>
                <w:sz w:val="18"/>
                <w:szCs w:val="18"/>
                <w:b w:val="1"/>
                <w:bCs w:val="1"/>
                <w:color w:val="auto"/>
              </w:rPr>
              <w:t>Individual Life Insurance</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620" w:type="dxa"/>
            <w:vAlign w:val="bottom"/>
            <w:vMerge w:val="restart"/>
          </w:tcPr>
          <w:p>
            <w:pPr>
              <w:spacing w:after="0"/>
              <w:rPr>
                <w:sz w:val="20"/>
                <w:szCs w:val="20"/>
                <w:color w:val="auto"/>
              </w:rPr>
            </w:pPr>
            <w:r>
              <w:rPr>
                <w:rFonts w:ascii="Arial" w:cs="Arial" w:eastAsia="Arial" w:hAnsi="Arial"/>
                <w:sz w:val="18"/>
                <w:szCs w:val="18"/>
                <w:color w:val="auto"/>
              </w:rPr>
              <w:t>(in millions except percentages or otherwise</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gridSpan w:val="2"/>
            <w:vMerge w:val="restart"/>
          </w:tcPr>
          <w:p>
            <w:pPr>
              <w:ind w:left="100"/>
              <w:spacing w:after="0"/>
              <w:rPr>
                <w:sz w:val="20"/>
                <w:szCs w:val="20"/>
                <w:color w:val="auto"/>
              </w:rPr>
            </w:pPr>
            <w:r>
              <w:rPr>
                <w:rFonts w:ascii="Arial" w:cs="Arial" w:eastAsia="Arial" w:hAnsi="Arial"/>
                <w:sz w:val="18"/>
                <w:szCs w:val="18"/>
                <w:b w:val="1"/>
                <w:bCs w:val="1"/>
                <w:i w:val="1"/>
                <w:iCs w:val="1"/>
                <w:color w:val="auto"/>
              </w:rPr>
              <w:t>Quarter</w:t>
            </w:r>
          </w:p>
        </w:tc>
        <w:tc>
          <w:tcPr>
            <w:tcW w:w="8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40" w:type="dxa"/>
            <w:vAlign w:val="bottom"/>
            <w:gridSpan w:val="6"/>
            <w:vMerge w:val="restart"/>
          </w:tcPr>
          <w:p>
            <w:pPr>
              <w:ind w:left="740"/>
              <w:spacing w:after="0"/>
              <w:rPr>
                <w:sz w:val="20"/>
                <w:szCs w:val="20"/>
                <w:color w:val="auto"/>
              </w:rPr>
            </w:pPr>
            <w:r>
              <w:rPr>
                <w:rFonts w:ascii="Arial" w:cs="Arial" w:eastAsia="Arial" w:hAnsi="Arial"/>
                <w:sz w:val="18"/>
                <w:szCs w:val="18"/>
                <w:b w:val="1"/>
                <w:bCs w:val="1"/>
                <w:i w:val="1"/>
                <w:iCs w:val="1"/>
                <w:color w:val="auto"/>
                <w:w w:val="89"/>
              </w:rPr>
              <w:t>Trailing Twelve Months</w:t>
            </w: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62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gridSpan w:val="2"/>
            <w:vMerge w:val="continue"/>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540" w:type="dxa"/>
            <w:vAlign w:val="bottom"/>
            <w:tcBorders>
              <w:bottom w:val="single" w:sz="8" w:color="auto"/>
            </w:tcBorders>
            <w:gridSpan w:val="6"/>
            <w:vMerge w:val="continue"/>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2"/>
        </w:trPr>
        <w:tc>
          <w:tcPr>
            <w:tcW w:w="36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gridSpan w:val="2"/>
            <w:vMerge w:val="restart"/>
          </w:tcPr>
          <w:p>
            <w:pPr>
              <w:jc w:val="right"/>
              <w:ind w:right="440"/>
              <w:spacing w:after="0"/>
              <w:rPr>
                <w:sz w:val="20"/>
                <w:szCs w:val="20"/>
                <w:color w:val="auto"/>
              </w:rPr>
            </w:pPr>
            <w:r>
              <w:rPr>
                <w:rFonts w:ascii="Arial" w:cs="Arial" w:eastAsia="Arial" w:hAnsi="Arial"/>
                <w:sz w:val="18"/>
                <w:szCs w:val="18"/>
                <w:b w:val="1"/>
                <w:bCs w:val="1"/>
                <w:color w:val="auto"/>
              </w:rPr>
              <w:t>1Q20</w:t>
            </w:r>
          </w:p>
        </w:tc>
        <w:tc>
          <w:tcPr>
            <w:tcW w:w="160" w:type="dxa"/>
            <w:vAlign w:val="bottom"/>
          </w:tcPr>
          <w:p>
            <w:pPr>
              <w:spacing w:after="0"/>
              <w:rPr>
                <w:sz w:val="15"/>
                <w:szCs w:val="15"/>
                <w:color w:val="auto"/>
              </w:rPr>
            </w:pPr>
          </w:p>
        </w:tc>
        <w:tc>
          <w:tcPr>
            <w:tcW w:w="1240" w:type="dxa"/>
            <w:vAlign w:val="bottom"/>
            <w:gridSpan w:val="2"/>
            <w:vMerge w:val="restart"/>
          </w:tcPr>
          <w:p>
            <w:pPr>
              <w:ind w:left="240"/>
              <w:spacing w:after="0"/>
              <w:rPr>
                <w:sz w:val="20"/>
                <w:szCs w:val="20"/>
                <w:color w:val="auto"/>
              </w:rPr>
            </w:pPr>
            <w:r>
              <w:rPr>
                <w:rFonts w:ascii="Arial" w:cs="Arial" w:eastAsia="Arial" w:hAnsi="Arial"/>
                <w:sz w:val="18"/>
                <w:szCs w:val="18"/>
                <w:b w:val="1"/>
                <w:bCs w:val="1"/>
                <w:color w:val="auto"/>
              </w:rPr>
              <w:t>1Q19</w:t>
            </w:r>
          </w:p>
        </w:tc>
        <w:tc>
          <w:tcPr>
            <w:tcW w:w="8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gridSpan w:val="2"/>
            <w:vMerge w:val="restart"/>
          </w:tcPr>
          <w:p>
            <w:pPr>
              <w:jc w:val="right"/>
              <w:ind w:right="440"/>
              <w:spacing w:after="0"/>
              <w:rPr>
                <w:sz w:val="20"/>
                <w:szCs w:val="20"/>
                <w:color w:val="auto"/>
              </w:rPr>
            </w:pPr>
            <w:r>
              <w:rPr>
                <w:rFonts w:ascii="Arial" w:cs="Arial" w:eastAsia="Arial" w:hAnsi="Arial"/>
                <w:sz w:val="18"/>
                <w:szCs w:val="18"/>
                <w:b w:val="1"/>
                <w:bCs w:val="1"/>
                <w:color w:val="auto"/>
              </w:rPr>
              <w:t>1Q20</w:t>
            </w:r>
          </w:p>
        </w:tc>
        <w:tc>
          <w:tcPr>
            <w:tcW w:w="180" w:type="dxa"/>
            <w:vAlign w:val="bottom"/>
          </w:tcPr>
          <w:p>
            <w:pPr>
              <w:spacing w:after="0"/>
              <w:rPr>
                <w:sz w:val="15"/>
                <w:szCs w:val="15"/>
                <w:color w:val="auto"/>
              </w:rPr>
            </w:pPr>
          </w:p>
        </w:tc>
        <w:tc>
          <w:tcPr>
            <w:tcW w:w="1280" w:type="dxa"/>
            <w:vAlign w:val="bottom"/>
            <w:gridSpan w:val="3"/>
            <w:vMerge w:val="restart"/>
          </w:tcPr>
          <w:p>
            <w:pPr>
              <w:ind w:left="220"/>
              <w:spacing w:after="0"/>
              <w:rPr>
                <w:sz w:val="20"/>
                <w:szCs w:val="20"/>
                <w:color w:val="auto"/>
              </w:rPr>
            </w:pPr>
            <w:r>
              <w:rPr>
                <w:rFonts w:ascii="Arial" w:cs="Arial" w:eastAsia="Arial" w:hAnsi="Arial"/>
                <w:sz w:val="18"/>
                <w:szCs w:val="18"/>
                <w:b w:val="1"/>
                <w:bCs w:val="1"/>
                <w:color w:val="auto"/>
              </w:rPr>
              <w:t>1Q19</w:t>
            </w: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noted)</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gridSpan w:val="2"/>
            <w:vMerge w:val="continue"/>
          </w:tcPr>
          <w:p>
            <w:pPr>
              <w:spacing w:after="0"/>
              <w:rPr>
                <w:sz w:val="20"/>
                <w:szCs w:val="20"/>
                <w:color w:val="auto"/>
              </w:rPr>
            </w:pPr>
          </w:p>
        </w:tc>
        <w:tc>
          <w:tcPr>
            <w:tcW w:w="1120" w:type="dxa"/>
            <w:vAlign w:val="bottom"/>
            <w:tcBorders>
              <w:right w:val="single" w:sz="8" w:color="auto"/>
            </w:tcBorders>
            <w:gridSpan w:val="2"/>
          </w:tcPr>
          <w:p>
            <w:pPr>
              <w:jc w:val="right"/>
              <w:ind w:right="210"/>
              <w:spacing w:after="0"/>
              <w:rPr>
                <w:sz w:val="20"/>
                <w:szCs w:val="20"/>
                <w:color w:val="auto"/>
              </w:rPr>
            </w:pPr>
            <w:r>
              <w:rPr>
                <w:rFonts w:ascii="Arial" w:cs="Arial" w:eastAsia="Arial" w:hAnsi="Arial"/>
                <w:sz w:val="18"/>
                <w:szCs w:val="18"/>
                <w:color w:val="auto"/>
                <w:w w:val="95"/>
              </w:rPr>
              <w:t>% Change</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3"/>
            <w:vMerge w:val="continue"/>
          </w:tcPr>
          <w:p>
            <w:pPr>
              <w:spacing w:after="0"/>
              <w:rPr>
                <w:sz w:val="20"/>
                <w:szCs w:val="20"/>
                <w:color w:val="auto"/>
              </w:rPr>
            </w:pPr>
          </w:p>
        </w:tc>
        <w:tc>
          <w:tcPr>
            <w:tcW w:w="1060" w:type="dxa"/>
            <w:vAlign w:val="bottom"/>
            <w:gridSpan w:val="2"/>
          </w:tcPr>
          <w:p>
            <w:pPr>
              <w:jc w:val="right"/>
              <w:ind w:right="190"/>
              <w:spacing w:after="0"/>
              <w:rPr>
                <w:sz w:val="20"/>
                <w:szCs w:val="20"/>
                <w:color w:val="auto"/>
              </w:rPr>
            </w:pPr>
            <w:r>
              <w:rPr>
                <w:rFonts w:ascii="Arial" w:cs="Arial" w:eastAsia="Arial" w:hAnsi="Arial"/>
                <w:sz w:val="18"/>
                <w:szCs w:val="18"/>
                <w:color w:val="auto"/>
                <w:w w:val="90"/>
              </w:rPr>
              <w:t>% Change</w:t>
            </w:r>
          </w:p>
        </w:tc>
        <w:tc>
          <w:tcPr>
            <w:tcW w:w="0" w:type="dxa"/>
            <w:vAlign w:val="bottom"/>
          </w:tcPr>
          <w:p>
            <w:pPr>
              <w:spacing w:after="0"/>
              <w:rPr>
                <w:sz w:val="1"/>
                <w:szCs w:val="1"/>
                <w:color w:val="auto"/>
              </w:rPr>
            </w:pPr>
          </w:p>
        </w:tc>
      </w:tr>
      <w:tr>
        <w:trPr>
          <w:trHeight w:val="210"/>
        </w:trPr>
        <w:tc>
          <w:tcPr>
            <w:tcW w:w="362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Pre-tax operating earnings</w:t>
            </w:r>
          </w:p>
        </w:tc>
        <w:tc>
          <w:tcPr>
            <w:tcW w:w="220" w:type="dxa"/>
            <w:vAlign w:val="bottom"/>
            <w:tcBorders>
              <w:top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ind w:left="560"/>
              <w:spacing w:after="0"/>
              <w:rPr>
                <w:sz w:val="20"/>
                <w:szCs w:val="20"/>
                <w:color w:val="auto"/>
              </w:rPr>
            </w:pPr>
            <w:r>
              <w:rPr>
                <w:rFonts w:ascii="Arial" w:cs="Arial" w:eastAsia="Arial" w:hAnsi="Arial"/>
                <w:sz w:val="18"/>
                <w:szCs w:val="18"/>
                <w:color w:val="auto"/>
                <w:w w:val="79"/>
              </w:rPr>
              <w:t>51.2</w:t>
            </w:r>
          </w:p>
        </w:tc>
        <w:tc>
          <w:tcPr>
            <w:tcW w:w="3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40" w:type="dxa"/>
            <w:vAlign w:val="bottom"/>
            <w:tcBorders>
              <w:top w:val="single" w:sz="8" w:color="CCEEFF"/>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159.5</w:t>
            </w:r>
          </w:p>
        </w:tc>
        <w:tc>
          <w:tcPr>
            <w:tcW w:w="2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182.5</w:t>
            </w:r>
          </w:p>
        </w:tc>
        <w:tc>
          <w:tcPr>
            <w:tcW w:w="38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Premium and fees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317.5</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297.1</w:t>
            </w:r>
          </w:p>
        </w:tc>
        <w:tc>
          <w:tcPr>
            <w:tcW w:w="1120" w:type="dxa"/>
            <w:vAlign w:val="bottom"/>
            <w:tcBorders>
              <w:right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1,265.4</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1,103.3</w:t>
            </w:r>
          </w:p>
        </w:tc>
        <w:tc>
          <w:tcPr>
            <w:tcW w:w="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Pre-tax return on premium and fees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13.0%</w:t>
            </w:r>
          </w:p>
        </w:tc>
        <w:tc>
          <w:tcPr>
            <w:tcW w:w="160" w:type="dxa"/>
            <w:vAlign w:val="bottom"/>
          </w:tcPr>
          <w:p>
            <w:pPr>
              <w:spacing w:after="0"/>
              <w:rPr>
                <w:sz w:val="19"/>
                <w:szCs w:val="19"/>
                <w:color w:val="auto"/>
              </w:rPr>
            </w:pPr>
          </w:p>
        </w:tc>
        <w:tc>
          <w:tcPr>
            <w:tcW w:w="1240" w:type="dxa"/>
            <w:vAlign w:val="bottom"/>
            <w:gridSpan w:val="2"/>
          </w:tcPr>
          <w:p>
            <w:pPr>
              <w:ind w:left="560"/>
              <w:spacing w:after="0"/>
              <w:rPr>
                <w:sz w:val="20"/>
                <w:szCs w:val="20"/>
                <w:color w:val="auto"/>
              </w:rPr>
            </w:pPr>
            <w:r>
              <w:rPr>
                <w:rFonts w:ascii="Arial" w:cs="Arial" w:eastAsia="Arial" w:hAnsi="Arial"/>
                <w:sz w:val="18"/>
                <w:szCs w:val="18"/>
                <w:color w:val="auto"/>
              </w:rPr>
              <w:t>17.2%</w:t>
            </w:r>
          </w:p>
        </w:tc>
        <w:tc>
          <w:tcPr>
            <w:tcW w:w="880" w:type="dxa"/>
            <w:vAlign w:val="bottom"/>
          </w:tcPr>
          <w:p>
            <w:pPr>
              <w:spacing w:after="0"/>
              <w:rPr>
                <w:sz w:val="19"/>
                <w:szCs w:val="19"/>
                <w:color w:val="auto"/>
              </w:rPr>
            </w:pPr>
          </w:p>
        </w:tc>
        <w:tc>
          <w:tcPr>
            <w:tcW w:w="2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12.6%</w:t>
            </w:r>
          </w:p>
        </w:tc>
        <w:tc>
          <w:tcPr>
            <w:tcW w:w="180" w:type="dxa"/>
            <w:vAlign w:val="bottom"/>
          </w:tcPr>
          <w:p>
            <w:pPr>
              <w:spacing w:after="0"/>
              <w:rPr>
                <w:sz w:val="19"/>
                <w:szCs w:val="19"/>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16.5%</w:t>
            </w:r>
          </w:p>
        </w:tc>
        <w:tc>
          <w:tcPr>
            <w:tcW w:w="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660" w:right="20" w:hanging="328"/>
        <w:spacing w:after="0" w:line="282" w:lineRule="auto"/>
        <w:tabs>
          <w:tab w:leader="none" w:pos="660" w:val="left"/>
        </w:tabs>
        <w:numPr>
          <w:ilvl w:val="0"/>
          <w:numId w:val="24"/>
        </w:numPr>
        <w:rPr>
          <w:rFonts w:ascii="Arial" w:cs="Arial" w:eastAsia="Arial" w:hAnsi="Arial"/>
          <w:sz w:val="18"/>
          <w:szCs w:val="18"/>
          <w:color w:val="auto"/>
          <w:strike w:val="1"/>
        </w:rPr>
      </w:pPr>
      <w:r>
        <w:rPr>
          <w:rFonts w:ascii="Arial" w:cs="Arial" w:eastAsia="Arial" w:hAnsi="Arial"/>
          <w:sz w:val="18"/>
          <w:szCs w:val="18"/>
          <w:b w:val="1"/>
          <w:bCs w:val="1"/>
          <w:color w:val="auto"/>
        </w:rPr>
        <w:t xml:space="preserve">Pre-tax operating earnings </w:t>
      </w:r>
      <w:r>
        <w:rPr>
          <w:rFonts w:ascii="Arial" w:cs="Arial" w:eastAsia="Arial" w:hAnsi="Arial"/>
          <w:sz w:val="18"/>
          <w:szCs w:val="18"/>
          <w:color w:val="auto"/>
        </w:rPr>
        <w:t>decreased $9.9 million primarily due to unfavorable claims driven by higher severity, partially offset by growth in the</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w:t>
      </w:r>
    </w:p>
    <w:p>
      <w:pPr>
        <w:spacing w:after="0" w:line="161" w:lineRule="exact"/>
        <w:rPr>
          <w:rFonts w:ascii="Arial" w:cs="Arial" w:eastAsia="Arial" w:hAnsi="Arial"/>
          <w:sz w:val="18"/>
          <w:szCs w:val="18"/>
          <w:color w:val="auto"/>
          <w:strike w:val="1"/>
        </w:rPr>
      </w:pPr>
    </w:p>
    <w:p>
      <w:pPr>
        <w:ind w:left="660" w:hanging="328"/>
        <w:spacing w:after="0"/>
        <w:tabs>
          <w:tab w:leader="none" w:pos="660" w:val="left"/>
        </w:tabs>
        <w:numPr>
          <w:ilvl w:val="0"/>
          <w:numId w:val="24"/>
        </w:numPr>
        <w:rPr>
          <w:rFonts w:ascii="Arial" w:cs="Arial" w:eastAsia="Arial" w:hAnsi="Arial"/>
          <w:sz w:val="18"/>
          <w:szCs w:val="18"/>
          <w:color w:val="auto"/>
          <w:strike w:val="1"/>
        </w:rPr>
      </w:pPr>
      <w:r>
        <w:rPr>
          <w:rFonts w:ascii="Arial" w:cs="Arial" w:eastAsia="Arial" w:hAnsi="Arial"/>
          <w:sz w:val="18"/>
          <w:szCs w:val="18"/>
          <w:b w:val="1"/>
          <w:bCs w:val="1"/>
          <w:color w:val="auto"/>
        </w:rPr>
        <w:t xml:space="preserve">Premium and fees </w:t>
      </w:r>
      <w:r>
        <w:rPr>
          <w:rFonts w:ascii="Arial" w:cs="Arial" w:eastAsia="Arial" w:hAnsi="Arial"/>
          <w:sz w:val="18"/>
          <w:szCs w:val="18"/>
          <w:color w:val="auto"/>
        </w:rPr>
        <w:t>increased $20.4 million due to growth in the business.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40" w:type="dxa"/>
            <w:vAlign w:val="bottom"/>
          </w:tcPr>
          <w:p>
            <w:pPr>
              <w:spacing w:after="0"/>
              <w:rPr>
                <w:sz w:val="20"/>
                <w:szCs w:val="20"/>
                <w:color w:val="auto"/>
              </w:rPr>
            </w:pPr>
            <w:r>
              <w:rPr>
                <w:rFonts w:ascii="Arial" w:cs="Arial" w:eastAsia="Arial" w:hAnsi="Arial"/>
                <w:sz w:val="18"/>
                <w:szCs w:val="18"/>
                <w:b w:val="1"/>
                <w:bCs w:val="1"/>
                <w:color w:val="auto"/>
              </w:rPr>
              <w:t>Corporate</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445"/>
        </w:trPr>
        <w:tc>
          <w:tcPr>
            <w:tcW w:w="3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2"/>
          </w:tcPr>
          <w:p>
            <w:pPr>
              <w:jc w:val="right"/>
              <w:ind w:right="520"/>
              <w:spacing w:after="0"/>
              <w:rPr>
                <w:sz w:val="20"/>
                <w:szCs w:val="20"/>
                <w:color w:val="auto"/>
              </w:rPr>
            </w:pPr>
            <w:r>
              <w:rPr>
                <w:rFonts w:ascii="Arial" w:cs="Arial" w:eastAsia="Arial" w:hAnsi="Arial"/>
                <w:sz w:val="18"/>
                <w:szCs w:val="18"/>
                <w:b w:val="1"/>
                <w:bCs w:val="1"/>
                <w:i w:val="1"/>
                <w:iCs w:val="1"/>
                <w:color w:val="auto"/>
              </w:rPr>
              <w:t>Quarter</w:t>
            </w:r>
          </w:p>
        </w:tc>
        <w:tc>
          <w:tcPr>
            <w:tcW w:w="9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6"/>
          </w:tcPr>
          <w:p>
            <w:pPr>
              <w:ind w:left="720"/>
              <w:spacing w:after="0"/>
              <w:rPr>
                <w:sz w:val="20"/>
                <w:szCs w:val="20"/>
                <w:color w:val="auto"/>
              </w:rPr>
            </w:pPr>
            <w:r>
              <w:rPr>
                <w:rFonts w:ascii="Arial" w:cs="Arial" w:eastAsia="Arial" w:hAnsi="Arial"/>
                <w:sz w:val="18"/>
                <w:szCs w:val="18"/>
                <w:b w:val="1"/>
                <w:bCs w:val="1"/>
                <w:i w:val="1"/>
                <w:iCs w:val="1"/>
                <w:color w:val="auto"/>
                <w:w w:val="88"/>
              </w:rPr>
              <w:t>Trailing Twelve Months</w:t>
            </w:r>
          </w:p>
        </w:tc>
        <w:tc>
          <w:tcPr>
            <w:tcW w:w="8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r>
      <w:tr>
        <w:trPr>
          <w:trHeight w:val="223"/>
        </w:trPr>
        <w:tc>
          <w:tcPr>
            <w:tcW w:w="3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1"/>
              </w:rPr>
              <w:t>(in millions except percentages or otherwise noted)</w:t>
            </w:r>
          </w:p>
        </w:tc>
        <w:tc>
          <w:tcPr>
            <w:tcW w:w="1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1Q20</w:t>
            </w:r>
          </w:p>
        </w:tc>
        <w:tc>
          <w:tcPr>
            <w:tcW w:w="14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1Q19</w:t>
            </w:r>
          </w:p>
        </w:tc>
        <w:tc>
          <w:tcPr>
            <w:tcW w:w="32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95"/>
              </w:rPr>
              <w:t>% Change</w:t>
            </w:r>
          </w:p>
        </w:tc>
        <w:tc>
          <w:tcPr>
            <w:tcW w:w="3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00" w:type="dxa"/>
            <w:vAlign w:val="bottom"/>
            <w:tcBorders>
              <w:bottom w:val="single" w:sz="8" w:color="auto"/>
            </w:tcBorders>
          </w:tcPr>
          <w:p>
            <w:pPr>
              <w:ind w:left="240"/>
              <w:spacing w:after="0"/>
              <w:rPr>
                <w:sz w:val="20"/>
                <w:szCs w:val="20"/>
                <w:color w:val="auto"/>
              </w:rPr>
            </w:pPr>
            <w:r>
              <w:rPr>
                <w:rFonts w:ascii="Arial" w:cs="Arial" w:eastAsia="Arial" w:hAnsi="Arial"/>
                <w:sz w:val="18"/>
                <w:szCs w:val="18"/>
                <w:b w:val="1"/>
                <w:bCs w:val="1"/>
                <w:color w:val="auto"/>
              </w:rPr>
              <w:t>1Q20</w:t>
            </w:r>
          </w:p>
        </w:tc>
        <w:tc>
          <w:tcPr>
            <w:tcW w:w="14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880" w:type="dxa"/>
            <w:vAlign w:val="bottom"/>
            <w:tcBorders>
              <w:bottom w:val="single" w:sz="8" w:color="auto"/>
            </w:tcBorders>
          </w:tcPr>
          <w:p>
            <w:pPr>
              <w:ind w:left="240"/>
              <w:spacing w:after="0"/>
              <w:rPr>
                <w:sz w:val="20"/>
                <w:szCs w:val="20"/>
                <w:color w:val="auto"/>
              </w:rPr>
            </w:pPr>
            <w:r>
              <w:rPr>
                <w:rFonts w:ascii="Arial" w:cs="Arial" w:eastAsia="Arial" w:hAnsi="Arial"/>
                <w:sz w:val="18"/>
                <w:szCs w:val="18"/>
                <w:b w:val="1"/>
                <w:bCs w:val="1"/>
                <w:color w:val="auto"/>
              </w:rPr>
              <w:t>1Q19</w:t>
            </w:r>
          </w:p>
        </w:tc>
        <w:tc>
          <w:tcPr>
            <w:tcW w:w="34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 Change</w:t>
            </w:r>
          </w:p>
        </w:tc>
        <w:tc>
          <w:tcPr>
            <w:tcW w:w="220" w:type="dxa"/>
            <w:vAlign w:val="bottom"/>
            <w:tcBorders>
              <w:bottom w:val="single" w:sz="8" w:color="CCEEFF"/>
            </w:tcBorders>
          </w:tcPr>
          <w:p>
            <w:pPr>
              <w:spacing w:after="0"/>
              <w:rPr>
                <w:sz w:val="19"/>
                <w:szCs w:val="19"/>
                <w:color w:val="auto"/>
              </w:rPr>
            </w:pPr>
          </w:p>
        </w:tc>
      </w:tr>
      <w:tr>
        <w:trPr>
          <w:trHeight w:val="223"/>
        </w:trPr>
        <w:tc>
          <w:tcPr>
            <w:tcW w:w="3740" w:type="dxa"/>
            <w:vAlign w:val="bottom"/>
            <w:shd w:val="clear" w:color="auto" w:fill="CCEEFF"/>
          </w:tcPr>
          <w:p>
            <w:pPr>
              <w:spacing w:after="0"/>
              <w:rPr>
                <w:sz w:val="20"/>
                <w:szCs w:val="20"/>
                <w:color w:val="auto"/>
              </w:rPr>
            </w:pPr>
            <w:r>
              <w:rPr>
                <w:rFonts w:ascii="Arial" w:cs="Arial" w:eastAsia="Arial" w:hAnsi="Arial"/>
                <w:sz w:val="18"/>
                <w:szCs w:val="18"/>
                <w:color w:val="auto"/>
              </w:rPr>
              <w:t>Pre-tax operating losses</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(91.1)</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(84.4)</w:t>
            </w:r>
          </w:p>
        </w:tc>
        <w:tc>
          <w:tcPr>
            <w:tcW w:w="13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 $</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(387.0)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(286.2)</w:t>
            </w:r>
          </w:p>
        </w:tc>
        <w:tc>
          <w:tcPr>
            <w:tcW w:w="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bl>
    <w:p>
      <w:pPr>
        <w:spacing w:after="0" w:line="225"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b w:val="1"/>
          <w:bCs w:val="1"/>
          <w:color w:val="auto"/>
        </w:rPr>
        <w:t xml:space="preserve">Pre-tax operating losses </w:t>
      </w:r>
      <w:r>
        <w:rPr>
          <w:rFonts w:ascii="Arial" w:cs="Arial" w:eastAsia="Arial" w:hAnsi="Arial"/>
          <w:sz w:val="18"/>
          <w:szCs w:val="18"/>
          <w:color w:val="auto"/>
        </w:rPr>
        <w:t>increased $6.7 million primarily due to higher 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178308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19" w:lineRule="exact"/>
        <w:rPr>
          <w:sz w:val="20"/>
          <w:szCs w:val="20"/>
          <w:color w:val="auto"/>
        </w:rPr>
      </w:pPr>
    </w:p>
    <w:p>
      <w:pPr>
        <w:ind w:left="200" w:hanging="192"/>
        <w:spacing w:after="0"/>
        <w:tabs>
          <w:tab w:leader="none" w:pos="200" w:val="left"/>
        </w:tabs>
        <w:numPr>
          <w:ilvl w:val="0"/>
          <w:numId w:val="26"/>
        </w:numPr>
        <w:rPr>
          <w:rFonts w:ascii="Arial" w:cs="Arial" w:eastAsia="Arial" w:hAnsi="Arial"/>
          <w:sz w:val="25"/>
          <w:szCs w:val="25"/>
          <w:color w:val="auto"/>
          <w:vertAlign w:val="superscript"/>
        </w:rPr>
      </w:pPr>
      <w:r>
        <w:rPr>
          <w:rFonts w:ascii="Arial" w:cs="Arial" w:eastAsia="Arial" w:hAnsi="Arial"/>
          <w:sz w:val="15"/>
          <w:szCs w:val="15"/>
          <w:color w:val="auto"/>
        </w:rPr>
        <w:t>Pre-tax return on premium and fees = pre-tax operating earnings divided by premium and fees.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282575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5600065</wp:posOffset>
            </wp:positionH>
            <wp:positionV relativeFrom="page">
              <wp:posOffset>723265</wp:posOffset>
            </wp:positionV>
            <wp:extent cx="1714500" cy="4718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clrChange>
                        <a:clrFrom>
                          <a:srgbClr val="FFFFFF"/>
                        </a:clrFrom>
                        <a:clrTo>
                          <a:srgbClr val="FFFFFF">
                            <a:alpha val="0"/>
                          </a:srgbClr>
                        </a:clrTo>
                      </a:clrChange>
                      <a:extLst>
                        <a:ext uri="{28A0092B-C50C-407E-A947-70E740481C1C}"/>
                      </a:extLst>
                    </a:blip>
                    <a:srcRect/>
                    <a:stretch>
                      <a:fillRect/>
                    </a:stretch>
                  </pic:blipFill>
                  <pic:spPr bwMode="auto">
                    <a:xfrm>
                      <a:off x="0" y="0"/>
                      <a:ext cx="1714500" cy="471805"/>
                    </a:xfrm>
                    <a:prstGeom prst="rect">
                      <a:avLst/>
                    </a:prstGeom>
                    <a:noFill/>
                  </pic:spPr>
                </pic:pic>
              </a:graphicData>
            </a:graphic>
          </wp:anchor>
        </w:drawing>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and cautionary statements</w:t>
      </w:r>
    </w:p>
    <w:p>
      <w:pPr>
        <w:spacing w:after="0" w:line="27"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Certain statements made by the company which are not historical facts may be considered forward-looking statements, including, without limitation, statements as to non-GAAP operating earnings, net income attributable to PFG, net cash flow,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2019,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elimination of the London Inter-Bank Offered Rate (“LIBOR”);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for insurance and annuity products could differ significantly from its pricing and reserving assumptions; the pattern of amortizing the company’s DAC asset and other actuarial balances on its universal life-type insurance contracts, participating life insurance policies and certain investment contracts may change; changes in laws, regulations or accounting standards; the company may not be able to protect its intellectual property and may be subject to infringement claims; the company’s ability to pay stockholder dividends and meet its obligations may be constrained by the limitations on dividends Iowa insurance laws impose on Principal Life;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including from companies that may have greater financial resources, broader arrays of products, higher ratings and stronger financial performance; technological and societal changes may disrupt the company’s business model and impair its ability to retain existing customers, attract new customers and maintain its profitability; damage to the company’s reputation; a downgrade in the company’s financial strength or credit ratings; client terminations, withdrawals or changes in investor preferences; the company’s hedging or risk management strategies prove ineffective or insufficient; inability to attract and retain qualified employees and sales representatives and develop new distribution sources; an interruption in telecommunication, information technology or other systems, or a failure to maintain the confidentiality, integrity or availability of data residing on such systems; international business risks; fluctuations in foreign currency exchange rates; risks arising from participation in joint ventures; the company may need to fund deficiencies in its “Closed Block” assets; a pandemic, terrorist attack, military action or other catastrophic event; the ongoing COVID-19 pandemic and the resulting financial market impacts; the company’s reinsurers could default on their obligations or increase their rates; risks arising from acquisitions of businesses; risks related to the company’s acquisition of Wells Fargo Bank, N.A.’s IRT business; loss of key vendor relationships or failure of a vendor to protect information of our customers or employees; the company’s enterprise risk management framework may not be fully effective in identifying all of the risks to which the company is exposed; and global climate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546735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5600065</wp:posOffset>
            </wp:positionH>
            <wp:positionV relativeFrom="page">
              <wp:posOffset>586105</wp:posOffset>
            </wp:positionV>
            <wp:extent cx="1714500" cy="4718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1714500" cy="471805"/>
                    </a:xfrm>
                    <a:prstGeom prst="rect">
                      <a:avLst/>
                    </a:prstGeom>
                    <a:noFill/>
                  </pic:spPr>
                </pic:pic>
              </a:graphicData>
            </a:graphic>
          </wp:anchor>
        </w:drawing>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Non-GAAP financial measures</w:t>
      </w:r>
    </w:p>
    <w:p>
      <w:pPr>
        <w:spacing w:after="0" w:line="229"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 future reporting periods. Management also uses non-GAAP measures for goal setting, as a basis for determining employee and senior management awards and compensation and evaluating performance on a basis comparable to that used by investors and securities analysts.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27" w:lineRule="exact"/>
        <w:rPr>
          <w:sz w:val="20"/>
          <w:szCs w:val="20"/>
          <w:color w:val="auto"/>
        </w:rPr>
      </w:pPr>
    </w:p>
    <w:p>
      <w:pPr>
        <w:ind w:right="300"/>
        <w:spacing w:after="0" w:line="255" w:lineRule="auto"/>
        <w:rPr>
          <w:sz w:val="20"/>
          <w:szCs w:val="20"/>
          <w:color w:val="auto"/>
        </w:rPr>
      </w:pPr>
      <w:r>
        <w:rPr>
          <w:rFonts w:ascii="Arial" w:cs="Arial" w:eastAsia="Arial" w:hAnsi="Arial"/>
          <w:sz w:val="18"/>
          <w:szCs w:val="18"/>
          <w:color w:val="auto"/>
        </w:rPr>
        <w:t>On Tuesday, Apr. 28, 2020,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p>
      <w:pPr>
        <w:spacing w:after="0" w:line="190" w:lineRule="exact"/>
        <w:rPr>
          <w:sz w:val="20"/>
          <w:szCs w:val="20"/>
          <w:color w:val="auto"/>
        </w:rPr>
      </w:pPr>
    </w:p>
    <w:p>
      <w:pPr>
        <w:ind w:left="660" w:right="180" w:hanging="328"/>
        <w:spacing w:after="0" w:line="258" w:lineRule="auto"/>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Via live Internet webcast. Please go to principal.com/investor at least 10-15 minutes prior to the start of the call to register, and to download and install any necessary audio software.</w:t>
      </w:r>
    </w:p>
    <w:p>
      <w:pPr>
        <w:spacing w:after="0" w:line="1" w:lineRule="exact"/>
        <w:rPr>
          <w:rFonts w:ascii="Arial" w:cs="Arial" w:eastAsia="Arial" w:hAnsi="Arial"/>
          <w:sz w:val="18"/>
          <w:szCs w:val="18"/>
          <w:color w:val="auto"/>
        </w:rPr>
      </w:pPr>
    </w:p>
    <w:p>
      <w:pPr>
        <w:ind w:left="660" w:right="80" w:hanging="328"/>
        <w:spacing w:after="0" w:line="250" w:lineRule="auto"/>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Via telephone by dialing 866-427-0175 (U.S. and Canadian callers) or 706-643-7701 (international callers) approximately 10 minutes prior to the start of the call. The access code is 7354068.</w:t>
      </w:r>
    </w:p>
    <w:p>
      <w:pPr>
        <w:ind w:left="660" w:hanging="328"/>
        <w:spacing w:after="0" w:line="250" w:lineRule="auto"/>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Replay of the earnings call via telephone is available by dialing 855-859-2056 (U.S. and Canadian callers) or 404-537-3406 (international callers). The access code is 7354068. This replay will be available approximately two hours after the completion of the live earnings call through the end of day May 4, 2020.</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Replay of the earnings call via webcast as well as a transcript of the call will be available after the call at principal.com/investor.</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color w:val="auto"/>
        </w:rPr>
        <w:t>The company’s financial supplement and slide presentation is currently available at principal.com/investor, and may be referred to during the call.</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Principal</w:t>
      </w:r>
      <w:r>
        <w:rPr>
          <w:rFonts w:ascii="Arial" w:cs="Arial" w:eastAsia="Arial" w:hAnsi="Arial"/>
          <w:sz w:val="29"/>
          <w:szCs w:val="29"/>
          <w:b w:val="1"/>
          <w:bCs w:val="1"/>
          <w:color w:val="auto"/>
          <w:vertAlign w:val="superscript"/>
        </w:rPr>
        <w:t>®</w:t>
      </w:r>
      <w:r>
        <w:rPr>
          <w:rFonts w:ascii="Arial" w:cs="Arial" w:eastAsia="Arial" w:hAnsi="Arial"/>
          <w:sz w:val="35"/>
          <w:szCs w:val="35"/>
          <w:b w:val="1"/>
          <w:bCs w:val="1"/>
          <w:color w:val="auto"/>
          <w:vertAlign w:val="superscript"/>
        </w:rPr>
        <w:t>13</w:t>
      </w:r>
    </w:p>
    <w:p>
      <w:pPr>
        <w:spacing w:after="0" w:line="101"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principal.com.</w:t>
      </w:r>
    </w:p>
    <w:p>
      <w:pPr>
        <w:spacing w:after="0" w:line="16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178308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81" w:lineRule="exact"/>
        <w:rPr>
          <w:sz w:val="20"/>
          <w:szCs w:val="20"/>
          <w:color w:val="auto"/>
        </w:rPr>
      </w:pPr>
    </w:p>
    <w:p>
      <w:pPr>
        <w:ind w:right="120" w:firstLine="8"/>
        <w:spacing w:after="0" w:line="253" w:lineRule="auto"/>
        <w:tabs>
          <w:tab w:leader="none" w:pos="187" w:val="left"/>
        </w:tabs>
        <w:numPr>
          <w:ilvl w:val="0"/>
          <w:numId w:val="28"/>
        </w:numPr>
        <w:rPr>
          <w:rFonts w:ascii="Arial" w:cs="Arial" w:eastAsia="Arial" w:hAnsi="Arial"/>
          <w:sz w:val="23"/>
          <w:szCs w:val="23"/>
          <w:color w:val="auto"/>
          <w:vertAlign w:val="superscript"/>
        </w:rPr>
      </w:pPr>
      <w:r>
        <w:rPr>
          <w:rFonts w:ascii="Arial" w:cs="Arial" w:eastAsia="Arial" w:hAnsi="Arial"/>
          <w:sz w:val="15"/>
          <w:szCs w:val="15"/>
          <w:color w:val="auto"/>
        </w:rPr>
        <w:t>Principal, Principal and symbol design and Principal Financial Group are trademarks and service marks of Principal Financial Services, Inc., a member of the Principal Financial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427990</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1440" w:right="379" w:bottom="1440"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5600065</wp:posOffset>
            </wp:positionH>
            <wp:positionV relativeFrom="page">
              <wp:posOffset>586105</wp:posOffset>
            </wp:positionV>
            <wp:extent cx="1714500" cy="4718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clrChange>
                        <a:clrFrom>
                          <a:srgbClr val="FFFFFF"/>
                        </a:clrFrom>
                        <a:clrTo>
                          <a:srgbClr val="FFFFFF">
                            <a:alpha val="0"/>
                          </a:srgbClr>
                        </a:clrTo>
                      </a:clrChange>
                      <a:extLst>
                        <a:ext uri="{28A0092B-C50C-407E-A947-70E740481C1C}"/>
                      </a:extLst>
                    </a:blip>
                    <a:srcRect/>
                    <a:stretch>
                      <a:fillRect/>
                    </a:stretch>
                  </pic:blipFill>
                  <pic:spPr bwMode="auto">
                    <a:xfrm>
                      <a:off x="0" y="0"/>
                      <a:ext cx="1714500" cy="471805"/>
                    </a:xfrm>
                    <a:prstGeom prst="rect">
                      <a:avLst/>
                    </a:prstGeom>
                    <a:noFill/>
                  </pic:spPr>
                </pic:pic>
              </a:graphicData>
            </a:graphic>
          </wp:anchor>
        </w:drawing>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60" w:type="dxa"/>
            <w:vAlign w:val="bottom"/>
          </w:tcPr>
          <w:p>
            <w:pPr>
              <w:spacing w:after="0"/>
              <w:rPr>
                <w:sz w:val="20"/>
                <w:szCs w:val="20"/>
                <w:color w:val="auto"/>
              </w:rPr>
            </w:pPr>
            <w:r>
              <w:rPr>
                <w:rFonts w:ascii="Arial" w:cs="Arial" w:eastAsia="Arial" w:hAnsi="Arial"/>
                <w:sz w:val="18"/>
                <w:szCs w:val="18"/>
                <w:b w:val="1"/>
                <w:bCs w:val="1"/>
                <w:i w:val="1"/>
                <w:iCs w:val="1"/>
                <w:color w:val="auto"/>
                <w:w w:val="94"/>
              </w:rPr>
              <w:t>Summary of Principal Financial Group, Inc. and Segment Results</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9"/>
        </w:trPr>
        <w:tc>
          <w:tcPr>
            <w:tcW w:w="5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gridSpan w:val="5"/>
          </w:tcPr>
          <w:p>
            <w:pPr>
              <w:jc w:val="right"/>
              <w:ind w:right="200"/>
              <w:spacing w:after="0"/>
              <w:rPr>
                <w:sz w:val="20"/>
                <w:szCs w:val="20"/>
                <w:color w:val="auto"/>
              </w:rPr>
            </w:pPr>
            <w:r>
              <w:rPr>
                <w:rFonts w:ascii="Arial" w:cs="Arial" w:eastAsia="Arial" w:hAnsi="Arial"/>
                <w:sz w:val="18"/>
                <w:szCs w:val="18"/>
                <w:b w:val="1"/>
                <w:bCs w:val="1"/>
                <w:i w:val="1"/>
                <w:iCs w:val="1"/>
                <w:color w:val="auto"/>
                <w:w w:val="94"/>
              </w:rPr>
              <w:t>(in millions)</w:t>
            </w:r>
          </w:p>
        </w:tc>
        <w:tc>
          <w:tcPr>
            <w:tcW w:w="7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229"/>
        </w:trPr>
        <w:tc>
          <w:tcPr>
            <w:tcW w:w="5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gridSpan w:val="6"/>
          </w:tcPr>
          <w:p>
            <w:pPr>
              <w:ind w:left="360"/>
              <w:spacing w:after="0"/>
              <w:rPr>
                <w:sz w:val="20"/>
                <w:szCs w:val="20"/>
                <w:color w:val="auto"/>
              </w:rPr>
            </w:pPr>
            <w:r>
              <w:rPr>
                <w:rFonts w:ascii="Arial" w:cs="Arial" w:eastAsia="Arial" w:hAnsi="Arial"/>
                <w:sz w:val="18"/>
                <w:szCs w:val="18"/>
                <w:i w:val="1"/>
                <w:iCs w:val="1"/>
                <w:color w:val="auto"/>
                <w:w w:val="95"/>
              </w:rPr>
              <w:t>Three Months Ended,</w:t>
            </w:r>
          </w:p>
        </w:tc>
        <w:tc>
          <w:tcPr>
            <w:tcW w:w="12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260" w:type="dxa"/>
            <w:vAlign w:val="bottom"/>
            <w:tcBorders>
              <w:bottom w:val="single" w:sz="8" w:color="auto"/>
            </w:tcBorders>
            <w:gridSpan w:val="6"/>
          </w:tcPr>
          <w:p>
            <w:pPr>
              <w:jc w:val="right"/>
              <w:ind w:right="520"/>
              <w:spacing w:after="0"/>
              <w:rPr>
                <w:sz w:val="20"/>
                <w:szCs w:val="20"/>
                <w:color w:val="auto"/>
              </w:rPr>
            </w:pPr>
            <w:r>
              <w:rPr>
                <w:rFonts w:ascii="Arial" w:cs="Arial" w:eastAsia="Arial" w:hAnsi="Arial"/>
                <w:sz w:val="18"/>
                <w:szCs w:val="18"/>
                <w:i w:val="1"/>
                <w:iCs w:val="1"/>
                <w:color w:val="auto"/>
                <w:w w:val="90"/>
              </w:rPr>
              <w:t>Trailing Twelve Months,</w:t>
            </w:r>
          </w:p>
        </w:tc>
      </w:tr>
      <w:tr>
        <w:trPr>
          <w:trHeight w:val="223"/>
        </w:trPr>
        <w:tc>
          <w:tcPr>
            <w:tcW w:w="5260" w:type="dxa"/>
            <w:vAlign w:val="bottom"/>
          </w:tcPr>
          <w:p>
            <w:pPr>
              <w:spacing w:after="0"/>
              <w:rPr>
                <w:sz w:val="20"/>
                <w:szCs w:val="20"/>
                <w:color w:val="auto"/>
              </w:rPr>
            </w:pPr>
            <w:r>
              <w:rPr>
                <w:rFonts w:ascii="Arial" w:cs="Arial" w:eastAsia="Arial" w:hAnsi="Arial"/>
                <w:sz w:val="18"/>
                <w:szCs w:val="18"/>
                <w:b w:val="1"/>
                <w:bCs w:val="1"/>
                <w:i w:val="1"/>
                <w:iCs w:val="1"/>
                <w:color w:val="auto"/>
              </w:rPr>
              <w:t>Principal Financial Group, Inc. Results:</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3/31/20</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4"/>
          </w:tcPr>
          <w:p>
            <w:pPr>
              <w:jc w:val="right"/>
              <w:spacing w:after="0"/>
              <w:rPr>
                <w:sz w:val="20"/>
                <w:szCs w:val="20"/>
                <w:color w:val="auto"/>
              </w:rPr>
            </w:pPr>
            <w:r>
              <w:rPr>
                <w:rFonts w:ascii="Arial" w:cs="Arial" w:eastAsia="Arial" w:hAnsi="Arial"/>
                <w:sz w:val="18"/>
                <w:szCs w:val="18"/>
                <w:color w:val="auto"/>
              </w:rPr>
              <w:t>3/31/19</w:t>
            </w: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gridSpan w:val="3"/>
          </w:tcPr>
          <w:p>
            <w:pPr>
              <w:jc w:val="right"/>
              <w:ind w:right="250"/>
              <w:spacing w:after="0"/>
              <w:rPr>
                <w:sz w:val="20"/>
                <w:szCs w:val="20"/>
                <w:color w:val="auto"/>
              </w:rPr>
            </w:pPr>
            <w:r>
              <w:rPr>
                <w:rFonts w:ascii="Arial" w:cs="Arial" w:eastAsia="Arial" w:hAnsi="Arial"/>
                <w:sz w:val="18"/>
                <w:szCs w:val="18"/>
                <w:color w:val="auto"/>
              </w:rPr>
              <w:t>3/31/20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jc w:val="right"/>
              <w:ind w:right="250"/>
              <w:spacing w:after="0"/>
              <w:rPr>
                <w:sz w:val="20"/>
                <w:szCs w:val="20"/>
                <w:color w:val="auto"/>
              </w:rPr>
            </w:pPr>
            <w:r>
              <w:rPr>
                <w:rFonts w:ascii="Arial" w:cs="Arial" w:eastAsia="Arial" w:hAnsi="Arial"/>
                <w:sz w:val="18"/>
                <w:szCs w:val="18"/>
                <w:color w:val="auto"/>
              </w:rPr>
              <w:t>3/31/19</w:t>
            </w:r>
          </w:p>
        </w:tc>
        <w:tc>
          <w:tcPr>
            <w:tcW w:w="100" w:type="dxa"/>
            <w:vAlign w:val="bottom"/>
          </w:tcPr>
          <w:p>
            <w:pPr>
              <w:spacing w:after="0"/>
              <w:rPr>
                <w:sz w:val="19"/>
                <w:szCs w:val="19"/>
                <w:color w:val="auto"/>
              </w:rPr>
            </w:pPr>
          </w:p>
        </w:tc>
      </w:tr>
      <w:tr>
        <w:trPr>
          <w:trHeight w:val="223"/>
        </w:trPr>
        <w:tc>
          <w:tcPr>
            <w:tcW w:w="5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Net income attributable to PFG</w:t>
            </w:r>
          </w:p>
        </w:tc>
        <w:tc>
          <w:tcPr>
            <w:tcW w:w="500" w:type="dxa"/>
            <w:vAlign w:val="bottom"/>
            <w:tcBorders>
              <w:top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w:t>
            </w:r>
          </w:p>
        </w:tc>
        <w:tc>
          <w:tcPr>
            <w:tcW w:w="10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288.9</w:t>
            </w:r>
          </w:p>
        </w:tc>
        <w:tc>
          <w:tcPr>
            <w:tcW w:w="1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ind w:right="554"/>
              <w:spacing w:after="0"/>
              <w:rPr>
                <w:sz w:val="20"/>
                <w:szCs w:val="20"/>
                <w:color w:val="auto"/>
              </w:rPr>
            </w:pPr>
            <w:r>
              <w:rPr>
                <w:rFonts w:ascii="Arial" w:cs="Arial" w:eastAsia="Arial" w:hAnsi="Arial"/>
                <w:sz w:val="18"/>
                <w:szCs w:val="18"/>
                <w:b w:val="1"/>
                <w:bCs w:val="1"/>
                <w:color w:val="auto"/>
                <w:w w:val="79"/>
              </w:rPr>
              <w:t>$</w:t>
            </w:r>
          </w:p>
        </w:tc>
        <w:tc>
          <w:tcPr>
            <w:tcW w:w="40" w:type="dxa"/>
            <w:vAlign w:val="bottom"/>
            <w:tcBorders>
              <w:top w:val="single" w:sz="8" w:color="auto"/>
            </w:tcBorders>
            <w:shd w:val="clear" w:color="auto" w:fill="CCEEFF"/>
          </w:tcPr>
          <w:p>
            <w:pPr>
              <w:spacing w:after="0"/>
              <w:rPr>
                <w:sz w:val="19"/>
                <w:szCs w:val="19"/>
                <w:color w:val="auto"/>
              </w:rPr>
            </w:pPr>
          </w:p>
        </w:tc>
        <w:tc>
          <w:tcPr>
            <w:tcW w:w="4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429.9</w:t>
            </w:r>
          </w:p>
        </w:tc>
        <w:tc>
          <w:tcPr>
            <w:tcW w:w="220" w:type="dxa"/>
            <w:vAlign w:val="bottom"/>
            <w:tcBorders>
              <w:top w:val="single" w:sz="8" w:color="CCEEFF"/>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jc w:val="right"/>
              <w:ind w:right="257"/>
              <w:spacing w:after="0"/>
              <w:rPr>
                <w:sz w:val="20"/>
                <w:szCs w:val="20"/>
                <w:color w:val="auto"/>
              </w:rPr>
            </w:pPr>
            <w:r>
              <w:rPr>
                <w:rFonts w:ascii="Arial" w:cs="Arial" w:eastAsia="Arial" w:hAnsi="Arial"/>
                <w:sz w:val="18"/>
                <w:szCs w:val="18"/>
                <w:b w:val="1"/>
                <w:bCs w:val="1"/>
                <w:color w:val="auto"/>
                <w:w w:val="79"/>
              </w:rPr>
              <w:t>$</w:t>
            </w:r>
          </w:p>
        </w:tc>
        <w:tc>
          <w:tcPr>
            <w:tcW w:w="80" w:type="dxa"/>
            <w:vAlign w:val="bottom"/>
            <w:tcBorders>
              <w:top w:val="single" w:sz="8" w:color="auto"/>
              <w:right w:val="single" w:sz="8" w:color="CCEEFF"/>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1,253.2</w:t>
            </w:r>
          </w:p>
        </w:tc>
        <w:tc>
          <w:tcPr>
            <w:tcW w:w="14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1,579.3</w:t>
            </w:r>
          </w:p>
        </w:tc>
        <w:tc>
          <w:tcPr>
            <w:tcW w:w="100" w:type="dxa"/>
            <w:vAlign w:val="bottom"/>
            <w:tcBorders>
              <w:top w:val="single" w:sz="8" w:color="CCEEFF"/>
            </w:tcBorders>
            <w:shd w:val="clear" w:color="auto" w:fill="CCEEFF"/>
          </w:tcPr>
          <w:p>
            <w:pPr>
              <w:spacing w:after="0"/>
              <w:rPr>
                <w:sz w:val="19"/>
                <w:szCs w:val="19"/>
                <w:color w:val="auto"/>
              </w:rPr>
            </w:pPr>
          </w:p>
        </w:tc>
      </w:tr>
      <w:tr>
        <w:trPr>
          <w:trHeight w:val="230"/>
        </w:trPr>
        <w:tc>
          <w:tcPr>
            <w:tcW w:w="5260" w:type="dxa"/>
            <w:vAlign w:val="bottom"/>
          </w:tcPr>
          <w:p>
            <w:pPr>
              <w:spacing w:after="0"/>
              <w:rPr>
                <w:sz w:val="20"/>
                <w:szCs w:val="20"/>
                <w:color w:val="auto"/>
              </w:rPr>
            </w:pPr>
            <w:r>
              <w:rPr>
                <w:rFonts w:ascii="Arial" w:cs="Arial" w:eastAsia="Arial" w:hAnsi="Arial"/>
                <w:sz w:val="18"/>
                <w:szCs w:val="18"/>
                <w:i w:val="1"/>
                <w:iCs w:val="1"/>
                <w:color w:val="auto"/>
              </w:rPr>
              <w:t>Net realized capital (gains) losses, as adjusted</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gridSpan w:val="3"/>
          </w:tcPr>
          <w:p>
            <w:pPr>
              <w:jc w:val="right"/>
              <w:ind w:right="160"/>
              <w:spacing w:after="0"/>
              <w:rPr>
                <w:sz w:val="20"/>
                <w:szCs w:val="20"/>
                <w:color w:val="auto"/>
              </w:rPr>
            </w:pPr>
            <w:r>
              <w:rPr>
                <w:rFonts w:ascii="Arial" w:cs="Arial" w:eastAsia="Arial" w:hAnsi="Arial"/>
                <w:sz w:val="18"/>
                <w:szCs w:val="18"/>
                <w:color w:val="auto"/>
              </w:rPr>
              <w:t>(29.6)</w:t>
            </w: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235.2</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9.7</w:t>
            </w:r>
          </w:p>
        </w:tc>
      </w:tr>
      <w:tr>
        <w:trPr>
          <w:trHeight w:val="229"/>
        </w:trPr>
        <w:tc>
          <w:tcPr>
            <w:tcW w:w="52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50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319.6</w:t>
            </w:r>
          </w:p>
        </w:tc>
        <w:tc>
          <w:tcPr>
            <w:tcW w:w="840" w:type="dxa"/>
            <w:vAlign w:val="bottom"/>
            <w:gridSpan w:val="2"/>
            <w:shd w:val="clear" w:color="auto" w:fill="CCEEFF"/>
          </w:tcPr>
          <w:p>
            <w:pPr>
              <w:jc w:val="right"/>
              <w:ind w:right="574"/>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9"/>
                <w:szCs w:val="19"/>
                <w:color w:val="auto"/>
              </w:rPr>
            </w:pPr>
          </w:p>
        </w:tc>
        <w:tc>
          <w:tcPr>
            <w:tcW w:w="6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3"/>
              </w:rPr>
              <w:t>400.3</w:t>
            </w:r>
          </w:p>
        </w:tc>
        <w:tc>
          <w:tcPr>
            <w:tcW w:w="440" w:type="dxa"/>
            <w:vAlign w:val="bottom"/>
            <w:shd w:val="clear" w:color="auto" w:fill="CCEEFF"/>
          </w:tcPr>
          <w:p>
            <w:pPr>
              <w:jc w:val="right"/>
              <w:ind w:right="277"/>
              <w:spacing w:after="0"/>
              <w:rPr>
                <w:sz w:val="20"/>
                <w:szCs w:val="20"/>
                <w:color w:val="auto"/>
              </w:rPr>
            </w:pPr>
            <w:r>
              <w:rPr>
                <w:rFonts w:ascii="Arial" w:cs="Arial" w:eastAsia="Arial" w:hAnsi="Arial"/>
                <w:sz w:val="15"/>
                <w:szCs w:val="15"/>
                <w:b w:val="1"/>
                <w:bCs w:val="1"/>
                <w:color w:val="auto"/>
                <w:w w:val="71"/>
              </w:rPr>
              <w:t>$</w:t>
            </w:r>
          </w:p>
        </w:tc>
        <w:tc>
          <w:tcPr>
            <w:tcW w:w="80" w:type="dxa"/>
            <w:vAlign w:val="bottom"/>
            <w:tcBorders>
              <w:right w:val="single" w:sz="8" w:color="CCEEFF"/>
            </w:tcBorders>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1,488.4</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1,589.0</w:t>
            </w:r>
          </w:p>
        </w:tc>
      </w:tr>
      <w:tr>
        <w:trPr>
          <w:trHeight w:val="230"/>
        </w:trPr>
        <w:tc>
          <w:tcPr>
            <w:tcW w:w="5260" w:type="dxa"/>
            <w:vAlign w:val="bottom"/>
          </w:tcPr>
          <w:p>
            <w:pPr>
              <w:spacing w:after="0"/>
              <w:rPr>
                <w:sz w:val="20"/>
                <w:szCs w:val="20"/>
                <w:color w:val="auto"/>
              </w:rPr>
            </w:pPr>
            <w:r>
              <w:rPr>
                <w:rFonts w:ascii="Arial" w:cs="Arial" w:eastAsia="Arial" w:hAnsi="Arial"/>
                <w:sz w:val="18"/>
                <w:szCs w:val="18"/>
                <w:i w:val="1"/>
                <w:iCs w:val="1"/>
                <w:color w:val="auto"/>
              </w:rPr>
              <w:t>Income taxes</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66.4</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gridSpan w:val="3"/>
          </w:tcPr>
          <w:p>
            <w:pPr>
              <w:jc w:val="right"/>
              <w:ind w:right="220"/>
              <w:spacing w:after="0"/>
              <w:rPr>
                <w:sz w:val="20"/>
                <w:szCs w:val="20"/>
                <w:color w:val="auto"/>
              </w:rPr>
            </w:pPr>
            <w:r>
              <w:rPr>
                <w:rFonts w:ascii="Arial" w:cs="Arial" w:eastAsia="Arial" w:hAnsi="Arial"/>
                <w:sz w:val="18"/>
                <w:szCs w:val="18"/>
                <w:color w:val="auto"/>
              </w:rPr>
              <w:t>78.4</w:t>
            </w: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308.2</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347.7</w:t>
            </w:r>
          </w:p>
        </w:tc>
      </w:tr>
      <w:tr>
        <w:trPr>
          <w:trHeight w:val="229"/>
        </w:trPr>
        <w:tc>
          <w:tcPr>
            <w:tcW w:w="52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Pre-Tax Operating Earnings</w:t>
            </w:r>
          </w:p>
        </w:tc>
        <w:tc>
          <w:tcPr>
            <w:tcW w:w="50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b w:val="1"/>
                <w:bCs w:val="1"/>
                <w:color w:val="auto"/>
              </w:rPr>
              <w:t>$</w:t>
            </w: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386.0</w:t>
            </w:r>
          </w:p>
        </w:tc>
        <w:tc>
          <w:tcPr>
            <w:tcW w:w="840" w:type="dxa"/>
            <w:vAlign w:val="bottom"/>
            <w:gridSpan w:val="2"/>
            <w:shd w:val="clear" w:color="auto" w:fill="CCEEFF"/>
          </w:tcPr>
          <w:p>
            <w:pPr>
              <w:jc w:val="right"/>
              <w:ind w:right="574"/>
              <w:spacing w:after="0"/>
              <w:rPr>
                <w:sz w:val="20"/>
                <w:szCs w:val="20"/>
                <w:color w:val="auto"/>
              </w:rPr>
            </w:pPr>
            <w:r>
              <w:rPr>
                <w:rFonts w:ascii="Arial" w:cs="Arial" w:eastAsia="Arial" w:hAnsi="Arial"/>
                <w:sz w:val="18"/>
                <w:szCs w:val="18"/>
                <w:b w:val="1"/>
                <w:bCs w:val="1"/>
                <w:color w:val="auto"/>
              </w:rPr>
              <w:t>$</w:t>
            </w:r>
          </w:p>
        </w:tc>
        <w:tc>
          <w:tcPr>
            <w:tcW w:w="40" w:type="dxa"/>
            <w:vAlign w:val="bottom"/>
            <w:shd w:val="clear" w:color="auto" w:fill="CCEEFF"/>
          </w:tcPr>
          <w:p>
            <w:pPr>
              <w:spacing w:after="0"/>
              <w:rPr>
                <w:sz w:val="19"/>
                <w:szCs w:val="19"/>
                <w:color w:val="auto"/>
              </w:rPr>
            </w:pPr>
          </w:p>
        </w:tc>
        <w:tc>
          <w:tcPr>
            <w:tcW w:w="6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3"/>
              </w:rPr>
              <w:t>478.7</w:t>
            </w:r>
          </w:p>
        </w:tc>
        <w:tc>
          <w:tcPr>
            <w:tcW w:w="440" w:type="dxa"/>
            <w:vAlign w:val="bottom"/>
            <w:shd w:val="clear" w:color="auto" w:fill="CCEEFF"/>
          </w:tcPr>
          <w:p>
            <w:pPr>
              <w:jc w:val="right"/>
              <w:ind w:right="277"/>
              <w:spacing w:after="0"/>
              <w:rPr>
                <w:sz w:val="20"/>
                <w:szCs w:val="20"/>
                <w:color w:val="auto"/>
              </w:rPr>
            </w:pPr>
            <w:r>
              <w:rPr>
                <w:rFonts w:ascii="Arial" w:cs="Arial" w:eastAsia="Arial" w:hAnsi="Arial"/>
                <w:sz w:val="15"/>
                <w:szCs w:val="15"/>
                <w:b w:val="1"/>
                <w:bCs w:val="1"/>
                <w:color w:val="auto"/>
                <w:w w:val="71"/>
              </w:rPr>
              <w:t>$</w:t>
            </w:r>
          </w:p>
        </w:tc>
        <w:tc>
          <w:tcPr>
            <w:tcW w:w="80" w:type="dxa"/>
            <w:vAlign w:val="bottom"/>
            <w:tcBorders>
              <w:right w:val="single" w:sz="8" w:color="CCEEFF"/>
            </w:tcBorders>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1,796.6</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1,936.7</w:t>
            </w:r>
          </w:p>
        </w:tc>
      </w:tr>
      <w:tr>
        <w:trPr>
          <w:trHeight w:val="229"/>
        </w:trPr>
        <w:tc>
          <w:tcPr>
            <w:tcW w:w="5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52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Segment Pre-Tax Operating Earnings (Losses):</w:t>
            </w:r>
          </w:p>
        </w:tc>
        <w:tc>
          <w:tcPr>
            <w:tcW w:w="2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80" w:type="dxa"/>
            <w:vAlign w:val="bottom"/>
            <w:tcBorders>
              <w:right w:val="single" w:sz="8" w:color="CCEEFF"/>
            </w:tcBorders>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29"/>
        </w:trPr>
        <w:tc>
          <w:tcPr>
            <w:tcW w:w="5260" w:type="dxa"/>
            <w:vAlign w:val="bottom"/>
          </w:tcPr>
          <w:p>
            <w:pPr>
              <w:spacing w:after="0"/>
              <w:rPr>
                <w:sz w:val="20"/>
                <w:szCs w:val="20"/>
                <w:color w:val="auto"/>
              </w:rPr>
            </w:pPr>
            <w:r>
              <w:rPr>
                <w:rFonts w:ascii="Arial" w:cs="Arial" w:eastAsia="Arial" w:hAnsi="Arial"/>
                <w:sz w:val="18"/>
                <w:szCs w:val="18"/>
                <w:i w:val="1"/>
                <w:iCs w:val="1"/>
                <w:color w:val="auto"/>
              </w:rPr>
              <w:t>Retirement and Income Solutions</w:t>
            </w:r>
          </w:p>
        </w:tc>
        <w:tc>
          <w:tcPr>
            <w:tcW w:w="50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205.1</w:t>
            </w:r>
          </w:p>
        </w:tc>
        <w:tc>
          <w:tcPr>
            <w:tcW w:w="840" w:type="dxa"/>
            <w:vAlign w:val="bottom"/>
            <w:gridSpan w:val="2"/>
          </w:tcPr>
          <w:p>
            <w:pPr>
              <w:jc w:val="right"/>
              <w:ind w:right="574"/>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660" w:type="dxa"/>
            <w:vAlign w:val="bottom"/>
            <w:gridSpan w:val="3"/>
          </w:tcPr>
          <w:p>
            <w:pPr>
              <w:jc w:val="right"/>
              <w:ind w:right="220"/>
              <w:spacing w:after="0"/>
              <w:rPr>
                <w:sz w:val="20"/>
                <w:szCs w:val="20"/>
                <w:color w:val="auto"/>
              </w:rPr>
            </w:pPr>
            <w:r>
              <w:rPr>
                <w:rFonts w:ascii="Arial" w:cs="Arial" w:eastAsia="Arial" w:hAnsi="Arial"/>
                <w:sz w:val="18"/>
                <w:szCs w:val="18"/>
                <w:color w:val="auto"/>
                <w:w w:val="93"/>
              </w:rPr>
              <w:t>240.6</w:t>
            </w:r>
          </w:p>
        </w:tc>
        <w:tc>
          <w:tcPr>
            <w:tcW w:w="440" w:type="dxa"/>
            <w:vAlign w:val="bottom"/>
          </w:tcPr>
          <w:p>
            <w:pPr>
              <w:jc w:val="right"/>
              <w:ind w:right="277"/>
              <w:spacing w:after="0"/>
              <w:rPr>
                <w:sz w:val="20"/>
                <w:szCs w:val="20"/>
                <w:color w:val="auto"/>
              </w:rPr>
            </w:pPr>
            <w:r>
              <w:rPr>
                <w:rFonts w:ascii="Arial" w:cs="Arial" w:eastAsia="Arial" w:hAnsi="Arial"/>
                <w:sz w:val="15"/>
                <w:szCs w:val="15"/>
                <w:color w:val="auto"/>
                <w:w w:val="71"/>
              </w:rPr>
              <w:t>$</w:t>
            </w:r>
          </w:p>
        </w:tc>
        <w:tc>
          <w:tcPr>
            <w:tcW w:w="8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838.5</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918.9</w:t>
            </w:r>
          </w:p>
        </w:tc>
      </w:tr>
      <w:tr>
        <w:trPr>
          <w:trHeight w:val="230"/>
        </w:trPr>
        <w:tc>
          <w:tcPr>
            <w:tcW w:w="5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Principal Global Investors</w:t>
            </w:r>
          </w:p>
        </w:tc>
        <w:tc>
          <w:tcPr>
            <w:tcW w:w="2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111.7</w:t>
            </w: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w w:val="93"/>
              </w:rPr>
              <w:t>100.7</w:t>
            </w:r>
          </w:p>
        </w:tc>
        <w:tc>
          <w:tcPr>
            <w:tcW w:w="440" w:type="dxa"/>
            <w:vAlign w:val="bottom"/>
            <w:shd w:val="clear" w:color="auto" w:fill="CCEEFF"/>
          </w:tcPr>
          <w:p>
            <w:pPr>
              <w:spacing w:after="0"/>
              <w:rPr>
                <w:sz w:val="19"/>
                <w:szCs w:val="19"/>
                <w:color w:val="auto"/>
              </w:rPr>
            </w:pPr>
          </w:p>
        </w:tc>
        <w:tc>
          <w:tcPr>
            <w:tcW w:w="80" w:type="dxa"/>
            <w:vAlign w:val="bottom"/>
            <w:tcBorders>
              <w:right w:val="single" w:sz="8" w:color="CCEEFF"/>
            </w:tcBorders>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494.3</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549.1</w:t>
            </w:r>
          </w:p>
        </w:tc>
      </w:tr>
      <w:tr>
        <w:trPr>
          <w:trHeight w:val="229"/>
        </w:trPr>
        <w:tc>
          <w:tcPr>
            <w:tcW w:w="5260" w:type="dxa"/>
            <w:vAlign w:val="bottom"/>
          </w:tcPr>
          <w:p>
            <w:pPr>
              <w:spacing w:after="0"/>
              <w:rPr>
                <w:sz w:val="20"/>
                <w:szCs w:val="20"/>
                <w:color w:val="auto"/>
              </w:rPr>
            </w:pPr>
            <w:r>
              <w:rPr>
                <w:rFonts w:ascii="Arial" w:cs="Arial" w:eastAsia="Arial" w:hAnsi="Arial"/>
                <w:sz w:val="18"/>
                <w:szCs w:val="18"/>
                <w:i w:val="1"/>
                <w:iCs w:val="1"/>
                <w:color w:val="auto"/>
              </w:rPr>
              <w:t>Principal International</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gridSpan w:val="3"/>
          </w:tcPr>
          <w:p>
            <w:pPr>
              <w:jc w:val="right"/>
              <w:ind w:right="140"/>
              <w:spacing w:after="0"/>
              <w:rPr>
                <w:sz w:val="20"/>
                <w:szCs w:val="20"/>
                <w:color w:val="auto"/>
              </w:rPr>
            </w:pPr>
            <w:r>
              <w:rPr>
                <w:rFonts w:ascii="Arial" w:cs="Arial" w:eastAsia="Arial" w:hAnsi="Arial"/>
                <w:sz w:val="18"/>
                <w:szCs w:val="18"/>
                <w:color w:val="auto"/>
              </w:rPr>
              <w:t>30.8</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gridSpan w:val="3"/>
          </w:tcPr>
          <w:p>
            <w:pPr>
              <w:jc w:val="right"/>
              <w:ind w:right="220"/>
              <w:spacing w:after="0"/>
              <w:rPr>
                <w:sz w:val="20"/>
                <w:szCs w:val="20"/>
                <w:color w:val="auto"/>
              </w:rPr>
            </w:pPr>
            <w:r>
              <w:rPr>
                <w:rFonts w:ascii="Arial" w:cs="Arial" w:eastAsia="Arial" w:hAnsi="Arial"/>
                <w:sz w:val="18"/>
                <w:szCs w:val="18"/>
                <w:color w:val="auto"/>
                <w:w w:val="93"/>
              </w:rPr>
              <w:t>111.1</w:t>
            </w: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310.4</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292.2</w:t>
            </w:r>
          </w:p>
        </w:tc>
      </w:tr>
      <w:tr>
        <w:trPr>
          <w:trHeight w:val="229"/>
        </w:trPr>
        <w:tc>
          <w:tcPr>
            <w:tcW w:w="5260" w:type="dxa"/>
            <w:vAlign w:val="bottom"/>
            <w:shd w:val="clear" w:color="auto" w:fill="CCEEFF"/>
          </w:tcPr>
          <w:p>
            <w:pPr>
              <w:spacing w:after="0"/>
              <w:rPr>
                <w:sz w:val="20"/>
                <w:szCs w:val="20"/>
                <w:color w:val="auto"/>
              </w:rPr>
            </w:pPr>
            <w:r>
              <w:rPr>
                <w:rFonts w:ascii="Arial" w:cs="Arial" w:eastAsia="Arial" w:hAnsi="Arial"/>
                <w:sz w:val="18"/>
                <w:szCs w:val="18"/>
                <w:i w:val="1"/>
                <w:iCs w:val="1"/>
                <w:color w:val="auto"/>
              </w:rPr>
              <w:t>U.S. Insurance Solutions</w:t>
            </w:r>
          </w:p>
        </w:tc>
        <w:tc>
          <w:tcPr>
            <w:tcW w:w="2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129.5</w:t>
            </w: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6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w w:val="93"/>
              </w:rPr>
              <w:t>110.7</w:t>
            </w:r>
          </w:p>
        </w:tc>
        <w:tc>
          <w:tcPr>
            <w:tcW w:w="440" w:type="dxa"/>
            <w:vAlign w:val="bottom"/>
            <w:shd w:val="clear" w:color="auto" w:fill="CCEEFF"/>
          </w:tcPr>
          <w:p>
            <w:pPr>
              <w:spacing w:after="0"/>
              <w:rPr>
                <w:sz w:val="19"/>
                <w:szCs w:val="19"/>
                <w:color w:val="auto"/>
              </w:rPr>
            </w:pPr>
          </w:p>
        </w:tc>
        <w:tc>
          <w:tcPr>
            <w:tcW w:w="80" w:type="dxa"/>
            <w:vAlign w:val="bottom"/>
            <w:tcBorders>
              <w:right w:val="single" w:sz="8" w:color="CCEEFF"/>
            </w:tcBorders>
            <w:shd w:val="clear" w:color="auto" w:fill="CCEEFF"/>
          </w:tcPr>
          <w:p>
            <w:pPr>
              <w:spacing w:after="0"/>
              <w:rPr>
                <w:sz w:val="19"/>
                <w:szCs w:val="19"/>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540.4</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462.7</w:t>
            </w:r>
          </w:p>
        </w:tc>
      </w:tr>
      <w:tr>
        <w:trPr>
          <w:trHeight w:val="230"/>
        </w:trPr>
        <w:tc>
          <w:tcPr>
            <w:tcW w:w="5260" w:type="dxa"/>
            <w:vAlign w:val="bottom"/>
          </w:tcPr>
          <w:p>
            <w:pPr>
              <w:spacing w:after="0"/>
              <w:rPr>
                <w:sz w:val="20"/>
                <w:szCs w:val="20"/>
                <w:color w:val="auto"/>
              </w:rPr>
            </w:pPr>
            <w:r>
              <w:rPr>
                <w:rFonts w:ascii="Arial" w:cs="Arial" w:eastAsia="Arial" w:hAnsi="Arial"/>
                <w:sz w:val="18"/>
                <w:szCs w:val="18"/>
                <w:i w:val="1"/>
                <w:iCs w:val="1"/>
                <w:color w:val="auto"/>
              </w:rPr>
              <w:t>Corporate</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(91.1)</w:t>
            </w: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gridSpan w:val="3"/>
          </w:tcPr>
          <w:p>
            <w:pPr>
              <w:jc w:val="right"/>
              <w:ind w:right="160"/>
              <w:spacing w:after="0"/>
              <w:rPr>
                <w:sz w:val="20"/>
                <w:szCs w:val="20"/>
                <w:color w:val="auto"/>
              </w:rPr>
            </w:pPr>
            <w:r>
              <w:rPr>
                <w:rFonts w:ascii="Arial" w:cs="Arial" w:eastAsia="Arial" w:hAnsi="Arial"/>
                <w:sz w:val="18"/>
                <w:szCs w:val="18"/>
                <w:color w:val="auto"/>
              </w:rPr>
              <w:t>(84.4)</w:t>
            </w: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8"/>
                <w:szCs w:val="18"/>
                <w:color w:val="auto"/>
              </w:rPr>
              <w:t>(387.0)</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(286.2)</w:t>
            </w:r>
          </w:p>
        </w:tc>
      </w:tr>
      <w:tr>
        <w:trPr>
          <w:trHeight w:val="209"/>
        </w:trPr>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Total Segment Pre-Tax Operating Earnings</w:t>
            </w: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386.0</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ind w:right="574"/>
              <w:spacing w:after="0"/>
              <w:rPr>
                <w:sz w:val="20"/>
                <w:szCs w:val="20"/>
                <w:color w:val="auto"/>
              </w:rPr>
            </w:pPr>
            <w:r>
              <w:rPr>
                <w:rFonts w:ascii="Arial" w:cs="Arial" w:eastAsia="Arial" w:hAnsi="Arial"/>
                <w:sz w:val="15"/>
                <w:szCs w:val="15"/>
                <w:b w:val="1"/>
                <w:bCs w:val="1"/>
                <w:color w:val="auto"/>
                <w:w w:val="71"/>
              </w:rPr>
              <w:t>$</w:t>
            </w:r>
          </w:p>
        </w:tc>
        <w:tc>
          <w:tcPr>
            <w:tcW w:w="40" w:type="dxa"/>
            <w:vAlign w:val="bottom"/>
            <w:tcBorders>
              <w:top w:val="single" w:sz="8" w:color="auto"/>
              <w:bottom w:val="single" w:sz="8" w:color="auto"/>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478.7</w:t>
            </w:r>
          </w:p>
        </w:tc>
        <w:tc>
          <w:tcPr>
            <w:tcW w:w="22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77"/>
              <w:spacing w:after="0"/>
              <w:rPr>
                <w:sz w:val="20"/>
                <w:szCs w:val="20"/>
                <w:color w:val="auto"/>
              </w:rPr>
            </w:pPr>
            <w:r>
              <w:rPr>
                <w:rFonts w:ascii="Arial" w:cs="Arial" w:eastAsia="Arial" w:hAnsi="Arial"/>
                <w:sz w:val="15"/>
                <w:szCs w:val="15"/>
                <w:b w:val="1"/>
                <w:bCs w:val="1"/>
                <w:color w:val="auto"/>
                <w:w w:val="71"/>
              </w:rPr>
              <w:t>$</w:t>
            </w:r>
          </w:p>
        </w:tc>
        <w:tc>
          <w:tcPr>
            <w:tcW w:w="80" w:type="dxa"/>
            <w:vAlign w:val="bottom"/>
            <w:tcBorders>
              <w:top w:val="single" w:sz="8" w:color="auto"/>
              <w:bottom w:val="single" w:sz="8" w:color="auto"/>
              <w:right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1,796.6</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1,936.7</w:t>
            </w:r>
          </w:p>
        </w:tc>
        <w:tc>
          <w:tcPr>
            <w:tcW w:w="100" w:type="dxa"/>
            <w:vAlign w:val="bottom"/>
            <w:tcBorders>
              <w:top w:val="single" w:sz="8" w:color="CCEEFF"/>
            </w:tcBorders>
            <w:shd w:val="clear" w:color="auto" w:fill="CCEEFF"/>
          </w:tcPr>
          <w:p>
            <w:pPr>
              <w:spacing w:after="0"/>
              <w:rPr>
                <w:sz w:val="18"/>
                <w:szCs w:val="18"/>
                <w:color w:val="auto"/>
              </w:rPr>
            </w:pPr>
          </w:p>
        </w:tc>
      </w:tr>
      <w:tr>
        <w:trPr>
          <w:trHeight w:val="648"/>
        </w:trPr>
        <w:tc>
          <w:tcPr>
            <w:tcW w:w="5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gridSpan w:val="7"/>
          </w:tcPr>
          <w:p>
            <w:pPr>
              <w:jc w:val="right"/>
              <w:ind w:right="460"/>
              <w:spacing w:after="0"/>
              <w:rPr>
                <w:sz w:val="20"/>
                <w:szCs w:val="20"/>
                <w:color w:val="auto"/>
              </w:rPr>
            </w:pPr>
            <w:r>
              <w:rPr>
                <w:rFonts w:ascii="Arial" w:cs="Arial" w:eastAsia="Arial" w:hAnsi="Arial"/>
                <w:sz w:val="18"/>
                <w:szCs w:val="18"/>
                <w:b w:val="1"/>
                <w:bCs w:val="1"/>
                <w:color w:val="auto"/>
                <w:w w:val="98"/>
              </w:rPr>
              <w:t>Per Diluted Share</w:t>
            </w: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0"/>
        </w:trPr>
        <w:tc>
          <w:tcPr>
            <w:tcW w:w="5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880" w:type="dxa"/>
            <w:vAlign w:val="bottom"/>
            <w:tcBorders>
              <w:top w:val="single" w:sz="8" w:color="auto"/>
              <w:bottom w:val="single" w:sz="8" w:color="auto"/>
            </w:tcBorders>
            <w:gridSpan w:val="6"/>
          </w:tcPr>
          <w:p>
            <w:pPr>
              <w:jc w:val="right"/>
              <w:ind w:right="197"/>
              <w:spacing w:after="0"/>
              <w:rPr>
                <w:sz w:val="20"/>
                <w:szCs w:val="20"/>
                <w:color w:val="auto"/>
              </w:rPr>
            </w:pPr>
            <w:r>
              <w:rPr>
                <w:rFonts w:ascii="Arial" w:cs="Arial" w:eastAsia="Arial" w:hAnsi="Arial"/>
                <w:sz w:val="18"/>
                <w:szCs w:val="18"/>
                <w:color w:val="auto"/>
                <w:w w:val="91"/>
              </w:rPr>
              <w:t>Three Months Ended,</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3"/>
        </w:trPr>
        <w:tc>
          <w:tcPr>
            <w:tcW w:w="5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gridSpan w:val="2"/>
          </w:tcPr>
          <w:p>
            <w:pPr>
              <w:jc w:val="right"/>
              <w:ind w:right="134"/>
              <w:spacing w:after="0"/>
              <w:rPr>
                <w:sz w:val="20"/>
                <w:szCs w:val="20"/>
                <w:color w:val="auto"/>
              </w:rPr>
            </w:pPr>
            <w:r>
              <w:rPr>
                <w:rFonts w:ascii="Arial" w:cs="Arial" w:eastAsia="Arial" w:hAnsi="Arial"/>
                <w:sz w:val="18"/>
                <w:szCs w:val="18"/>
                <w:color w:val="auto"/>
                <w:w w:val="99"/>
              </w:rPr>
              <w:t>3/31/20</w:t>
            </w:r>
          </w:p>
        </w:tc>
        <w:tc>
          <w:tcPr>
            <w:tcW w:w="40" w:type="dxa"/>
            <w:vAlign w:val="bottom"/>
          </w:tcPr>
          <w:p>
            <w:pPr>
              <w:spacing w:after="0"/>
              <w:rPr>
                <w:sz w:val="19"/>
                <w:szCs w:val="19"/>
                <w:color w:val="auto"/>
              </w:rPr>
            </w:pPr>
          </w:p>
        </w:tc>
        <w:tc>
          <w:tcPr>
            <w:tcW w:w="1100" w:type="dxa"/>
            <w:vAlign w:val="bottom"/>
            <w:gridSpan w:val="4"/>
          </w:tcPr>
          <w:p>
            <w:pPr>
              <w:jc w:val="right"/>
              <w:ind w:right="137"/>
              <w:spacing w:after="0"/>
              <w:rPr>
                <w:sz w:val="20"/>
                <w:szCs w:val="20"/>
                <w:color w:val="auto"/>
              </w:rPr>
            </w:pPr>
            <w:r>
              <w:rPr>
                <w:rFonts w:ascii="Arial" w:cs="Arial" w:eastAsia="Arial" w:hAnsi="Arial"/>
                <w:sz w:val="18"/>
                <w:szCs w:val="18"/>
                <w:color w:val="auto"/>
              </w:rPr>
              <w:t>3/31/19</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3"/>
        </w:trPr>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Net income</w:t>
            </w:r>
          </w:p>
        </w:tc>
        <w:tc>
          <w:tcPr>
            <w:tcW w:w="26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CCEEFF"/>
            </w:tcBorders>
            <w:shd w:val="clear" w:color="auto" w:fill="CCEEFF"/>
          </w:tcPr>
          <w:p>
            <w:pPr>
              <w:spacing w:after="0"/>
              <w:rPr>
                <w:sz w:val="19"/>
                <w:szCs w:val="19"/>
                <w:color w:val="auto"/>
              </w:rPr>
            </w:pPr>
          </w:p>
        </w:tc>
        <w:tc>
          <w:tcPr>
            <w:tcW w:w="10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5"/>
                <w:szCs w:val="15"/>
                <w:b w:val="1"/>
                <w:bCs w:val="1"/>
                <w:color w:val="auto"/>
                <w:w w:val="71"/>
              </w:rPr>
              <w:t>$</w:t>
            </w:r>
          </w:p>
        </w:tc>
        <w:tc>
          <w:tcPr>
            <w:tcW w:w="8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1.04</w:t>
            </w:r>
          </w:p>
        </w:tc>
        <w:tc>
          <w:tcPr>
            <w:tcW w:w="4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b w:val="1"/>
                <w:bCs w:val="1"/>
                <w:color w:val="auto"/>
                <w:w w:val="71"/>
              </w:rPr>
              <w:t>$</w:t>
            </w:r>
          </w:p>
        </w:tc>
        <w:tc>
          <w:tcPr>
            <w:tcW w:w="220" w:type="dxa"/>
            <w:vAlign w:val="bottom"/>
            <w:tcBorders>
              <w:top w:val="single" w:sz="8" w:color="auto"/>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1.53</w:t>
            </w:r>
          </w:p>
        </w:tc>
        <w:tc>
          <w:tcPr>
            <w:tcW w:w="80" w:type="dxa"/>
            <w:vAlign w:val="bottom"/>
            <w:tcBorders>
              <w:top w:val="single" w:sz="8" w:color="CCEEFF"/>
              <w:right w:val="single" w:sz="8" w:color="CCEEFF"/>
            </w:tcBorders>
            <w:shd w:val="clear" w:color="auto" w:fill="CCEEFF"/>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5260" w:type="dxa"/>
            <w:vAlign w:val="bottom"/>
          </w:tcPr>
          <w:p>
            <w:pPr>
              <w:spacing w:after="0"/>
              <w:rPr>
                <w:sz w:val="20"/>
                <w:szCs w:val="20"/>
                <w:color w:val="auto"/>
              </w:rPr>
            </w:pPr>
            <w:r>
              <w:rPr>
                <w:rFonts w:ascii="Arial" w:cs="Arial" w:eastAsia="Arial" w:hAnsi="Arial"/>
                <w:sz w:val="18"/>
                <w:szCs w:val="18"/>
                <w:i w:val="1"/>
                <w:iCs w:val="1"/>
                <w:color w:val="auto"/>
              </w:rPr>
              <w:t>Net realized capital (gains) losses, as adjusted</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0.11</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(0.10)</w:t>
            </w: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0"/>
        </w:trPr>
        <w:tc>
          <w:tcPr>
            <w:tcW w:w="5260" w:type="dxa"/>
            <w:vAlign w:val="bottom"/>
            <w:shd w:val="clear" w:color="auto" w:fill="CCEEFF"/>
          </w:tcPr>
          <w:p>
            <w:pPr>
              <w:spacing w:after="0"/>
              <w:rPr>
                <w:sz w:val="20"/>
                <w:szCs w:val="20"/>
                <w:color w:val="auto"/>
              </w:rPr>
            </w:pPr>
            <w:r>
              <w:rPr>
                <w:rFonts w:ascii="Arial" w:cs="Arial" w:eastAsia="Arial" w:hAnsi="Arial"/>
                <w:sz w:val="18"/>
                <w:szCs w:val="18"/>
                <w:b w:val="1"/>
                <w:bCs w:val="1"/>
                <w:i w:val="1"/>
                <w:iCs w:val="1"/>
                <w:color w:val="auto"/>
              </w:rPr>
              <w:t>Non-GAAP Operating Earnings</w:t>
            </w:r>
          </w:p>
        </w:tc>
        <w:tc>
          <w:tcPr>
            <w:tcW w:w="2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1.15</w:t>
            </w:r>
          </w:p>
        </w:tc>
        <w:tc>
          <w:tcPr>
            <w:tcW w:w="440" w:type="dxa"/>
            <w:vAlign w:val="bottom"/>
            <w:gridSpan w:val="2"/>
            <w:shd w:val="clear" w:color="auto" w:fill="CCEEFF"/>
          </w:tcPr>
          <w:p>
            <w:pPr>
              <w:jc w:val="right"/>
              <w:ind w:right="167"/>
              <w:spacing w:after="0"/>
              <w:rPr>
                <w:sz w:val="20"/>
                <w:szCs w:val="20"/>
                <w:color w:val="auto"/>
              </w:rPr>
            </w:pPr>
            <w:r>
              <w:rPr>
                <w:rFonts w:ascii="Arial" w:cs="Arial" w:eastAsia="Arial" w:hAnsi="Arial"/>
                <w:sz w:val="18"/>
                <w:szCs w:val="18"/>
                <w:b w:val="1"/>
                <w:bCs w:val="1"/>
                <w:color w:val="auto"/>
              </w:rPr>
              <w:t>$</w:t>
            </w:r>
          </w:p>
        </w:tc>
        <w:tc>
          <w:tcPr>
            <w:tcW w:w="220" w:type="dxa"/>
            <w:vAlign w:val="bottom"/>
            <w:shd w:val="clear" w:color="auto" w:fill="CCEEFF"/>
          </w:tcPr>
          <w:p>
            <w:pPr>
              <w:spacing w:after="0"/>
              <w:rPr>
                <w:sz w:val="19"/>
                <w:szCs w:val="19"/>
                <w:color w:val="auto"/>
              </w:rPr>
            </w:pPr>
          </w:p>
        </w:tc>
        <w:tc>
          <w:tcPr>
            <w:tcW w:w="52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1.43</w:t>
            </w: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4"/>
        </w:trPr>
        <w:tc>
          <w:tcPr>
            <w:tcW w:w="5260" w:type="dxa"/>
            <w:vAlign w:val="bottom"/>
          </w:tcPr>
          <w:p>
            <w:pPr>
              <w:spacing w:after="0"/>
              <w:rPr>
                <w:sz w:val="20"/>
                <w:szCs w:val="20"/>
                <w:color w:val="auto"/>
              </w:rPr>
            </w:pPr>
            <w:r>
              <w:rPr>
                <w:rFonts w:ascii="Arial" w:cs="Arial" w:eastAsia="Arial" w:hAnsi="Arial"/>
                <w:sz w:val="18"/>
                <w:szCs w:val="18"/>
                <w:b w:val="1"/>
                <w:bCs w:val="1"/>
                <w:i w:val="1"/>
                <w:iCs w:val="1"/>
                <w:color w:val="auto"/>
                <w:w w:val="90"/>
              </w:rPr>
              <w:t>Weighted-average diluted common shares outstanding (in millions)</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b w:val="1"/>
                <w:bCs w:val="1"/>
                <w:color w:val="auto"/>
              </w:rPr>
              <w:t>277.2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w w:val="93"/>
              </w:rPr>
              <w:t>280.9</w:t>
            </w: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GAAP (GAAP) net income attributable to PFG versus non-GAAP operating earnings</w:t>
      </w:r>
    </w:p>
    <w:p>
      <w:pPr>
        <w:spacing w:after="0" w:line="229"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Management uses non-GAAP operating earnings, which is a financial measure that excludes the effect of net realized capital gains and losses, as adjusted,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non-GAAP operating earnings enhances the understanding of results of operations by highlighting earnings attributable to the normal, ongoing operations of the company’s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424180</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0" w:name="page11"/>
    <w:bookmarkEnd w:id="1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5660390</wp:posOffset>
            </wp:positionH>
            <wp:positionV relativeFrom="page">
              <wp:posOffset>723265</wp:posOffset>
            </wp:positionV>
            <wp:extent cx="1680210" cy="5575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60" w:type="dxa"/>
            <w:vAlign w:val="bottom"/>
          </w:tcPr>
          <w:p>
            <w:pPr>
              <w:jc w:val="center"/>
              <w:ind w:left="2910"/>
              <w:spacing w:after="0"/>
              <w:rPr>
                <w:sz w:val="20"/>
                <w:szCs w:val="20"/>
                <w:color w:val="auto"/>
              </w:rPr>
            </w:pPr>
            <w:r>
              <w:rPr>
                <w:rFonts w:ascii="Arial" w:cs="Arial" w:eastAsia="Arial" w:hAnsi="Arial"/>
                <w:sz w:val="18"/>
                <w:szCs w:val="18"/>
                <w:b w:val="1"/>
                <w:bCs w:val="1"/>
                <w:i w:val="1"/>
                <w:iCs w:val="1"/>
                <w:color w:val="auto"/>
                <w:w w:val="84"/>
              </w:rPr>
              <w:t>Selected Balance Sheet Statistics</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46"/>
        </w:trPr>
        <w:tc>
          <w:tcPr>
            <w:tcW w:w="8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580" w:type="dxa"/>
            <w:vAlign w:val="bottom"/>
            <w:gridSpan w:val="6"/>
          </w:tcPr>
          <w:p>
            <w:pPr>
              <w:ind w:left="580"/>
              <w:spacing w:after="0"/>
              <w:rPr>
                <w:sz w:val="20"/>
                <w:szCs w:val="20"/>
                <w:color w:val="auto"/>
              </w:rPr>
            </w:pPr>
            <w:r>
              <w:rPr>
                <w:rFonts w:ascii="Arial" w:cs="Arial" w:eastAsia="Arial" w:hAnsi="Arial"/>
                <w:sz w:val="18"/>
                <w:szCs w:val="18"/>
                <w:b w:val="1"/>
                <w:bCs w:val="1"/>
                <w:color w:val="auto"/>
              </w:rPr>
              <w:t>Period Ended,</w:t>
            </w:r>
          </w:p>
        </w:tc>
      </w:tr>
      <w:tr>
        <w:trPr>
          <w:trHeight w:val="209"/>
        </w:trPr>
        <w:tc>
          <w:tcPr>
            <w:tcW w:w="826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120" w:type="dxa"/>
            <w:vAlign w:val="bottom"/>
            <w:tcBorders>
              <w:top w:val="single" w:sz="8" w:color="auto"/>
              <w:bottom w:val="single" w:sz="8" w:color="CCEEFF"/>
            </w:tcBorders>
          </w:tcPr>
          <w:p>
            <w:pPr>
              <w:spacing w:after="0"/>
              <w:rPr>
                <w:sz w:val="18"/>
                <w:szCs w:val="18"/>
                <w:color w:val="auto"/>
              </w:rPr>
            </w:pPr>
          </w:p>
        </w:tc>
        <w:tc>
          <w:tcPr>
            <w:tcW w:w="100" w:type="dxa"/>
            <w:vAlign w:val="bottom"/>
            <w:tcBorders>
              <w:top w:val="single" w:sz="8" w:color="auto"/>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12/31/19</w:t>
            </w:r>
          </w:p>
        </w:tc>
        <w:tc>
          <w:tcPr>
            <w:tcW w:w="100" w:type="dxa"/>
            <w:vAlign w:val="bottom"/>
            <w:tcBorders>
              <w:bottom w:val="single" w:sz="8" w:color="CCEEFF"/>
            </w:tcBorders>
          </w:tcPr>
          <w:p>
            <w:pPr>
              <w:spacing w:after="0"/>
              <w:rPr>
                <w:sz w:val="18"/>
                <w:szCs w:val="18"/>
                <w:color w:val="auto"/>
              </w:rPr>
            </w:pPr>
          </w:p>
        </w:tc>
      </w:tr>
      <w:tr>
        <w:trPr>
          <w:trHeight w:val="209"/>
        </w:trPr>
        <w:tc>
          <w:tcPr>
            <w:tcW w:w="8260" w:type="dxa"/>
            <w:vAlign w:val="bottom"/>
            <w:shd w:val="clear" w:color="auto" w:fill="CCEEFF"/>
          </w:tcPr>
          <w:p>
            <w:pPr>
              <w:spacing w:after="0"/>
              <w:rPr>
                <w:sz w:val="20"/>
                <w:szCs w:val="20"/>
                <w:color w:val="auto"/>
              </w:rPr>
            </w:pPr>
            <w:r>
              <w:rPr>
                <w:rFonts w:ascii="Arial" w:cs="Arial" w:eastAsia="Arial" w:hAnsi="Arial"/>
                <w:sz w:val="18"/>
                <w:szCs w:val="18"/>
                <w:color w:val="auto"/>
              </w:rPr>
              <w:t>Total assets (in billions)</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276.1</w:t>
            </w:r>
          </w:p>
        </w:tc>
        <w:tc>
          <w:tcPr>
            <w:tcW w:w="100" w:type="dxa"/>
            <w:vAlign w:val="bottom"/>
            <w:shd w:val="clear" w:color="auto" w:fill="CCEEFF"/>
          </w:tcPr>
          <w:p>
            <w:pPr>
              <w:spacing w:after="0"/>
              <w:rPr>
                <w:sz w:val="18"/>
                <w:szCs w:val="18"/>
                <w:color w:val="auto"/>
              </w:rPr>
            </w:pPr>
          </w:p>
        </w:tc>
      </w:tr>
      <w:tr>
        <w:trPr>
          <w:trHeight w:val="216"/>
        </w:trPr>
        <w:tc>
          <w:tcPr>
            <w:tcW w:w="8260" w:type="dxa"/>
            <w:vAlign w:val="bottom"/>
          </w:tcPr>
          <w:p>
            <w:pPr>
              <w:spacing w:after="0"/>
              <w:rPr>
                <w:sz w:val="20"/>
                <w:szCs w:val="20"/>
                <w:color w:val="auto"/>
              </w:rPr>
            </w:pPr>
            <w:r>
              <w:rPr>
                <w:rFonts w:ascii="Arial" w:cs="Arial" w:eastAsia="Arial" w:hAnsi="Arial"/>
                <w:sz w:val="18"/>
                <w:szCs w:val="18"/>
                <w:color w:val="auto"/>
              </w:rPr>
              <w:t>Stockholders’ equity (in millions)</w:t>
            </w:r>
          </w:p>
        </w:tc>
        <w:tc>
          <w:tcPr>
            <w:tcW w:w="4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12,972.6</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14,685.8</w:t>
            </w:r>
          </w:p>
        </w:tc>
      </w:tr>
      <w:tr>
        <w:trPr>
          <w:trHeight w:val="216"/>
        </w:trPr>
        <w:tc>
          <w:tcPr>
            <w:tcW w:w="8260" w:type="dxa"/>
            <w:vAlign w:val="bottom"/>
            <w:shd w:val="clear" w:color="auto" w:fill="CCEEFF"/>
          </w:tcPr>
          <w:p>
            <w:pPr>
              <w:spacing w:after="0"/>
              <w:rPr>
                <w:sz w:val="20"/>
                <w:szCs w:val="20"/>
                <w:color w:val="auto"/>
              </w:rPr>
            </w:pPr>
            <w:r>
              <w:rPr>
                <w:rFonts w:ascii="Arial" w:cs="Arial" w:eastAsia="Arial" w:hAnsi="Arial"/>
                <w:sz w:val="18"/>
                <w:szCs w:val="18"/>
                <w:color w:val="auto"/>
              </w:rPr>
              <w:t>Total common equity (in millions)</w:t>
            </w:r>
          </w:p>
        </w:tc>
        <w:tc>
          <w:tcPr>
            <w:tcW w:w="4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12,907.5</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14,618.0</w:t>
            </w:r>
          </w:p>
        </w:tc>
      </w:tr>
      <w:tr>
        <w:trPr>
          <w:trHeight w:val="202"/>
        </w:trPr>
        <w:tc>
          <w:tcPr>
            <w:tcW w:w="8260" w:type="dxa"/>
            <w:vAlign w:val="bottom"/>
          </w:tcPr>
          <w:p>
            <w:pPr>
              <w:spacing w:after="0" w:line="201" w:lineRule="exact"/>
              <w:rPr>
                <w:sz w:val="20"/>
                <w:szCs w:val="20"/>
                <w:color w:val="auto"/>
              </w:rPr>
            </w:pPr>
            <w:r>
              <w:rPr>
                <w:rFonts w:ascii="Arial" w:cs="Arial" w:eastAsia="Arial" w:hAnsi="Arial"/>
                <w:sz w:val="18"/>
                <w:szCs w:val="18"/>
                <w:color w:val="auto"/>
                <w:w w:val="94"/>
              </w:rPr>
              <w:t>Total common equity excluding accumulated other comprehensive income (AOCI) other than foreign currency</w:t>
            </w: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260" w:type="dxa"/>
            <w:vAlign w:val="bottom"/>
          </w:tcPr>
          <w:p>
            <w:pPr>
              <w:ind w:left="180"/>
              <w:spacing w:after="0"/>
              <w:rPr>
                <w:sz w:val="20"/>
                <w:szCs w:val="20"/>
                <w:color w:val="auto"/>
              </w:rPr>
            </w:pPr>
            <w:r>
              <w:rPr>
                <w:rFonts w:ascii="Arial" w:cs="Arial" w:eastAsia="Arial" w:hAnsi="Arial"/>
                <w:sz w:val="18"/>
                <w:szCs w:val="18"/>
                <w:color w:val="auto"/>
              </w:rPr>
              <w:t>translation adjustment (in millions)</w:t>
            </w:r>
          </w:p>
        </w:tc>
        <w:tc>
          <w:tcPr>
            <w:tcW w:w="4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11,879.5</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12,238.3</w:t>
            </w:r>
          </w:p>
        </w:tc>
      </w:tr>
      <w:tr>
        <w:trPr>
          <w:trHeight w:val="216"/>
        </w:trPr>
        <w:tc>
          <w:tcPr>
            <w:tcW w:w="8260" w:type="dxa"/>
            <w:vAlign w:val="bottom"/>
            <w:shd w:val="clear" w:color="auto" w:fill="CCEEFF"/>
          </w:tcPr>
          <w:p>
            <w:pPr>
              <w:spacing w:after="0"/>
              <w:rPr>
                <w:sz w:val="20"/>
                <w:szCs w:val="20"/>
                <w:color w:val="auto"/>
              </w:rPr>
            </w:pPr>
            <w:r>
              <w:rPr>
                <w:rFonts w:ascii="Arial" w:cs="Arial" w:eastAsia="Arial" w:hAnsi="Arial"/>
                <w:sz w:val="18"/>
                <w:szCs w:val="18"/>
                <w:color w:val="auto"/>
              </w:rPr>
              <w:t>End of period common shares outstanding (in millions)</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273.4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276.6</w:t>
            </w:r>
          </w:p>
        </w:tc>
      </w:tr>
      <w:tr>
        <w:trPr>
          <w:trHeight w:val="216"/>
        </w:trPr>
        <w:tc>
          <w:tcPr>
            <w:tcW w:w="8260" w:type="dxa"/>
            <w:vAlign w:val="bottom"/>
          </w:tcPr>
          <w:p>
            <w:pPr>
              <w:spacing w:after="0"/>
              <w:rPr>
                <w:sz w:val="20"/>
                <w:szCs w:val="20"/>
                <w:color w:val="auto"/>
              </w:rPr>
            </w:pPr>
            <w:r>
              <w:rPr>
                <w:rFonts w:ascii="Arial" w:cs="Arial" w:eastAsia="Arial" w:hAnsi="Arial"/>
                <w:sz w:val="18"/>
                <w:szCs w:val="18"/>
                <w:color w:val="auto"/>
              </w:rPr>
              <w:t>Book value per common share</w:t>
            </w:r>
          </w:p>
        </w:tc>
        <w:tc>
          <w:tcPr>
            <w:tcW w:w="4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20"/>
              <w:spacing w:after="0"/>
              <w:rPr>
                <w:sz w:val="20"/>
                <w:szCs w:val="20"/>
                <w:color w:val="auto"/>
              </w:rPr>
            </w:pPr>
            <w:r>
              <w:rPr>
                <w:rFonts w:ascii="Arial" w:cs="Arial" w:eastAsia="Arial" w:hAnsi="Arial"/>
                <w:sz w:val="18"/>
                <w:szCs w:val="18"/>
                <w:color w:val="auto"/>
              </w:rPr>
              <w:t>47.21</w:t>
            </w:r>
          </w:p>
        </w:tc>
        <w:tc>
          <w:tcPr>
            <w:tcW w:w="3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52.85</w:t>
            </w:r>
          </w:p>
        </w:tc>
      </w:tr>
      <w:tr>
        <w:trPr>
          <w:trHeight w:val="216"/>
        </w:trPr>
        <w:tc>
          <w:tcPr>
            <w:tcW w:w="8260" w:type="dxa"/>
            <w:vAlign w:val="bottom"/>
            <w:shd w:val="clear" w:color="auto" w:fill="CCEEFF"/>
          </w:tcPr>
          <w:p>
            <w:pPr>
              <w:spacing w:after="0"/>
              <w:rPr>
                <w:sz w:val="20"/>
                <w:szCs w:val="20"/>
                <w:color w:val="auto"/>
              </w:rPr>
            </w:pPr>
            <w:r>
              <w:rPr>
                <w:rFonts w:ascii="Arial" w:cs="Arial" w:eastAsia="Arial" w:hAnsi="Arial"/>
                <w:sz w:val="18"/>
                <w:szCs w:val="18"/>
                <w:color w:val="auto"/>
              </w:rPr>
              <w:t>Book value per common share excluding AOCI other than foreign currency translation adjustment</w:t>
            </w:r>
          </w:p>
        </w:tc>
        <w:tc>
          <w:tcPr>
            <w:tcW w:w="4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43.45</w:t>
            </w:r>
          </w:p>
        </w:tc>
        <w:tc>
          <w:tcPr>
            <w:tcW w:w="3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44.25</w:t>
            </w:r>
          </w:p>
        </w:tc>
      </w:tr>
      <w:tr>
        <w:trPr>
          <w:trHeight w:val="414"/>
        </w:trPr>
        <w:tc>
          <w:tcPr>
            <w:tcW w:w="8260" w:type="dxa"/>
            <w:vAlign w:val="bottom"/>
          </w:tcPr>
          <w:p>
            <w:pPr>
              <w:jc w:val="center"/>
              <w:ind w:left="2890"/>
              <w:spacing w:after="0"/>
              <w:rPr>
                <w:sz w:val="20"/>
                <w:szCs w:val="20"/>
                <w:color w:val="auto"/>
              </w:rPr>
            </w:pPr>
            <w:r>
              <w:rPr>
                <w:rFonts w:ascii="Arial" w:cs="Arial" w:eastAsia="Arial" w:hAnsi="Arial"/>
                <w:sz w:val="18"/>
                <w:szCs w:val="18"/>
                <w:b w:val="1"/>
                <w:bCs w:val="1"/>
                <w:color w:val="auto"/>
                <w:w w:val="92"/>
              </w:rPr>
              <w:t>Principal Financial Group, Inc.</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8260" w:type="dxa"/>
            <w:vAlign w:val="bottom"/>
          </w:tcPr>
          <w:p>
            <w:pPr>
              <w:jc w:val="center"/>
              <w:ind w:left="2890"/>
              <w:spacing w:after="0"/>
              <w:rPr>
                <w:sz w:val="20"/>
                <w:szCs w:val="20"/>
                <w:color w:val="auto"/>
              </w:rPr>
            </w:pPr>
            <w:r>
              <w:rPr>
                <w:rFonts w:ascii="Arial" w:cs="Arial" w:eastAsia="Arial" w:hAnsi="Arial"/>
                <w:sz w:val="18"/>
                <w:szCs w:val="18"/>
                <w:b w:val="1"/>
                <w:bCs w:val="1"/>
                <w:color w:val="auto"/>
                <w:w w:val="91"/>
              </w:rPr>
              <w:t>Reconciliation of U.S. GAAP to Non-GAAP Financial Measures</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8260" w:type="dxa"/>
            <w:vAlign w:val="bottom"/>
          </w:tcPr>
          <w:p>
            <w:pPr>
              <w:jc w:val="center"/>
              <w:ind w:left="2910"/>
              <w:spacing w:after="0"/>
              <w:rPr>
                <w:sz w:val="20"/>
                <w:szCs w:val="20"/>
                <w:color w:val="auto"/>
              </w:rPr>
            </w:pPr>
            <w:r>
              <w:rPr>
                <w:rFonts w:ascii="Arial" w:cs="Arial" w:eastAsia="Arial" w:hAnsi="Arial"/>
                <w:sz w:val="18"/>
                <w:szCs w:val="18"/>
                <w:b w:val="1"/>
                <w:bCs w:val="1"/>
                <w:color w:val="auto"/>
                <w:w w:val="88"/>
              </w:rPr>
              <w:t>(in millions, except as indicated)</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580" w:type="dxa"/>
            <w:vAlign w:val="bottom"/>
            <w:gridSpan w:val="6"/>
          </w:tcPr>
          <w:p>
            <w:pPr>
              <w:jc w:val="right"/>
              <w:ind w:right="900"/>
              <w:spacing w:after="0"/>
              <w:rPr>
                <w:sz w:val="20"/>
                <w:szCs w:val="20"/>
                <w:color w:val="auto"/>
              </w:rPr>
            </w:pPr>
            <w:r>
              <w:rPr>
                <w:rFonts w:ascii="Arial" w:cs="Arial" w:eastAsia="Arial" w:hAnsi="Arial"/>
                <w:sz w:val="18"/>
                <w:szCs w:val="18"/>
                <w:b w:val="1"/>
                <w:bCs w:val="1"/>
                <w:color w:val="auto"/>
              </w:rPr>
              <w:t>Period Ended,</w:t>
            </w:r>
          </w:p>
        </w:tc>
      </w:tr>
      <w:tr>
        <w:trPr>
          <w:trHeight w:val="223"/>
        </w:trPr>
        <w:tc>
          <w:tcPr>
            <w:tcW w:w="836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140" w:type="dxa"/>
            <w:vAlign w:val="bottom"/>
            <w:tcBorders>
              <w:top w:val="single" w:sz="8" w:color="auto"/>
              <w:bottom w:val="single" w:sz="8" w:color="CCEEFF"/>
            </w:tcBorders>
          </w:tcPr>
          <w:p>
            <w:pPr>
              <w:spacing w:after="0"/>
              <w:rPr>
                <w:sz w:val="19"/>
                <w:szCs w:val="19"/>
                <w:color w:val="auto"/>
              </w:rPr>
            </w:pPr>
          </w:p>
        </w:tc>
        <w:tc>
          <w:tcPr>
            <w:tcW w:w="8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12/31/19</w:t>
            </w:r>
          </w:p>
        </w:tc>
        <w:tc>
          <w:tcPr>
            <w:tcW w:w="100" w:type="dxa"/>
            <w:vAlign w:val="bottom"/>
            <w:tcBorders>
              <w:bottom w:val="single" w:sz="8" w:color="CCEEFF"/>
            </w:tcBorders>
          </w:tcPr>
          <w:p>
            <w:pPr>
              <w:spacing w:after="0"/>
              <w:rPr>
                <w:sz w:val="19"/>
                <w:szCs w:val="19"/>
                <w:color w:val="auto"/>
              </w:rPr>
            </w:pPr>
          </w:p>
        </w:tc>
      </w:tr>
      <w:tr>
        <w:trPr>
          <w:trHeight w:val="178"/>
        </w:trPr>
        <w:tc>
          <w:tcPr>
            <w:tcW w:w="8360" w:type="dxa"/>
            <w:vAlign w:val="bottom"/>
            <w:shd w:val="clear" w:color="auto" w:fill="CCEEFF"/>
          </w:tcPr>
          <w:p>
            <w:pPr>
              <w:spacing w:after="0" w:line="177" w:lineRule="exact"/>
              <w:rPr>
                <w:sz w:val="20"/>
                <w:szCs w:val="20"/>
                <w:color w:val="auto"/>
              </w:rPr>
            </w:pPr>
            <w:r>
              <w:rPr>
                <w:rFonts w:ascii="Arial" w:cs="Arial" w:eastAsia="Arial" w:hAnsi="Arial"/>
                <w:sz w:val="18"/>
                <w:szCs w:val="18"/>
                <w:b w:val="1"/>
                <w:bCs w:val="1"/>
                <w:color w:val="auto"/>
                <w:w w:val="92"/>
              </w:rPr>
              <w:t>Stockholders’ Equity, Excluding AOCI Other Than Foreign Currency Translation Adjustment, Available to</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34"/>
        </w:trPr>
        <w:tc>
          <w:tcPr>
            <w:tcW w:w="836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Common Stockholders:</w:t>
            </w: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Stockholders’ equity</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12,972.6</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14,685.8</w:t>
            </w:r>
          </w:p>
        </w:tc>
      </w:tr>
      <w:tr>
        <w:trPr>
          <w:trHeight w:val="230"/>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(65.1)</w:t>
            </w: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(67.8)</w:t>
            </w:r>
          </w:p>
        </w:tc>
      </w:tr>
      <w:tr>
        <w:trPr>
          <w:trHeight w:val="209"/>
        </w:trPr>
        <w:tc>
          <w:tcPr>
            <w:tcW w:w="8360" w:type="dxa"/>
            <w:vAlign w:val="bottom"/>
          </w:tcPr>
          <w:p>
            <w:pPr>
              <w:spacing w:after="0"/>
              <w:rPr>
                <w:sz w:val="20"/>
                <w:szCs w:val="20"/>
                <w:color w:val="auto"/>
              </w:rPr>
            </w:pPr>
            <w:r>
              <w:rPr>
                <w:rFonts w:ascii="Arial" w:cs="Arial" w:eastAsia="Arial" w:hAnsi="Arial"/>
                <w:sz w:val="18"/>
                <w:szCs w:val="18"/>
                <w:color w:val="auto"/>
              </w:rPr>
              <w:t>Stockholders’ equity available to common stockholders</w:t>
            </w: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12,907.5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14,618.0</w:t>
            </w:r>
          </w:p>
        </w:tc>
        <w:tc>
          <w:tcPr>
            <w:tcW w:w="100" w:type="dxa"/>
            <w:vAlign w:val="bottom"/>
          </w:tcPr>
          <w:p>
            <w:pPr>
              <w:spacing w:after="0"/>
              <w:rPr>
                <w:sz w:val="18"/>
                <w:szCs w:val="18"/>
                <w:color w:val="auto"/>
              </w:rPr>
            </w:pP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capital (gains) losses</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(1,452.6)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(2,815.3)</w:t>
            </w: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Net unrecognized postretirement benefit obligation</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424.6</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435.6</w:t>
            </w:r>
          </w:p>
        </w:tc>
      </w:tr>
      <w:tr>
        <w:trPr>
          <w:trHeight w:val="202"/>
        </w:trPr>
        <w:tc>
          <w:tcPr>
            <w:tcW w:w="83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5"/>
              </w:rPr>
              <w:t>Stockholders’ equity, excluding AOCI other than foreign currency translation adjustment, available to common</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stockholders</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11,879.5</w:t>
            </w:r>
          </w:p>
        </w:tc>
        <w:tc>
          <w:tcPr>
            <w:tcW w:w="2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12,238.3</w:t>
            </w: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r>
        <w:trPr>
          <w:trHeight w:val="196"/>
        </w:trPr>
        <w:tc>
          <w:tcPr>
            <w:tcW w:w="8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4"/>
              </w:rPr>
              <w:t>Book Value Per Common Share, Excluding AOCI Other Than Foreign Currency Translation Adjustment: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Book value per common share</w:t>
            </w:r>
          </w:p>
        </w:tc>
        <w:tc>
          <w:tcPr>
            <w:tcW w:w="30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47.21</w:t>
            </w:r>
          </w:p>
        </w:tc>
        <w:tc>
          <w:tcPr>
            <w:tcW w:w="2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52.85</w:t>
            </w: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Net unrealized capital (gains) losses</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(5.31)</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(10.17)</w:t>
            </w:r>
          </w:p>
        </w:tc>
      </w:tr>
      <w:tr>
        <w:trPr>
          <w:trHeight w:val="230"/>
        </w:trPr>
        <w:tc>
          <w:tcPr>
            <w:tcW w:w="8360" w:type="dxa"/>
            <w:vAlign w:val="bottom"/>
          </w:tcPr>
          <w:p>
            <w:pPr>
              <w:spacing w:after="0"/>
              <w:rPr>
                <w:sz w:val="20"/>
                <w:szCs w:val="20"/>
                <w:color w:val="auto"/>
              </w:rPr>
            </w:pPr>
            <w:r>
              <w:rPr>
                <w:rFonts w:ascii="Arial" w:cs="Arial" w:eastAsia="Arial" w:hAnsi="Arial"/>
                <w:sz w:val="18"/>
                <w:szCs w:val="18"/>
                <w:color w:val="auto"/>
              </w:rPr>
              <w:t>Net unrecognized postretirement benefit obligation</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1.55</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1.57</w:t>
            </w:r>
          </w:p>
        </w:tc>
      </w:tr>
      <w:tr>
        <w:trPr>
          <w:trHeight w:val="223"/>
        </w:trPr>
        <w:tc>
          <w:tcPr>
            <w:tcW w:w="83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Book value per common share, excluding AOCI other than foreign currency translation adjustment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43.45</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44.25</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8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29"/>
        </w:trPr>
        <w:tc>
          <w:tcPr>
            <w:tcW w:w="83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11" w:name="page12"/>
    <w:bookmarkEnd w:id="11"/>
    <w:p>
      <w:pPr>
        <w:spacing w:after="0" w:line="39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448945</wp:posOffset>
            </wp:positionV>
            <wp:extent cx="1680210" cy="5575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20" w:type="dxa"/>
            <w:vAlign w:val="bottom"/>
            <w:gridSpan w:val="5"/>
          </w:tcPr>
          <w:p>
            <w:pPr>
              <w:jc w:val="center"/>
              <w:ind w:left="4150"/>
              <w:spacing w:after="0"/>
              <w:rPr>
                <w:sz w:val="20"/>
                <w:szCs w:val="20"/>
                <w:color w:val="auto"/>
              </w:rPr>
            </w:pPr>
            <w:r>
              <w:rPr>
                <w:rFonts w:ascii="Arial" w:cs="Arial" w:eastAsia="Arial" w:hAnsi="Arial"/>
                <w:sz w:val="18"/>
                <w:szCs w:val="18"/>
                <w:b w:val="1"/>
                <w:bCs w:val="1"/>
                <w:color w:val="auto"/>
                <w:w w:val="91"/>
              </w:rPr>
              <w:t>(in millions)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54"/>
        </w:trPr>
        <w:tc>
          <w:tcPr>
            <w:tcW w:w="5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700" w:type="dxa"/>
            <w:vAlign w:val="bottom"/>
            <w:gridSpan w:val="6"/>
          </w:tcPr>
          <w:p>
            <w:pPr>
              <w:jc w:val="right"/>
              <w:ind w:right="74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24"/>
                <w:szCs w:val="24"/>
                <w:color w:val="auto"/>
              </w:rPr>
            </w:pPr>
          </w:p>
        </w:tc>
        <w:tc>
          <w:tcPr>
            <w:tcW w:w="2560" w:type="dxa"/>
            <w:vAlign w:val="bottom"/>
            <w:gridSpan w:val="7"/>
          </w:tcPr>
          <w:p>
            <w:pPr>
              <w:jc w:val="right"/>
              <w:ind w:right="500"/>
              <w:spacing w:after="0"/>
              <w:rPr>
                <w:sz w:val="20"/>
                <w:szCs w:val="20"/>
                <w:color w:val="auto"/>
              </w:rPr>
            </w:pPr>
            <w:r>
              <w:rPr>
                <w:rFonts w:ascii="Arial" w:cs="Arial" w:eastAsia="Arial" w:hAnsi="Arial"/>
                <w:sz w:val="18"/>
                <w:szCs w:val="18"/>
                <w:b w:val="1"/>
                <w:bCs w:val="1"/>
                <w:color w:val="auto"/>
                <w:w w:val="99"/>
              </w:rPr>
              <w:t>Trailing Twelve Months,</w:t>
            </w:r>
          </w:p>
        </w:tc>
      </w:tr>
      <w:tr>
        <w:trPr>
          <w:trHeight w:val="223"/>
        </w:trPr>
        <w:tc>
          <w:tcPr>
            <w:tcW w:w="5360" w:type="dxa"/>
            <w:vAlign w:val="bottom"/>
            <w:tcBorders>
              <w:bottom w:val="single" w:sz="8" w:color="CCEEFF"/>
            </w:tcBorders>
          </w:tcPr>
          <w:p>
            <w:pPr>
              <w:spacing w:after="0"/>
              <w:rPr>
                <w:sz w:val="19"/>
                <w:szCs w:val="19"/>
                <w:color w:val="auto"/>
              </w:rPr>
            </w:pPr>
          </w:p>
        </w:tc>
        <w:tc>
          <w:tcPr>
            <w:tcW w:w="160" w:type="dxa"/>
            <w:vAlign w:val="bottom"/>
            <w:tcBorders>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3/31/19</w:t>
            </w:r>
          </w:p>
        </w:tc>
        <w:tc>
          <w:tcPr>
            <w:tcW w:w="22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220" w:type="dxa"/>
            <w:vAlign w:val="bottom"/>
            <w:tcBorders>
              <w:top w:val="single" w:sz="8" w:color="auto"/>
              <w:bottom w:val="single" w:sz="8" w:color="CCEEFF"/>
            </w:tcBorders>
          </w:tcPr>
          <w:p>
            <w:pPr>
              <w:spacing w:after="0"/>
              <w:rPr>
                <w:sz w:val="19"/>
                <w:szCs w:val="19"/>
                <w:color w:val="auto"/>
              </w:rPr>
            </w:pPr>
          </w:p>
        </w:tc>
        <w:tc>
          <w:tcPr>
            <w:tcW w:w="2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3/31/19</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r>
      <w:tr>
        <w:trPr>
          <w:trHeight w:val="209"/>
        </w:trPr>
        <w:tc>
          <w:tcPr>
            <w:tcW w:w="5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Taxes: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Total GAAP income taxes (benefits)</w:t>
            </w:r>
          </w:p>
        </w:tc>
        <w:tc>
          <w:tcPr>
            <w:tcW w:w="4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43.2</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73.9</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218.5</w:t>
            </w:r>
          </w:p>
        </w:tc>
        <w:tc>
          <w:tcPr>
            <w:tcW w:w="220" w:type="dxa"/>
            <w:vAlign w:val="bottom"/>
            <w:gridSpan w:val="2"/>
          </w:tcPr>
          <w:p>
            <w:pPr>
              <w:jc w:val="right"/>
              <w:ind w:right="47"/>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250.1</w:t>
            </w:r>
          </w:p>
        </w:tc>
        <w:tc>
          <w:tcPr>
            <w:tcW w:w="80" w:type="dxa"/>
            <w:vAlign w:val="bottom"/>
          </w:tcPr>
          <w:p>
            <w:pPr>
              <w:spacing w:after="0"/>
              <w:rPr>
                <w:sz w:val="18"/>
                <w:szCs w:val="18"/>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Net realized capital gains (losses) tax adjustments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12.4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(15.9)</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27.0</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43.4</w:t>
            </w:r>
          </w:p>
        </w:tc>
      </w:tr>
      <w:tr>
        <w:trPr>
          <w:trHeight w:val="202"/>
        </w:trPr>
        <w:tc>
          <w:tcPr>
            <w:tcW w:w="5360" w:type="dxa"/>
            <w:vAlign w:val="bottom"/>
          </w:tcPr>
          <w:p>
            <w:pPr>
              <w:spacing w:after="0" w:line="201" w:lineRule="exact"/>
              <w:rPr>
                <w:sz w:val="20"/>
                <w:szCs w:val="20"/>
                <w:color w:val="auto"/>
              </w:rPr>
            </w:pPr>
            <w:r>
              <w:rPr>
                <w:rFonts w:ascii="Arial" w:cs="Arial" w:eastAsia="Arial" w:hAnsi="Arial"/>
                <w:sz w:val="18"/>
                <w:szCs w:val="18"/>
                <w:color w:val="auto"/>
                <w:w w:val="95"/>
              </w:rPr>
              <w:t>Income taxes related to equity method investments and noncontrolling</w:t>
            </w: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44"/>
        </w:trPr>
        <w:tc>
          <w:tcPr>
            <w:tcW w:w="5360" w:type="dxa"/>
            <w:vAlign w:val="bottom"/>
          </w:tcPr>
          <w:p>
            <w:pPr>
              <w:ind w:left="180"/>
              <w:spacing w:after="0"/>
              <w:rPr>
                <w:sz w:val="20"/>
                <w:szCs w:val="20"/>
                <w:color w:val="auto"/>
              </w:rPr>
            </w:pPr>
            <w:r>
              <w:rPr>
                <w:rFonts w:ascii="Arial" w:cs="Arial" w:eastAsia="Arial" w:hAnsi="Arial"/>
                <w:sz w:val="18"/>
                <w:szCs w:val="18"/>
                <w:color w:val="auto"/>
              </w:rPr>
              <w:t>interest</w:t>
            </w: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20.4</w:t>
            </w:r>
          </w:p>
        </w:tc>
        <w:tc>
          <w:tcPr>
            <w:tcW w:w="220" w:type="dxa"/>
            <w:vAlign w:val="bottom"/>
          </w:tcPr>
          <w:p>
            <w:pPr>
              <w:spacing w:after="0"/>
              <w:rPr>
                <w:sz w:val="21"/>
                <w:szCs w:val="21"/>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62.7</w:t>
            </w: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54.2</w:t>
            </w:r>
          </w:p>
        </w:tc>
      </w:tr>
      <w:tr>
        <w:trPr>
          <w:trHeight w:val="223"/>
        </w:trPr>
        <w:tc>
          <w:tcPr>
            <w:tcW w:w="53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taxes</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center"/>
              <w:ind w:right="5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66.4</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78.4</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308.2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347.7</w:t>
            </w: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5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5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Realized Capital Gains (Losses):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GAAP net realized capital gains (losses)</w:t>
            </w:r>
          </w:p>
        </w:tc>
        <w:tc>
          <w:tcPr>
            <w:tcW w:w="400" w:type="dxa"/>
            <w:vAlign w:val="bottom"/>
            <w:gridSpan w:val="2"/>
          </w:tcPr>
          <w:p>
            <w:pPr>
              <w:jc w:val="cente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131.4</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84.5</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(5.9)</w:t>
            </w:r>
          </w:p>
        </w:tc>
        <w:tc>
          <w:tcPr>
            <w:tcW w:w="220" w:type="dxa"/>
            <w:vAlign w:val="bottom"/>
            <w:gridSpan w:val="2"/>
          </w:tcPr>
          <w:p>
            <w:pPr>
              <w:jc w:val="right"/>
              <w:ind w:right="47"/>
              <w:spacing w:after="0"/>
              <w:rPr>
                <w:sz w:val="20"/>
                <w:szCs w:val="20"/>
                <w:color w:val="auto"/>
              </w:rPr>
            </w:pPr>
            <w:r>
              <w:rPr>
                <w:rFonts w:ascii="Arial" w:cs="Arial" w:eastAsia="Arial" w:hAnsi="Arial"/>
                <w:sz w:val="18"/>
                <w:szCs w:val="18"/>
                <w:color w:val="auto"/>
                <w:w w:val="79"/>
              </w:rPr>
              <w:t>$</w:t>
            </w: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34.2</w:t>
            </w:r>
          </w:p>
        </w:tc>
      </w:tr>
      <w:tr>
        <w:trPr>
          <w:trHeight w:val="216"/>
        </w:trPr>
        <w:tc>
          <w:tcPr>
            <w:tcW w:w="5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Recognition of front-end fee revenues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15.7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3.1</w:t>
            </w:r>
          </w:p>
        </w:tc>
        <w:tc>
          <w:tcPr>
            <w:tcW w:w="2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21.1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5.1</w:t>
            </w:r>
          </w:p>
        </w:tc>
        <w:tc>
          <w:tcPr>
            <w:tcW w:w="80" w:type="dxa"/>
            <w:vAlign w:val="bottom"/>
          </w:tcPr>
          <w:p>
            <w:pPr>
              <w:spacing w:after="0"/>
              <w:rPr>
                <w:sz w:val="18"/>
                <w:szCs w:val="18"/>
                <w:color w:val="auto"/>
              </w:rPr>
            </w:pP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Market value adjustments to fee revenues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80" w:type="dxa"/>
            <w:vAlign w:val="bottom"/>
            <w:shd w:val="clear" w:color="auto" w:fill="CCEEFF"/>
          </w:tcPr>
          <w:p>
            <w:pPr>
              <w:spacing w:after="0"/>
              <w:rPr>
                <w:sz w:val="18"/>
                <w:szCs w:val="18"/>
                <w:color w:val="auto"/>
              </w:rPr>
            </w:pP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w w:val="93"/>
              </w:rPr>
              <w:t>Net realized capital gains (losses) related to equity method investments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1"/>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c>
          <w:tcPr>
            <w:tcW w:w="220" w:type="dxa"/>
            <w:vAlign w:val="bottom"/>
          </w:tcPr>
          <w:p>
            <w:pPr>
              <w:spacing w:after="0"/>
              <w:rPr>
                <w:sz w:val="18"/>
                <w:szCs w:val="18"/>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(6.0)</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Derivative and hedging-related revenue adjustments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(13.6)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(11.5)</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(82.5)</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(58.6)</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Sponsored investment fund adjustments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8.0</w:t>
            </w:r>
          </w:p>
        </w:tc>
        <w:tc>
          <w:tcPr>
            <w:tcW w:w="2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19.5</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18.8</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deferred acquisition costs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(165.8)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(7.2)</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(174.3)</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(31.3)</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Capital gains distributed – operating expenses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5.4</w:t>
            </w:r>
          </w:p>
        </w:tc>
        <w:tc>
          <w:tcPr>
            <w:tcW w:w="220" w:type="dxa"/>
            <w:vAlign w:val="bottom"/>
          </w:tcPr>
          <w:p>
            <w:pPr>
              <w:spacing w:after="0"/>
              <w:rPr>
                <w:sz w:val="18"/>
                <w:szCs w:val="18"/>
                <w:color w:val="auto"/>
              </w:rPr>
            </w:pPr>
          </w:p>
        </w:tc>
        <w:tc>
          <w:tcPr>
            <w:tcW w:w="1220" w:type="dxa"/>
            <w:vAlign w:val="bottom"/>
            <w:gridSpan w:val="2"/>
          </w:tcPr>
          <w:p>
            <w:pPr>
              <w:jc w:val="right"/>
              <w:ind w:right="81"/>
              <w:spacing w:after="0"/>
              <w:rPr>
                <w:sz w:val="20"/>
                <w:szCs w:val="20"/>
                <w:color w:val="auto"/>
              </w:rPr>
            </w:pPr>
            <w:r>
              <w:rPr>
                <w:rFonts w:ascii="Arial" w:cs="Arial" w:eastAsia="Arial" w:hAnsi="Arial"/>
                <w:sz w:val="18"/>
                <w:szCs w:val="18"/>
                <w:color w:val="auto"/>
              </w:rPr>
              <w:t>(8.4)</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10.4</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other actuarial balances</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(53.6)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(9.2)</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(69.5)</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(17.7)</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Market value adjustments of embedded derivatives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1"/>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7.0</w:t>
            </w:r>
          </w:p>
        </w:tc>
        <w:tc>
          <w:tcPr>
            <w:tcW w:w="2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36.2</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23.1</w:t>
            </w:r>
          </w:p>
        </w:tc>
      </w:tr>
      <w:tr>
        <w:trPr>
          <w:trHeight w:val="216"/>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Capital gains distributed – cost of interest credited</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14.8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(14.1)</w:t>
            </w: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(7.7)</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(15.3)</w:t>
            </w:r>
          </w:p>
        </w:tc>
      </w:tr>
      <w:tr>
        <w:trPr>
          <w:trHeight w:val="216"/>
        </w:trPr>
        <w:tc>
          <w:tcPr>
            <w:tcW w:w="5360" w:type="dxa"/>
            <w:vAlign w:val="bottom"/>
          </w:tcPr>
          <w:p>
            <w:pPr>
              <w:spacing w:after="0"/>
              <w:rPr>
                <w:sz w:val="20"/>
                <w:szCs w:val="20"/>
                <w:color w:val="auto"/>
              </w:rPr>
            </w:pPr>
            <w:r>
              <w:rPr>
                <w:rFonts w:ascii="Arial" w:cs="Arial" w:eastAsia="Arial" w:hAnsi="Arial"/>
                <w:sz w:val="18"/>
                <w:szCs w:val="18"/>
                <w:color w:val="auto"/>
              </w:rPr>
              <w:t>Net realized capital gains (losses) tax adjustments</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61"/>
              <w:spacing w:after="0"/>
              <w:rPr>
                <w:sz w:val="20"/>
                <w:szCs w:val="20"/>
                <w:color w:val="auto"/>
              </w:rPr>
            </w:pPr>
            <w:r>
              <w:rPr>
                <w:rFonts w:ascii="Arial" w:cs="Arial" w:eastAsia="Arial" w:hAnsi="Arial"/>
                <w:sz w:val="18"/>
                <w:szCs w:val="18"/>
                <w:color w:val="auto"/>
              </w:rPr>
              <w:t>12.4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(15.9)</w:t>
            </w:r>
          </w:p>
        </w:tc>
        <w:tc>
          <w:tcPr>
            <w:tcW w:w="220" w:type="dxa"/>
            <w:vAlign w:val="bottom"/>
          </w:tcPr>
          <w:p>
            <w:pPr>
              <w:spacing w:after="0"/>
              <w:rPr>
                <w:sz w:val="18"/>
                <w:szCs w:val="18"/>
                <w:color w:val="auto"/>
              </w:rPr>
            </w:pPr>
          </w:p>
        </w:tc>
        <w:tc>
          <w:tcPr>
            <w:tcW w:w="1220" w:type="dxa"/>
            <w:vAlign w:val="bottom"/>
            <w:gridSpan w:val="2"/>
          </w:tcPr>
          <w:p>
            <w:pPr>
              <w:jc w:val="right"/>
              <w:ind w:right="141"/>
              <w:spacing w:after="0"/>
              <w:rPr>
                <w:sz w:val="20"/>
                <w:szCs w:val="20"/>
                <w:color w:val="auto"/>
              </w:rPr>
            </w:pPr>
            <w:r>
              <w:rPr>
                <w:rFonts w:ascii="Arial" w:cs="Arial" w:eastAsia="Arial" w:hAnsi="Arial"/>
                <w:sz w:val="18"/>
                <w:szCs w:val="18"/>
                <w:color w:val="auto"/>
              </w:rPr>
              <w:t>27.0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43.4</w:t>
            </w:r>
          </w:p>
        </w:tc>
      </w:tr>
      <w:tr>
        <w:trPr>
          <w:trHeight w:val="202"/>
        </w:trPr>
        <w:tc>
          <w:tcPr>
            <w:tcW w:w="53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Net realized capital gains (losses) attributable to noncontrolling interest,</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44"/>
        </w:trPr>
        <w:tc>
          <w:tcPr>
            <w:tcW w:w="5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after-tax</w:t>
            </w:r>
          </w:p>
        </w:tc>
        <w:tc>
          <w:tcPr>
            <w:tcW w:w="16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24.0</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(20.1)</w:t>
            </w:r>
          </w:p>
        </w:tc>
        <w:tc>
          <w:tcPr>
            <w:tcW w:w="22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11.4</w:t>
            </w:r>
          </w:p>
        </w:tc>
        <w:tc>
          <w:tcPr>
            <w:tcW w:w="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(15.9)</w:t>
            </w:r>
          </w:p>
        </w:tc>
      </w:tr>
      <w:tr>
        <w:trPr>
          <w:trHeight w:val="210"/>
        </w:trPr>
        <w:tc>
          <w:tcPr>
            <w:tcW w:w="5360" w:type="dxa"/>
            <w:vAlign w:val="bottom"/>
          </w:tcPr>
          <w:p>
            <w:pPr>
              <w:spacing w:after="0"/>
              <w:rPr>
                <w:sz w:val="20"/>
                <w:szCs w:val="20"/>
                <w:color w:val="auto"/>
              </w:rPr>
            </w:pPr>
            <w:r>
              <w:rPr>
                <w:rFonts w:ascii="Arial" w:cs="Arial" w:eastAsia="Arial" w:hAnsi="Arial"/>
                <w:sz w:val="18"/>
                <w:szCs w:val="18"/>
                <w:color w:val="auto"/>
              </w:rPr>
              <w:t>Total net realized capital gains (losses) after-tax adjustments</w:t>
            </w:r>
          </w:p>
        </w:tc>
        <w:tc>
          <w:tcPr>
            <w:tcW w:w="16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(162.1)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(54.9)</w:t>
            </w: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(229.3)</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(43.9)</w:t>
            </w:r>
          </w:p>
        </w:tc>
        <w:tc>
          <w:tcPr>
            <w:tcW w:w="100" w:type="dxa"/>
            <w:vAlign w:val="bottom"/>
            <w:gridSpan w:val="2"/>
          </w:tcPr>
          <w:p>
            <w:pPr>
              <w:spacing w:after="0"/>
              <w:rPr>
                <w:sz w:val="18"/>
                <w:szCs w:val="18"/>
                <w:color w:val="auto"/>
              </w:rPr>
            </w:pPr>
          </w:p>
        </w:tc>
      </w:tr>
      <w:tr>
        <w:trPr>
          <w:trHeight w:val="229"/>
        </w:trPr>
        <w:tc>
          <w:tcPr>
            <w:tcW w:w="53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23"/>
        </w:trPr>
        <w:tc>
          <w:tcPr>
            <w:tcW w:w="5360" w:type="dxa"/>
            <w:vAlign w:val="bottom"/>
          </w:tcPr>
          <w:p>
            <w:pPr>
              <w:spacing w:after="0"/>
              <w:rPr>
                <w:sz w:val="20"/>
                <w:szCs w:val="20"/>
                <w:color w:val="auto"/>
              </w:rPr>
            </w:pPr>
            <w:r>
              <w:rPr>
                <w:rFonts w:ascii="Arial" w:cs="Arial" w:eastAsia="Arial" w:hAnsi="Arial"/>
                <w:sz w:val="18"/>
                <w:szCs w:val="18"/>
                <w:color w:val="auto"/>
              </w:rPr>
              <w:t>Net realized capital gains (losses), as adjusted</w:t>
            </w:r>
          </w:p>
        </w:tc>
        <w:tc>
          <w:tcPr>
            <w:tcW w:w="160" w:type="dxa"/>
            <w:vAlign w:val="bottom"/>
          </w:tcPr>
          <w:p>
            <w:pPr>
              <w:spacing w:after="0"/>
              <w:rPr>
                <w:sz w:val="19"/>
                <w:szCs w:val="19"/>
                <w:color w:val="auto"/>
              </w:rPr>
            </w:pPr>
          </w:p>
        </w:tc>
        <w:tc>
          <w:tcPr>
            <w:tcW w:w="240" w:type="dxa"/>
            <w:vAlign w:val="bottom"/>
          </w:tcPr>
          <w:p>
            <w:pPr>
              <w:jc w:val="center"/>
              <w:ind w:right="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(30.7</w:t>
            </w:r>
          </w:p>
        </w:tc>
        <w:tc>
          <w:tcPr>
            <w:tcW w:w="140" w:type="dxa"/>
            <w:vAlign w:val="bottom"/>
          </w:tcPr>
          <w:p>
            <w:pPr>
              <w:jc w:val="right"/>
              <w:ind w:right="1"/>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9"/>
                <w:szCs w:val="19"/>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29.6</w:t>
            </w:r>
          </w:p>
        </w:tc>
        <w:tc>
          <w:tcPr>
            <w:tcW w:w="220" w:type="dxa"/>
            <w:vAlign w:val="bottom"/>
          </w:tcPr>
          <w:p>
            <w:pPr>
              <w:spacing w:after="0"/>
              <w:rPr>
                <w:sz w:val="19"/>
                <w:szCs w:val="19"/>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(235.2</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(9.7</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5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628"/>
        </w:trPr>
        <w:tc>
          <w:tcPr>
            <w:tcW w:w="5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12" w:name="page13"/>
    <w:bookmarkEnd w:id="12"/>
    <w:p>
      <w:pPr>
        <w:spacing w:after="0" w:line="39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5634355</wp:posOffset>
            </wp:positionH>
            <wp:positionV relativeFrom="page">
              <wp:posOffset>448945</wp:posOffset>
            </wp:positionV>
            <wp:extent cx="1680210" cy="5575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1680210" cy="55753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millions)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700" w:type="dxa"/>
            <w:vAlign w:val="bottom"/>
            <w:gridSpan w:val="6"/>
          </w:tcPr>
          <w:p>
            <w:pPr>
              <w:jc w:val="right"/>
              <w:ind w:right="74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20"/>
                <w:szCs w:val="20"/>
                <w:color w:val="auto"/>
              </w:rPr>
            </w:pPr>
          </w:p>
        </w:tc>
        <w:tc>
          <w:tcPr>
            <w:tcW w:w="2560" w:type="dxa"/>
            <w:vAlign w:val="bottom"/>
            <w:gridSpan w:val="7"/>
          </w:tcPr>
          <w:p>
            <w:pPr>
              <w:jc w:val="right"/>
              <w:ind w:right="500"/>
              <w:spacing w:after="0"/>
              <w:rPr>
                <w:sz w:val="20"/>
                <w:szCs w:val="20"/>
                <w:color w:val="auto"/>
              </w:rPr>
            </w:pPr>
            <w:r>
              <w:rPr>
                <w:rFonts w:ascii="Arial" w:cs="Arial" w:eastAsia="Arial" w:hAnsi="Arial"/>
                <w:sz w:val="18"/>
                <w:szCs w:val="18"/>
                <w:b w:val="1"/>
                <w:bCs w:val="1"/>
                <w:color w:val="auto"/>
                <w:w w:val="99"/>
              </w:rPr>
              <w:t>Trailing Twelve Months,</w:t>
            </w:r>
          </w:p>
        </w:tc>
      </w:tr>
      <w:tr>
        <w:trPr>
          <w:trHeight w:val="223"/>
        </w:trPr>
        <w:tc>
          <w:tcPr>
            <w:tcW w:w="534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140" w:type="dxa"/>
            <w:vAlign w:val="bottom"/>
            <w:tcBorders>
              <w:top w:val="single" w:sz="8" w:color="auto"/>
              <w:bottom w:val="single" w:sz="8" w:color="CCEEFF"/>
            </w:tcBorders>
          </w:tcPr>
          <w:p>
            <w:pPr>
              <w:spacing w:after="0"/>
              <w:rPr>
                <w:sz w:val="19"/>
                <w:szCs w:val="19"/>
                <w:color w:val="auto"/>
              </w:rPr>
            </w:pPr>
          </w:p>
        </w:tc>
        <w:tc>
          <w:tcPr>
            <w:tcW w:w="10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3/31/19</w:t>
            </w:r>
          </w:p>
        </w:tc>
        <w:tc>
          <w:tcPr>
            <w:tcW w:w="22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3/31/20</w:t>
            </w:r>
          </w:p>
        </w:tc>
        <w:tc>
          <w:tcPr>
            <w:tcW w:w="220" w:type="dxa"/>
            <w:vAlign w:val="bottom"/>
            <w:tcBorders>
              <w:top w:val="single" w:sz="8" w:color="auto"/>
              <w:bottom w:val="single" w:sz="8" w:color="CCEEFF"/>
            </w:tcBorders>
          </w:tcPr>
          <w:p>
            <w:pPr>
              <w:spacing w:after="0"/>
              <w:rPr>
                <w:sz w:val="19"/>
                <w:szCs w:val="19"/>
                <w:color w:val="auto"/>
              </w:rPr>
            </w:pPr>
          </w:p>
        </w:tc>
        <w:tc>
          <w:tcPr>
            <w:tcW w:w="20" w:type="dxa"/>
            <w:vAlign w:val="bottom"/>
            <w:tcBorders>
              <w:top w:val="single" w:sz="8" w:color="auto"/>
              <w:bottom w:val="single" w:sz="8" w:color="CCEEFF"/>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3/31/19</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r>
      <w:tr>
        <w:trPr>
          <w:trHeight w:val="178"/>
        </w:trPr>
        <w:tc>
          <w:tcPr>
            <w:tcW w:w="5340" w:type="dxa"/>
            <w:vAlign w:val="bottom"/>
            <w:shd w:val="clear" w:color="auto" w:fill="CCEEFF"/>
          </w:tcPr>
          <w:p>
            <w:pPr>
              <w:spacing w:after="0" w:line="177" w:lineRule="exact"/>
              <w:rPr>
                <w:sz w:val="20"/>
                <w:szCs w:val="20"/>
                <w:color w:val="auto"/>
              </w:rPr>
            </w:pPr>
            <w:r>
              <w:rPr>
                <w:rFonts w:ascii="Arial" w:cs="Arial" w:eastAsia="Arial" w:hAnsi="Arial"/>
                <w:sz w:val="18"/>
                <w:szCs w:val="18"/>
                <w:b w:val="1"/>
                <w:bCs w:val="1"/>
                <w:color w:val="auto"/>
                <w:w w:val="92"/>
              </w:rPr>
              <w:t>Principal Global Investors Operating Revenues Less Pass-Through</w:t>
            </w:r>
          </w:p>
        </w:tc>
        <w:tc>
          <w:tcPr>
            <w:tcW w:w="1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r>
      <w:tr>
        <w:trPr>
          <w:trHeight w:val="234"/>
        </w:trPr>
        <w:tc>
          <w:tcPr>
            <w:tcW w:w="5340" w:type="dxa"/>
            <w:vAlign w:val="bottom"/>
            <w:shd w:val="clear" w:color="auto" w:fill="CCEEFF"/>
          </w:tcPr>
          <w:p>
            <w:pPr>
              <w:ind w:left="180"/>
              <w:spacing w:after="0"/>
              <w:rPr>
                <w:sz w:val="20"/>
                <w:szCs w:val="20"/>
                <w:color w:val="auto"/>
              </w:rPr>
            </w:pPr>
            <w:r>
              <w:rPr>
                <w:rFonts w:ascii="Arial" w:cs="Arial" w:eastAsia="Arial" w:hAnsi="Arial"/>
                <w:sz w:val="18"/>
                <w:szCs w:val="18"/>
                <w:b w:val="1"/>
                <w:bCs w:val="1"/>
                <w:color w:val="auto"/>
              </w:rPr>
              <w:t>Expenses:</w:t>
            </w:r>
          </w:p>
        </w:tc>
        <w:tc>
          <w:tcPr>
            <w:tcW w:w="1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r>
      <w:tr>
        <w:trPr>
          <w:trHeight w:val="216"/>
        </w:trPr>
        <w:tc>
          <w:tcPr>
            <w:tcW w:w="5340" w:type="dxa"/>
            <w:vAlign w:val="bottom"/>
          </w:tcPr>
          <w:p>
            <w:pPr>
              <w:spacing w:after="0"/>
              <w:rPr>
                <w:sz w:val="20"/>
                <w:szCs w:val="20"/>
                <w:color w:val="auto"/>
              </w:rPr>
            </w:pPr>
            <w:r>
              <w:rPr>
                <w:rFonts w:ascii="Arial" w:cs="Arial" w:eastAsia="Arial" w:hAnsi="Arial"/>
                <w:sz w:val="18"/>
                <w:szCs w:val="18"/>
                <w:color w:val="auto"/>
              </w:rPr>
              <w:t>Operating revenues</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390.8</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339.0</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1,557.6</w:t>
            </w:r>
          </w:p>
        </w:tc>
        <w:tc>
          <w:tcPr>
            <w:tcW w:w="220" w:type="dxa"/>
            <w:vAlign w:val="bottom"/>
            <w:gridSpan w:val="2"/>
          </w:tcPr>
          <w:p>
            <w:pPr>
              <w:jc w:val="right"/>
              <w:ind w:right="47"/>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1,706.8</w:t>
            </w:r>
          </w:p>
        </w:tc>
        <w:tc>
          <w:tcPr>
            <w:tcW w:w="80" w:type="dxa"/>
            <w:vAlign w:val="bottom"/>
          </w:tcPr>
          <w:p>
            <w:pPr>
              <w:spacing w:after="0"/>
              <w:rPr>
                <w:sz w:val="18"/>
                <w:szCs w:val="18"/>
                <w:color w:val="auto"/>
              </w:rPr>
            </w:pPr>
          </w:p>
        </w:tc>
      </w:tr>
      <w:tr>
        <w:trPr>
          <w:trHeight w:val="229"/>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Commissions and other expenses</w:t>
            </w:r>
          </w:p>
        </w:tc>
        <w:tc>
          <w:tcPr>
            <w:tcW w:w="1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(35.4)</w:t>
            </w:r>
          </w:p>
        </w:tc>
        <w:tc>
          <w:tcPr>
            <w:tcW w:w="2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(169.5)</w:t>
            </w: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(157.4)</w:t>
            </w:r>
          </w:p>
        </w:tc>
      </w:tr>
      <w:tr>
        <w:trPr>
          <w:trHeight w:val="263"/>
        </w:trPr>
        <w:tc>
          <w:tcPr>
            <w:tcW w:w="5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Operating revenues less pass-through expenses</w:t>
            </w:r>
          </w:p>
        </w:tc>
        <w:tc>
          <w:tcPr>
            <w:tcW w:w="18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347.1</w:t>
            </w:r>
          </w:p>
        </w:tc>
        <w:tc>
          <w:tcPr>
            <w:tcW w:w="14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303.6</w:t>
            </w:r>
          </w:p>
        </w:tc>
        <w:tc>
          <w:tcPr>
            <w:tcW w:w="22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1,388.1</w:t>
            </w:r>
          </w:p>
        </w:tc>
        <w:tc>
          <w:tcPr>
            <w:tcW w:w="22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1,549.4</w:t>
            </w:r>
          </w:p>
        </w:tc>
        <w:tc>
          <w:tcPr>
            <w:tcW w:w="2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r>
      <w:tr>
        <w:trPr>
          <w:trHeight w:val="197"/>
        </w:trPr>
        <w:tc>
          <w:tcPr>
            <w:tcW w:w="53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5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5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Principal International Combined Net Revenue (at PFG Share)</w:t>
            </w: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534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30.8</w:t>
            </w:r>
          </w:p>
        </w:tc>
        <w:tc>
          <w:tcPr>
            <w:tcW w:w="30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111.1</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310.4</w:t>
            </w:r>
          </w:p>
        </w:tc>
        <w:tc>
          <w:tcPr>
            <w:tcW w:w="220" w:type="dxa"/>
            <w:vAlign w:val="bottom"/>
            <w:gridSpan w:val="2"/>
          </w:tcPr>
          <w:p>
            <w:pPr>
              <w:jc w:val="right"/>
              <w:ind w:right="47"/>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292.2</w:t>
            </w:r>
          </w:p>
        </w:tc>
        <w:tc>
          <w:tcPr>
            <w:tcW w:w="80" w:type="dxa"/>
            <w:vAlign w:val="bottom"/>
          </w:tcPr>
          <w:p>
            <w:pPr>
              <w:spacing w:after="0"/>
              <w:rPr>
                <w:sz w:val="18"/>
                <w:szCs w:val="18"/>
                <w:color w:val="auto"/>
              </w:rPr>
            </w:pPr>
          </w:p>
        </w:tc>
      </w:tr>
      <w:tr>
        <w:trPr>
          <w:trHeight w:val="202"/>
        </w:trPr>
        <w:tc>
          <w:tcPr>
            <w:tcW w:w="53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2"/>
              </w:rPr>
              <w:t>Combined operating expenses other than pass-through commissions (at</w:t>
            </w: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44"/>
        </w:trPr>
        <w:tc>
          <w:tcPr>
            <w:tcW w:w="5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PFG share)</w:t>
            </w:r>
          </w:p>
        </w:tc>
        <w:tc>
          <w:tcPr>
            <w:tcW w:w="18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149.2</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141.0</w:t>
            </w:r>
          </w:p>
        </w:tc>
        <w:tc>
          <w:tcPr>
            <w:tcW w:w="22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620.8</w:t>
            </w:r>
          </w:p>
        </w:tc>
        <w:tc>
          <w:tcPr>
            <w:tcW w:w="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659.7</w:t>
            </w:r>
          </w:p>
        </w:tc>
        <w:tc>
          <w:tcPr>
            <w:tcW w:w="80" w:type="dxa"/>
            <w:vAlign w:val="bottom"/>
            <w:shd w:val="clear" w:color="auto" w:fill="CCEEFF"/>
          </w:tcPr>
          <w:p>
            <w:pPr>
              <w:spacing w:after="0"/>
              <w:rPr>
                <w:sz w:val="21"/>
                <w:szCs w:val="21"/>
                <w:color w:val="auto"/>
              </w:rPr>
            </w:pPr>
          </w:p>
        </w:tc>
      </w:tr>
      <w:tr>
        <w:trPr>
          <w:trHeight w:val="223"/>
        </w:trPr>
        <w:tc>
          <w:tcPr>
            <w:tcW w:w="5340" w:type="dxa"/>
            <w:vAlign w:val="bottom"/>
          </w:tcPr>
          <w:p>
            <w:pPr>
              <w:spacing w:after="0"/>
              <w:rPr>
                <w:sz w:val="20"/>
                <w:szCs w:val="20"/>
                <w:color w:val="auto"/>
              </w:rPr>
            </w:pPr>
            <w:r>
              <w:rPr>
                <w:rFonts w:ascii="Arial" w:cs="Arial" w:eastAsia="Arial" w:hAnsi="Arial"/>
                <w:sz w:val="18"/>
                <w:szCs w:val="18"/>
                <w:color w:val="auto"/>
              </w:rPr>
              <w:t>Combined net revenue (at PFG share)</w:t>
            </w:r>
          </w:p>
        </w:tc>
        <w:tc>
          <w:tcPr>
            <w:tcW w:w="18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180.0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252.1</w:t>
            </w: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931.2</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951.9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628"/>
        </w:trPr>
        <w:tc>
          <w:tcPr>
            <w:tcW w:w="53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13" w:name="page14"/>
    <w:bookmarkEnd w:id="13"/>
    <w:p>
      <w:pPr>
        <w:spacing w:after="0" w:line="1" w:lineRule="exact"/>
        <w:rPr>
          <w:sz w:val="20"/>
          <w:szCs w:val="20"/>
          <w:color w:val="auto"/>
        </w:rPr>
      </w:pP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
    <w:nsid w:val="1BEFD79F"/>
    <w:multiLevelType w:val="hybridMultilevel"/>
    <w:lvl w:ilvl="0">
      <w:lvlJc w:val="left"/>
      <w:lvlText w:val="☐"/>
      <w:numFmt w:val="bullet"/>
      <w:start w:val="1"/>
    </w:lvl>
  </w:abstractNum>
  <w:abstractNum w:abstractNumId="2">
    <w:nsid w:val="41A7C4C9"/>
    <w:multiLevelType w:val="hybridMultilevel"/>
    <w:lvl w:ilvl="0">
      <w:lvlJc w:val="left"/>
      <w:lvlText w:val="%1"/>
      <w:numFmt w:val="decimal"/>
      <w:start w:val="104"/>
    </w:lvl>
  </w:abstractNum>
  <w:abstractNum w:abstractNumId="3">
    <w:nsid w:val="6B68079A"/>
    <w:multiLevelType w:val="hybridMultilevel"/>
    <w:lvl w:ilvl="0">
      <w:lvlJc w:val="left"/>
      <w:lvlText w:val="·"/>
      <w:numFmt w:val="bullet"/>
      <w:start w:val="1"/>
    </w:lvl>
  </w:abstractNum>
  <w:abstractNum w:abstractNumId="4">
    <w:nsid w:val="4E6AFB66"/>
    <w:multiLevelType w:val="hybridMultilevel"/>
    <w:lvl w:ilvl="0">
      <w:lvlJc w:val="left"/>
      <w:lvlText w:val="·"/>
      <w:numFmt w:val="bullet"/>
      <w:start w:val="1"/>
    </w:lvl>
  </w:abstractNum>
  <w:abstractNum w:abstractNumId="5">
    <w:nsid w:val="25E45D32"/>
    <w:multiLevelType w:val="hybridMultilevel"/>
    <w:lvl w:ilvl="0">
      <w:lvlJc w:val="left"/>
      <w:lvlText w:val="1"/>
      <w:numFmt w:val="bullet"/>
      <w:start w:val="1"/>
    </w:lvl>
  </w:abstractNum>
  <w:abstractNum w:abstractNumId="6">
    <w:nsid w:val="519B500D"/>
    <w:multiLevelType w:val="hybridMultilevel"/>
    <w:lvl w:ilvl="0">
      <w:lvlJc w:val="left"/>
      <w:lvlText w:val="·"/>
      <w:numFmt w:val="bullet"/>
      <w:start w:val="1"/>
    </w:lvl>
  </w:abstractNum>
  <w:abstractNum w:abstractNumId="7">
    <w:nsid w:val="431BD7B7"/>
    <w:multiLevelType w:val="hybridMultilevel"/>
    <w:lvl w:ilvl="0">
      <w:lvlJc w:val="left"/>
      <w:lvlText w:val="•"/>
      <w:numFmt w:val="bullet"/>
      <w:start w:val="1"/>
    </w:lvl>
  </w:abstractNum>
  <w:abstractNum w:abstractNumId="8">
    <w:nsid w:val="3F2DBA31"/>
    <w:multiLevelType w:val="hybridMultilevel"/>
    <w:lvl w:ilvl="0">
      <w:lvlJc w:val="left"/>
      <w:lvlText w:val="·"/>
      <w:numFmt w:val="bullet"/>
      <w:start w:val="1"/>
    </w:lvl>
  </w:abstractNum>
  <w:abstractNum w:abstractNumId="9">
    <w:nsid w:val="7C83E458"/>
    <w:multiLevelType w:val="hybridMultilevel"/>
    <w:lvl w:ilvl="0">
      <w:lvlJc w:val="left"/>
      <w:lvlText w:val="·"/>
      <w:numFmt w:val="bullet"/>
      <w:start w:val="1"/>
    </w:lvl>
  </w:abstractNum>
  <w:abstractNum w:abstractNumId="10">
    <w:nsid w:val="257130A3"/>
    <w:multiLevelType w:val="hybridMultilevel"/>
    <w:lvl w:ilvl="0">
      <w:lvlJc w:val="left"/>
      <w:lvlText w:val="2"/>
      <w:numFmt w:val="bullet"/>
      <w:start w:val="1"/>
    </w:lvl>
  </w:abstractNum>
  <w:abstractNum w:abstractNumId="11">
    <w:nsid w:val="62BBD95A"/>
    <w:multiLevelType w:val="hybridMultilevel"/>
    <w:lvl w:ilvl="0">
      <w:lvlJc w:val="left"/>
      <w:lvlText w:val="5"/>
      <w:numFmt w:val="bullet"/>
      <w:start w:val="1"/>
    </w:lvl>
  </w:abstractNum>
  <w:abstractNum w:abstractNumId="12">
    <w:nsid w:val="436C6125"/>
    <w:multiLevelType w:val="hybridMultilevel"/>
    <w:lvl w:ilvl="0">
      <w:lvlJc w:val="left"/>
      <w:lvlText w:val="·"/>
      <w:numFmt w:val="bullet"/>
      <w:start w:val="1"/>
    </w:lvl>
  </w:abstractNum>
  <w:abstractNum w:abstractNumId="13">
    <w:nsid w:val="628C895D"/>
    <w:multiLevelType w:val="hybridMultilevel"/>
    <w:lvl w:ilvl="0">
      <w:lvlJc w:val="left"/>
      <w:lvlText w:val="o"/>
      <w:numFmt w:val="bullet"/>
      <w:start w:val="1"/>
    </w:lvl>
  </w:abstractNum>
  <w:abstractNum w:abstractNumId="14">
    <w:nsid w:val="333AB105"/>
    <w:multiLevelType w:val="hybridMultilevel"/>
    <w:lvl w:ilvl="0">
      <w:lvlJc w:val="left"/>
      <w:lvlText w:val="·"/>
      <w:numFmt w:val="bullet"/>
      <w:start w:val="1"/>
    </w:lvl>
  </w:abstractNum>
  <w:abstractNum w:abstractNumId="15">
    <w:nsid w:val="721DA317"/>
    <w:multiLevelType w:val="hybridMultilevel"/>
    <w:lvl w:ilvl="0">
      <w:lvlJc w:val="left"/>
      <w:lvlText w:val="·"/>
      <w:numFmt w:val="bullet"/>
      <w:start w:val="1"/>
    </w:lvl>
  </w:abstractNum>
  <w:abstractNum w:abstractNumId="16">
    <w:nsid w:val="2443A858"/>
    <w:multiLevelType w:val="hybridMultilevel"/>
    <w:lvl w:ilvl="0">
      <w:lvlJc w:val="left"/>
      <w:lvlText w:val="6"/>
      <w:numFmt w:val="bullet"/>
      <w:start w:val="1"/>
    </w:lvl>
  </w:abstractNum>
  <w:abstractNum w:abstractNumId="17">
    <w:nsid w:val="2D1D5AE9"/>
    <w:multiLevelType w:val="hybridMultilevel"/>
    <w:lvl w:ilvl="0">
      <w:lvlJc w:val="left"/>
      <w:lvlText w:val="7"/>
      <w:numFmt w:val="bullet"/>
      <w:start w:val="1"/>
    </w:lvl>
  </w:abstractNum>
  <w:abstractNum w:abstractNumId="18">
    <w:nsid w:val="6763845E"/>
    <w:multiLevelType w:val="hybridMultilevel"/>
    <w:lvl w:ilvl="0">
      <w:lvlJc w:val="left"/>
      <w:lvlText w:val="·"/>
      <w:numFmt w:val="bullet"/>
      <w:start w:val="1"/>
    </w:lvl>
  </w:abstractNum>
  <w:abstractNum w:abstractNumId="19">
    <w:nsid w:val="75A2A8D4"/>
    <w:multiLevelType w:val="hybridMultilevel"/>
    <w:lvl w:ilvl="0">
      <w:lvlJc w:val="left"/>
      <w:lvlText w:val="·"/>
      <w:numFmt w:val="bullet"/>
      <w:start w:val="1"/>
    </w:lvl>
  </w:abstractNum>
  <w:abstractNum w:abstractNumId="20">
    <w:nsid w:val="8EDBDAB"/>
    <w:multiLevelType w:val="hybridMultilevel"/>
    <w:lvl w:ilvl="0">
      <w:lvlJc w:val="left"/>
      <w:lvlText w:val="9"/>
      <w:numFmt w:val="bullet"/>
      <w:start w:val="1"/>
    </w:lvl>
  </w:abstractNum>
  <w:abstractNum w:abstractNumId="21">
    <w:nsid w:val="79838CB2"/>
    <w:multiLevelType w:val="hybridMultilevel"/>
    <w:lvl w:ilvl="0">
      <w:lvlJc w:val="left"/>
      <w:lvlText w:val="%1"/>
      <w:numFmt w:val="decimal"/>
      <w:start w:val="10"/>
    </w:lvl>
  </w:abstractNum>
  <w:abstractNum w:abstractNumId="22">
    <w:nsid w:val="4353D0CD"/>
    <w:multiLevelType w:val="hybridMultilevel"/>
    <w:lvl w:ilvl="0">
      <w:lvlJc w:val="left"/>
      <w:lvlText w:val="·"/>
      <w:numFmt w:val="bullet"/>
      <w:start w:val="1"/>
    </w:lvl>
  </w:abstractNum>
  <w:abstractNum w:abstractNumId="23">
    <w:nsid w:val="B03E0C6"/>
    <w:multiLevelType w:val="hybridMultilevel"/>
    <w:lvl w:ilvl="0">
      <w:lvlJc w:val="left"/>
      <w:lvlText w:val="·"/>
      <w:numFmt w:val="bullet"/>
      <w:start w:val="1"/>
    </w:lvl>
  </w:abstractNum>
  <w:abstractNum w:abstractNumId="24">
    <w:nsid w:val="189A769B"/>
    <w:multiLevelType w:val="hybridMultilevel"/>
    <w:lvl w:ilvl="0">
      <w:lvlJc w:val="left"/>
      <w:lvlText w:val="·"/>
      <w:numFmt w:val="bullet"/>
      <w:start w:val="1"/>
    </w:lvl>
  </w:abstractNum>
  <w:abstractNum w:abstractNumId="25">
    <w:nsid w:val="54E49EB4"/>
    <w:multiLevelType w:val="hybridMultilevel"/>
    <w:lvl w:ilvl="0">
      <w:lvlJc w:val="left"/>
      <w:lvlText w:val="%1"/>
      <w:numFmt w:val="decimal"/>
      <w:start w:val="12"/>
    </w:lvl>
  </w:abstractNum>
  <w:abstractNum w:abstractNumId="26">
    <w:nsid w:val="71F32454"/>
    <w:multiLevelType w:val="hybridMultilevel"/>
    <w:lvl w:ilvl="0">
      <w:lvlJc w:val="left"/>
      <w:lvlText w:val="·"/>
      <w:numFmt w:val="bullet"/>
      <w:start w:val="1"/>
    </w:lvl>
  </w:abstractNum>
  <w:abstractNum w:abstractNumId="27">
    <w:nsid w:val="2CA88611"/>
    <w:multiLevelType w:val="hybridMultilevel"/>
    <w:lvl w:ilvl="0">
      <w:lvlJc w:val="left"/>
      <w:lvlText w:val="%1"/>
      <w:numFmt w:val="decimal"/>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pn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2020-04-27T15:17:42Z</dcterms:created>
  <dcterms:modified xsi:type="dcterms:W3CDTF">2020-04-27T15:17:42Z</dcterms:modified>
</cp:coreProperties>
</file>