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467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>STRABLE-SOETHOUT DEANNA D</w:t>
              </w:r>
            </w:hyperlink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40" w:type="dxa"/>
            <w:vAlign w:val="bottom"/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 &amp; 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5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8,266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83,609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restart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3,579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(3)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50,871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92,000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51.73</w:t>
            </w:r>
          </w:p>
        </w:tc>
        <w:tc>
          <w:tcPr>
            <w:tcW w:w="1060" w:type="dxa"/>
            <w:vAlign w:val="bottom"/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92,000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02/24/2030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92,000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27,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919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24, 2021.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23317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3937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02/26/2020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00" w:space="36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7872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2020-02-26T16:41:04Z</dcterms:created>
  <dcterms:modified xsi:type="dcterms:W3CDTF">2020-02-26T16:41:04Z</dcterms:modified>
</cp:coreProperties>
</file>