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edgar.xml.htm"/>
      <w:bookmarkStart w:id="1" w:name="ksedgar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Mills Scott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711 HIGH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DES MOINES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IA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50392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PRINCIPAL FINANCIAL GROUP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PFG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09/27/2019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518"/>
        <w:gridCol w:w="904"/>
        <w:gridCol w:w="773"/>
        <w:gridCol w:w="601"/>
        <w:gridCol w:w="354"/>
        <w:gridCol w:w="823"/>
        <w:gridCol w:w="468"/>
        <w:gridCol w:w="631"/>
        <w:gridCol w:w="1187"/>
        <w:gridCol w:w="1015"/>
        <w:gridCol w:w="931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518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192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8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1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518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8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09/27/2019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103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11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10,810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738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75"/>
        <w:gridCol w:w="861"/>
        <w:gridCol w:w="891"/>
        <w:gridCol w:w="771"/>
        <w:gridCol w:w="591"/>
        <w:gridCol w:w="300"/>
        <w:gridCol w:w="501"/>
        <w:gridCol w:w="300"/>
        <w:gridCol w:w="906"/>
        <w:gridCol w:w="801"/>
        <w:gridCol w:w="891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738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7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5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7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Phantom Stock Units</w:t>
            </w:r>
          </w:p>
        </w:tc>
        <w:tc>
          <w:tcPr>
            <w:tcW w:w="8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09/27/2019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52.7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8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Common Stock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52.7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14"/>
              </w:rPr>
              <w:t>$</w:t>
            </w: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57.37</w:t>
            </w:r>
            <w:r>
              <w:rPr/>
              <w:t xml:space="preserve"> </w:t>
            </w:r>
          </w:p>
        </w:tc>
        <w:tc>
          <w:tcPr>
            <w:tcW w:w="9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5,552.7</w:t>
            </w:r>
          </w:p>
        </w:tc>
        <w:tc>
          <w:tcPr>
            <w:tcW w:w="8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D</w:t>
            </w:r>
          </w:p>
        </w:tc>
        <w:tc>
          <w:tcPr>
            <w:tcW w:w="8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Grant of restricted stock units.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The units convert to common stock on a one-for-one basis.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The reported phantom stock units were acquired pursuant to the Principal Deferred Compensation Plan for Non-Employee Directors and will be settled on the reporting person's retirement.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Patrick A. Kirchner, by Power of Attorney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10/01/2019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559855" TargetMode="External"/><Relationship Id="rId4" Type="http://schemas.openxmlformats.org/officeDocument/2006/relationships/hyperlink" Target="http://www.sec.gov/cgi-bin/browse-edgar?action=getcompany&amp;CIK=000112632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</Pages>
  <Words>578</Words>
  <CharactersWithSpaces>3630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