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88" w:before="0" w:after="0"/>
        <w:rPr>
          <w:rFonts w:ascii="inherit" w:hAnsi="inherit"/>
          <w:sz w:val="17"/>
        </w:rPr>
      </w:pPr>
      <w:r>
        <w:rPr>
          <w:rFonts w:ascii="inherit" w:hAnsi="inherit"/>
          <w:sz w:val="17"/>
        </w:rPr>
      </w:r>
      <w:bookmarkStart w:id="0" w:name="sd6d8dbeb200845d898ec44998033b1bb"/>
      <w:bookmarkStart w:id="1" w:name="pfg8-kre2q2019earningsrele.htm"/>
      <w:bookmarkStart w:id="2" w:name="kspfg8kre2q2019earningsrele"/>
      <w:bookmarkStart w:id="3" w:name="sd6d8dbeb200845d898ec44998033b1bb"/>
      <w:bookmarkStart w:id="4" w:name="pfg8-kre2q2019earningsrele.htm"/>
      <w:bookmarkStart w:id="5" w:name="kspfg8kre2q2019earningsrele"/>
      <w:bookmarkEnd w:id="3"/>
      <w:bookmarkEnd w:id="4"/>
      <w:bookmarkEnd w:id="5"/>
    </w:p>
    <w:p>
      <w:pPr>
        <w:pStyle w:val="TextBody"/>
        <w:spacing w:before="0" w:after="0"/>
        <w:rPr/>
      </w:pPr>
      <w:r>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417" w:before="0" w:after="0"/>
        <w:jc w:val="center"/>
        <w:rPr>
          <w:rFonts w:ascii="inherit" w:hAnsi="inherit"/>
          <w:b/>
          <w:sz w:val="27"/>
        </w:rPr>
      </w:pPr>
      <w:r>
        <w:rPr>
          <w:rFonts w:ascii="inherit" w:hAnsi="inherit"/>
          <w:b/>
          <w:sz w:val="27"/>
        </w:rPr>
        <w:t>UNITED STATES</w:t>
      </w:r>
    </w:p>
    <w:p>
      <w:pPr>
        <w:pStyle w:val="TextBody"/>
        <w:spacing w:lineRule="auto" w:line="417" w:before="0" w:after="0"/>
        <w:jc w:val="center"/>
        <w:rPr>
          <w:rFonts w:ascii="inherit" w:hAnsi="inherit"/>
          <w:b/>
          <w:sz w:val="27"/>
        </w:rPr>
      </w:pPr>
      <w:r>
        <w:rPr>
          <w:rFonts w:ascii="inherit" w:hAnsi="inherit"/>
          <w:b/>
          <w:sz w:val="27"/>
        </w:rPr>
        <w:t>SECURITIES AND EXCHANGE COMMISSION</w:t>
      </w:r>
    </w:p>
    <w:p>
      <w:pPr>
        <w:pStyle w:val="TextBody"/>
        <w:spacing w:lineRule="auto" w:line="417" w:before="0" w:after="0"/>
        <w:jc w:val="center"/>
        <w:rPr>
          <w:rFonts w:ascii="inherit" w:hAnsi="inherit"/>
          <w:b/>
          <w:sz w:val="17"/>
        </w:rPr>
      </w:pPr>
      <w:r>
        <w:rPr>
          <w:rFonts w:ascii="inherit" w:hAnsi="inherit"/>
          <w:b/>
          <w:sz w:val="17"/>
        </w:rPr>
        <w:t>Washington, D.C. 20549</w:t>
      </w:r>
    </w:p>
    <w:p>
      <w:pPr>
        <w:pStyle w:val="TextBody"/>
        <w:spacing w:lineRule="auto" w:line="288" w:before="0" w:after="0"/>
        <w:jc w:val="center"/>
        <w:rPr>
          <w:rFonts w:ascii="inherit" w:hAnsi="inherit"/>
          <w:sz w:val="17"/>
        </w:rPr>
      </w:pPr>
      <w:r>
        <w:rPr>
          <w:rFonts w:ascii="inherit" w:hAnsi="inherit"/>
          <w:sz w:val="17"/>
        </w:rPr>
        <w:t>__________________</w:t>
      </w:r>
    </w:p>
    <w:p>
      <w:pPr>
        <w:pStyle w:val="TextBody"/>
        <w:spacing w:lineRule="auto" w:line="288" w:before="0" w:after="0"/>
        <w:jc w:val="center"/>
        <w:rPr>
          <w:rFonts w:ascii="inherit" w:hAnsi="inherit"/>
          <w:b/>
          <w:sz w:val="27"/>
        </w:rPr>
      </w:pPr>
      <w:r>
        <w:rPr>
          <w:rFonts w:ascii="inherit" w:hAnsi="inherit"/>
          <w:b/>
          <w:sz w:val="27"/>
        </w:rPr>
        <w:t>FORM 8-K</w:t>
      </w:r>
    </w:p>
    <w:p>
      <w:pPr>
        <w:pStyle w:val="TextBody"/>
        <w:spacing w:lineRule="auto" w:line="288" w:before="0" w:after="0"/>
        <w:jc w:val="center"/>
        <w:rPr>
          <w:rFonts w:ascii="inherit" w:hAnsi="inherit"/>
          <w:b/>
          <w:sz w:val="20"/>
        </w:rPr>
      </w:pPr>
      <w:r>
        <w:rPr>
          <w:rFonts w:ascii="inherit" w:hAnsi="inherit"/>
          <w:b/>
          <w:sz w:val="20"/>
        </w:rPr>
        <w:t>CURRENT REPORT</w:t>
      </w:r>
    </w:p>
    <w:p>
      <w:pPr>
        <w:pStyle w:val="TextBody"/>
        <w:spacing w:lineRule="auto" w:line="288" w:before="0" w:after="0"/>
        <w:jc w:val="center"/>
        <w:rPr>
          <w:rFonts w:ascii="inherit" w:hAnsi="inherit"/>
          <w:b/>
          <w:sz w:val="20"/>
        </w:rPr>
      </w:pPr>
      <w:r>
        <w:rPr>
          <w:rFonts w:ascii="inherit" w:hAnsi="inherit"/>
          <w:b/>
          <w:sz w:val="20"/>
        </w:rPr>
        <w:t>Pursuant to Section 13 or 15(d) of the</w:t>
      </w:r>
    </w:p>
    <w:p>
      <w:pPr>
        <w:pStyle w:val="TextBody"/>
        <w:spacing w:lineRule="auto" w:line="288" w:before="0" w:after="0"/>
        <w:jc w:val="center"/>
        <w:rPr>
          <w:rFonts w:ascii="inherit" w:hAnsi="inherit"/>
          <w:b/>
          <w:sz w:val="20"/>
        </w:rPr>
      </w:pPr>
      <w:r>
        <w:rPr>
          <w:rFonts w:ascii="inherit" w:hAnsi="inherit"/>
          <w:b/>
          <w:sz w:val="20"/>
        </w:rPr>
        <w:t>Securities Exchange Act of 1934</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sz w:val="20"/>
        </w:rPr>
      </w:pPr>
      <w:r>
        <w:rPr>
          <w:rFonts w:ascii="inherit" w:hAnsi="inherit"/>
          <w:sz w:val="20"/>
        </w:rPr>
        <w:t xml:space="preserve">Date of Report: </w:t>
      </w:r>
      <w:r>
        <w:rPr>
          <w:rFonts w:ascii="inherit" w:hAnsi="inherit"/>
          <w:b/>
          <w:sz w:val="20"/>
        </w:rPr>
        <w:t>July 25, 2019</w:t>
      </w:r>
    </w:p>
    <w:p>
      <w:pPr>
        <w:pStyle w:val="TextBody"/>
        <w:spacing w:lineRule="auto" w:line="288" w:before="0" w:after="0"/>
        <w:jc w:val="center"/>
        <w:rPr>
          <w:rFonts w:ascii="inherit" w:hAnsi="inherit"/>
          <w:sz w:val="20"/>
        </w:rPr>
      </w:pPr>
      <w:r>
        <w:rPr>
          <w:rFonts w:ascii="inherit" w:hAnsi="inherit"/>
          <w:sz w:val="20"/>
        </w:rPr>
        <w:t>(Date of earliest event reported)</w:t>
      </w:r>
    </w:p>
    <w:p>
      <w:pPr>
        <w:pStyle w:val="TextBody"/>
        <w:spacing w:lineRule="auto" w:line="417"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b/>
          <w:sz w:val="27"/>
        </w:rPr>
      </w:pPr>
      <w:r>
        <w:rPr>
          <w:rFonts w:ascii="inherit" w:hAnsi="inherit"/>
          <w:b/>
          <w:sz w:val="27"/>
        </w:rPr>
        <w:t>PRINCIPAL FINANCIAL GROUP, INC.</w:t>
      </w:r>
    </w:p>
    <w:p>
      <w:pPr>
        <w:pStyle w:val="TextBody"/>
        <w:spacing w:lineRule="auto" w:line="288" w:before="0" w:after="0"/>
        <w:jc w:val="center"/>
        <w:rPr>
          <w:rFonts w:ascii="inherit" w:hAnsi="inherit"/>
          <w:sz w:val="20"/>
        </w:rPr>
      </w:pPr>
      <w:r>
        <w:rPr>
          <w:rFonts w:ascii="inherit" w:hAnsi="inherit"/>
          <w:sz w:val="20"/>
        </w:rPr>
        <w:t>(Exact name of registrant as specified in its charter)</w:t>
      </w:r>
    </w:p>
    <w:tbl>
      <w:tblPr>
        <w:tblW w:w="6600" w:type="dxa"/>
        <w:jc w:val="center"/>
        <w:tblInd w:w="0" w:type="dxa"/>
        <w:tblCellMar>
          <w:top w:w="0" w:type="dxa"/>
          <w:left w:w="0" w:type="dxa"/>
          <w:bottom w:w="0" w:type="dxa"/>
          <w:right w:w="0" w:type="dxa"/>
        </w:tblCellMar>
      </w:tblPr>
      <w:tblGrid>
        <w:gridCol w:w="2255"/>
        <w:gridCol w:w="2450"/>
        <w:gridCol w:w="1895"/>
      </w:tblGrid>
      <w:tr>
        <w:trPr/>
        <w:tc>
          <w:tcPr>
            <w:tcW w:w="6600" w:type="dxa"/>
            <w:gridSpan w:val="3"/>
            <w:tcBorders/>
            <w:shd w:fill="auto" w:val="clear"/>
            <w:vAlign w:val="center"/>
          </w:tcPr>
          <w:p>
            <w:pPr>
              <w:pStyle w:val="TableContents"/>
              <w:spacing w:before="0" w:after="283"/>
              <w:rPr>
                <w:sz w:val="4"/>
                <w:szCs w:val="4"/>
              </w:rPr>
            </w:pPr>
            <w:r>
              <w:rPr>
                <w:sz w:val="4"/>
                <w:szCs w:val="4"/>
              </w:rPr>
            </w:r>
          </w:p>
        </w:tc>
      </w:tr>
      <w:tr>
        <w:trPr/>
        <w:tc>
          <w:tcPr>
            <w:tcW w:w="2255" w:type="dxa"/>
            <w:tcBorders/>
            <w:shd w:fill="auto" w:val="clear"/>
            <w:vAlign w:val="center"/>
          </w:tcPr>
          <w:p>
            <w:pPr>
              <w:pStyle w:val="TableContents"/>
              <w:spacing w:before="0" w:after="283"/>
              <w:rPr>
                <w:sz w:val="4"/>
                <w:szCs w:val="4"/>
              </w:rPr>
            </w:pPr>
            <w:r>
              <w:rPr>
                <w:sz w:val="4"/>
                <w:szCs w:val="4"/>
              </w:rPr>
            </w:r>
          </w:p>
        </w:tc>
        <w:tc>
          <w:tcPr>
            <w:tcW w:w="2450" w:type="dxa"/>
            <w:tcBorders/>
            <w:shd w:fill="auto" w:val="clear"/>
            <w:vAlign w:val="center"/>
          </w:tcPr>
          <w:p>
            <w:pPr>
              <w:pStyle w:val="TableContents"/>
              <w:spacing w:before="0" w:after="283"/>
              <w:rPr>
                <w:sz w:val="4"/>
                <w:szCs w:val="4"/>
              </w:rPr>
            </w:pPr>
            <w:r>
              <w:rPr>
                <w:sz w:val="4"/>
                <w:szCs w:val="4"/>
              </w:rPr>
            </w:r>
          </w:p>
        </w:tc>
        <w:tc>
          <w:tcPr>
            <w:tcW w:w="189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2255"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Delaware</w:t>
            </w:r>
          </w:p>
        </w:tc>
        <w:tc>
          <w:tcPr>
            <w:tcW w:w="2450"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1-16725</w:t>
            </w:r>
          </w:p>
        </w:tc>
        <w:tc>
          <w:tcPr>
            <w:tcW w:w="1895"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42-1520346</w:t>
            </w:r>
          </w:p>
        </w:tc>
      </w:tr>
      <w:tr>
        <w:trPr/>
        <w:tc>
          <w:tcPr>
            <w:tcW w:w="2255" w:type="dxa"/>
            <w:tcBorders/>
            <w:shd w:fill="auto" w:val="clear"/>
            <w:vAlign w:val="center"/>
          </w:tcPr>
          <w:p>
            <w:pPr>
              <w:pStyle w:val="TableContents"/>
              <w:spacing w:before="0" w:after="0"/>
              <w:jc w:val="center"/>
              <w:rPr>
                <w:rFonts w:ascii="inherit" w:hAnsi="inherit"/>
                <w:sz w:val="17"/>
              </w:rPr>
            </w:pPr>
            <w:r>
              <w:rPr>
                <w:rFonts w:ascii="inherit" w:hAnsi="inherit"/>
                <w:sz w:val="17"/>
              </w:rPr>
              <w:t xml:space="preserve">(State or other jurisdiction </w:t>
            </w:r>
          </w:p>
          <w:p>
            <w:pPr>
              <w:pStyle w:val="TableContents"/>
              <w:spacing w:before="0" w:after="0"/>
              <w:ind w:left="0" w:right="0" w:firstLine="30"/>
              <w:jc w:val="center"/>
              <w:rPr>
                <w:rFonts w:ascii="inherit" w:hAnsi="inherit"/>
                <w:sz w:val="17"/>
              </w:rPr>
            </w:pPr>
            <w:r>
              <w:rPr>
                <w:rFonts w:ascii="inherit" w:hAnsi="inherit"/>
                <w:sz w:val="17"/>
              </w:rPr>
              <w:t>of incorporation)</w:t>
            </w:r>
          </w:p>
        </w:tc>
        <w:tc>
          <w:tcPr>
            <w:tcW w:w="2450" w:type="dxa"/>
            <w:tcBorders/>
            <w:shd w:fill="auto" w:val="clear"/>
            <w:vAlign w:val="center"/>
          </w:tcPr>
          <w:p>
            <w:pPr>
              <w:pStyle w:val="TableContents"/>
              <w:spacing w:before="0" w:after="0"/>
              <w:ind w:left="0" w:right="0" w:firstLine="30"/>
              <w:jc w:val="center"/>
              <w:rPr>
                <w:rFonts w:ascii="inherit" w:hAnsi="inherit"/>
                <w:b/>
                <w:sz w:val="17"/>
              </w:rPr>
            </w:pPr>
            <w:r>
              <w:rPr>
                <w:rFonts w:ascii="inherit" w:hAnsi="inherit"/>
                <w:b/>
                <w:sz w:val="17"/>
              </w:rPr>
              <w:t>(Commission file number)</w:t>
            </w:r>
          </w:p>
        </w:tc>
        <w:tc>
          <w:tcPr>
            <w:tcW w:w="1895" w:type="dxa"/>
            <w:tcBorders/>
            <w:shd w:fill="auto" w:val="clear"/>
            <w:vAlign w:val="center"/>
          </w:tcPr>
          <w:p>
            <w:pPr>
              <w:pStyle w:val="TableContents"/>
              <w:spacing w:before="0" w:after="0"/>
              <w:jc w:val="center"/>
              <w:rPr>
                <w:rFonts w:ascii="inherit" w:hAnsi="inherit"/>
                <w:sz w:val="17"/>
              </w:rPr>
            </w:pPr>
            <w:r>
              <w:rPr>
                <w:rFonts w:ascii="inherit" w:hAnsi="inherit"/>
                <w:sz w:val="17"/>
              </w:rPr>
              <w:t xml:space="preserve">(I.R.S. Employer </w:t>
            </w:r>
          </w:p>
          <w:p>
            <w:pPr>
              <w:pStyle w:val="TableContents"/>
              <w:spacing w:before="0" w:after="0"/>
              <w:jc w:val="center"/>
              <w:rPr>
                <w:rFonts w:ascii="inherit" w:hAnsi="inherit"/>
                <w:sz w:val="17"/>
              </w:rPr>
            </w:pPr>
            <w:r>
              <w:rPr>
                <w:rFonts w:ascii="inherit" w:hAnsi="inherit"/>
                <w:sz w:val="17"/>
              </w:rPr>
              <w:t>Identification Number)</w:t>
            </w:r>
          </w:p>
        </w:tc>
      </w:tr>
    </w:tbl>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b/>
          <w:sz w:val="17"/>
        </w:rPr>
      </w:pPr>
      <w:r>
        <w:rPr>
          <w:rFonts w:ascii="inherit" w:hAnsi="inherit"/>
          <w:b/>
          <w:sz w:val="17"/>
        </w:rPr>
        <w:t>711 High Street, Des Moines, Iowa 50392</w:t>
      </w:r>
    </w:p>
    <w:p>
      <w:pPr>
        <w:pStyle w:val="TextBody"/>
        <w:spacing w:lineRule="auto" w:line="288" w:before="0" w:after="0"/>
        <w:jc w:val="center"/>
        <w:rPr>
          <w:rFonts w:ascii="inherit" w:hAnsi="inherit"/>
          <w:sz w:val="17"/>
        </w:rPr>
      </w:pPr>
      <w:r>
        <w:rPr>
          <w:rFonts w:ascii="inherit" w:hAnsi="inherit"/>
          <w:sz w:val="17"/>
        </w:rPr>
        <w:t>(Address of principal executive offices)</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b/>
          <w:sz w:val="17"/>
        </w:rPr>
      </w:pPr>
      <w:r>
        <w:rPr>
          <w:rFonts w:ascii="inherit" w:hAnsi="inherit"/>
          <w:b/>
          <w:sz w:val="17"/>
        </w:rPr>
        <w:t>(515) 247-5111</w:t>
      </w:r>
    </w:p>
    <w:p>
      <w:pPr>
        <w:pStyle w:val="TextBody"/>
        <w:spacing w:lineRule="auto" w:line="288" w:before="0" w:after="0"/>
        <w:jc w:val="center"/>
        <w:rPr>
          <w:rFonts w:ascii="inherit" w:hAnsi="inherit"/>
          <w:sz w:val="17"/>
        </w:rPr>
      </w:pPr>
      <w:r>
        <w:rPr>
          <w:rFonts w:ascii="inherit" w:hAnsi="inherit"/>
          <w:sz w:val="17"/>
        </w:rPr>
        <w:t>(Registrant’s telephone number, including area code)</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Check the appropriate box below if the Form 8-K filing is intended to simultaneously satisfy the filing obligation of the registrant under any of the following provisions:</w:t>
      </w:r>
    </w:p>
    <w:p>
      <w:pPr>
        <w:pStyle w:val="TextBody"/>
        <w:spacing w:lineRule="auto" w:line="417" w:before="0" w:after="0"/>
        <w:jc w:val="left"/>
        <w:rPr>
          <w:rFonts w:ascii="inherit" w:hAnsi="inherit"/>
          <w:sz w:val="17"/>
        </w:rPr>
      </w:pPr>
      <w:r>
        <w:rPr>
          <w:rFonts w:ascii="inherit" w:hAnsi="inherit"/>
          <w:sz w:val="17"/>
        </w:rPr>
      </w:r>
    </w:p>
    <w:tbl>
      <w:tblPr>
        <w:tblW w:w="10205" w:type="dxa"/>
        <w:jc w:val="center"/>
        <w:tblInd w:w="0" w:type="dxa"/>
        <w:tblCellMar>
          <w:top w:w="0" w:type="dxa"/>
          <w:left w:w="0" w:type="dxa"/>
          <w:bottom w:w="0" w:type="dxa"/>
          <w:right w:w="0" w:type="dxa"/>
        </w:tblCellMar>
      </w:tblPr>
      <w:tblGrid>
        <w:gridCol w:w="135"/>
        <w:gridCol w:w="10070"/>
      </w:tblGrid>
      <w:tr>
        <w:trPr/>
        <w:tc>
          <w:tcPr>
            <w:tcW w:w="10205" w:type="dxa"/>
            <w:gridSpan w:val="2"/>
            <w:tcBorders/>
            <w:shd w:fill="auto" w:val="clear"/>
            <w:vAlign w:val="center"/>
          </w:tcPr>
          <w:p>
            <w:pPr>
              <w:pStyle w:val="TableContents"/>
              <w:spacing w:before="0" w:after="283"/>
              <w:rPr>
                <w:sz w:val="4"/>
                <w:szCs w:val="4"/>
              </w:rPr>
            </w:pPr>
            <w:r>
              <w:rPr>
                <w:sz w:val="4"/>
                <w:szCs w:val="4"/>
              </w:rPr>
            </w:r>
          </w:p>
        </w:tc>
      </w:tr>
      <w:tr>
        <w:trPr/>
        <w:tc>
          <w:tcPr>
            <w:tcW w:w="135" w:type="dxa"/>
            <w:tcBorders/>
            <w:shd w:fill="auto" w:val="clear"/>
            <w:vAlign w:val="center"/>
          </w:tcPr>
          <w:p>
            <w:pPr>
              <w:pStyle w:val="TableContents"/>
              <w:spacing w:before="0" w:after="283"/>
              <w:rPr>
                <w:sz w:val="4"/>
                <w:szCs w:val="4"/>
              </w:rPr>
            </w:pPr>
            <w:r>
              <w:rPr>
                <w:sz w:val="4"/>
                <w:szCs w:val="4"/>
              </w:rPr>
            </w:r>
          </w:p>
        </w:tc>
        <w:tc>
          <w:tcPr>
            <w:tcW w:w="1007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3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w:t>
            </w:r>
          </w:p>
        </w:tc>
        <w:tc>
          <w:tcPr>
            <w:tcW w:w="100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Written communications pursuant to Rule 425 under the Securities Act (17 CFR 230.425)</w:t>
            </w:r>
          </w:p>
        </w:tc>
      </w:tr>
      <w:tr>
        <w:trPr/>
        <w:tc>
          <w:tcPr>
            <w:tcW w:w="13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w:t>
            </w:r>
          </w:p>
        </w:tc>
        <w:tc>
          <w:tcPr>
            <w:tcW w:w="100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Soliciting material pursuant to Rule 14a-12 under the Exchange Act (17 CFR 240.14a-12)</w:t>
            </w:r>
          </w:p>
        </w:tc>
      </w:tr>
      <w:tr>
        <w:trPr/>
        <w:tc>
          <w:tcPr>
            <w:tcW w:w="13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w:t>
            </w:r>
          </w:p>
        </w:tc>
        <w:tc>
          <w:tcPr>
            <w:tcW w:w="100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Pre-commencement communications pursuant to Rule 14d-2(b) under the Exchange Act (17 CFR 240.14d-2(b))</w:t>
            </w:r>
          </w:p>
        </w:tc>
      </w:tr>
      <w:tr>
        <w:trPr/>
        <w:tc>
          <w:tcPr>
            <w:tcW w:w="13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w:t>
            </w:r>
          </w:p>
        </w:tc>
        <w:tc>
          <w:tcPr>
            <w:tcW w:w="10070"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Pre-commencement communications pursuant to Rule 13e-4(c) under the Exchange Act (17 CFR 240.13e-4(c))</w:t>
            </w:r>
          </w:p>
        </w:tc>
      </w:tr>
      <w:tr>
        <w:trPr/>
        <w:tc>
          <w:tcPr>
            <w:tcW w:w="135" w:type="dxa"/>
            <w:tcBorders/>
            <w:shd w:fill="auto" w:val="clear"/>
            <w:vAlign w:val="center"/>
          </w:tcPr>
          <w:p>
            <w:pPr>
              <w:pStyle w:val="TableContents"/>
              <w:spacing w:before="0" w:after="0"/>
              <w:ind w:left="0" w:right="0" w:firstLine="30"/>
              <w:rPr/>
            </w:pPr>
            <w:r>
              <w:rPr/>
              <w:t> </w:t>
            </w:r>
          </w:p>
        </w:tc>
        <w:tc>
          <w:tcPr>
            <w:tcW w:w="10070" w:type="dxa"/>
            <w:tcBorders/>
            <w:shd w:fill="auto" w:val="clear"/>
            <w:vAlign w:val="center"/>
          </w:tcPr>
          <w:p>
            <w:pPr>
              <w:pStyle w:val="TableContents"/>
              <w:spacing w:before="0" w:after="0"/>
              <w:rPr>
                <w:rFonts w:ascii="inherit" w:hAnsi="inherit"/>
                <w:sz w:val="17"/>
              </w:rPr>
            </w:pPr>
            <w:r>
              <w:rPr>
                <w:rFonts w:ascii="inherit" w:hAnsi="inherit"/>
                <w:sz w:val="17"/>
              </w:rPr>
              <w:t>Indicate by check mark whether the registrant is an emerging growth company as defined in Rule 405 of the Securities Act of 1933 (§203.405 of this chapter) or rule 12b-2 of the Securities Exchange Act of 1934 (§240.12b-2 of this chapter).</w:t>
            </w:r>
          </w:p>
          <w:p>
            <w:pPr>
              <w:pStyle w:val="TableContents"/>
              <w:spacing w:before="0" w:after="0"/>
              <w:ind w:left="0" w:right="0" w:firstLine="30"/>
              <w:rPr/>
            </w:pPr>
            <w:r>
              <w:rPr/>
              <w:t>                                                                                                                                    </w:t>
            </w:r>
            <w:r>
              <w:rPr>
                <w:rFonts w:ascii="inherit" w:hAnsi="inherit"/>
                <w:sz w:val="17"/>
              </w:rPr>
              <w:t>Emerging growth company [ ]</w:t>
            </w:r>
          </w:p>
        </w:tc>
      </w:tr>
      <w:tr>
        <w:trPr/>
        <w:tc>
          <w:tcPr>
            <w:tcW w:w="13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 ]</w:t>
            </w:r>
          </w:p>
        </w:tc>
        <w:tc>
          <w:tcPr>
            <w:tcW w:w="10070" w:type="dxa"/>
            <w:tcBorders/>
            <w:shd w:fill="auto" w:val="clear"/>
            <w:vAlign w:val="center"/>
          </w:tcPr>
          <w:p>
            <w:pPr>
              <w:pStyle w:val="TableContents"/>
              <w:spacing w:before="0" w:after="0"/>
              <w:jc w:val="left"/>
              <w:rPr>
                <w:rFonts w:ascii="inherit" w:hAnsi="inherit"/>
                <w:sz w:val="17"/>
              </w:rPr>
            </w:pPr>
            <w:r>
              <w:rPr>
                <w:rFonts w:ascii="inherit" w:hAnsi="inherit"/>
                <w:sz w:val="17"/>
              </w:rPr>
              <w:t>If an emerging growth company, indicate by check mark if the registrant has elected not to use the extended transition period for complying with any new or revised financial accounting standards provided pursuant to Section 13(a) of the Exchange Act.</w:t>
            </w:r>
          </w:p>
        </w:tc>
      </w:tr>
    </w:tbl>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t>_____________________</w:t>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0"/>
        <w:jc w:val="left"/>
        <w:rPr>
          <w:rFonts w:ascii="inherit" w:hAnsi="inherit"/>
          <w:b/>
          <w:sz w:val="20"/>
        </w:rPr>
      </w:pPr>
      <w:r>
        <w:rPr>
          <w:rFonts w:ascii="inherit" w:hAnsi="inherit"/>
          <w:b/>
          <w:sz w:val="20"/>
        </w:rPr>
        <w:t>Item 2.02. Results of Operations and Financial Condition</w:t>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jc w:val="left"/>
        <w:rPr>
          <w:rFonts w:ascii="inherit" w:hAnsi="inherit"/>
          <w:sz w:val="20"/>
        </w:rPr>
      </w:pPr>
      <w:r>
        <w:rPr>
          <w:rFonts w:ascii="inherit" w:hAnsi="inherit"/>
          <w:sz w:val="20"/>
        </w:rPr>
        <w:t>On July 25, 2019, Principal Financial Group, Inc. publicly announced information regarding its results of operations and financial condition for the quarter ended June 30, 2019. The text of the announcement is included herewith as Exhibit 99.</w:t>
      </w:r>
    </w:p>
    <w:p>
      <w:pPr>
        <w:pStyle w:val="TextBody"/>
        <w:spacing w:lineRule="auto" w:line="288" w:before="0" w:after="0"/>
        <w:jc w:val="left"/>
        <w:rPr>
          <w:rFonts w:ascii="inherit" w:hAnsi="inherit"/>
          <w:sz w:val="20"/>
        </w:rPr>
      </w:pPr>
      <w:r>
        <w:rPr>
          <w:rFonts w:ascii="inherit" w:hAnsi="inherit"/>
          <w:sz w:val="20"/>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jc w:val="left"/>
        <w:rPr>
          <w:rFonts w:ascii="inherit" w:hAnsi="inherit"/>
          <w:b/>
          <w:sz w:val="20"/>
        </w:rPr>
      </w:pPr>
      <w:r>
        <w:rPr>
          <w:rFonts w:ascii="inherit" w:hAnsi="inherit"/>
          <w:b/>
          <w:sz w:val="20"/>
        </w:rPr>
        <w:t xml:space="preserve">Item 9.01 Financial Statements and Exhibits </w:t>
      </w:r>
    </w:p>
    <w:tbl>
      <w:tblPr>
        <w:tblW w:w="4120" w:type="dxa"/>
        <w:jc w:val="left"/>
        <w:tblInd w:w="0" w:type="dxa"/>
        <w:tblCellMar>
          <w:top w:w="0" w:type="dxa"/>
          <w:left w:w="0" w:type="dxa"/>
          <w:bottom w:w="0" w:type="dxa"/>
          <w:right w:w="0" w:type="dxa"/>
        </w:tblCellMar>
      </w:tblPr>
      <w:tblGrid>
        <w:gridCol w:w="305"/>
        <w:gridCol w:w="3815"/>
      </w:tblGrid>
      <w:tr>
        <w:trPr/>
        <w:tc>
          <w:tcPr>
            <w:tcW w:w="4120" w:type="dxa"/>
            <w:gridSpan w:val="2"/>
            <w:tcBorders/>
            <w:shd w:fill="auto" w:val="clear"/>
            <w:vAlign w:val="center"/>
          </w:tcPr>
          <w:p>
            <w:pPr>
              <w:pStyle w:val="TableContents"/>
              <w:spacing w:before="0" w:after="283"/>
              <w:rPr>
                <w:sz w:val="4"/>
                <w:szCs w:val="4"/>
              </w:rPr>
            </w:pPr>
            <w:r>
              <w:rPr>
                <w:sz w:val="4"/>
                <w:szCs w:val="4"/>
              </w:rPr>
            </w:r>
          </w:p>
        </w:tc>
      </w:tr>
      <w:tr>
        <w:trPr/>
        <w:tc>
          <w:tcPr>
            <w:tcW w:w="305" w:type="dxa"/>
            <w:tcBorders/>
            <w:shd w:fill="auto" w:val="clear"/>
            <w:vAlign w:val="center"/>
          </w:tcPr>
          <w:p>
            <w:pPr>
              <w:pStyle w:val="TableContents"/>
              <w:spacing w:before="0" w:after="283"/>
              <w:rPr>
                <w:sz w:val="4"/>
                <w:szCs w:val="4"/>
              </w:rPr>
            </w:pPr>
            <w:r>
              <w:rPr>
                <w:sz w:val="4"/>
                <w:szCs w:val="4"/>
              </w:rPr>
            </w:r>
          </w:p>
        </w:tc>
        <w:tc>
          <w:tcPr>
            <w:tcW w:w="381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05" w:type="dxa"/>
            <w:tcBorders/>
            <w:shd w:fill="auto" w:val="clear"/>
            <w:vAlign w:val="center"/>
          </w:tcPr>
          <w:p>
            <w:pPr>
              <w:pStyle w:val="TableContents"/>
              <w:spacing w:before="0" w:after="0"/>
              <w:ind w:left="0" w:right="0" w:firstLine="30"/>
              <w:jc w:val="left"/>
              <w:rPr/>
            </w:pPr>
            <w:hyperlink w:anchor="ex99-pressrelease2q2019.htm">
              <w:r>
                <w:rPr>
                  <w:rStyle w:val="InternetLink"/>
                  <w:rFonts w:ascii="inherit" w:hAnsi="inherit"/>
                  <w:sz w:val="20"/>
                </w:rPr>
                <w:t>99</w:t>
              </w:r>
            </w:hyperlink>
          </w:p>
        </w:tc>
        <w:tc>
          <w:tcPr>
            <w:tcW w:w="3815" w:type="dxa"/>
            <w:tcBorders/>
            <w:shd w:fill="auto" w:val="clear"/>
            <w:vAlign w:val="center"/>
          </w:tcPr>
          <w:p>
            <w:pPr>
              <w:pStyle w:val="TableContents"/>
              <w:spacing w:before="0" w:after="0"/>
              <w:rPr/>
            </w:pPr>
            <w:hyperlink w:anchor="ex99-pressrelease2q2019.htm">
              <w:r>
                <w:rPr>
                  <w:rStyle w:val="InternetLink"/>
                  <w:rFonts w:ascii="inherit" w:hAnsi="inherit"/>
                  <w:sz w:val="20"/>
                </w:rPr>
                <w:t>Second Quarter 2019 Earnings Release</w:t>
              </w:r>
            </w:hyperlink>
          </w:p>
        </w:tc>
      </w:tr>
    </w:tbl>
    <w:p>
      <w:pPr>
        <w:pStyle w:val="TextBody"/>
        <w:spacing w:lineRule="auto" w:line="288" w:before="0" w:after="0"/>
        <w:jc w:val="left"/>
        <w:rPr>
          <w:rFonts w:ascii="inherit" w:hAnsi="inherit"/>
          <w:sz w:val="20"/>
        </w:rPr>
      </w:pPr>
      <w:r>
        <w:rPr>
          <w:rFonts w:ascii="inherit" w:hAnsi="inherit"/>
          <w:sz w:val="20"/>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jc w:val="center"/>
        <w:rPr>
          <w:rFonts w:ascii="inherit" w:hAnsi="inherit"/>
          <w:sz w:val="20"/>
        </w:rPr>
      </w:pPr>
      <w:r>
        <w:rPr>
          <w:rFonts w:ascii="inherit" w:hAnsi="inherit"/>
          <w:sz w:val="20"/>
        </w:rPr>
        <w:t>SIGNATURE</w:t>
      </w:r>
    </w:p>
    <w:p>
      <w:pPr>
        <w:pStyle w:val="TextBody"/>
        <w:spacing w:lineRule="auto" w:line="288" w:before="0" w:after="0"/>
        <w:jc w:val="center"/>
        <w:rPr>
          <w:rFonts w:ascii="inherit" w:hAnsi="inherit"/>
          <w:sz w:val="20"/>
        </w:rPr>
      </w:pPr>
      <w:r>
        <w:rPr>
          <w:rFonts w:ascii="inherit" w:hAnsi="inherit"/>
          <w:sz w:val="20"/>
        </w:rPr>
      </w:r>
    </w:p>
    <w:p>
      <w:pPr>
        <w:pStyle w:val="TextBody"/>
        <w:spacing w:lineRule="auto" w:line="288" w:before="0" w:after="0"/>
        <w:jc w:val="left"/>
        <w:rPr>
          <w:rFonts w:ascii="inherit" w:hAnsi="inherit"/>
          <w:sz w:val="20"/>
        </w:rPr>
      </w:pPr>
      <w:r>
        <w:rPr>
          <w:rFonts w:ascii="inherit" w:hAnsi="inherit"/>
          <w:sz w:val="20"/>
        </w:rPr>
        <w:t>Pursuant to the requirements of the Securities Exchange Act of 1934, the registrant has duly caused this report to be signed on its behalf by the undersigned thereunto duly authorized.</w:t>
      </w:r>
    </w:p>
    <w:p>
      <w:pPr>
        <w:pStyle w:val="TextBody"/>
        <w:spacing w:lineRule="auto" w:line="288" w:before="0" w:after="0"/>
        <w:jc w:val="left"/>
        <w:rPr>
          <w:rFonts w:ascii="inherit" w:hAnsi="inherit"/>
          <w:sz w:val="17"/>
        </w:rPr>
      </w:pPr>
      <w:r>
        <w:rPr>
          <w:rFonts w:ascii="inherit" w:hAnsi="inherit"/>
          <w:sz w:val="17"/>
        </w:rPr>
      </w:r>
    </w:p>
    <w:tbl>
      <w:tblPr>
        <w:tblW w:w="7570" w:type="dxa"/>
        <w:jc w:val="center"/>
        <w:tblInd w:w="0" w:type="dxa"/>
        <w:tblCellMar>
          <w:top w:w="0" w:type="dxa"/>
          <w:left w:w="0" w:type="dxa"/>
          <w:bottom w:w="0" w:type="dxa"/>
          <w:right w:w="0" w:type="dxa"/>
        </w:tblCellMar>
      </w:tblPr>
      <w:tblGrid>
        <w:gridCol w:w="1910"/>
        <w:gridCol w:w="5660"/>
      </w:tblGrid>
      <w:tr>
        <w:trPr/>
        <w:tc>
          <w:tcPr>
            <w:tcW w:w="7570" w:type="dxa"/>
            <w:gridSpan w:val="2"/>
            <w:tcBorders/>
            <w:shd w:fill="auto" w:val="clear"/>
            <w:vAlign w:val="center"/>
          </w:tcPr>
          <w:p>
            <w:pPr>
              <w:pStyle w:val="TableContents"/>
              <w:spacing w:before="0" w:after="283"/>
              <w:rPr>
                <w:sz w:val="4"/>
                <w:szCs w:val="4"/>
              </w:rPr>
            </w:pPr>
            <w:r>
              <w:rPr>
                <w:sz w:val="4"/>
                <w:szCs w:val="4"/>
              </w:rPr>
            </w:r>
          </w:p>
        </w:tc>
      </w:tr>
      <w:tr>
        <w:trPr/>
        <w:tc>
          <w:tcPr>
            <w:tcW w:w="1910" w:type="dxa"/>
            <w:tcBorders/>
            <w:shd w:fill="auto" w:val="clear"/>
            <w:vAlign w:val="center"/>
          </w:tcPr>
          <w:p>
            <w:pPr>
              <w:pStyle w:val="TableContents"/>
              <w:spacing w:before="0" w:after="283"/>
              <w:rPr>
                <w:sz w:val="4"/>
                <w:szCs w:val="4"/>
              </w:rPr>
            </w:pPr>
            <w:r>
              <w:rPr>
                <w:sz w:val="4"/>
                <w:szCs w:val="4"/>
              </w:rPr>
            </w:r>
          </w:p>
        </w:tc>
        <w:tc>
          <w:tcPr>
            <w:tcW w:w="566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910" w:type="dxa"/>
            <w:tcBorders/>
            <w:shd w:fill="auto" w:val="clear"/>
            <w:vAlign w:val="center"/>
          </w:tcPr>
          <w:p>
            <w:pPr>
              <w:pStyle w:val="TableContents"/>
              <w:spacing w:before="0" w:after="0"/>
              <w:ind w:left="0" w:right="0" w:firstLine="30"/>
              <w:rPr/>
            </w:pPr>
            <w:r>
              <w:rPr/>
              <w:t> </w:t>
            </w:r>
          </w:p>
        </w:tc>
        <w:tc>
          <w:tcPr>
            <w:tcW w:w="5660" w:type="dxa"/>
            <w:tcBorders/>
            <w:shd w:fill="auto" w:val="clear"/>
            <w:vAlign w:val="center"/>
          </w:tcPr>
          <w:p>
            <w:pPr>
              <w:pStyle w:val="TableContents"/>
              <w:spacing w:before="0" w:after="0"/>
              <w:ind w:left="0" w:right="0" w:firstLine="30"/>
              <w:jc w:val="left"/>
              <w:rPr>
                <w:rFonts w:ascii="inherit" w:hAnsi="inherit"/>
                <w:sz w:val="20"/>
              </w:rPr>
            </w:pPr>
            <w:r>
              <w:rPr>
                <w:rFonts w:ascii="inherit" w:hAnsi="inherit"/>
                <w:sz w:val="20"/>
              </w:rPr>
              <w:t>PRINCIPAL FINANCIAL GROUP, INC.</w:t>
            </w:r>
          </w:p>
        </w:tc>
      </w:tr>
      <w:tr>
        <w:trPr/>
        <w:tc>
          <w:tcPr>
            <w:tcW w:w="1910" w:type="dxa"/>
            <w:tcBorders/>
            <w:shd w:fill="auto" w:val="clear"/>
            <w:vAlign w:val="center"/>
          </w:tcPr>
          <w:p>
            <w:pPr>
              <w:pStyle w:val="TableContents"/>
              <w:spacing w:before="0" w:after="0"/>
              <w:ind w:left="0" w:right="0" w:firstLine="30"/>
              <w:rPr/>
            </w:pPr>
            <w:r>
              <w:rPr/>
              <w:t> </w:t>
            </w:r>
          </w:p>
        </w:tc>
        <w:tc>
          <w:tcPr>
            <w:tcW w:w="5660" w:type="dxa"/>
            <w:tcBorders/>
            <w:shd w:fill="auto" w:val="clear"/>
            <w:vAlign w:val="center"/>
          </w:tcPr>
          <w:p>
            <w:pPr>
              <w:pStyle w:val="TableContents"/>
              <w:spacing w:before="0" w:after="0"/>
              <w:ind w:left="0" w:right="0" w:firstLine="30"/>
              <w:rPr/>
            </w:pPr>
            <w:r>
              <w:rPr/>
              <w:t> </w:t>
            </w:r>
          </w:p>
        </w:tc>
      </w:tr>
      <w:tr>
        <w:trPr/>
        <w:tc>
          <w:tcPr>
            <w:tcW w:w="1910" w:type="dxa"/>
            <w:tcBorders/>
            <w:shd w:fill="auto" w:val="clear"/>
            <w:vAlign w:val="center"/>
          </w:tcPr>
          <w:p>
            <w:pPr>
              <w:pStyle w:val="TableContents"/>
              <w:spacing w:before="0" w:after="0"/>
              <w:ind w:left="0" w:right="0" w:firstLine="30"/>
              <w:rPr/>
            </w:pPr>
            <w:r>
              <w:rPr/>
              <w:t> </w:t>
            </w:r>
          </w:p>
        </w:tc>
        <w:tc>
          <w:tcPr>
            <w:tcW w:w="5660"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20"/>
              </w:rPr>
            </w:pPr>
            <w:r>
              <w:rPr>
                <w:rFonts w:ascii="inherit" w:hAnsi="inherit"/>
                <w:sz w:val="20"/>
              </w:rPr>
              <w:t>By: /s/ Deanna D. Strable-Soethout    </w:t>
            </w:r>
          </w:p>
        </w:tc>
      </w:tr>
      <w:tr>
        <w:trPr/>
        <w:tc>
          <w:tcPr>
            <w:tcW w:w="1910" w:type="dxa"/>
            <w:tcBorders/>
            <w:shd w:fill="auto" w:val="clear"/>
            <w:vAlign w:val="center"/>
          </w:tcPr>
          <w:p>
            <w:pPr>
              <w:pStyle w:val="TableContents"/>
              <w:spacing w:before="0" w:after="0"/>
              <w:ind w:left="0" w:right="0" w:firstLine="30"/>
              <w:rPr/>
            </w:pPr>
            <w:r>
              <w:rPr/>
              <w:t> </w:t>
            </w:r>
          </w:p>
        </w:tc>
        <w:tc>
          <w:tcPr>
            <w:tcW w:w="5660" w:type="dxa"/>
            <w:tcBorders/>
            <w:shd w:fill="auto" w:val="clear"/>
            <w:vAlign w:val="center"/>
          </w:tcPr>
          <w:p>
            <w:pPr>
              <w:pStyle w:val="TableContents"/>
              <w:spacing w:before="0" w:after="0"/>
              <w:ind w:left="0" w:right="0" w:firstLine="30"/>
              <w:jc w:val="left"/>
              <w:rPr>
                <w:rFonts w:ascii="inherit" w:hAnsi="inherit"/>
                <w:sz w:val="20"/>
              </w:rPr>
            </w:pPr>
            <w:r>
              <w:rPr>
                <w:rFonts w:ascii="inherit" w:hAnsi="inherit"/>
                <w:sz w:val="20"/>
              </w:rPr>
              <w:t>Name:    Deanna D. Strable-Soethout    </w:t>
            </w:r>
          </w:p>
        </w:tc>
      </w:tr>
      <w:tr>
        <w:trPr/>
        <w:tc>
          <w:tcPr>
            <w:tcW w:w="1910" w:type="dxa"/>
            <w:tcBorders/>
            <w:shd w:fill="auto" w:val="clear"/>
            <w:vAlign w:val="center"/>
          </w:tcPr>
          <w:p>
            <w:pPr>
              <w:pStyle w:val="TableContents"/>
              <w:spacing w:before="0" w:after="0"/>
              <w:ind w:left="0" w:right="0" w:firstLine="30"/>
              <w:rPr/>
            </w:pPr>
            <w:r>
              <w:rPr/>
              <w:t> </w:t>
            </w:r>
          </w:p>
        </w:tc>
        <w:tc>
          <w:tcPr>
            <w:tcW w:w="5660" w:type="dxa"/>
            <w:tcBorders/>
            <w:shd w:fill="auto" w:val="clear"/>
            <w:vAlign w:val="center"/>
          </w:tcPr>
          <w:p>
            <w:pPr>
              <w:pStyle w:val="TableContents"/>
              <w:spacing w:before="0" w:after="0"/>
              <w:ind w:left="0" w:right="0" w:firstLine="30"/>
              <w:jc w:val="left"/>
              <w:rPr>
                <w:rFonts w:ascii="inherit" w:hAnsi="inherit"/>
                <w:sz w:val="20"/>
              </w:rPr>
            </w:pPr>
            <w:r>
              <w:rPr>
                <w:rFonts w:ascii="inherit" w:hAnsi="inherit"/>
                <w:sz w:val="20"/>
              </w:rPr>
              <w:t>Title: Executive Vice President and Chief Financial Officer</w:t>
            </w:r>
          </w:p>
        </w:tc>
      </w:tr>
      <w:tr>
        <w:trPr/>
        <w:tc>
          <w:tcPr>
            <w:tcW w:w="1910" w:type="dxa"/>
            <w:tcBorders/>
            <w:shd w:fill="auto" w:val="clear"/>
            <w:vAlign w:val="center"/>
          </w:tcPr>
          <w:p>
            <w:pPr>
              <w:pStyle w:val="TableContents"/>
              <w:spacing w:before="0" w:after="0"/>
              <w:ind w:left="0" w:right="0" w:firstLine="30"/>
              <w:rPr/>
            </w:pPr>
            <w:r>
              <w:rPr/>
              <w:t> </w:t>
            </w:r>
          </w:p>
        </w:tc>
        <w:tc>
          <w:tcPr>
            <w:tcW w:w="5660" w:type="dxa"/>
            <w:tcBorders/>
            <w:shd w:fill="auto" w:val="clear"/>
            <w:vAlign w:val="center"/>
          </w:tcPr>
          <w:p>
            <w:pPr>
              <w:pStyle w:val="TableContents"/>
              <w:spacing w:before="0" w:after="0"/>
              <w:ind w:left="0" w:right="0" w:firstLine="30"/>
              <w:rPr/>
            </w:pPr>
            <w:r>
              <w:rPr/>
              <w:t> </w:t>
            </w:r>
          </w:p>
        </w:tc>
      </w:tr>
      <w:tr>
        <w:trPr/>
        <w:tc>
          <w:tcPr>
            <w:tcW w:w="1910" w:type="dxa"/>
            <w:tcBorders/>
            <w:shd w:fill="auto" w:val="clear"/>
            <w:vAlign w:val="center"/>
          </w:tcPr>
          <w:p>
            <w:pPr>
              <w:pStyle w:val="TableContents"/>
              <w:spacing w:before="0" w:after="0"/>
              <w:ind w:left="0" w:right="0" w:firstLine="30"/>
              <w:jc w:val="left"/>
              <w:rPr>
                <w:rFonts w:ascii="inherit" w:hAnsi="inherit"/>
                <w:sz w:val="20"/>
              </w:rPr>
            </w:pPr>
            <w:r>
              <w:rPr>
                <w:rFonts w:ascii="inherit" w:hAnsi="inherit"/>
                <w:sz w:val="20"/>
              </w:rPr>
              <w:t>Date: July 25, 2019</w:t>
            </w:r>
          </w:p>
        </w:tc>
        <w:tc>
          <w:tcPr>
            <w:tcW w:w="5660" w:type="dxa"/>
            <w:tcBorders/>
            <w:shd w:fill="auto" w:val="clear"/>
            <w:vAlign w:val="center"/>
          </w:tcPr>
          <w:p>
            <w:pPr>
              <w:pStyle w:val="TableContents"/>
              <w:spacing w:before="0" w:after="0"/>
              <w:rPr/>
            </w:pPr>
            <w:r>
              <w:rPr/>
              <w:t> </w:t>
            </w:r>
          </w:p>
        </w:tc>
      </w:tr>
    </w:tbl>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bookmarkStart w:id="6" w:name="s7ff1f72ea8494549b46e335dd4ac0442"/>
      <w:bookmarkStart w:id="7" w:name="ex99-pressrelease2q2019.htm"/>
      <w:bookmarkStart w:id="8" w:name="ksex99pressrelease2q2019"/>
      <w:bookmarkEnd w:id="6"/>
      <w:bookmarkEnd w:id="7"/>
      <w:bookmarkEnd w:id="8"/>
      <w:r>
        <w:rPr/>
        <w:drawing>
          <wp:inline distT="0" distB="0" distL="0" distR="0">
            <wp:extent cx="1981200" cy="5905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p>
      <w:pPr>
        <w:pStyle w:val="TextBody"/>
        <w:spacing w:lineRule="auto" w:line="288" w:before="0" w:after="0"/>
        <w:jc w:val="right"/>
        <w:rPr>
          <w:rFonts w:ascii="Arial" w:hAnsi="Arial"/>
          <w:b/>
          <w:sz w:val="18"/>
        </w:rPr>
      </w:pPr>
      <w:r>
        <w:rPr>
          <w:rFonts w:ascii="Arial" w:hAnsi="Arial"/>
          <w:b/>
          <w:sz w:val="18"/>
        </w:rPr>
        <w:t>EXHIBIT 99</w:t>
      </w:r>
    </w:p>
    <w:p>
      <w:pPr>
        <w:pStyle w:val="TextBody"/>
        <w:spacing w:lineRule="auto" w:line="288" w:before="0" w:after="0"/>
        <w:jc w:val="right"/>
        <w:rPr>
          <w:sz w:val="18"/>
        </w:rPr>
      </w:pPr>
      <w:r>
        <w:rPr>
          <w:rFonts w:ascii="Arial" w:hAnsi="Arial"/>
          <w:sz w:val="18"/>
        </w:rPr>
        <w:t xml:space="preserve">Release: </w:t>
      </w:r>
      <w:r>
        <w:rPr>
          <w:sz w:val="18"/>
        </w:rPr>
        <w:t>                </w:t>
      </w:r>
      <w:r>
        <w:rPr>
          <w:rFonts w:ascii="Arial" w:hAnsi="Arial"/>
          <w:sz w:val="18"/>
        </w:rPr>
        <w:t>On receipt, Jul. 25, 2019</w:t>
      </w:r>
      <w:r>
        <w:rPr>
          <w:sz w:val="18"/>
        </w:rPr>
        <w:t>    </w:t>
      </w:r>
    </w:p>
    <w:p>
      <w:pPr>
        <w:pStyle w:val="TextBody"/>
        <w:spacing w:lineRule="auto" w:line="288" w:before="0" w:after="0"/>
        <w:jc w:val="left"/>
        <w:rPr>
          <w:sz w:val="18"/>
        </w:rPr>
      </w:pPr>
      <w:r>
        <w:rPr>
          <w:rFonts w:ascii="Arial" w:hAnsi="Arial"/>
          <w:sz w:val="18"/>
        </w:rPr>
        <w:t>Media Contact:</w:t>
      </w:r>
      <w:r>
        <w:rPr>
          <w:sz w:val="18"/>
        </w:rPr>
        <w:t>        </w:t>
      </w:r>
      <w:r>
        <w:rPr>
          <w:rFonts w:ascii="Arial" w:hAnsi="Arial"/>
          <w:sz w:val="18"/>
        </w:rPr>
        <w:t xml:space="preserve">Erica Jensen, 515-362-0049, </w:t>
      </w:r>
      <w:r>
        <w:rPr>
          <w:rFonts w:ascii="Arial" w:hAnsi="Arial"/>
          <w:color w:val="0000FF"/>
          <w:sz w:val="18"/>
          <w:u w:val="single"/>
        </w:rPr>
        <w:t>jensen.erica@principal.com</w:t>
      </w:r>
    </w:p>
    <w:p>
      <w:pPr>
        <w:pStyle w:val="TextBody"/>
        <w:spacing w:lineRule="auto" w:line="288" w:before="0" w:after="0"/>
        <w:jc w:val="left"/>
        <w:rPr>
          <w:sz w:val="18"/>
        </w:rPr>
      </w:pPr>
      <w:r>
        <w:rPr>
          <w:rFonts w:ascii="Arial" w:hAnsi="Arial"/>
          <w:sz w:val="18"/>
        </w:rPr>
        <w:t>Investor Contact:</w:t>
      </w:r>
      <w:r>
        <w:rPr>
          <w:sz w:val="18"/>
        </w:rPr>
        <w:t>        </w:t>
      </w:r>
      <w:r>
        <w:rPr>
          <w:rFonts w:ascii="Arial" w:hAnsi="Arial"/>
          <w:sz w:val="18"/>
        </w:rPr>
        <w:t xml:space="preserve">John Egan, 515-235-9500, </w:t>
      </w:r>
      <w:r>
        <w:rPr>
          <w:rFonts w:ascii="Arial" w:hAnsi="Arial"/>
          <w:color w:val="0000FF"/>
          <w:sz w:val="18"/>
          <w:u w:val="single"/>
        </w:rPr>
        <w:t>egan.john@principal.com</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Arial" w:hAnsi="Arial"/>
          <w:b/>
          <w:sz w:val="23"/>
        </w:rPr>
      </w:pPr>
      <w:r>
        <w:rPr>
          <w:rFonts w:ascii="Arial" w:hAnsi="Arial"/>
          <w:b/>
          <w:sz w:val="23"/>
        </w:rPr>
        <w:t>Principal Announces Second Quarter 2019 Results</w:t>
      </w:r>
    </w:p>
    <w:p>
      <w:pPr>
        <w:pStyle w:val="TextBody"/>
        <w:spacing w:lineRule="auto" w:line="288" w:before="0" w:after="0"/>
        <w:jc w:val="center"/>
        <w:rPr>
          <w:rFonts w:ascii="Arial" w:hAnsi="Arial"/>
          <w:b/>
          <w:sz w:val="20"/>
        </w:rPr>
      </w:pPr>
      <w:r>
        <w:rPr>
          <w:rFonts w:ascii="Arial" w:hAnsi="Arial"/>
          <w:b/>
          <w:sz w:val="20"/>
        </w:rPr>
        <w:t xml:space="preserve">Company Also Announces Increase to Common Stock Dividend </w:t>
      </w:r>
    </w:p>
    <w:tbl>
      <w:tblPr>
        <w:tblW w:w="10205" w:type="dxa"/>
        <w:jc w:val="center"/>
        <w:tblInd w:w="0" w:type="dxa"/>
        <w:tblCellMar>
          <w:top w:w="0" w:type="dxa"/>
          <w:left w:w="0" w:type="dxa"/>
          <w:bottom w:w="0" w:type="dxa"/>
          <w:right w:w="0" w:type="dxa"/>
        </w:tblCellMar>
      </w:tblPr>
      <w:tblGrid>
        <w:gridCol w:w="10205"/>
      </w:tblGrid>
      <w:tr>
        <w:trPr/>
        <w:tc>
          <w:tcPr>
            <w:tcW w:w="10205" w:type="dxa"/>
            <w:tcBorders/>
            <w:shd w:fill="auto" w:val="clear"/>
            <w:vAlign w:val="center"/>
          </w:tcPr>
          <w:p>
            <w:pPr>
              <w:pStyle w:val="TableContents"/>
              <w:spacing w:before="0" w:after="283"/>
              <w:rPr>
                <w:sz w:val="4"/>
                <w:szCs w:val="4"/>
              </w:rPr>
            </w:pPr>
            <w:r>
              <w:rPr>
                <w:sz w:val="4"/>
                <w:szCs w:val="4"/>
              </w:rPr>
            </w:r>
          </w:p>
        </w:tc>
      </w:tr>
      <w:tr>
        <w:trPr/>
        <w:tc>
          <w:tcPr>
            <w:tcW w:w="1020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10205" w:type="dxa"/>
            <w:tcBorders>
              <w:top w:val="single" w:sz="6" w:space="0" w:color="000000"/>
              <w:left w:val="single" w:sz="6" w:space="0" w:color="000000"/>
              <w:right w:val="single" w:sz="6" w:space="0" w:color="000000"/>
            </w:tcBorders>
            <w:shd w:fill="auto" w:val="clear"/>
            <w:tcMar>
              <w:top w:w="30" w:type="dxa"/>
              <w:left w:w="28" w:type="dxa"/>
              <w:right w:w="30" w:type="dxa"/>
            </w:tcMar>
            <w:vAlign w:val="center"/>
          </w:tcPr>
          <w:p>
            <w:pPr>
              <w:pStyle w:val="TableContents"/>
              <w:spacing w:before="0" w:after="0"/>
              <w:ind w:left="0" w:right="0" w:firstLine="30"/>
              <w:jc w:val="center"/>
              <w:rPr>
                <w:rFonts w:ascii="Arial" w:hAnsi="Arial"/>
                <w:i/>
                <w:sz w:val="18"/>
              </w:rPr>
            </w:pPr>
            <w:r>
              <w:rPr>
                <w:rFonts w:ascii="Arial" w:hAnsi="Arial"/>
                <w:i/>
                <w:sz w:val="18"/>
              </w:rPr>
              <w:t>Company Highlights</w:t>
            </w:r>
          </w:p>
        </w:tc>
      </w:tr>
      <w:tr>
        <w:trPr/>
        <w:tc>
          <w:tcPr>
            <w:tcW w:w="10205" w:type="dxa"/>
            <w:tcBorders>
              <w:left w:val="single" w:sz="6" w:space="0" w:color="000000"/>
              <w:right w:val="single" w:sz="6" w:space="0" w:color="000000"/>
            </w:tcBorders>
            <w:shd w:fill="auto" w:val="clear"/>
            <w:tcMar>
              <w:left w:w="28" w:type="dxa"/>
              <w:right w:w="30" w:type="dxa"/>
            </w:tcMar>
            <w:vAlign w:val="center"/>
          </w:tcPr>
          <w:p>
            <w:pPr>
              <w:pStyle w:val="TableContents"/>
              <w:spacing w:before="0" w:after="0"/>
              <w:ind w:left="0" w:right="0" w:firstLine="30"/>
              <w:jc w:val="left"/>
              <w:rPr/>
            </w:pPr>
            <w:r>
              <w:rPr/>
              <w:t xml:space="preserve">• </w:t>
            </w:r>
            <w:r>
              <w:rPr>
                <w:rFonts w:ascii="Arial" w:hAnsi="Arial"/>
                <w:b/>
                <w:sz w:val="18"/>
              </w:rPr>
              <w:t>Second quarter 2019 net income attributable to Principal Financial Group, Inc. (PFG) of $386.3 million, or $1.37 per diluted share</w:t>
            </w:r>
          </w:p>
        </w:tc>
      </w:tr>
      <w:tr>
        <w:trPr/>
        <w:tc>
          <w:tcPr>
            <w:tcW w:w="10205" w:type="dxa"/>
            <w:tcBorders>
              <w:left w:val="single" w:sz="6" w:space="0" w:color="000000"/>
              <w:right w:val="single" w:sz="6" w:space="0" w:color="000000"/>
            </w:tcBorders>
            <w:shd w:fill="auto" w:val="clear"/>
            <w:tcMar>
              <w:left w:w="28" w:type="dxa"/>
              <w:right w:w="30" w:type="dxa"/>
            </w:tcMar>
            <w:vAlign w:val="center"/>
          </w:tcPr>
          <w:p>
            <w:pPr>
              <w:pStyle w:val="TableContents"/>
              <w:spacing w:lineRule="auto" w:line="288" w:before="0" w:after="0"/>
              <w:ind w:left="0" w:right="0" w:firstLine="30"/>
              <w:jc w:val="left"/>
              <w:rPr/>
            </w:pPr>
            <w:r>
              <w:rPr/>
              <w:t xml:space="preserve">• </w:t>
            </w:r>
            <w:r>
              <w:rPr>
                <w:rFonts w:ascii="Arial" w:hAnsi="Arial"/>
                <w:b/>
                <w:sz w:val="18"/>
              </w:rPr>
              <w:t>Second quarter 2019 non-GAAP operating earnings</w:t>
            </w:r>
            <w:r>
              <w:rPr>
                <w:rFonts w:ascii="Arial" w:hAnsi="Arial"/>
                <w:b/>
                <w:sz w:val="12"/>
              </w:rPr>
              <w:t>1</w:t>
            </w:r>
            <w:r>
              <w:rPr>
                <w:sz w:val="18"/>
              </w:rPr>
              <w:t> </w:t>
            </w:r>
            <w:r>
              <w:rPr>
                <w:rFonts w:ascii="Arial" w:hAnsi="Arial"/>
                <w:b/>
                <w:sz w:val="18"/>
              </w:rPr>
              <w:t>of $427.1 million, or $1.52 per diluted share</w:t>
            </w:r>
          </w:p>
        </w:tc>
      </w:tr>
      <w:tr>
        <w:trPr/>
        <w:tc>
          <w:tcPr>
            <w:tcW w:w="10205" w:type="dxa"/>
            <w:tcBorders>
              <w:left w:val="single" w:sz="6" w:space="0" w:color="000000"/>
              <w:right w:val="single" w:sz="6" w:space="0" w:color="000000"/>
            </w:tcBorders>
            <w:shd w:fill="auto" w:val="clear"/>
            <w:tcMar>
              <w:left w:w="28" w:type="dxa"/>
              <w:right w:w="30" w:type="dxa"/>
            </w:tcMar>
            <w:vAlign w:val="center"/>
          </w:tcPr>
          <w:p>
            <w:pPr>
              <w:pStyle w:val="TableContents"/>
              <w:spacing w:before="0" w:after="0"/>
              <w:ind w:left="0" w:right="0" w:firstLine="30"/>
              <w:jc w:val="left"/>
              <w:rPr/>
            </w:pPr>
            <w:r>
              <w:rPr/>
              <w:t xml:space="preserve">• </w:t>
            </w:r>
            <w:r>
              <w:rPr>
                <w:rFonts w:ascii="Arial" w:hAnsi="Arial"/>
                <w:b/>
                <w:sz w:val="18"/>
              </w:rPr>
              <w:t>Record Assets under management (AUM) of $696.2 billion</w:t>
            </w:r>
          </w:p>
        </w:tc>
      </w:tr>
      <w:tr>
        <w:trPr/>
        <w:tc>
          <w:tcPr>
            <w:tcW w:w="10205" w:type="dxa"/>
            <w:tcBorders>
              <w:left w:val="single" w:sz="6" w:space="0" w:color="000000"/>
              <w:bottom w:val="single" w:sz="12" w:space="0" w:color="000000"/>
              <w:right w:val="single" w:sz="6" w:space="0" w:color="000000"/>
            </w:tcBorders>
            <w:shd w:fill="auto" w:val="clear"/>
            <w:tcMar>
              <w:left w:w="28" w:type="dxa"/>
              <w:bottom w:w="30" w:type="dxa"/>
              <w:right w:w="30" w:type="dxa"/>
            </w:tcMar>
            <w:vAlign w:val="center"/>
          </w:tcPr>
          <w:p>
            <w:pPr>
              <w:pStyle w:val="TableContents"/>
              <w:spacing w:before="0" w:after="0"/>
              <w:ind w:left="0" w:right="0" w:hanging="270"/>
              <w:jc w:val="left"/>
              <w:rPr/>
            </w:pPr>
            <w:r>
              <w:rPr/>
              <w:t xml:space="preserve">• </w:t>
            </w:r>
            <w:r>
              <w:rPr>
                <w:rFonts w:ascii="Arial" w:hAnsi="Arial"/>
                <w:b/>
                <w:sz w:val="18"/>
              </w:rPr>
              <w:t>Company declares third quarter 2019 common stock dividend of $0.55 per share; a 4% increase over third quarter 2018</w:t>
            </w:r>
          </w:p>
        </w:tc>
      </w:tr>
    </w:tbl>
    <w:p>
      <w:pPr>
        <w:pStyle w:val="TextBody"/>
        <w:spacing w:lineRule="auto" w:line="288" w:before="0" w:after="0"/>
        <w:rPr>
          <w:rFonts w:ascii="Arial" w:hAnsi="Arial"/>
          <w:sz w:val="18"/>
        </w:rPr>
      </w:pPr>
      <w:r>
        <w:rPr>
          <w:rFonts w:ascii="Arial" w:hAnsi="Arial"/>
          <w:sz w:val="18"/>
        </w:rPr>
      </w:r>
    </w:p>
    <w:p>
      <w:pPr>
        <w:pStyle w:val="TextBody"/>
        <w:spacing w:lineRule="auto" w:line="288" w:before="0" w:after="0"/>
        <w:jc w:val="left"/>
        <w:rPr>
          <w:sz w:val="18"/>
        </w:rPr>
      </w:pPr>
      <w:r>
        <w:rPr>
          <w:rFonts w:ascii="Arial" w:hAnsi="Arial"/>
          <w:sz w:val="18"/>
        </w:rPr>
        <w:t>(Des Moines, Iowa)</w:t>
      </w:r>
      <w:r>
        <w:rPr>
          <w:sz w:val="18"/>
        </w:rPr>
        <w:t xml:space="preserve"> </w:t>
      </w:r>
      <w:r>
        <w:rPr>
          <w:rFonts w:ascii="Arial" w:hAnsi="Arial"/>
          <w:sz w:val="18"/>
        </w:rPr>
        <w:t>- Principal Financial Group</w:t>
      </w:r>
      <w:r>
        <w:rPr>
          <w:rFonts w:ascii="Arial" w:hAnsi="Arial"/>
          <w:sz w:val="12"/>
        </w:rPr>
        <w:t>®</w:t>
      </w:r>
      <w:r>
        <w:rPr>
          <w:sz w:val="18"/>
        </w:rPr>
        <w:t xml:space="preserve"> </w:t>
      </w:r>
      <w:r>
        <w:rPr>
          <w:rFonts w:ascii="Arial" w:hAnsi="Arial"/>
          <w:sz w:val="18"/>
        </w:rPr>
        <w:t xml:space="preserve">(Nasdaq: PFG) today announced results for second quarter 2019. </w:t>
      </w:r>
    </w:p>
    <w:tbl>
      <w:tblPr>
        <w:tblW w:w="10205" w:type="dxa"/>
        <w:jc w:val="left"/>
        <w:tblInd w:w="0" w:type="dxa"/>
        <w:tblCellMar>
          <w:top w:w="0" w:type="dxa"/>
          <w:left w:w="0" w:type="dxa"/>
          <w:bottom w:w="0" w:type="dxa"/>
          <w:right w:w="0" w:type="dxa"/>
        </w:tblCellMar>
      </w:tblPr>
      <w:tblGrid>
        <w:gridCol w:w="665"/>
        <w:gridCol w:w="9540"/>
      </w:tblGrid>
      <w:tr>
        <w:trPr/>
        <w:tc>
          <w:tcPr>
            <w:tcW w:w="665" w:type="dxa"/>
            <w:tcBorders/>
            <w:shd w:fill="auto" w:val="clear"/>
            <w:vAlign w:val="center"/>
          </w:tcPr>
          <w:p>
            <w:pPr>
              <w:pStyle w:val="TableContents"/>
              <w:spacing w:before="0" w:after="283"/>
              <w:rPr>
                <w:sz w:val="4"/>
                <w:szCs w:val="4"/>
              </w:rPr>
            </w:pPr>
            <w:r>
              <w:rPr>
                <w:sz w:val="4"/>
                <w:szCs w:val="4"/>
              </w:rPr>
            </w:r>
          </w:p>
        </w:tc>
        <w:tc>
          <w:tcPr>
            <w:tcW w:w="9540" w:type="dxa"/>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vAlign w:val="center"/>
          </w:tcPr>
          <w:p>
            <w:pPr>
              <w:pStyle w:val="TableContents"/>
              <w:spacing w:lineRule="auto" w:line="288" w:before="0" w:after="0"/>
              <w:ind w:left="0" w:right="0" w:firstLine="540"/>
              <w:rPr/>
            </w:pPr>
            <w:r>
              <w:rPr/>
              <w:t>•</w:t>
            </w:r>
          </w:p>
        </w:tc>
        <w:tc>
          <w:tcPr>
            <w:tcW w:w="9540" w:type="dxa"/>
            <w:tcBorders/>
            <w:shd w:fill="auto" w:val="clear"/>
            <w:vAlign w:val="center"/>
          </w:tcPr>
          <w:p>
            <w:pPr>
              <w:pStyle w:val="TableContents"/>
              <w:spacing w:lineRule="auto" w:line="288" w:before="0" w:after="0"/>
              <w:jc w:val="left"/>
              <w:rPr>
                <w:sz w:val="18"/>
              </w:rPr>
            </w:pPr>
            <w:r>
              <w:rPr>
                <w:rFonts w:ascii="Arial" w:hAnsi="Arial"/>
                <w:b/>
                <w:sz w:val="18"/>
              </w:rPr>
              <w:t>Net income</w:t>
            </w:r>
            <w:r>
              <w:rPr>
                <w:sz w:val="18"/>
              </w:rPr>
              <w:t xml:space="preserve"> </w:t>
            </w:r>
            <w:r>
              <w:rPr>
                <w:rFonts w:ascii="Arial" w:hAnsi="Arial"/>
                <w:b/>
                <w:sz w:val="18"/>
              </w:rPr>
              <w:t>attributable to PFG for second quarter 2019 of $386.3 million</w:t>
            </w:r>
            <w:r>
              <w:rPr>
                <w:rFonts w:ascii="Arial" w:hAnsi="Arial"/>
                <w:sz w:val="18"/>
              </w:rPr>
              <w:t xml:space="preserve">, compared to $456.6 million for second quarter 2018. Net income per diluted share of $1.37 for second quarter 2019 compared to $1.58 in the prior year quarter. Second quarter 2018 net income benefited from a $99.5 million after-tax gain related to a sale of an equity method investment. </w:t>
            </w:r>
          </w:p>
        </w:tc>
      </w:tr>
    </w:tbl>
    <w:tbl>
      <w:tblPr>
        <w:tblW w:w="10205" w:type="dxa"/>
        <w:jc w:val="left"/>
        <w:tblInd w:w="0" w:type="dxa"/>
        <w:tblCellMar>
          <w:top w:w="0" w:type="dxa"/>
          <w:left w:w="0" w:type="dxa"/>
          <w:bottom w:w="0" w:type="dxa"/>
          <w:right w:w="0" w:type="dxa"/>
        </w:tblCellMar>
      </w:tblPr>
      <w:tblGrid>
        <w:gridCol w:w="665"/>
        <w:gridCol w:w="9540"/>
      </w:tblGrid>
      <w:tr>
        <w:trPr/>
        <w:tc>
          <w:tcPr>
            <w:tcW w:w="665" w:type="dxa"/>
            <w:tcBorders/>
            <w:shd w:fill="auto" w:val="clear"/>
            <w:vAlign w:val="center"/>
          </w:tcPr>
          <w:p>
            <w:pPr>
              <w:pStyle w:val="TableContents"/>
              <w:spacing w:before="0" w:after="283"/>
              <w:rPr>
                <w:sz w:val="4"/>
                <w:szCs w:val="4"/>
              </w:rPr>
            </w:pPr>
            <w:r>
              <w:rPr>
                <w:sz w:val="4"/>
                <w:szCs w:val="4"/>
              </w:rPr>
            </w:r>
          </w:p>
        </w:tc>
        <w:tc>
          <w:tcPr>
            <w:tcW w:w="9540" w:type="dxa"/>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vAlign w:val="center"/>
          </w:tcPr>
          <w:p>
            <w:pPr>
              <w:pStyle w:val="TableContents"/>
              <w:spacing w:lineRule="auto" w:line="288" w:before="0" w:after="0"/>
              <w:ind w:left="0" w:right="0" w:firstLine="540"/>
              <w:rPr/>
            </w:pPr>
            <w:r>
              <w:rPr/>
              <w:t>•</w:t>
            </w:r>
          </w:p>
        </w:tc>
        <w:tc>
          <w:tcPr>
            <w:tcW w:w="9540" w:type="dxa"/>
            <w:tcBorders/>
            <w:shd w:fill="auto" w:val="clear"/>
            <w:vAlign w:val="center"/>
          </w:tcPr>
          <w:p>
            <w:pPr>
              <w:pStyle w:val="TableContents"/>
              <w:spacing w:lineRule="auto" w:line="288" w:before="0" w:after="0"/>
              <w:jc w:val="left"/>
              <w:rPr>
                <w:sz w:val="18"/>
              </w:rPr>
            </w:pPr>
            <w:r>
              <w:rPr>
                <w:rFonts w:ascii="Arial" w:hAnsi="Arial"/>
                <w:b/>
                <w:sz w:val="18"/>
              </w:rPr>
              <w:t xml:space="preserve">Non-GAAP operating earnings for second quarter 2019 of $427.1 million, </w:t>
            </w:r>
            <w:r>
              <w:rPr>
                <w:rFonts w:ascii="Arial" w:hAnsi="Arial"/>
                <w:sz w:val="18"/>
              </w:rPr>
              <w:t xml:space="preserve">compared to $391.4 million for second quarter 2018. Non-GAAP operating earnings per diluted share of $1.52 for second quarter 2019 compared to $1.35 for second quarter 2018. </w:t>
            </w:r>
          </w:p>
        </w:tc>
      </w:tr>
    </w:tbl>
    <w:tbl>
      <w:tblPr>
        <w:tblW w:w="10205" w:type="dxa"/>
        <w:jc w:val="left"/>
        <w:tblInd w:w="0" w:type="dxa"/>
        <w:tblCellMar>
          <w:top w:w="0" w:type="dxa"/>
          <w:left w:w="0" w:type="dxa"/>
          <w:bottom w:w="0" w:type="dxa"/>
          <w:right w:w="0" w:type="dxa"/>
        </w:tblCellMar>
      </w:tblPr>
      <w:tblGrid>
        <w:gridCol w:w="665"/>
        <w:gridCol w:w="9540"/>
      </w:tblGrid>
      <w:tr>
        <w:trPr/>
        <w:tc>
          <w:tcPr>
            <w:tcW w:w="665" w:type="dxa"/>
            <w:tcBorders/>
            <w:shd w:fill="auto" w:val="clear"/>
            <w:vAlign w:val="center"/>
          </w:tcPr>
          <w:p>
            <w:pPr>
              <w:pStyle w:val="TableContents"/>
              <w:spacing w:before="0" w:after="283"/>
              <w:rPr>
                <w:sz w:val="4"/>
                <w:szCs w:val="4"/>
              </w:rPr>
            </w:pPr>
            <w:r>
              <w:rPr>
                <w:sz w:val="4"/>
                <w:szCs w:val="4"/>
              </w:rPr>
            </w:r>
          </w:p>
        </w:tc>
        <w:tc>
          <w:tcPr>
            <w:tcW w:w="9540" w:type="dxa"/>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vAlign w:val="center"/>
          </w:tcPr>
          <w:p>
            <w:pPr>
              <w:pStyle w:val="TableContents"/>
              <w:spacing w:lineRule="auto" w:line="288" w:before="0" w:after="0"/>
              <w:ind w:left="0" w:right="0" w:firstLine="540"/>
              <w:rPr/>
            </w:pPr>
            <w:r>
              <w:rPr/>
              <w:t>•</w:t>
            </w:r>
          </w:p>
        </w:tc>
        <w:tc>
          <w:tcPr>
            <w:tcW w:w="9540" w:type="dxa"/>
            <w:tcBorders/>
            <w:shd w:fill="auto" w:val="clear"/>
            <w:vAlign w:val="center"/>
          </w:tcPr>
          <w:p>
            <w:pPr>
              <w:pStyle w:val="TableContents"/>
              <w:spacing w:lineRule="auto" w:line="288" w:before="0" w:after="0"/>
              <w:jc w:val="left"/>
              <w:rPr>
                <w:sz w:val="18"/>
              </w:rPr>
            </w:pPr>
            <w:r>
              <w:rPr>
                <w:rFonts w:ascii="Arial" w:hAnsi="Arial"/>
                <w:b/>
                <w:sz w:val="18"/>
              </w:rPr>
              <w:t xml:space="preserve">Quarterly common stock dividend of $0.55 per share </w:t>
            </w:r>
            <w:r>
              <w:rPr>
                <w:rFonts w:ascii="Arial" w:hAnsi="Arial"/>
                <w:sz w:val="18"/>
              </w:rPr>
              <w:t>for third quarter 2019 was authorized by the company’s Board of Directors, bringing the trailing twelve-month dividend to $2.17 per share, a 6 percent increase compared to the prior year trailing twelve-month period. The dividend will be payable on Sept. 27, 2019, to shareholders of record as of Sept. 5, 2019.</w:t>
            </w:r>
          </w:p>
        </w:tc>
      </w:tr>
    </w:tbl>
    <w:p>
      <w:pPr>
        <w:pStyle w:val="TextBody"/>
        <w:spacing w:lineRule="auto" w:line="288" w:before="0" w:after="0"/>
        <w:jc w:val="left"/>
        <w:rPr/>
      </w:pPr>
      <w:r>
        <w:rPr/>
        <w:t> </w:t>
      </w:r>
    </w:p>
    <w:p>
      <w:pPr>
        <w:pStyle w:val="TextBody"/>
        <w:spacing w:lineRule="auto" w:line="288" w:before="0" w:after="0"/>
        <w:jc w:val="left"/>
        <w:rPr/>
      </w:pPr>
      <w:r>
        <w:rPr/>
        <w:t>“</w:t>
      </w:r>
      <w:r>
        <w:rPr>
          <w:rFonts w:ascii="Arial" w:hAnsi="Arial"/>
          <w:sz w:val="18"/>
        </w:rPr>
        <w:t>I’m pleased with our results for the quarter and first six months of the year,” said Dan Houston, chairman, president and CEO of Principal. “We delivered $427 million of non-GAAP operating earnings in the second quarter, an increase of 9 percent compared to the prior year quarter, despite ongoing revenue pressures and meaningful investments for long-term growth.  Compared to year-end 2018, we’ve increased assets under management by nearly $70 billion, or 11 percent.”</w:t>
      </w:r>
    </w:p>
    <w:p>
      <w:pPr>
        <w:pStyle w:val="TextBody"/>
        <w:spacing w:lineRule="auto" w:line="288" w:before="0" w:after="0"/>
        <w:rPr/>
      </w:pPr>
      <w:r>
        <w:rPr/>
        <w:t>“</w:t>
      </w:r>
      <w:r>
        <w:rPr>
          <w:rFonts w:ascii="Arial" w:hAnsi="Arial"/>
          <w:sz w:val="18"/>
        </w:rPr>
        <w:t>We continue to create long-term shareholder value through our balanced approach to capital deployment,” added Houston. “In the first half of the year, we returned $430 million to shareholders through common stock dividends and share repurchases. Additionally, during the second quarter we committed $1.2 billion to acquire the Wells Fargo Institutional Retirement &amp; Trust business.  The acquisition, which closed on July 1st, enables us to further capitalize on one of the largest opportunities in financial services - the U.S. retirement savings and retirement income markets.  It essentially doubles the size of our U.S. retirement business, but more importantly, it improves our ability to serve customers, reinforces our commitment to the retirement industry, and enables us to create new value in the marketplace by combining the strengths of both business models a teams.”</w:t>
      </w:r>
    </w:p>
    <w:p>
      <w:pPr>
        <w:pStyle w:val="TextBody"/>
        <w:spacing w:lineRule="auto" w:line="288" w:before="0" w:after="0"/>
        <w:rPr>
          <w:rFonts w:ascii="Arial" w:hAnsi="Arial"/>
          <w:sz w:val="18"/>
        </w:rPr>
      </w:pPr>
      <w:r>
        <w:rPr>
          <w:rFonts w:ascii="Arial" w:hAnsi="Arial"/>
          <w:sz w:val="18"/>
        </w:rPr>
        <w:t>_____________________</w:t>
      </w:r>
    </w:p>
    <w:p>
      <w:pPr>
        <w:pStyle w:val="TextBody"/>
        <w:spacing w:lineRule="auto" w:line="288" w:before="0" w:after="0"/>
        <w:rPr>
          <w:sz w:val="13"/>
        </w:rPr>
      </w:pPr>
      <w:r>
        <w:rPr>
          <w:rFonts w:ascii="Arial" w:hAnsi="Arial"/>
          <w:sz w:val="8"/>
        </w:rPr>
        <w:t xml:space="preserve">1 </w:t>
      </w:r>
      <w:r>
        <w:rPr>
          <w:rFonts w:ascii="Arial" w:hAnsi="Arial"/>
          <w:sz w:val="13"/>
        </w:rPr>
        <w:t xml:space="preserve">Use of non-GAAP financial measures is discussed in this release after segment results. Non-GAAP operating earnings for total company is after tax. </w:t>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bookmarkStart w:id="9" w:name="s97fc5586279442bfa8dbf20352e1227b"/>
      <w:bookmarkEnd w:id="9"/>
      <w:r>
        <w:rPr/>
        <w:drawing>
          <wp:inline distT="0" distB="0" distL="0" distR="0">
            <wp:extent cx="1981200" cy="5905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p>
      <w:pPr>
        <w:pStyle w:val="TextBody"/>
        <w:spacing w:lineRule="auto" w:line="288" w:before="0" w:after="0"/>
        <w:jc w:val="left"/>
        <w:rPr>
          <w:rFonts w:ascii="Arial" w:hAnsi="Arial"/>
          <w:b/>
          <w:sz w:val="18"/>
        </w:rPr>
      </w:pPr>
      <w:r>
        <w:rPr>
          <w:rFonts w:ascii="Arial" w:hAnsi="Arial"/>
          <w:b/>
          <w:sz w:val="18"/>
        </w:rPr>
        <w:t>Other second quarter highlights</w:t>
      </w:r>
    </w:p>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rPr>
                <w:sz w:val="18"/>
              </w:rPr>
            </w:pPr>
            <w:r>
              <w:rPr>
                <w:rFonts w:ascii="Arial" w:hAnsi="Arial"/>
                <w:sz w:val="18"/>
              </w:rPr>
              <w:t>Morningstar investment performance</w:t>
            </w:r>
            <w:r>
              <w:rPr>
                <w:rFonts w:ascii="Arial" w:hAnsi="Arial"/>
                <w:sz w:val="12"/>
              </w:rPr>
              <w:t>2</w:t>
            </w:r>
            <w:r>
              <w:rPr>
                <w:sz w:val="18"/>
              </w:rPr>
              <w:t xml:space="preserve"> </w:t>
            </w:r>
            <w:r>
              <w:rPr>
                <w:rFonts w:ascii="Arial" w:hAnsi="Arial"/>
                <w:sz w:val="18"/>
              </w:rPr>
              <w:t>improved from first quarter 2019, with 57 percent of Principal’s investment options</w:t>
            </w:r>
            <w:r>
              <w:rPr>
                <w:sz w:val="18"/>
              </w:rPr>
              <w:t xml:space="preserve"> </w:t>
            </w:r>
            <w:r>
              <w:rPr>
                <w:rFonts w:ascii="Arial" w:hAnsi="Arial"/>
                <w:sz w:val="18"/>
              </w:rPr>
              <w:t>above median on a one-year basis, 68 percent on a three-year basis and 83 percent on a five-year basis. 88 percent of fund level AUM had a 4 or 5 star rating.</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rFonts w:ascii="Arial" w:hAnsi="Arial"/>
                <w:sz w:val="18"/>
              </w:rPr>
            </w:pPr>
            <w:r>
              <w:rPr>
                <w:rFonts w:ascii="Arial" w:hAnsi="Arial"/>
                <w:sz w:val="18"/>
              </w:rPr>
              <w:t xml:space="preserve">We continue to execute on our accelerated investment in digital business strategies as we intensify our focus on the customer experience, direct to consumer offerings and our use of data science in investment research. As expected, some benefits are beginning to emerge.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rFonts w:ascii="Arial" w:hAnsi="Arial"/>
                <w:sz w:val="18"/>
              </w:rPr>
            </w:pPr>
            <w:r>
              <w:rPr>
                <w:rFonts w:ascii="Arial" w:hAnsi="Arial"/>
                <w:sz w:val="18"/>
              </w:rPr>
              <w:t xml:space="preserve">Retirement and Income Solutions (RIS) - Fee sales were $4.1 billion and net cash flow was $1.4 billion, reflecting a 7 percent increase in recurring deposits from the prior year quarter. Coupled with strong asset appreciation, end of period account values increased nearly $20.0 billion, or 9 percent compared to a year ago, to $249.1 billion.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rFonts w:ascii="Arial" w:hAnsi="Arial"/>
                <w:sz w:val="18"/>
              </w:rPr>
            </w:pPr>
            <w:r>
              <w:rPr>
                <w:rFonts w:ascii="Arial" w:hAnsi="Arial"/>
                <w:sz w:val="18"/>
              </w:rPr>
              <w:t>RIS-Spread account values were $47.7 billion, a 12 percent increase over the prior year quarter. Second quarter sales were $2.0 billion including $0.9 billion of pension risk transfer sales.</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rPr>
                <w:sz w:val="18"/>
              </w:rPr>
            </w:pPr>
            <w:r>
              <w:rPr>
                <w:rFonts w:ascii="Arial" w:hAnsi="Arial"/>
                <w:sz w:val="18"/>
              </w:rPr>
              <w:t>Principal Global Investors (PGI) pre-tax return on operating revenues less pass-through commissions</w:t>
            </w:r>
            <w:r>
              <w:rPr>
                <w:rFonts w:ascii="Arial" w:hAnsi="Arial"/>
                <w:sz w:val="12"/>
              </w:rPr>
              <w:t>3</w:t>
            </w:r>
            <w:r>
              <w:rPr>
                <w:sz w:val="18"/>
              </w:rPr>
              <w:t xml:space="preserve"> </w:t>
            </w:r>
            <w:r>
              <w:rPr>
                <w:rFonts w:ascii="Arial" w:hAnsi="Arial"/>
                <w:sz w:val="18"/>
              </w:rPr>
              <w:t xml:space="preserve">was 36.2 percent.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sz w:val="18"/>
              </w:rPr>
              <w:t>Principal International (PI) generated net cash flow of $0.6 billion, marking its 43</w:t>
            </w:r>
            <w:r>
              <w:rPr>
                <w:rFonts w:ascii="Arial" w:hAnsi="Arial"/>
                <w:sz w:val="12"/>
              </w:rPr>
              <w:t>rd</w:t>
            </w:r>
            <w:r>
              <w:rPr>
                <w:sz w:val="18"/>
              </w:rPr>
              <w:t xml:space="preserve"> </w:t>
            </w:r>
            <w:r>
              <w:rPr>
                <w:rFonts w:ascii="Arial" w:hAnsi="Arial"/>
                <w:sz w:val="18"/>
              </w:rPr>
              <w:t xml:space="preserve">consecutive quarter of positive net cash flow.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rPr>
                <w:sz w:val="18"/>
              </w:rPr>
            </w:pPr>
            <w:r>
              <w:rPr>
                <w:rFonts w:ascii="Arial" w:hAnsi="Arial"/>
                <w:sz w:val="18"/>
              </w:rPr>
              <w:t>Specialty Benefits premium and fees</w:t>
            </w:r>
            <w:r>
              <w:rPr>
                <w:rFonts w:ascii="Arial" w:hAnsi="Arial"/>
                <w:sz w:val="12"/>
              </w:rPr>
              <w:t>4</w:t>
            </w:r>
            <w:r>
              <w:rPr>
                <w:sz w:val="18"/>
              </w:rPr>
              <w:t xml:space="preserve"> </w:t>
            </w:r>
            <w:r>
              <w:rPr>
                <w:rFonts w:ascii="Arial" w:hAnsi="Arial"/>
                <w:sz w:val="18"/>
              </w:rPr>
              <w:t xml:space="preserve">increased 8 percent compared to the year ago quarter driven by strong retention and sales. </w:t>
            </w:r>
          </w:p>
        </w:tc>
      </w:tr>
    </w:tbl>
    <w:tbl>
      <w:tblPr>
        <w:tblW w:w="10105" w:type="dxa"/>
        <w:jc w:val="left"/>
        <w:tblInd w:w="0" w:type="dxa"/>
        <w:tblCellMar>
          <w:top w:w="0" w:type="dxa"/>
          <w:left w:w="0" w:type="dxa"/>
          <w:bottom w:w="0" w:type="dxa"/>
          <w:right w:w="0" w:type="dxa"/>
        </w:tblCellMar>
      </w:tblPr>
      <w:tblGrid>
        <w:gridCol w:w="485"/>
        <w:gridCol w:w="9620"/>
      </w:tblGrid>
      <w:tr>
        <w:trPr/>
        <w:tc>
          <w:tcPr>
            <w:tcW w:w="485" w:type="dxa"/>
            <w:tcBorders/>
            <w:shd w:fill="auto" w:val="clear"/>
            <w:vAlign w:val="center"/>
          </w:tcPr>
          <w:p>
            <w:pPr>
              <w:pStyle w:val="TableContents"/>
              <w:spacing w:before="0" w:after="283"/>
              <w:rPr>
                <w:sz w:val="4"/>
                <w:szCs w:val="4"/>
              </w:rPr>
            </w:pPr>
            <w:r>
              <w:rPr>
                <w:sz w:val="4"/>
                <w:szCs w:val="4"/>
              </w:rPr>
            </w:r>
          </w:p>
        </w:tc>
        <w:tc>
          <w:tcPr>
            <w:tcW w:w="96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620" w:type="dxa"/>
            <w:tcBorders/>
            <w:shd w:fill="auto" w:val="clear"/>
            <w:vAlign w:val="center"/>
          </w:tcPr>
          <w:p>
            <w:pPr>
              <w:pStyle w:val="TableContents"/>
              <w:spacing w:lineRule="auto" w:line="288" w:before="0" w:after="0"/>
              <w:jc w:val="left"/>
              <w:rPr>
                <w:rFonts w:ascii="Arial" w:hAnsi="Arial"/>
                <w:sz w:val="18"/>
              </w:rPr>
            </w:pPr>
            <w:r>
              <w:rPr>
                <w:rFonts w:ascii="Arial" w:hAnsi="Arial"/>
                <w:sz w:val="18"/>
              </w:rPr>
              <w:t>Individual Life sales increased 12 percent over the year ago quarter with 58 percent of sales from the business market.</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rFonts w:ascii="Arial" w:hAnsi="Arial"/>
                <w:sz w:val="18"/>
              </w:rPr>
            </w:pPr>
            <w:r>
              <w:rPr>
                <w:rFonts w:ascii="Arial" w:hAnsi="Arial"/>
                <w:sz w:val="18"/>
              </w:rPr>
              <w:t xml:space="preserve">Continued strong capital position as we committed and deployed $1.4 billion of capital in second quarter 2019, including: </w:t>
            </w:r>
          </w:p>
        </w:tc>
      </w:tr>
    </w:tbl>
    <w:tbl>
      <w:tblPr>
        <w:tblW w:w="7990" w:type="dxa"/>
        <w:jc w:val="left"/>
        <w:tblInd w:w="0" w:type="dxa"/>
        <w:tblCellMar>
          <w:top w:w="0" w:type="dxa"/>
          <w:left w:w="0" w:type="dxa"/>
          <w:bottom w:w="0" w:type="dxa"/>
          <w:right w:w="0" w:type="dxa"/>
        </w:tblCellMar>
      </w:tblPr>
      <w:tblGrid>
        <w:gridCol w:w="1205"/>
        <w:gridCol w:w="6785"/>
      </w:tblGrid>
      <w:tr>
        <w:trPr/>
        <w:tc>
          <w:tcPr>
            <w:tcW w:w="1205" w:type="dxa"/>
            <w:tcBorders/>
            <w:shd w:fill="auto" w:val="clear"/>
            <w:vAlign w:val="center"/>
          </w:tcPr>
          <w:p>
            <w:pPr>
              <w:pStyle w:val="TableContents"/>
              <w:spacing w:before="0" w:after="283"/>
              <w:rPr>
                <w:sz w:val="4"/>
                <w:szCs w:val="4"/>
              </w:rPr>
            </w:pPr>
            <w:r>
              <w:rPr>
                <w:sz w:val="4"/>
                <w:szCs w:val="4"/>
              </w:rPr>
            </w:r>
          </w:p>
        </w:tc>
        <w:tc>
          <w:tcPr>
            <w:tcW w:w="6785" w:type="dxa"/>
            <w:tcBorders/>
            <w:shd w:fill="auto" w:val="clear"/>
            <w:vAlign w:val="center"/>
          </w:tcPr>
          <w:p>
            <w:pPr>
              <w:pStyle w:val="TableContents"/>
              <w:spacing w:before="0" w:after="283"/>
              <w:rPr>
                <w:sz w:val="4"/>
                <w:szCs w:val="4"/>
              </w:rPr>
            </w:pPr>
            <w:r>
              <w:rPr>
                <w:sz w:val="4"/>
                <w:szCs w:val="4"/>
              </w:rPr>
            </w:r>
          </w:p>
        </w:tc>
      </w:tr>
      <w:tr>
        <w:trPr/>
        <w:tc>
          <w:tcPr>
            <w:tcW w:w="1205" w:type="dxa"/>
            <w:tcBorders/>
            <w:shd w:fill="auto" w:val="clear"/>
            <w:vAlign w:val="center"/>
          </w:tcPr>
          <w:p>
            <w:pPr>
              <w:pStyle w:val="TableContents"/>
              <w:spacing w:lineRule="auto" w:line="288" w:before="0" w:after="0"/>
              <w:ind w:left="0" w:right="0" w:firstLine="1080"/>
              <w:rPr/>
            </w:pPr>
            <w:r>
              <w:rPr/>
              <w:t>◦</w:t>
            </w:r>
          </w:p>
        </w:tc>
        <w:tc>
          <w:tcPr>
            <w:tcW w:w="6785" w:type="dxa"/>
            <w:tcBorders/>
            <w:shd w:fill="auto" w:val="clear"/>
            <w:vAlign w:val="center"/>
          </w:tcPr>
          <w:p>
            <w:pPr>
              <w:pStyle w:val="TableContents"/>
              <w:spacing w:lineRule="auto" w:line="288" w:before="0" w:after="0"/>
              <w:jc w:val="left"/>
              <w:rPr>
                <w:rFonts w:ascii="Arial" w:hAnsi="Arial"/>
                <w:sz w:val="18"/>
              </w:rPr>
            </w:pPr>
            <w:r>
              <w:rPr>
                <w:rFonts w:ascii="Arial" w:hAnsi="Arial"/>
                <w:sz w:val="18"/>
              </w:rPr>
              <w:t>$1.2 billion to acquire the Wells Fargo Institutional Retirement &amp; Trust business and</w:t>
            </w:r>
          </w:p>
        </w:tc>
      </w:tr>
    </w:tbl>
    <w:tbl>
      <w:tblPr>
        <w:tblW w:w="10205" w:type="dxa"/>
        <w:jc w:val="left"/>
        <w:tblInd w:w="0" w:type="dxa"/>
        <w:tblCellMar>
          <w:top w:w="0" w:type="dxa"/>
          <w:left w:w="0" w:type="dxa"/>
          <w:bottom w:w="0" w:type="dxa"/>
          <w:right w:w="0" w:type="dxa"/>
        </w:tblCellMar>
      </w:tblPr>
      <w:tblGrid>
        <w:gridCol w:w="1205"/>
        <w:gridCol w:w="9000"/>
      </w:tblGrid>
      <w:tr>
        <w:trPr/>
        <w:tc>
          <w:tcPr>
            <w:tcW w:w="1205" w:type="dxa"/>
            <w:tcBorders/>
            <w:shd w:fill="auto" w:val="clear"/>
            <w:vAlign w:val="center"/>
          </w:tcPr>
          <w:p>
            <w:pPr>
              <w:pStyle w:val="TableContents"/>
              <w:spacing w:before="0" w:after="283"/>
              <w:rPr>
                <w:sz w:val="4"/>
                <w:szCs w:val="4"/>
              </w:rPr>
            </w:pPr>
            <w:r>
              <w:rPr>
                <w:sz w:val="4"/>
                <w:szCs w:val="4"/>
              </w:rPr>
            </w:r>
          </w:p>
        </w:tc>
        <w:tc>
          <w:tcPr>
            <w:tcW w:w="9000" w:type="dxa"/>
            <w:tcBorders/>
            <w:shd w:fill="auto" w:val="clear"/>
            <w:vAlign w:val="center"/>
          </w:tcPr>
          <w:p>
            <w:pPr>
              <w:pStyle w:val="TableContents"/>
              <w:spacing w:before="0" w:after="283"/>
              <w:rPr>
                <w:sz w:val="4"/>
                <w:szCs w:val="4"/>
              </w:rPr>
            </w:pPr>
            <w:r>
              <w:rPr>
                <w:sz w:val="4"/>
                <w:szCs w:val="4"/>
              </w:rPr>
            </w:r>
          </w:p>
        </w:tc>
      </w:tr>
      <w:tr>
        <w:trPr/>
        <w:tc>
          <w:tcPr>
            <w:tcW w:w="1205" w:type="dxa"/>
            <w:tcBorders/>
            <w:shd w:fill="auto" w:val="clear"/>
            <w:vAlign w:val="center"/>
          </w:tcPr>
          <w:p>
            <w:pPr>
              <w:pStyle w:val="TableContents"/>
              <w:spacing w:lineRule="auto" w:line="288" w:before="0" w:after="0"/>
              <w:ind w:left="0" w:right="0" w:firstLine="1080"/>
              <w:rPr/>
            </w:pPr>
            <w:r>
              <w:rPr/>
              <w:t>◦</w:t>
            </w:r>
          </w:p>
        </w:tc>
        <w:tc>
          <w:tcPr>
            <w:tcW w:w="9000" w:type="dxa"/>
            <w:tcBorders/>
            <w:shd w:fill="auto" w:val="clear"/>
            <w:vAlign w:val="center"/>
          </w:tcPr>
          <w:p>
            <w:pPr>
              <w:pStyle w:val="TableContents"/>
              <w:spacing w:lineRule="auto" w:line="288" w:before="0" w:after="0"/>
              <w:jc w:val="left"/>
              <w:rPr>
                <w:rFonts w:ascii="Arial" w:hAnsi="Arial"/>
                <w:sz w:val="18"/>
              </w:rPr>
            </w:pPr>
            <w:r>
              <w:rPr>
                <w:rFonts w:ascii="Arial" w:hAnsi="Arial"/>
                <w:sz w:val="18"/>
              </w:rPr>
              <w:t xml:space="preserve">$150.4 million of common stock dividends with the $0.54 per share common dividend paid in the second quarter. </w:t>
            </w:r>
          </w:p>
        </w:tc>
      </w:tr>
    </w:tbl>
    <w:p>
      <w:pPr>
        <w:pStyle w:val="TextBody"/>
        <w:spacing w:lineRule="auto" w:line="288" w:before="0" w:after="0"/>
        <w:ind w:left="0" w:right="0" w:firstLine="1440"/>
        <w:rPr/>
      </w:pPr>
      <w:r>
        <w:rPr/>
        <w:t>        </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ind w:left="0" w:right="0" w:firstLine="720"/>
        <w:jc w:val="left"/>
        <w:rPr>
          <w:rFonts w:ascii="Arial" w:hAnsi="Arial"/>
          <w:sz w:val="18"/>
        </w:rPr>
      </w:pPr>
      <w:r>
        <w:rPr>
          <w:rFonts w:ascii="Arial" w:hAnsi="Arial"/>
          <w:sz w:val="18"/>
        </w:rPr>
      </w:r>
    </w:p>
    <w:p>
      <w:pPr>
        <w:pStyle w:val="TextBody"/>
        <w:spacing w:lineRule="auto" w:line="288" w:before="0" w:after="0"/>
        <w:ind w:left="0" w:right="0" w:firstLine="720"/>
        <w:rPr>
          <w:rFonts w:ascii="Arial" w:hAnsi="Arial"/>
          <w:sz w:val="18"/>
        </w:rPr>
      </w:pPr>
      <w:r>
        <w:rPr>
          <w:rFonts w:ascii="Arial" w:hAnsi="Arial"/>
          <w:sz w:val="18"/>
        </w:rPr>
      </w:r>
    </w:p>
    <w:p>
      <w:pPr>
        <w:pStyle w:val="TextBody"/>
        <w:spacing w:lineRule="auto" w:line="288" w:before="0" w:after="0"/>
        <w:ind w:left="0" w:right="0" w:firstLine="720"/>
        <w:rPr>
          <w:rFonts w:ascii="Arial" w:hAnsi="Arial"/>
          <w:sz w:val="18"/>
        </w:rPr>
      </w:pPr>
      <w:r>
        <w:rPr>
          <w:rFonts w:ascii="Arial" w:hAnsi="Arial"/>
          <w:sz w:val="18"/>
        </w:rPr>
      </w:r>
    </w:p>
    <w:p>
      <w:pPr>
        <w:pStyle w:val="TextBody"/>
        <w:spacing w:lineRule="auto" w:line="288" w:before="0" w:after="0"/>
        <w:jc w:val="left"/>
        <w:rPr>
          <w:rFonts w:ascii="Arial" w:hAnsi="Arial"/>
          <w:sz w:val="18"/>
        </w:rPr>
      </w:pPr>
      <w:r>
        <w:rPr>
          <w:rFonts w:ascii="Arial" w:hAnsi="Arial"/>
          <w:sz w:val="18"/>
        </w:rPr>
        <w:t>______________________</w:t>
      </w:r>
    </w:p>
    <w:p>
      <w:pPr>
        <w:pStyle w:val="TextBody"/>
        <w:spacing w:lineRule="auto" w:line="288" w:before="0" w:after="0"/>
        <w:jc w:val="left"/>
        <w:rPr>
          <w:sz w:val="18"/>
        </w:rPr>
      </w:pPr>
      <w:r>
        <w:rPr>
          <w:rFonts w:ascii="Arial" w:hAnsi="Arial"/>
          <w:sz w:val="8"/>
        </w:rPr>
        <w:t>2</w:t>
      </w:r>
      <w:r>
        <w:rPr>
          <w:sz w:val="18"/>
        </w:rPr>
        <w:t xml:space="preserve"> </w:t>
      </w:r>
      <w:r>
        <w:rPr>
          <w:rFonts w:ascii="Arial" w:hAnsi="Arial"/>
          <w:sz w:val="13"/>
        </w:rPr>
        <w:t>Represents the percentage of Principal actively managed mutual funds, exchange traded funds (ETFs), insurance separate accounts, and collective investment trusts (CITs) in the top two Morningstar quartiles. Excludes Money Market, Stable Value, Liability Driven Investment, Hedge Fund Separate Account and US Property Separate Account.</w:t>
      </w:r>
    </w:p>
    <w:p>
      <w:pPr>
        <w:pStyle w:val="TextBody"/>
        <w:spacing w:lineRule="auto" w:line="288" w:before="0" w:after="0"/>
        <w:jc w:val="left"/>
        <w:rPr>
          <w:sz w:val="13"/>
        </w:rPr>
      </w:pPr>
      <w:r>
        <w:rPr>
          <w:rFonts w:ascii="Arial" w:hAnsi="Arial"/>
          <w:sz w:val="8"/>
        </w:rPr>
        <w:t>3</w:t>
      </w:r>
      <w:r>
        <w:rPr>
          <w:sz w:val="13"/>
        </w:rPr>
        <w:t xml:space="preserve"> </w:t>
      </w:r>
      <w:r>
        <w:rPr>
          <w:rFonts w:ascii="Arial" w:hAnsi="Arial"/>
          <w:sz w:val="13"/>
        </w:rPr>
        <w:t>Pre-tax return on operating revenues less pass-through commissions = pre-tax operating earnings, adjusted for noncontrolling interest divided by operating revenues less pass-through commissions.</w:t>
      </w:r>
    </w:p>
    <w:p>
      <w:pPr>
        <w:pStyle w:val="TextBody"/>
        <w:spacing w:lineRule="auto" w:line="288" w:before="0" w:after="0"/>
        <w:jc w:val="left"/>
        <w:rPr>
          <w:sz w:val="13"/>
        </w:rPr>
      </w:pPr>
      <w:r>
        <w:rPr>
          <w:rFonts w:ascii="Arial" w:hAnsi="Arial"/>
          <w:sz w:val="8"/>
        </w:rPr>
        <w:t>4</w:t>
      </w:r>
      <w:r>
        <w:rPr>
          <w:sz w:val="13"/>
        </w:rPr>
        <w:t xml:space="preserve"> </w:t>
      </w:r>
      <w:r>
        <w:rPr>
          <w:rFonts w:ascii="Arial" w:hAnsi="Arial"/>
          <w:sz w:val="13"/>
        </w:rPr>
        <w:t>Premium and fees = premiums and other considerations plus fees and other revenues.</w:t>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r>
        <w:rPr/>
        <w:drawing>
          <wp:inline distT="0" distB="0" distL="0" distR="0">
            <wp:extent cx="1981200" cy="59055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p>
      <w:pPr>
        <w:pStyle w:val="TextBody"/>
        <w:spacing w:lineRule="auto" w:line="288" w:before="0" w:after="0"/>
        <w:jc w:val="left"/>
        <w:rPr>
          <w:rFonts w:ascii="Arial" w:hAnsi="Arial"/>
          <w:b/>
          <w:sz w:val="18"/>
        </w:rPr>
      </w:pPr>
      <w:r>
        <w:rPr>
          <w:rFonts w:ascii="Arial" w:hAnsi="Arial"/>
          <w:b/>
          <w:sz w:val="18"/>
        </w:rPr>
        <w:t>Segment Results</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Arial" w:hAnsi="Arial"/>
          <w:b/>
          <w:sz w:val="18"/>
        </w:rPr>
      </w:pPr>
      <w:r>
        <w:rPr>
          <w:rFonts w:ascii="Arial" w:hAnsi="Arial"/>
          <w:b/>
          <w:sz w:val="18"/>
        </w:rPr>
        <w:t>Retirement and Income Solutions - Fee</w:t>
      </w:r>
    </w:p>
    <w:tbl>
      <w:tblPr>
        <w:tblW w:w="7460" w:type="dxa"/>
        <w:jc w:val="left"/>
        <w:tblInd w:w="0" w:type="dxa"/>
        <w:tblCellMar>
          <w:top w:w="0" w:type="dxa"/>
          <w:left w:w="0" w:type="dxa"/>
          <w:bottom w:w="0" w:type="dxa"/>
          <w:right w:w="0" w:type="dxa"/>
        </w:tblCellMar>
      </w:tblPr>
      <w:tblGrid>
        <w:gridCol w:w="3215"/>
        <w:gridCol w:w="545"/>
        <w:gridCol w:w="545"/>
        <w:gridCol w:w="815"/>
        <w:gridCol w:w="680"/>
        <w:gridCol w:w="680"/>
        <w:gridCol w:w="980"/>
      </w:tblGrid>
      <w:tr>
        <w:trPr/>
        <w:tc>
          <w:tcPr>
            <w:tcW w:w="7460" w:type="dxa"/>
            <w:gridSpan w:val="7"/>
            <w:tcBorders/>
            <w:shd w:fill="auto" w:val="clear"/>
            <w:vAlign w:val="center"/>
          </w:tcPr>
          <w:p>
            <w:pPr>
              <w:pStyle w:val="TableContents"/>
              <w:spacing w:before="0" w:after="283"/>
              <w:rPr>
                <w:sz w:val="4"/>
                <w:szCs w:val="4"/>
              </w:rPr>
            </w:pPr>
            <w:r>
              <w:rPr>
                <w:sz w:val="4"/>
                <w:szCs w:val="4"/>
              </w:rPr>
            </w:r>
          </w:p>
        </w:tc>
      </w:tr>
      <w:tr>
        <w:trPr/>
        <w:tc>
          <w:tcPr>
            <w:tcW w:w="321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215" w:type="dxa"/>
            <w:vMerge w:val="restart"/>
            <w:tcBorders>
              <w:top w:val="single" w:sz="12" w:space="0" w:color="000000"/>
              <w:left w:val="single" w:sz="2" w:space="0" w:color="000000"/>
            </w:tcBorders>
            <w:shd w:fill="auto" w:val="clear"/>
            <w:tcMar>
              <w:top w:w="30" w:type="dxa"/>
              <w:left w:w="28" w:type="dxa"/>
            </w:tcMar>
            <w:vAlign w:val="center"/>
          </w:tcPr>
          <w:p>
            <w:pPr>
              <w:pStyle w:val="TableContents"/>
              <w:spacing w:before="0" w:after="0"/>
              <w:ind w:left="0" w:right="0" w:firstLine="30"/>
              <w:jc w:val="center"/>
              <w:rPr>
                <w:rFonts w:ascii="Arial" w:hAnsi="Arial"/>
                <w:i/>
                <w:sz w:val="13"/>
              </w:rPr>
            </w:pPr>
            <w:r>
              <w:rPr>
                <w:rFonts w:ascii="Arial" w:hAnsi="Arial"/>
                <w:i/>
                <w:sz w:val="13"/>
              </w:rPr>
              <w:t>(in millions except percentages or otherwise noted)</w:t>
            </w:r>
          </w:p>
        </w:tc>
        <w:tc>
          <w:tcPr>
            <w:tcW w:w="1905" w:type="dxa"/>
            <w:gridSpan w:val="3"/>
            <w:tcBorders>
              <w:top w:val="single" w:sz="12" w:space="0" w:color="000000"/>
              <w:right w:val="single" w:sz="2" w:space="0" w:color="000000"/>
            </w:tcBorders>
            <w:shd w:fill="BFBFBF" w:val="clear"/>
            <w:tcMar>
              <w:top w:w="30" w:type="dxa"/>
              <w:right w:w="30" w:type="dxa"/>
            </w:tcMar>
            <w:vAlign w:val="center"/>
          </w:tcPr>
          <w:p>
            <w:pPr>
              <w:pStyle w:val="TableContents"/>
              <w:spacing w:before="0" w:after="0"/>
              <w:ind w:left="0" w:right="0" w:firstLine="30"/>
              <w:jc w:val="center"/>
              <w:rPr>
                <w:rFonts w:ascii="Arial" w:hAnsi="Arial"/>
                <w:b/>
                <w:i/>
                <w:sz w:val="17"/>
              </w:rPr>
            </w:pPr>
            <w:r>
              <w:rPr>
                <w:rFonts w:ascii="Arial" w:hAnsi="Arial"/>
                <w:b/>
                <w:i/>
                <w:sz w:val="17"/>
              </w:rPr>
              <w:t>Quarter</w:t>
            </w:r>
          </w:p>
        </w:tc>
        <w:tc>
          <w:tcPr>
            <w:tcW w:w="2340" w:type="dxa"/>
            <w:gridSpan w:val="3"/>
            <w:tcBorders>
              <w:top w:val="single" w:sz="12" w:space="0" w:color="000000"/>
              <w:left w:val="single" w:sz="2" w:space="0" w:color="000000"/>
              <w:right w:val="single" w:sz="2" w:space="0" w:color="000000"/>
            </w:tcBorders>
            <w:shd w:fill="BFBFBF" w:val="clear"/>
            <w:tcMar>
              <w:top w:w="30" w:type="dxa"/>
              <w:left w:w="28" w:type="dxa"/>
              <w:right w:w="30" w:type="dxa"/>
            </w:tcMar>
            <w:vAlign w:val="center"/>
          </w:tcPr>
          <w:p>
            <w:pPr>
              <w:pStyle w:val="TableContents"/>
              <w:spacing w:before="0" w:after="0"/>
              <w:ind w:left="0" w:right="0" w:firstLine="30"/>
              <w:jc w:val="center"/>
              <w:rPr>
                <w:rFonts w:ascii="Arial" w:hAnsi="Arial"/>
                <w:b/>
                <w:i/>
                <w:sz w:val="17"/>
              </w:rPr>
            </w:pPr>
            <w:r>
              <w:rPr>
                <w:rFonts w:ascii="Arial" w:hAnsi="Arial"/>
                <w:b/>
                <w:i/>
                <w:sz w:val="17"/>
              </w:rPr>
              <w:t>Trailing Twelve Months</w:t>
            </w:r>
          </w:p>
        </w:tc>
      </w:tr>
      <w:tr>
        <w:trPr/>
        <w:tc>
          <w:tcPr>
            <w:tcW w:w="3215" w:type="dxa"/>
            <w:vMerge w:val="continue"/>
            <w:tcBorders>
              <w:top w:val="single" w:sz="12" w:space="0" w:color="000000"/>
              <w:left w:val="single" w:sz="2" w:space="0" w:color="000000"/>
            </w:tcBorders>
            <w:shd w:fill="auto" w:val="clear"/>
            <w:tcMar>
              <w:top w:w="30" w:type="dxa"/>
              <w:left w:w="28" w:type="dxa"/>
            </w:tcMar>
            <w:vAlign w:val="center"/>
          </w:tcPr>
          <w:p>
            <w:pPr>
              <w:pStyle w:val="Normal"/>
              <w:rPr/>
            </w:pPr>
            <w:r>
              <w:rPr/>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 Change</w:t>
            </w:r>
          </w:p>
        </w:tc>
        <w:tc>
          <w:tcPr>
            <w:tcW w:w="680"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680"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980"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 Change</w:t>
            </w:r>
          </w:p>
        </w:tc>
      </w:tr>
      <w:tr>
        <w:trPr/>
        <w:tc>
          <w:tcPr>
            <w:tcW w:w="3215" w:type="dxa"/>
            <w:tcBorders>
              <w:left w:val="single" w:sz="2" w:space="0" w:color="000000"/>
            </w:tcBorders>
            <w:shd w:fill="auto" w:val="clear"/>
            <w:tcMar>
              <w:left w:w="28" w:type="dxa"/>
            </w:tcMar>
            <w:vAlign w:val="center"/>
          </w:tcPr>
          <w:p>
            <w:pPr>
              <w:pStyle w:val="TableContents"/>
              <w:spacing w:lineRule="auto" w:line="288" w:before="0" w:after="0"/>
              <w:ind w:left="0" w:right="0" w:firstLine="30"/>
              <w:jc w:val="left"/>
              <w:rPr>
                <w:sz w:val="17"/>
              </w:rPr>
            </w:pPr>
            <w:r>
              <w:rPr>
                <w:rFonts w:ascii="Arial" w:hAnsi="Arial"/>
                <w:sz w:val="17"/>
              </w:rPr>
              <w:t>Pre-tax operating earnings</w:t>
            </w:r>
            <w:r>
              <w:rPr>
                <w:rFonts w:ascii="Arial" w:hAnsi="Arial"/>
                <w:sz w:val="10"/>
              </w:rPr>
              <w:t>5</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$132.8</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$130.7</w:t>
            </w:r>
          </w:p>
        </w:tc>
        <w:tc>
          <w:tcPr>
            <w:tcW w:w="815" w:type="dxa"/>
            <w:tcBorders>
              <w:top w:val="single" w:sz="2" w:space="0" w:color="000000"/>
              <w:right w:val="single" w:sz="2" w:space="0" w:color="000000"/>
            </w:tcBorders>
            <w:shd w:fill="auto" w:val="clear"/>
            <w:tcMar>
              <w:top w:w="3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2%</w:t>
            </w:r>
          </w:p>
        </w:tc>
        <w:tc>
          <w:tcPr>
            <w:tcW w:w="680"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$495.8</w:t>
            </w:r>
          </w:p>
        </w:tc>
        <w:tc>
          <w:tcPr>
            <w:tcW w:w="680"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$487.8</w:t>
            </w:r>
          </w:p>
        </w:tc>
        <w:tc>
          <w:tcPr>
            <w:tcW w:w="980" w:type="dxa"/>
            <w:tcBorders>
              <w:top w:val="single" w:sz="2" w:space="0" w:color="000000"/>
              <w:right w:val="single" w:sz="2" w:space="0" w:color="000000"/>
            </w:tcBorders>
            <w:shd w:fill="auto" w:val="clear"/>
            <w:tcMar>
              <w:top w:w="3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2%</w:t>
            </w:r>
          </w:p>
        </w:tc>
      </w:tr>
      <w:tr>
        <w:trPr/>
        <w:tc>
          <w:tcPr>
            <w:tcW w:w="3215" w:type="dxa"/>
            <w:tcBorders>
              <w:left w:val="single" w:sz="2" w:space="0" w:color="000000"/>
            </w:tcBorders>
            <w:shd w:fill="auto" w:val="clear"/>
            <w:tcMar>
              <w:left w:w="28" w:type="dxa"/>
            </w:tcMar>
            <w:vAlign w:val="center"/>
          </w:tcPr>
          <w:p>
            <w:pPr>
              <w:pStyle w:val="TableContents"/>
              <w:spacing w:lineRule="auto" w:line="288" w:before="0" w:after="0"/>
              <w:ind w:left="0" w:right="0" w:firstLine="30"/>
              <w:jc w:val="left"/>
              <w:rPr>
                <w:sz w:val="17"/>
              </w:rPr>
            </w:pPr>
            <w:r>
              <w:rPr>
                <w:rFonts w:ascii="Arial" w:hAnsi="Arial"/>
                <w:sz w:val="17"/>
              </w:rPr>
              <w:t>Net revenue</w:t>
            </w:r>
            <w:r>
              <w:rPr>
                <w:rFonts w:ascii="Arial" w:hAnsi="Arial"/>
                <w:sz w:val="10"/>
              </w:rPr>
              <w:t>6</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$392.1</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$395.4</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(1)%</w:t>
            </w:r>
          </w:p>
        </w:tc>
        <w:tc>
          <w:tcPr>
            <w:tcW w:w="680" w:type="dxa"/>
            <w:tcBorders>
              <w:left w:val="single" w:sz="2" w:space="0" w:color="000000"/>
            </w:tcBorders>
            <w:shd w:fill="auto" w:val="clear"/>
            <w:tcMar>
              <w:left w:w="28" w:type="dxa"/>
            </w:tcMar>
            <w:vAlign w:val="center"/>
          </w:tcPr>
          <w:p>
            <w:pPr>
              <w:pStyle w:val="TableContents"/>
              <w:spacing w:before="0" w:after="0"/>
              <w:ind w:left="0" w:right="0" w:firstLine="30"/>
              <w:jc w:val="center"/>
              <w:rPr>
                <w:rFonts w:ascii="Arial" w:hAnsi="Arial"/>
                <w:sz w:val="17"/>
              </w:rPr>
            </w:pPr>
            <w:r>
              <w:rPr>
                <w:rFonts w:ascii="Arial" w:hAnsi="Arial"/>
                <w:sz w:val="17"/>
              </w:rPr>
              <w:t>$1,549.1</w:t>
            </w:r>
          </w:p>
        </w:tc>
        <w:tc>
          <w:tcPr>
            <w:tcW w:w="680"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$1,562.9</w:t>
            </w:r>
          </w:p>
        </w:tc>
        <w:tc>
          <w:tcPr>
            <w:tcW w:w="980" w:type="dxa"/>
            <w:tcBorders>
              <w:right w:val="single" w:sz="2" w:space="0" w:color="000000"/>
            </w:tcBorders>
            <w:shd w:fill="auto" w:val="clear"/>
            <w:tcMar>
              <w:right w:w="30" w:type="dxa"/>
            </w:tcMar>
            <w:vAlign w:val="center"/>
          </w:tcPr>
          <w:p>
            <w:pPr>
              <w:pStyle w:val="TableContents"/>
              <w:spacing w:before="0" w:after="0"/>
              <w:ind w:left="0" w:right="0" w:firstLine="180"/>
              <w:jc w:val="center"/>
              <w:rPr>
                <w:rFonts w:ascii="Arial" w:hAnsi="Arial"/>
                <w:sz w:val="17"/>
              </w:rPr>
            </w:pPr>
            <w:r>
              <w:rPr>
                <w:rFonts w:ascii="Arial" w:hAnsi="Arial"/>
                <w:sz w:val="17"/>
              </w:rPr>
              <w:t>(1)%</w:t>
            </w:r>
          </w:p>
        </w:tc>
      </w:tr>
      <w:tr>
        <w:trPr/>
        <w:tc>
          <w:tcPr>
            <w:tcW w:w="3215" w:type="dxa"/>
            <w:tcBorders>
              <w:left w:val="single" w:sz="2" w:space="0" w:color="000000"/>
              <w:bottom w:val="single" w:sz="2" w:space="0" w:color="000000"/>
            </w:tcBorders>
            <w:shd w:fill="auto" w:val="clear"/>
            <w:tcMar>
              <w:left w:w="28" w:type="dxa"/>
              <w:bottom w:w="30" w:type="dxa"/>
            </w:tcMar>
            <w:vAlign w:val="center"/>
          </w:tcPr>
          <w:p>
            <w:pPr>
              <w:pStyle w:val="TableContents"/>
              <w:spacing w:lineRule="auto" w:line="288" w:before="0" w:after="0"/>
              <w:ind w:left="0" w:right="0" w:firstLine="30"/>
              <w:jc w:val="left"/>
              <w:rPr>
                <w:sz w:val="17"/>
              </w:rPr>
            </w:pPr>
            <w:r>
              <w:rPr>
                <w:rFonts w:ascii="Arial" w:hAnsi="Arial"/>
                <w:sz w:val="17"/>
              </w:rPr>
              <w:t>Pre-tax return on net revenue</w:t>
            </w:r>
            <w:r>
              <w:rPr>
                <w:rFonts w:ascii="Arial" w:hAnsi="Arial"/>
                <w:sz w:val="10"/>
              </w:rPr>
              <w:t>7</w:t>
            </w:r>
          </w:p>
        </w:tc>
        <w:tc>
          <w:tcPr>
            <w:tcW w:w="545" w:type="dxa"/>
            <w:tcBorders>
              <w:bottom w:val="single" w:sz="2" w:space="0" w:color="000000"/>
            </w:tcBorders>
            <w:shd w:fill="auto" w:val="clear"/>
            <w:tcMar>
              <w:bottom w:w="120" w:type="dxa"/>
            </w:tcMar>
            <w:vAlign w:val="center"/>
          </w:tcPr>
          <w:p>
            <w:pPr>
              <w:pStyle w:val="TableContents"/>
              <w:spacing w:before="0" w:after="0"/>
              <w:ind w:left="0" w:right="0" w:firstLine="30"/>
              <w:jc w:val="center"/>
              <w:rPr>
                <w:rFonts w:ascii="Arial" w:hAnsi="Arial"/>
                <w:sz w:val="17"/>
              </w:rPr>
            </w:pPr>
            <w:r>
              <w:rPr>
                <w:rFonts w:ascii="Arial" w:hAnsi="Arial"/>
                <w:sz w:val="17"/>
              </w:rPr>
              <w:t>33.9%</w:t>
            </w:r>
          </w:p>
        </w:tc>
        <w:tc>
          <w:tcPr>
            <w:tcW w:w="545" w:type="dxa"/>
            <w:tcBorders>
              <w:bottom w:val="single" w:sz="2" w:space="0" w:color="000000"/>
            </w:tcBorders>
            <w:shd w:fill="auto" w:val="clear"/>
            <w:tcMar>
              <w:bottom w:w="120" w:type="dxa"/>
            </w:tcMar>
            <w:vAlign w:val="center"/>
          </w:tcPr>
          <w:p>
            <w:pPr>
              <w:pStyle w:val="TableContents"/>
              <w:spacing w:before="0" w:after="0"/>
              <w:ind w:left="0" w:right="0" w:firstLine="30"/>
              <w:jc w:val="center"/>
              <w:rPr>
                <w:rFonts w:ascii="Arial" w:hAnsi="Arial"/>
                <w:sz w:val="17"/>
              </w:rPr>
            </w:pPr>
            <w:r>
              <w:rPr>
                <w:rFonts w:ascii="Arial" w:hAnsi="Arial"/>
                <w:sz w:val="17"/>
              </w:rPr>
              <w:t>33.1%</w:t>
            </w:r>
          </w:p>
        </w:tc>
        <w:tc>
          <w:tcPr>
            <w:tcW w:w="815"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rPr/>
            </w:pPr>
            <w:r>
              <w:rPr/>
              <w:t> </w:t>
            </w:r>
          </w:p>
        </w:tc>
        <w:tc>
          <w:tcPr>
            <w:tcW w:w="680"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center"/>
              <w:rPr>
                <w:rFonts w:ascii="Arial" w:hAnsi="Arial"/>
                <w:sz w:val="17"/>
              </w:rPr>
            </w:pPr>
            <w:r>
              <w:rPr>
                <w:rFonts w:ascii="Arial" w:hAnsi="Arial"/>
                <w:sz w:val="17"/>
              </w:rPr>
              <w:t>32.0%</w:t>
            </w:r>
          </w:p>
        </w:tc>
        <w:tc>
          <w:tcPr>
            <w:tcW w:w="680"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sz w:val="17"/>
              </w:rPr>
            </w:pPr>
            <w:r>
              <w:rPr>
                <w:rFonts w:ascii="Arial" w:hAnsi="Arial"/>
                <w:sz w:val="17"/>
              </w:rPr>
              <w:t>31.2%</w:t>
            </w:r>
          </w:p>
        </w:tc>
        <w:tc>
          <w:tcPr>
            <w:tcW w:w="980"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rPr/>
            </w:pPr>
            <w:r>
              <w:rPr/>
              <w:t>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b/>
                <w:sz w:val="18"/>
              </w:rPr>
              <w:t>Pre-tax operating earnings</w:t>
            </w:r>
            <w:r>
              <w:rPr>
                <w:sz w:val="18"/>
              </w:rPr>
              <w:t xml:space="preserve"> </w:t>
            </w:r>
            <w:r>
              <w:rPr>
                <w:rFonts w:ascii="Arial" w:hAnsi="Arial"/>
                <w:sz w:val="18"/>
              </w:rPr>
              <w:t xml:space="preserve">increased $2.1 million primarily due to lower amortization of deferred acquisition costs (DAC), partially offset by a decline in net revenue.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b/>
                <w:sz w:val="18"/>
              </w:rPr>
              <w:t>Net revenue</w:t>
            </w:r>
            <w:r>
              <w:rPr>
                <w:sz w:val="18"/>
              </w:rPr>
              <w:t xml:space="preserve"> </w:t>
            </w:r>
            <w:r>
              <w:rPr>
                <w:rFonts w:ascii="Arial" w:hAnsi="Arial"/>
                <w:sz w:val="18"/>
              </w:rPr>
              <w:t xml:space="preserve">decreased $3.3 million as growth in the business was more than offset by lower fees due to competitive pressures and the shift of commissions to fee-based compensation arrangements. </w:t>
            </w:r>
          </w:p>
        </w:tc>
      </w:tr>
    </w:tbl>
    <w:p>
      <w:pPr>
        <w:pStyle w:val="TextBody"/>
        <w:spacing w:lineRule="auto" w:line="288" w:before="0" w:after="0"/>
        <w:jc w:val="left"/>
        <w:rPr>
          <w:rFonts w:ascii="Arial" w:hAnsi="Arial"/>
          <w:sz w:val="18"/>
        </w:rPr>
      </w:pPr>
      <w:r>
        <w:rPr>
          <w:rFonts w:ascii="Arial" w:hAnsi="Arial"/>
          <w:sz w:val="18"/>
        </w:rPr>
      </w:r>
    </w:p>
    <w:p>
      <w:pPr>
        <w:pStyle w:val="TextBody"/>
        <w:spacing w:lineRule="auto" w:line="288" w:before="0" w:after="0"/>
        <w:jc w:val="left"/>
        <w:rPr>
          <w:rFonts w:ascii="Arial" w:hAnsi="Arial"/>
          <w:sz w:val="18"/>
        </w:rPr>
      </w:pPr>
      <w:r>
        <w:rPr>
          <w:rFonts w:ascii="Arial" w:hAnsi="Arial"/>
          <w:sz w:val="18"/>
        </w:rPr>
      </w:r>
    </w:p>
    <w:p>
      <w:pPr>
        <w:pStyle w:val="TextBody"/>
        <w:spacing w:lineRule="auto" w:line="288" w:before="0" w:after="0"/>
        <w:jc w:val="left"/>
        <w:rPr>
          <w:rFonts w:ascii="Arial" w:hAnsi="Arial"/>
          <w:b/>
          <w:sz w:val="18"/>
        </w:rPr>
      </w:pPr>
      <w:r>
        <w:rPr>
          <w:rFonts w:ascii="Arial" w:hAnsi="Arial"/>
          <w:b/>
          <w:sz w:val="18"/>
        </w:rPr>
        <w:t>Retirement and Income Solutions - Spread</w:t>
      </w:r>
    </w:p>
    <w:tbl>
      <w:tblPr>
        <w:tblW w:w="7190" w:type="dxa"/>
        <w:jc w:val="left"/>
        <w:tblInd w:w="0" w:type="dxa"/>
        <w:tblCellMar>
          <w:top w:w="0" w:type="dxa"/>
          <w:left w:w="0" w:type="dxa"/>
          <w:bottom w:w="0" w:type="dxa"/>
          <w:right w:w="0" w:type="dxa"/>
        </w:tblCellMar>
      </w:tblPr>
      <w:tblGrid>
        <w:gridCol w:w="3215"/>
        <w:gridCol w:w="545"/>
        <w:gridCol w:w="545"/>
        <w:gridCol w:w="815"/>
        <w:gridCol w:w="545"/>
        <w:gridCol w:w="545"/>
        <w:gridCol w:w="980"/>
      </w:tblGrid>
      <w:tr>
        <w:trPr/>
        <w:tc>
          <w:tcPr>
            <w:tcW w:w="7190" w:type="dxa"/>
            <w:gridSpan w:val="7"/>
            <w:tcBorders/>
            <w:shd w:fill="auto" w:val="clear"/>
            <w:vAlign w:val="center"/>
          </w:tcPr>
          <w:p>
            <w:pPr>
              <w:pStyle w:val="TableContents"/>
              <w:spacing w:before="0" w:after="283"/>
              <w:rPr>
                <w:sz w:val="4"/>
                <w:szCs w:val="4"/>
              </w:rPr>
            </w:pPr>
            <w:r>
              <w:rPr>
                <w:sz w:val="4"/>
                <w:szCs w:val="4"/>
              </w:rPr>
            </w:r>
          </w:p>
        </w:tc>
      </w:tr>
      <w:tr>
        <w:trPr/>
        <w:tc>
          <w:tcPr>
            <w:tcW w:w="321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215" w:type="dxa"/>
            <w:vMerge w:val="restart"/>
            <w:tcBorders>
              <w:top w:val="single" w:sz="12" w:space="0" w:color="000000"/>
              <w:left w:val="single" w:sz="2" w:space="0" w:color="000000"/>
            </w:tcBorders>
            <w:shd w:fill="auto" w:val="clear"/>
            <w:tcMar>
              <w:top w:w="30" w:type="dxa"/>
              <w:left w:w="28" w:type="dxa"/>
            </w:tcMar>
            <w:vAlign w:val="center"/>
          </w:tcPr>
          <w:p>
            <w:pPr>
              <w:pStyle w:val="TableContents"/>
              <w:spacing w:before="0" w:after="0"/>
              <w:ind w:left="0" w:right="0" w:firstLine="30"/>
              <w:jc w:val="center"/>
              <w:rPr>
                <w:rFonts w:ascii="Arial" w:hAnsi="Arial"/>
                <w:i/>
                <w:sz w:val="13"/>
              </w:rPr>
            </w:pPr>
            <w:r>
              <w:rPr>
                <w:rFonts w:ascii="Arial" w:hAnsi="Arial"/>
                <w:i/>
                <w:sz w:val="13"/>
              </w:rPr>
              <w:t>(in millions except percentages or otherwise noted)</w:t>
            </w:r>
          </w:p>
        </w:tc>
        <w:tc>
          <w:tcPr>
            <w:tcW w:w="1905" w:type="dxa"/>
            <w:gridSpan w:val="3"/>
            <w:tcBorders>
              <w:top w:val="single" w:sz="12" w:space="0" w:color="000000"/>
              <w:right w:val="single" w:sz="2" w:space="0" w:color="000000"/>
            </w:tcBorders>
            <w:shd w:fill="BFBFBF" w:val="clear"/>
            <w:tcMar>
              <w:top w:w="30" w:type="dxa"/>
              <w:right w:w="30" w:type="dxa"/>
            </w:tcMar>
            <w:vAlign w:val="center"/>
          </w:tcPr>
          <w:p>
            <w:pPr>
              <w:pStyle w:val="TableContents"/>
              <w:spacing w:before="0" w:after="0"/>
              <w:ind w:left="0" w:right="0" w:firstLine="30"/>
              <w:jc w:val="center"/>
              <w:rPr>
                <w:rFonts w:ascii="Arial" w:hAnsi="Arial"/>
                <w:b/>
                <w:i/>
                <w:sz w:val="17"/>
              </w:rPr>
            </w:pPr>
            <w:r>
              <w:rPr>
                <w:rFonts w:ascii="Arial" w:hAnsi="Arial"/>
                <w:b/>
                <w:i/>
                <w:sz w:val="17"/>
              </w:rPr>
              <w:t>Quarter</w:t>
            </w:r>
          </w:p>
        </w:tc>
        <w:tc>
          <w:tcPr>
            <w:tcW w:w="2070" w:type="dxa"/>
            <w:gridSpan w:val="3"/>
            <w:tcBorders>
              <w:top w:val="single" w:sz="12" w:space="0" w:color="000000"/>
              <w:left w:val="single" w:sz="2" w:space="0" w:color="000000"/>
              <w:right w:val="single" w:sz="2" w:space="0" w:color="000000"/>
            </w:tcBorders>
            <w:shd w:fill="BFBFBF" w:val="clear"/>
            <w:tcMar>
              <w:top w:w="30" w:type="dxa"/>
              <w:left w:w="28" w:type="dxa"/>
              <w:right w:w="30" w:type="dxa"/>
            </w:tcMar>
            <w:vAlign w:val="center"/>
          </w:tcPr>
          <w:p>
            <w:pPr>
              <w:pStyle w:val="TableContents"/>
              <w:spacing w:before="0" w:after="0"/>
              <w:ind w:left="0" w:right="0" w:firstLine="30"/>
              <w:jc w:val="center"/>
              <w:rPr>
                <w:rFonts w:ascii="Arial" w:hAnsi="Arial"/>
                <w:b/>
                <w:i/>
                <w:sz w:val="17"/>
                <w:highlight w:val="lightGray"/>
              </w:rPr>
            </w:pPr>
            <w:r>
              <w:rPr>
                <w:rFonts w:ascii="Arial" w:hAnsi="Arial"/>
                <w:b/>
                <w:i/>
                <w:sz w:val="17"/>
                <w:highlight w:val="lightGray"/>
              </w:rPr>
              <w:t>Trailing Twelve Months</w:t>
            </w:r>
          </w:p>
        </w:tc>
      </w:tr>
      <w:tr>
        <w:trPr/>
        <w:tc>
          <w:tcPr>
            <w:tcW w:w="3215" w:type="dxa"/>
            <w:vMerge w:val="continue"/>
            <w:tcBorders>
              <w:top w:val="single" w:sz="12" w:space="0" w:color="000000"/>
              <w:left w:val="single" w:sz="2" w:space="0" w:color="000000"/>
            </w:tcBorders>
            <w:shd w:fill="auto" w:val="clear"/>
            <w:tcMar>
              <w:top w:w="30" w:type="dxa"/>
              <w:left w:w="28" w:type="dxa"/>
            </w:tcMar>
            <w:vAlign w:val="center"/>
          </w:tcPr>
          <w:p>
            <w:pPr>
              <w:pStyle w:val="Normal"/>
              <w:rPr/>
            </w:pPr>
            <w:r>
              <w:rPr/>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815"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 Change</w:t>
            </w:r>
          </w:p>
        </w:tc>
        <w:tc>
          <w:tcPr>
            <w:tcW w:w="545"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980"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 Change</w:t>
            </w:r>
          </w:p>
        </w:tc>
      </w:tr>
      <w:tr>
        <w:trPr/>
        <w:tc>
          <w:tcPr>
            <w:tcW w:w="3215" w:type="dxa"/>
            <w:tcBorders>
              <w:left w:val="single" w:sz="2" w:space="0" w:color="000000"/>
            </w:tcBorders>
            <w:shd w:fill="auto" w:val="clear"/>
            <w:tcMar>
              <w:left w:w="28" w:type="dxa"/>
            </w:tcMar>
            <w:vAlign w:val="center"/>
          </w:tcPr>
          <w:p>
            <w:pPr>
              <w:pStyle w:val="TableContents"/>
              <w:spacing w:before="0" w:after="0"/>
              <w:ind w:left="0" w:right="0" w:firstLine="30"/>
              <w:jc w:val="left"/>
              <w:rPr>
                <w:rFonts w:ascii="Arial" w:hAnsi="Arial"/>
                <w:sz w:val="17"/>
              </w:rPr>
            </w:pPr>
            <w:r>
              <w:rPr>
                <w:rFonts w:ascii="Arial" w:hAnsi="Arial"/>
                <w:sz w:val="17"/>
              </w:rPr>
              <w:t>Pre-tax operating earnings</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$123.4</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$96.9</w:t>
            </w:r>
          </w:p>
        </w:tc>
        <w:tc>
          <w:tcPr>
            <w:tcW w:w="815" w:type="dxa"/>
            <w:tcBorders>
              <w:top w:val="single" w:sz="2" w:space="0" w:color="000000"/>
              <w:right w:val="single" w:sz="2" w:space="0" w:color="000000"/>
            </w:tcBorders>
            <w:shd w:fill="auto" w:val="clear"/>
            <w:tcMar>
              <w:top w:w="3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27%</w:t>
            </w:r>
          </w:p>
        </w:tc>
        <w:tc>
          <w:tcPr>
            <w:tcW w:w="545" w:type="dxa"/>
            <w:tcBorders>
              <w:top w:val="single" w:sz="2" w:space="0" w:color="000000"/>
              <w:left w:val="single" w:sz="2" w:space="0" w:color="000000"/>
            </w:tcBorders>
            <w:shd w:fill="auto" w:val="clear"/>
            <w:tcMar>
              <w:top w:w="30" w:type="dxa"/>
              <w:left w:w="28" w:type="dxa"/>
            </w:tcMar>
            <w:vAlign w:val="center"/>
          </w:tcPr>
          <w:p>
            <w:pPr>
              <w:pStyle w:val="TableContents"/>
              <w:spacing w:before="0" w:after="0"/>
              <w:ind w:left="0" w:right="0" w:firstLine="30"/>
              <w:jc w:val="center"/>
              <w:rPr>
                <w:rFonts w:ascii="Arial" w:hAnsi="Arial"/>
                <w:sz w:val="17"/>
              </w:rPr>
            </w:pPr>
            <w:r>
              <w:rPr>
                <w:rFonts w:ascii="Arial" w:hAnsi="Arial"/>
                <w:sz w:val="17"/>
              </w:rPr>
              <w:t>$451.7</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$417.3</w:t>
            </w:r>
          </w:p>
        </w:tc>
        <w:tc>
          <w:tcPr>
            <w:tcW w:w="980" w:type="dxa"/>
            <w:tcBorders>
              <w:top w:val="single" w:sz="2" w:space="0" w:color="000000"/>
              <w:right w:val="single" w:sz="2" w:space="0" w:color="000000"/>
            </w:tcBorders>
            <w:shd w:fill="auto" w:val="clear"/>
            <w:tcMar>
              <w:top w:w="3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8%</w:t>
            </w:r>
          </w:p>
        </w:tc>
      </w:tr>
      <w:tr>
        <w:trPr/>
        <w:tc>
          <w:tcPr>
            <w:tcW w:w="3215" w:type="dxa"/>
            <w:tcBorders>
              <w:left w:val="single" w:sz="2" w:space="0" w:color="000000"/>
            </w:tcBorders>
            <w:shd w:fill="auto" w:val="clear"/>
            <w:tcMar>
              <w:left w:w="28" w:type="dxa"/>
            </w:tcMar>
            <w:vAlign w:val="center"/>
          </w:tcPr>
          <w:p>
            <w:pPr>
              <w:pStyle w:val="TableContents"/>
              <w:spacing w:before="0" w:after="0"/>
              <w:ind w:left="0" w:right="0" w:firstLine="30"/>
              <w:jc w:val="left"/>
              <w:rPr>
                <w:rFonts w:ascii="Arial" w:hAnsi="Arial"/>
                <w:sz w:val="17"/>
              </w:rPr>
            </w:pPr>
            <w:r>
              <w:rPr>
                <w:rFonts w:ascii="Arial" w:hAnsi="Arial"/>
                <w:sz w:val="17"/>
              </w:rPr>
              <w:t>Net revenue</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$177.5</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$136.5</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30%</w:t>
            </w:r>
          </w:p>
        </w:tc>
        <w:tc>
          <w:tcPr>
            <w:tcW w:w="545" w:type="dxa"/>
            <w:tcBorders>
              <w:left w:val="single" w:sz="2" w:space="0" w:color="000000"/>
            </w:tcBorders>
            <w:shd w:fill="auto" w:val="clear"/>
            <w:tcMar>
              <w:left w:w="28" w:type="dxa"/>
            </w:tcMar>
            <w:vAlign w:val="center"/>
          </w:tcPr>
          <w:p>
            <w:pPr>
              <w:pStyle w:val="TableContents"/>
              <w:spacing w:before="0" w:after="0"/>
              <w:ind w:left="0" w:right="0" w:firstLine="30"/>
              <w:jc w:val="center"/>
              <w:rPr>
                <w:rFonts w:ascii="Arial" w:hAnsi="Arial"/>
                <w:sz w:val="17"/>
              </w:rPr>
            </w:pPr>
            <w:r>
              <w:rPr>
                <w:rFonts w:ascii="Arial" w:hAnsi="Arial"/>
                <w:sz w:val="17"/>
              </w:rPr>
              <w:t>$645.7</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$558.5</w:t>
            </w:r>
          </w:p>
        </w:tc>
        <w:tc>
          <w:tcPr>
            <w:tcW w:w="980" w:type="dxa"/>
            <w:tcBorders>
              <w:right w:val="single" w:sz="2" w:space="0" w:color="000000"/>
            </w:tcBorders>
            <w:shd w:fill="auto" w:val="clear"/>
            <w:tcMar>
              <w:right w:w="30" w:type="dxa"/>
            </w:tcMar>
            <w:vAlign w:val="center"/>
          </w:tcPr>
          <w:p>
            <w:pPr>
              <w:pStyle w:val="TableContents"/>
              <w:spacing w:before="0" w:after="0"/>
              <w:ind w:left="0" w:right="0" w:firstLine="180"/>
              <w:jc w:val="center"/>
              <w:rPr>
                <w:rFonts w:ascii="Arial" w:hAnsi="Arial"/>
                <w:sz w:val="17"/>
              </w:rPr>
            </w:pPr>
            <w:r>
              <w:rPr>
                <w:rFonts w:ascii="Arial" w:hAnsi="Arial"/>
                <w:sz w:val="17"/>
              </w:rPr>
              <w:t>16%</w:t>
            </w:r>
          </w:p>
        </w:tc>
      </w:tr>
      <w:tr>
        <w:trPr/>
        <w:tc>
          <w:tcPr>
            <w:tcW w:w="3215"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left"/>
              <w:rPr>
                <w:rFonts w:ascii="Arial" w:hAnsi="Arial"/>
                <w:sz w:val="17"/>
              </w:rPr>
            </w:pPr>
            <w:r>
              <w:rPr>
                <w:rFonts w:ascii="Arial" w:hAnsi="Arial"/>
                <w:sz w:val="17"/>
              </w:rPr>
              <w:t>Pre-tax return on net revenue</w:t>
            </w:r>
          </w:p>
        </w:tc>
        <w:tc>
          <w:tcPr>
            <w:tcW w:w="545" w:type="dxa"/>
            <w:tcBorders>
              <w:bottom w:val="single" w:sz="2" w:space="0" w:color="000000"/>
            </w:tcBorders>
            <w:shd w:fill="auto" w:val="clear"/>
            <w:tcMar>
              <w:bottom w:w="120" w:type="dxa"/>
            </w:tcMar>
            <w:vAlign w:val="center"/>
          </w:tcPr>
          <w:p>
            <w:pPr>
              <w:pStyle w:val="TableContents"/>
              <w:spacing w:before="0" w:after="0"/>
              <w:ind w:left="0" w:right="0" w:firstLine="30"/>
              <w:jc w:val="center"/>
              <w:rPr>
                <w:rFonts w:ascii="Arial" w:hAnsi="Arial"/>
                <w:sz w:val="17"/>
              </w:rPr>
            </w:pPr>
            <w:r>
              <w:rPr>
                <w:rFonts w:ascii="Arial" w:hAnsi="Arial"/>
                <w:sz w:val="17"/>
              </w:rPr>
              <w:t>69.5%</w:t>
            </w:r>
          </w:p>
        </w:tc>
        <w:tc>
          <w:tcPr>
            <w:tcW w:w="545" w:type="dxa"/>
            <w:tcBorders>
              <w:bottom w:val="single" w:sz="2" w:space="0" w:color="000000"/>
            </w:tcBorders>
            <w:shd w:fill="auto" w:val="clear"/>
            <w:tcMar>
              <w:bottom w:w="120" w:type="dxa"/>
            </w:tcMar>
            <w:vAlign w:val="center"/>
          </w:tcPr>
          <w:p>
            <w:pPr>
              <w:pStyle w:val="TableContents"/>
              <w:spacing w:before="0" w:after="0"/>
              <w:ind w:left="0" w:right="0" w:firstLine="30"/>
              <w:jc w:val="center"/>
              <w:rPr>
                <w:rFonts w:ascii="Arial" w:hAnsi="Arial"/>
                <w:sz w:val="17"/>
              </w:rPr>
            </w:pPr>
            <w:r>
              <w:rPr>
                <w:rFonts w:ascii="Arial" w:hAnsi="Arial"/>
                <w:sz w:val="17"/>
              </w:rPr>
              <w:t>71.0%</w:t>
            </w:r>
          </w:p>
        </w:tc>
        <w:tc>
          <w:tcPr>
            <w:tcW w:w="815"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rPr/>
            </w:pPr>
            <w:r>
              <w:rPr/>
              <w:t> </w:t>
            </w:r>
          </w:p>
        </w:tc>
        <w:tc>
          <w:tcPr>
            <w:tcW w:w="545"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center"/>
              <w:rPr>
                <w:rFonts w:ascii="Arial" w:hAnsi="Arial"/>
                <w:sz w:val="17"/>
              </w:rPr>
            </w:pPr>
            <w:r>
              <w:rPr>
                <w:rFonts w:ascii="Arial" w:hAnsi="Arial"/>
                <w:sz w:val="17"/>
              </w:rPr>
              <w:t>70.0%</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sz w:val="17"/>
              </w:rPr>
            </w:pPr>
            <w:r>
              <w:rPr>
                <w:rFonts w:ascii="Arial" w:hAnsi="Arial"/>
                <w:sz w:val="17"/>
              </w:rPr>
              <w:t>74.7%</w:t>
            </w:r>
          </w:p>
        </w:tc>
        <w:tc>
          <w:tcPr>
            <w:tcW w:w="980"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rPr/>
            </w:pPr>
            <w:r>
              <w:rPr/>
              <w:t>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b/>
                <w:sz w:val="18"/>
              </w:rPr>
              <w:t>Pre-tax operating earnings</w:t>
            </w:r>
            <w:r>
              <w:rPr>
                <w:sz w:val="18"/>
              </w:rPr>
              <w:t xml:space="preserve"> </w:t>
            </w:r>
            <w:r>
              <w:rPr>
                <w:rFonts w:ascii="Arial" w:hAnsi="Arial"/>
                <w:sz w:val="18"/>
              </w:rPr>
              <w:t>increased $26.5 million primarily due to higher variable investment income and growth in the business.</w:t>
            </w:r>
          </w:p>
        </w:tc>
      </w:tr>
    </w:tbl>
    <w:tbl>
      <w:tblPr>
        <w:tblW w:w="10000" w:type="dxa"/>
        <w:jc w:val="left"/>
        <w:tblInd w:w="0" w:type="dxa"/>
        <w:tblCellMar>
          <w:top w:w="0" w:type="dxa"/>
          <w:left w:w="0" w:type="dxa"/>
          <w:bottom w:w="0" w:type="dxa"/>
          <w:right w:w="0" w:type="dxa"/>
        </w:tblCellMar>
      </w:tblPr>
      <w:tblGrid>
        <w:gridCol w:w="485"/>
        <w:gridCol w:w="9515"/>
      </w:tblGrid>
      <w:tr>
        <w:trPr/>
        <w:tc>
          <w:tcPr>
            <w:tcW w:w="485" w:type="dxa"/>
            <w:tcBorders/>
            <w:shd w:fill="auto" w:val="clear"/>
            <w:vAlign w:val="center"/>
          </w:tcPr>
          <w:p>
            <w:pPr>
              <w:pStyle w:val="TableContents"/>
              <w:spacing w:before="0" w:after="283"/>
              <w:rPr>
                <w:sz w:val="4"/>
                <w:szCs w:val="4"/>
              </w:rPr>
            </w:pPr>
            <w:r>
              <w:rPr>
                <w:sz w:val="4"/>
                <w:szCs w:val="4"/>
              </w:rPr>
            </w:r>
          </w:p>
        </w:tc>
        <w:tc>
          <w:tcPr>
            <w:tcW w:w="9515"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515" w:type="dxa"/>
            <w:tcBorders/>
            <w:shd w:fill="auto" w:val="clear"/>
            <w:vAlign w:val="center"/>
          </w:tcPr>
          <w:p>
            <w:pPr>
              <w:pStyle w:val="TableContents"/>
              <w:spacing w:lineRule="auto" w:line="288" w:before="0" w:after="0"/>
              <w:jc w:val="left"/>
              <w:rPr>
                <w:sz w:val="18"/>
              </w:rPr>
            </w:pPr>
            <w:r>
              <w:rPr>
                <w:rFonts w:ascii="Arial" w:hAnsi="Arial"/>
                <w:b/>
                <w:sz w:val="18"/>
              </w:rPr>
              <w:t xml:space="preserve">Net revenue </w:t>
            </w:r>
            <w:r>
              <w:rPr>
                <w:rFonts w:ascii="Arial" w:hAnsi="Arial"/>
                <w:sz w:val="18"/>
              </w:rPr>
              <w:t xml:space="preserve">increased $41.0 million primarily due to higher variable investment income and growth in the business. </w:t>
            </w:r>
          </w:p>
        </w:tc>
      </w:tr>
    </w:tbl>
    <w:p>
      <w:pPr>
        <w:pStyle w:val="TextBody"/>
        <w:spacing w:lineRule="auto" w:line="288" w:before="0" w:after="0"/>
        <w:ind w:left="0" w:right="0" w:firstLine="720"/>
        <w:jc w:val="left"/>
        <w:rPr/>
      </w:pPr>
      <w:r>
        <w:rPr/>
        <w:t> </w:t>
      </w:r>
    </w:p>
    <w:p>
      <w:pPr>
        <w:pStyle w:val="TextBody"/>
        <w:spacing w:lineRule="auto" w:line="288" w:before="0" w:after="0"/>
        <w:ind w:left="0" w:right="0" w:firstLine="720"/>
        <w:jc w:val="left"/>
        <w:rPr>
          <w:rFonts w:ascii="Arial" w:hAnsi="Arial"/>
          <w:sz w:val="18"/>
        </w:rPr>
      </w:pPr>
      <w:r>
        <w:rPr>
          <w:rFonts w:ascii="Arial" w:hAnsi="Arial"/>
          <w:sz w:val="18"/>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sz w:val="13"/>
        </w:rPr>
      </w:pPr>
      <w:r>
        <w:rPr>
          <w:rFonts w:ascii="Arial" w:hAnsi="Arial"/>
          <w:sz w:val="13"/>
        </w:rPr>
      </w:r>
    </w:p>
    <w:p>
      <w:pPr>
        <w:pStyle w:val="TextBody"/>
        <w:spacing w:lineRule="auto" w:line="288" w:before="0" w:after="0"/>
        <w:jc w:val="left"/>
        <w:rPr>
          <w:rFonts w:ascii="Arial" w:hAnsi="Arial"/>
          <w:b/>
          <w:sz w:val="17"/>
        </w:rPr>
      </w:pPr>
      <w:r>
        <w:rPr>
          <w:rFonts w:ascii="Arial" w:hAnsi="Arial"/>
          <w:b/>
          <w:sz w:val="10"/>
        </w:rPr>
        <w:t>____________________________________</w:t>
      </w:r>
      <w:r>
        <w:rPr>
          <w:rFonts w:ascii="Arial" w:hAnsi="Arial"/>
          <w:b/>
          <w:sz w:val="17"/>
        </w:rPr>
        <w:t> </w:t>
      </w:r>
    </w:p>
    <w:p>
      <w:pPr>
        <w:pStyle w:val="TextBody"/>
        <w:spacing w:lineRule="auto" w:line="288" w:before="0" w:after="0"/>
        <w:jc w:val="left"/>
        <w:rPr>
          <w:sz w:val="13"/>
        </w:rPr>
      </w:pPr>
      <w:r>
        <w:rPr>
          <w:rFonts w:ascii="Arial" w:hAnsi="Arial"/>
          <w:sz w:val="8"/>
        </w:rPr>
        <w:t>5</w:t>
      </w:r>
      <w:r>
        <w:rPr>
          <w:sz w:val="13"/>
        </w:rPr>
        <w:t xml:space="preserve"> </w:t>
      </w:r>
      <w:r>
        <w:rPr>
          <w:rFonts w:ascii="Arial" w:hAnsi="Arial"/>
          <w:sz w:val="13"/>
        </w:rPr>
        <w:t>Pre-tax operating earnings = operating earnings before income taxes and after noncontrolling interest.</w:t>
      </w:r>
    </w:p>
    <w:p>
      <w:pPr>
        <w:pStyle w:val="TextBody"/>
        <w:spacing w:lineRule="auto" w:line="288" w:before="0" w:after="0"/>
        <w:jc w:val="left"/>
        <w:rPr>
          <w:sz w:val="13"/>
        </w:rPr>
      </w:pPr>
      <w:r>
        <w:rPr>
          <w:rFonts w:ascii="Arial" w:hAnsi="Arial"/>
          <w:sz w:val="8"/>
        </w:rPr>
        <w:t>6</w:t>
      </w:r>
      <w:r>
        <w:rPr>
          <w:sz w:val="13"/>
        </w:rPr>
        <w:t xml:space="preserve"> </w:t>
      </w:r>
      <w:r>
        <w:rPr>
          <w:rFonts w:ascii="Arial" w:hAnsi="Arial"/>
          <w:sz w:val="13"/>
        </w:rPr>
        <w:t>Net revenue = operating revenues less benefits, claims and settlement expenses less dividends to policyholders.</w:t>
      </w:r>
    </w:p>
    <w:p>
      <w:pPr>
        <w:pStyle w:val="TextBody"/>
        <w:spacing w:lineRule="auto" w:line="288" w:before="0" w:after="0"/>
        <w:jc w:val="left"/>
        <w:rPr>
          <w:sz w:val="13"/>
        </w:rPr>
      </w:pPr>
      <w:r>
        <w:rPr>
          <w:rFonts w:ascii="Arial" w:hAnsi="Arial"/>
          <w:sz w:val="8"/>
        </w:rPr>
        <w:t>7</w:t>
      </w:r>
      <w:r>
        <w:rPr>
          <w:sz w:val="13"/>
        </w:rPr>
        <w:t xml:space="preserve"> </w:t>
      </w:r>
      <w:r>
        <w:rPr>
          <w:rFonts w:ascii="Arial" w:hAnsi="Arial"/>
          <w:sz w:val="13"/>
        </w:rPr>
        <w:t>Pre-tax return on net revenue = pre-tax operating earnings divided by net revenue.</w:t>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r>
        <w:rPr/>
        <w:drawing>
          <wp:inline distT="0" distB="0" distL="0" distR="0">
            <wp:extent cx="1981200" cy="59055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p>
      <w:pPr>
        <w:pStyle w:val="TextBody"/>
        <w:spacing w:lineRule="auto" w:line="288" w:before="0" w:after="0"/>
        <w:jc w:val="left"/>
        <w:rPr>
          <w:rFonts w:ascii="Arial" w:hAnsi="Arial"/>
          <w:b/>
          <w:sz w:val="18"/>
        </w:rPr>
      </w:pPr>
      <w:r>
        <w:rPr>
          <w:rFonts w:ascii="Arial" w:hAnsi="Arial"/>
          <w:b/>
          <w:sz w:val="18"/>
        </w:rPr>
        <w:t>Principal Global Investors</w:t>
      </w:r>
    </w:p>
    <w:tbl>
      <w:tblPr>
        <w:tblW w:w="9230" w:type="dxa"/>
        <w:jc w:val="left"/>
        <w:tblInd w:w="0" w:type="dxa"/>
        <w:tblCellMar>
          <w:top w:w="0" w:type="dxa"/>
          <w:left w:w="0" w:type="dxa"/>
          <w:bottom w:w="0" w:type="dxa"/>
          <w:right w:w="0" w:type="dxa"/>
        </w:tblCellMar>
      </w:tblPr>
      <w:tblGrid>
        <w:gridCol w:w="5135"/>
        <w:gridCol w:w="545"/>
        <w:gridCol w:w="545"/>
        <w:gridCol w:w="815"/>
        <w:gridCol w:w="680"/>
        <w:gridCol w:w="680"/>
        <w:gridCol w:w="830"/>
      </w:tblGrid>
      <w:tr>
        <w:trPr/>
        <w:tc>
          <w:tcPr>
            <w:tcW w:w="9230" w:type="dxa"/>
            <w:gridSpan w:val="7"/>
            <w:tcBorders/>
            <w:shd w:fill="auto" w:val="clear"/>
            <w:vAlign w:val="center"/>
          </w:tcPr>
          <w:p>
            <w:pPr>
              <w:pStyle w:val="TableContents"/>
              <w:spacing w:before="0" w:after="283"/>
              <w:rPr>
                <w:sz w:val="4"/>
                <w:szCs w:val="4"/>
              </w:rPr>
            </w:pPr>
            <w:r>
              <w:rPr>
                <w:sz w:val="4"/>
                <w:szCs w:val="4"/>
              </w:rPr>
            </w:r>
          </w:p>
        </w:tc>
      </w:tr>
      <w:tr>
        <w:trPr/>
        <w:tc>
          <w:tcPr>
            <w:tcW w:w="513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83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135" w:type="dxa"/>
            <w:vMerge w:val="restart"/>
            <w:tcBorders>
              <w:top w:val="single" w:sz="12" w:space="0" w:color="000000"/>
              <w:left w:val="single" w:sz="2" w:space="0" w:color="000000"/>
            </w:tcBorders>
            <w:shd w:fill="auto" w:val="clear"/>
            <w:tcMar>
              <w:top w:w="30" w:type="dxa"/>
              <w:left w:w="28" w:type="dxa"/>
            </w:tcMar>
            <w:vAlign w:val="center"/>
          </w:tcPr>
          <w:p>
            <w:pPr>
              <w:pStyle w:val="TableContents"/>
              <w:spacing w:before="0" w:after="0"/>
              <w:ind w:left="0" w:right="0" w:firstLine="30"/>
              <w:jc w:val="center"/>
              <w:rPr>
                <w:rFonts w:ascii="Arial" w:hAnsi="Arial"/>
                <w:i/>
                <w:sz w:val="13"/>
              </w:rPr>
            </w:pPr>
            <w:r>
              <w:rPr>
                <w:rFonts w:ascii="Arial" w:hAnsi="Arial"/>
                <w:i/>
                <w:sz w:val="13"/>
              </w:rPr>
              <w:t>(in millions except percentages or otherwise noted)</w:t>
            </w:r>
          </w:p>
        </w:tc>
        <w:tc>
          <w:tcPr>
            <w:tcW w:w="1905" w:type="dxa"/>
            <w:gridSpan w:val="3"/>
            <w:tcBorders>
              <w:top w:val="single" w:sz="12" w:space="0" w:color="000000"/>
              <w:right w:val="single" w:sz="2" w:space="0" w:color="000000"/>
            </w:tcBorders>
            <w:shd w:fill="BFBFBF" w:val="clear"/>
            <w:tcMar>
              <w:top w:w="30" w:type="dxa"/>
              <w:right w:w="30" w:type="dxa"/>
            </w:tcMar>
            <w:vAlign w:val="center"/>
          </w:tcPr>
          <w:p>
            <w:pPr>
              <w:pStyle w:val="TableContents"/>
              <w:spacing w:before="0" w:after="0"/>
              <w:ind w:left="0" w:right="0" w:firstLine="30"/>
              <w:jc w:val="center"/>
              <w:rPr>
                <w:rFonts w:ascii="Arial" w:hAnsi="Arial"/>
                <w:b/>
                <w:i/>
                <w:sz w:val="17"/>
              </w:rPr>
            </w:pPr>
            <w:r>
              <w:rPr>
                <w:rFonts w:ascii="Arial" w:hAnsi="Arial"/>
                <w:b/>
                <w:i/>
                <w:sz w:val="17"/>
              </w:rPr>
              <w:t>Quarter</w:t>
            </w:r>
          </w:p>
        </w:tc>
        <w:tc>
          <w:tcPr>
            <w:tcW w:w="2190" w:type="dxa"/>
            <w:gridSpan w:val="3"/>
            <w:tcBorders>
              <w:top w:val="single" w:sz="12" w:space="0" w:color="000000"/>
              <w:left w:val="single" w:sz="2" w:space="0" w:color="000000"/>
              <w:right w:val="single" w:sz="2" w:space="0" w:color="000000"/>
            </w:tcBorders>
            <w:shd w:fill="BFBFBF" w:val="clear"/>
            <w:tcMar>
              <w:top w:w="30" w:type="dxa"/>
              <w:left w:w="28" w:type="dxa"/>
              <w:right w:w="30" w:type="dxa"/>
            </w:tcMar>
            <w:vAlign w:val="center"/>
          </w:tcPr>
          <w:p>
            <w:pPr>
              <w:pStyle w:val="TableContents"/>
              <w:spacing w:before="0" w:after="0"/>
              <w:ind w:left="0" w:right="0" w:firstLine="30"/>
              <w:jc w:val="center"/>
              <w:rPr>
                <w:rFonts w:ascii="Arial" w:hAnsi="Arial"/>
                <w:b/>
                <w:i/>
                <w:sz w:val="17"/>
              </w:rPr>
            </w:pPr>
            <w:r>
              <w:rPr>
                <w:rFonts w:ascii="Arial" w:hAnsi="Arial"/>
                <w:b/>
                <w:i/>
                <w:sz w:val="17"/>
              </w:rPr>
              <w:t>Trailing Twelve Months</w:t>
            </w:r>
          </w:p>
        </w:tc>
      </w:tr>
      <w:tr>
        <w:trPr/>
        <w:tc>
          <w:tcPr>
            <w:tcW w:w="5135" w:type="dxa"/>
            <w:vMerge w:val="continue"/>
            <w:tcBorders>
              <w:top w:val="single" w:sz="12" w:space="0" w:color="000000"/>
              <w:left w:val="single" w:sz="2" w:space="0" w:color="000000"/>
            </w:tcBorders>
            <w:shd w:fill="auto" w:val="clear"/>
            <w:tcMar>
              <w:top w:w="30" w:type="dxa"/>
              <w:left w:w="28" w:type="dxa"/>
            </w:tcMar>
            <w:vAlign w:val="center"/>
          </w:tcPr>
          <w:p>
            <w:pPr>
              <w:pStyle w:val="Normal"/>
              <w:rPr/>
            </w:pPr>
            <w:r>
              <w:rPr/>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815"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 Change</w:t>
            </w:r>
          </w:p>
        </w:tc>
        <w:tc>
          <w:tcPr>
            <w:tcW w:w="680"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680"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830"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 Change</w:t>
            </w:r>
          </w:p>
        </w:tc>
      </w:tr>
      <w:tr>
        <w:trPr/>
        <w:tc>
          <w:tcPr>
            <w:tcW w:w="5135" w:type="dxa"/>
            <w:tcBorders>
              <w:left w:val="single" w:sz="2" w:space="0" w:color="000000"/>
            </w:tcBorders>
            <w:shd w:fill="auto" w:val="clear"/>
            <w:tcMar>
              <w:left w:w="28" w:type="dxa"/>
            </w:tcMar>
            <w:vAlign w:val="center"/>
          </w:tcPr>
          <w:p>
            <w:pPr>
              <w:pStyle w:val="TableContents"/>
              <w:spacing w:before="0" w:after="0"/>
              <w:ind w:left="0" w:right="0" w:firstLine="30"/>
              <w:jc w:val="left"/>
              <w:rPr>
                <w:rFonts w:ascii="Arial" w:hAnsi="Arial"/>
                <w:sz w:val="17"/>
              </w:rPr>
            </w:pPr>
            <w:r>
              <w:rPr>
                <w:rFonts w:ascii="Arial" w:hAnsi="Arial"/>
                <w:sz w:val="17"/>
              </w:rPr>
              <w:t>Pre-tax operating earnings</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$115.6</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$129.2</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(11)%</w:t>
            </w:r>
          </w:p>
        </w:tc>
        <w:tc>
          <w:tcPr>
            <w:tcW w:w="680"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$535.5</w:t>
            </w:r>
          </w:p>
        </w:tc>
        <w:tc>
          <w:tcPr>
            <w:tcW w:w="680"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$502.4</w:t>
            </w:r>
          </w:p>
        </w:tc>
        <w:tc>
          <w:tcPr>
            <w:tcW w:w="830"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7%</w:t>
            </w:r>
          </w:p>
        </w:tc>
      </w:tr>
      <w:tr>
        <w:trPr/>
        <w:tc>
          <w:tcPr>
            <w:tcW w:w="5135" w:type="dxa"/>
            <w:tcBorders>
              <w:left w:val="single" w:sz="2" w:space="0" w:color="000000"/>
            </w:tcBorders>
            <w:shd w:fill="auto" w:val="clear"/>
            <w:tcMar>
              <w:left w:w="28" w:type="dxa"/>
            </w:tcMar>
            <w:vAlign w:val="center"/>
          </w:tcPr>
          <w:p>
            <w:pPr>
              <w:pStyle w:val="TableContents"/>
              <w:spacing w:lineRule="auto" w:line="288" w:before="0" w:after="0"/>
              <w:ind w:left="0" w:right="0" w:firstLine="30"/>
              <w:jc w:val="left"/>
              <w:rPr>
                <w:sz w:val="17"/>
              </w:rPr>
            </w:pPr>
            <w:r>
              <w:rPr>
                <w:rFonts w:ascii="Arial" w:hAnsi="Arial"/>
                <w:sz w:val="17"/>
              </w:rPr>
              <w:t>Operating revenues less pass-through commissions</w:t>
            </w:r>
            <w:r>
              <w:rPr>
                <w:rFonts w:ascii="Arial" w:hAnsi="Arial"/>
                <w:sz w:val="10"/>
              </w:rPr>
              <w:t>8</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$323.6</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$337.7</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(4)%</w:t>
            </w:r>
          </w:p>
        </w:tc>
        <w:tc>
          <w:tcPr>
            <w:tcW w:w="680" w:type="dxa"/>
            <w:tcBorders>
              <w:left w:val="single" w:sz="2" w:space="0" w:color="000000"/>
            </w:tcBorders>
            <w:shd w:fill="auto" w:val="clear"/>
            <w:tcMar>
              <w:left w:w="28" w:type="dxa"/>
            </w:tcMar>
            <w:vAlign w:val="center"/>
          </w:tcPr>
          <w:p>
            <w:pPr>
              <w:pStyle w:val="TableContents"/>
              <w:spacing w:before="0" w:after="0"/>
              <w:ind w:left="0" w:right="0" w:firstLine="30"/>
              <w:jc w:val="center"/>
              <w:rPr>
                <w:rFonts w:ascii="Arial" w:hAnsi="Arial"/>
                <w:sz w:val="17"/>
              </w:rPr>
            </w:pPr>
            <w:r>
              <w:rPr>
                <w:rFonts w:ascii="Arial" w:hAnsi="Arial"/>
                <w:sz w:val="17"/>
              </w:rPr>
              <w:t>$1,535.3</w:t>
            </w:r>
          </w:p>
        </w:tc>
        <w:tc>
          <w:tcPr>
            <w:tcW w:w="680"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$1,325.8</w:t>
            </w:r>
          </w:p>
        </w:tc>
        <w:tc>
          <w:tcPr>
            <w:tcW w:w="830"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16%</w:t>
            </w:r>
          </w:p>
        </w:tc>
      </w:tr>
      <w:tr>
        <w:trPr/>
        <w:tc>
          <w:tcPr>
            <w:tcW w:w="5135" w:type="dxa"/>
            <w:tcBorders>
              <w:left w:val="single" w:sz="2" w:space="0" w:color="000000"/>
            </w:tcBorders>
            <w:shd w:fill="auto" w:val="clear"/>
            <w:tcMar>
              <w:left w:w="28" w:type="dxa"/>
            </w:tcMar>
            <w:vAlign w:val="center"/>
          </w:tcPr>
          <w:p>
            <w:pPr>
              <w:pStyle w:val="TableContents"/>
              <w:spacing w:before="0" w:after="0"/>
              <w:ind w:left="0" w:right="0" w:firstLine="30"/>
              <w:jc w:val="left"/>
              <w:rPr>
                <w:rFonts w:ascii="Arial" w:hAnsi="Arial"/>
                <w:sz w:val="17"/>
              </w:rPr>
            </w:pPr>
            <w:r>
              <w:rPr>
                <w:rFonts w:ascii="Arial" w:hAnsi="Arial"/>
                <w:sz w:val="17"/>
              </w:rPr>
              <w:t>Pre-tax return on operating revenues less pass-through commissions</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36.2%</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38.7%</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c>
          <w:tcPr>
            <w:tcW w:w="680"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35.2%</w:t>
            </w:r>
          </w:p>
        </w:tc>
        <w:tc>
          <w:tcPr>
            <w:tcW w:w="680"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38.3%</w:t>
            </w:r>
          </w:p>
        </w:tc>
        <w:tc>
          <w:tcPr>
            <w:tcW w:w="830" w:type="dxa"/>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r>
      <w:tr>
        <w:trPr/>
        <w:tc>
          <w:tcPr>
            <w:tcW w:w="5135" w:type="dxa"/>
            <w:tcBorders>
              <w:left w:val="single" w:sz="2" w:space="0" w:color="000000"/>
            </w:tcBorders>
            <w:shd w:fill="auto" w:val="clear"/>
            <w:tcMar>
              <w:left w:w="28" w:type="dxa"/>
            </w:tcMar>
            <w:vAlign w:val="center"/>
          </w:tcPr>
          <w:p>
            <w:pPr>
              <w:pStyle w:val="TableContents"/>
              <w:spacing w:before="0" w:after="0"/>
              <w:ind w:left="0" w:right="0" w:firstLine="30"/>
              <w:rPr>
                <w:sz w:val="17"/>
              </w:rPr>
            </w:pPr>
            <w:r>
              <w:rPr>
                <w:rFonts w:ascii="Arial" w:hAnsi="Arial"/>
                <w:sz w:val="17"/>
              </w:rPr>
              <w:t xml:space="preserve">Total PGI assets under management </w:t>
            </w:r>
            <w:r>
              <w:rPr>
                <w:rFonts w:ascii="Arial" w:hAnsi="Arial"/>
                <w:i/>
                <w:sz w:val="17"/>
              </w:rPr>
              <w:t>(billions)</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$431.8</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$429.8</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0%</w:t>
            </w:r>
          </w:p>
        </w:tc>
        <w:tc>
          <w:tcPr>
            <w:tcW w:w="680" w:type="dxa"/>
            <w:tcBorders/>
            <w:shd w:fill="auto" w:val="clear"/>
            <w:vAlign w:val="center"/>
          </w:tcPr>
          <w:p>
            <w:pPr>
              <w:pStyle w:val="TableContents"/>
              <w:spacing w:before="0" w:after="0"/>
              <w:ind w:left="0" w:right="0" w:firstLine="30"/>
              <w:rPr/>
            </w:pPr>
            <w:r>
              <w:rPr/>
              <w:t> </w:t>
            </w:r>
          </w:p>
        </w:tc>
        <w:tc>
          <w:tcPr>
            <w:tcW w:w="680" w:type="dxa"/>
            <w:tcBorders/>
            <w:shd w:fill="auto" w:val="clear"/>
            <w:vAlign w:val="center"/>
          </w:tcPr>
          <w:p>
            <w:pPr>
              <w:pStyle w:val="TableContents"/>
              <w:spacing w:before="0" w:after="0"/>
              <w:ind w:left="0" w:right="0" w:firstLine="30"/>
              <w:rPr/>
            </w:pPr>
            <w:r>
              <w:rPr/>
              <w:t> </w:t>
            </w:r>
          </w:p>
        </w:tc>
        <w:tc>
          <w:tcPr>
            <w:tcW w:w="830" w:type="dxa"/>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r>
      <w:tr>
        <w:trPr/>
        <w:tc>
          <w:tcPr>
            <w:tcW w:w="5135"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rPr>
                <w:sz w:val="17"/>
              </w:rPr>
            </w:pPr>
            <w:r>
              <w:rPr>
                <w:rFonts w:ascii="Arial" w:hAnsi="Arial"/>
                <w:sz w:val="17"/>
              </w:rPr>
              <w:t xml:space="preserve">PGI sourced assets under management </w:t>
            </w:r>
            <w:r>
              <w:rPr>
                <w:rFonts w:ascii="Arial" w:hAnsi="Arial"/>
                <w:i/>
                <w:sz w:val="17"/>
              </w:rPr>
              <w:t>(billions)</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sz w:val="17"/>
              </w:rPr>
            </w:pPr>
            <w:r>
              <w:rPr>
                <w:rFonts w:ascii="Arial" w:hAnsi="Arial"/>
                <w:sz w:val="17"/>
              </w:rPr>
              <w:t>$208.0</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sz w:val="17"/>
              </w:rPr>
            </w:pPr>
            <w:r>
              <w:rPr>
                <w:rFonts w:ascii="Arial" w:hAnsi="Arial"/>
                <w:sz w:val="17"/>
              </w:rPr>
              <w:t>$217.6</w:t>
            </w:r>
          </w:p>
        </w:tc>
        <w:tc>
          <w:tcPr>
            <w:tcW w:w="815" w:type="dxa"/>
            <w:tcBorders>
              <w:bottom w:val="single" w:sz="2" w:space="0" w:color="000000"/>
              <w:right w:val="single" w:sz="2" w:space="0" w:color="000000"/>
            </w:tcBorders>
            <w:shd w:fill="auto" w:val="clear"/>
            <w:tcMar>
              <w:bottom w:w="12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(4)%</w:t>
            </w:r>
          </w:p>
        </w:tc>
        <w:tc>
          <w:tcPr>
            <w:tcW w:w="680"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rPr/>
            </w:pPr>
            <w:r>
              <w:rPr/>
              <w:t> </w:t>
            </w:r>
          </w:p>
        </w:tc>
        <w:tc>
          <w:tcPr>
            <w:tcW w:w="680"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830"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rPr/>
            </w:pPr>
            <w:r>
              <w:rPr/>
              <w:t>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b/>
                <w:sz w:val="18"/>
              </w:rPr>
              <w:t xml:space="preserve">Pre-tax operating earnings </w:t>
            </w:r>
            <w:r>
              <w:rPr>
                <w:rFonts w:ascii="Arial" w:hAnsi="Arial"/>
                <w:sz w:val="18"/>
              </w:rPr>
              <w:t xml:space="preserve">decreased $13.6 million as a result of continued investments in the business and lower operating revenues less pass-through commissions.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b/>
                <w:sz w:val="18"/>
              </w:rPr>
              <w:t xml:space="preserve">Operating revenues less pass-through commissions </w:t>
            </w:r>
            <w:r>
              <w:rPr>
                <w:rFonts w:ascii="Arial" w:hAnsi="Arial"/>
                <w:sz w:val="18"/>
              </w:rPr>
              <w:t xml:space="preserve">decreased $14.1 million primarily due to lower performance fees and mix of business. </w:t>
            </w:r>
          </w:p>
        </w:tc>
      </w:tr>
    </w:tbl>
    <w:p>
      <w:pPr>
        <w:pStyle w:val="TextBody"/>
        <w:spacing w:lineRule="auto" w:line="288" w:before="0" w:after="0"/>
        <w:ind w:left="0" w:right="0" w:firstLine="720"/>
        <w:jc w:val="left"/>
        <w:rPr>
          <w:rFonts w:ascii="Arial" w:hAnsi="Arial"/>
          <w:sz w:val="18"/>
        </w:rPr>
      </w:pPr>
      <w:r>
        <w:rPr>
          <w:rFonts w:ascii="Arial" w:hAnsi="Arial"/>
          <w:sz w:val="18"/>
        </w:rPr>
      </w:r>
    </w:p>
    <w:p>
      <w:pPr>
        <w:pStyle w:val="TextBody"/>
        <w:spacing w:lineRule="auto" w:line="288" w:before="0" w:after="0"/>
        <w:jc w:val="left"/>
        <w:rPr>
          <w:rFonts w:ascii="Arial" w:hAnsi="Arial"/>
          <w:b/>
          <w:sz w:val="18"/>
        </w:rPr>
      </w:pPr>
      <w:r>
        <w:rPr>
          <w:rFonts w:ascii="Arial" w:hAnsi="Arial"/>
          <w:b/>
          <w:sz w:val="18"/>
        </w:rPr>
        <w:t>Principal International</w:t>
      </w:r>
    </w:p>
    <w:tbl>
      <w:tblPr>
        <w:tblW w:w="8105" w:type="dxa"/>
        <w:jc w:val="left"/>
        <w:tblInd w:w="0" w:type="dxa"/>
        <w:tblCellMar>
          <w:top w:w="0" w:type="dxa"/>
          <w:left w:w="0" w:type="dxa"/>
          <w:bottom w:w="0" w:type="dxa"/>
          <w:right w:w="0" w:type="dxa"/>
        </w:tblCellMar>
      </w:tblPr>
      <w:tblGrid>
        <w:gridCol w:w="4130"/>
        <w:gridCol w:w="545"/>
        <w:gridCol w:w="545"/>
        <w:gridCol w:w="815"/>
        <w:gridCol w:w="545"/>
        <w:gridCol w:w="545"/>
        <w:gridCol w:w="980"/>
      </w:tblGrid>
      <w:tr>
        <w:trPr/>
        <w:tc>
          <w:tcPr>
            <w:tcW w:w="8105" w:type="dxa"/>
            <w:gridSpan w:val="7"/>
            <w:tcBorders/>
            <w:shd w:fill="auto" w:val="clear"/>
            <w:vAlign w:val="center"/>
          </w:tcPr>
          <w:p>
            <w:pPr>
              <w:pStyle w:val="TableContents"/>
              <w:spacing w:before="0" w:after="283"/>
              <w:rPr>
                <w:sz w:val="4"/>
                <w:szCs w:val="4"/>
              </w:rPr>
            </w:pPr>
            <w:r>
              <w:rPr>
                <w:sz w:val="4"/>
                <w:szCs w:val="4"/>
              </w:rPr>
            </w:r>
          </w:p>
        </w:tc>
      </w:tr>
      <w:tr>
        <w:trPr/>
        <w:tc>
          <w:tcPr>
            <w:tcW w:w="4130"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4130" w:type="dxa"/>
            <w:vMerge w:val="restart"/>
            <w:tcBorders>
              <w:top w:val="single" w:sz="12" w:space="0" w:color="000000"/>
              <w:left w:val="single" w:sz="2" w:space="0" w:color="000000"/>
            </w:tcBorders>
            <w:shd w:fill="auto" w:val="clear"/>
            <w:tcMar>
              <w:top w:w="30" w:type="dxa"/>
              <w:left w:w="28" w:type="dxa"/>
            </w:tcMar>
            <w:vAlign w:val="center"/>
          </w:tcPr>
          <w:p>
            <w:pPr>
              <w:pStyle w:val="TableContents"/>
              <w:spacing w:before="0" w:after="0"/>
              <w:ind w:left="0" w:right="0" w:firstLine="30"/>
              <w:jc w:val="center"/>
              <w:rPr>
                <w:rFonts w:ascii="Arial" w:hAnsi="Arial"/>
                <w:i/>
                <w:sz w:val="13"/>
              </w:rPr>
            </w:pPr>
            <w:r>
              <w:rPr>
                <w:rFonts w:ascii="Arial" w:hAnsi="Arial"/>
                <w:i/>
                <w:sz w:val="13"/>
              </w:rPr>
              <w:t>(in millions except percentages or otherwise noted)</w:t>
            </w:r>
          </w:p>
        </w:tc>
        <w:tc>
          <w:tcPr>
            <w:tcW w:w="1905" w:type="dxa"/>
            <w:gridSpan w:val="3"/>
            <w:tcBorders>
              <w:top w:val="single" w:sz="12" w:space="0" w:color="000000"/>
              <w:right w:val="single" w:sz="2" w:space="0" w:color="000000"/>
            </w:tcBorders>
            <w:shd w:fill="BFBFBF" w:val="clear"/>
            <w:tcMar>
              <w:top w:w="30" w:type="dxa"/>
              <w:right w:w="30" w:type="dxa"/>
            </w:tcMar>
            <w:vAlign w:val="center"/>
          </w:tcPr>
          <w:p>
            <w:pPr>
              <w:pStyle w:val="TableContents"/>
              <w:spacing w:before="0" w:after="0"/>
              <w:ind w:left="0" w:right="0" w:firstLine="30"/>
              <w:jc w:val="center"/>
              <w:rPr>
                <w:rFonts w:ascii="Arial" w:hAnsi="Arial"/>
                <w:b/>
                <w:i/>
                <w:sz w:val="17"/>
              </w:rPr>
            </w:pPr>
            <w:r>
              <w:rPr>
                <w:rFonts w:ascii="Arial" w:hAnsi="Arial"/>
                <w:b/>
                <w:i/>
                <w:sz w:val="17"/>
              </w:rPr>
              <w:t>Quarter</w:t>
            </w:r>
          </w:p>
        </w:tc>
        <w:tc>
          <w:tcPr>
            <w:tcW w:w="2070" w:type="dxa"/>
            <w:gridSpan w:val="3"/>
            <w:tcBorders>
              <w:top w:val="single" w:sz="12" w:space="0" w:color="000000"/>
              <w:left w:val="single" w:sz="2" w:space="0" w:color="000000"/>
              <w:right w:val="single" w:sz="2" w:space="0" w:color="000000"/>
            </w:tcBorders>
            <w:shd w:fill="BFBFBF" w:val="clear"/>
            <w:tcMar>
              <w:top w:w="30" w:type="dxa"/>
              <w:left w:w="28" w:type="dxa"/>
              <w:right w:w="30" w:type="dxa"/>
            </w:tcMar>
            <w:vAlign w:val="center"/>
          </w:tcPr>
          <w:p>
            <w:pPr>
              <w:pStyle w:val="TableContents"/>
              <w:spacing w:before="0" w:after="0"/>
              <w:ind w:left="0" w:right="0" w:firstLine="30"/>
              <w:jc w:val="center"/>
              <w:rPr>
                <w:rFonts w:ascii="Arial" w:hAnsi="Arial"/>
                <w:b/>
                <w:i/>
                <w:sz w:val="17"/>
                <w:highlight w:val="lightGray"/>
              </w:rPr>
            </w:pPr>
            <w:r>
              <w:rPr>
                <w:rFonts w:ascii="Arial" w:hAnsi="Arial"/>
                <w:b/>
                <w:i/>
                <w:sz w:val="17"/>
                <w:highlight w:val="lightGray"/>
              </w:rPr>
              <w:t>Trailing Twelve Months</w:t>
            </w:r>
          </w:p>
        </w:tc>
      </w:tr>
      <w:tr>
        <w:trPr/>
        <w:tc>
          <w:tcPr>
            <w:tcW w:w="4130" w:type="dxa"/>
            <w:vMerge w:val="continue"/>
            <w:tcBorders>
              <w:top w:val="single" w:sz="12" w:space="0" w:color="000000"/>
              <w:left w:val="single" w:sz="2" w:space="0" w:color="000000"/>
            </w:tcBorders>
            <w:shd w:fill="auto" w:val="clear"/>
            <w:tcMar>
              <w:top w:w="30" w:type="dxa"/>
              <w:left w:w="28" w:type="dxa"/>
            </w:tcMar>
            <w:vAlign w:val="center"/>
          </w:tcPr>
          <w:p>
            <w:pPr>
              <w:pStyle w:val="Normal"/>
              <w:rPr/>
            </w:pPr>
            <w:r>
              <w:rPr/>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 Change</w:t>
            </w:r>
          </w:p>
        </w:tc>
        <w:tc>
          <w:tcPr>
            <w:tcW w:w="545"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980" w:type="dxa"/>
            <w:tcBorders>
              <w:bottom w:val="single" w:sz="2" w:space="0" w:color="000000"/>
              <w:right w:val="single" w:sz="2" w:space="0" w:color="000000"/>
            </w:tcBorders>
            <w:shd w:fill="auto" w:val="clear"/>
            <w:tcMar>
              <w:bottom w:w="12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 Change</w:t>
            </w:r>
          </w:p>
        </w:tc>
      </w:tr>
      <w:tr>
        <w:trPr/>
        <w:tc>
          <w:tcPr>
            <w:tcW w:w="4130" w:type="dxa"/>
            <w:tcBorders>
              <w:left w:val="single" w:sz="2" w:space="0" w:color="000000"/>
            </w:tcBorders>
            <w:shd w:fill="auto" w:val="clear"/>
            <w:tcMar>
              <w:left w:w="28" w:type="dxa"/>
            </w:tcMar>
            <w:vAlign w:val="center"/>
          </w:tcPr>
          <w:p>
            <w:pPr>
              <w:pStyle w:val="TableContents"/>
              <w:spacing w:before="0" w:after="0"/>
              <w:ind w:left="0" w:right="0" w:firstLine="30"/>
              <w:jc w:val="left"/>
              <w:rPr>
                <w:rFonts w:ascii="Arial" w:hAnsi="Arial"/>
                <w:sz w:val="17"/>
              </w:rPr>
            </w:pPr>
            <w:r>
              <w:rPr>
                <w:rFonts w:ascii="Arial" w:hAnsi="Arial"/>
                <w:sz w:val="17"/>
              </w:rPr>
              <w:t>Pre-tax operating earnings</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$93.2</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$86.3</w:t>
            </w:r>
          </w:p>
        </w:tc>
        <w:tc>
          <w:tcPr>
            <w:tcW w:w="815" w:type="dxa"/>
            <w:tcBorders>
              <w:top w:val="single" w:sz="2" w:space="0" w:color="000000"/>
              <w:right w:val="single" w:sz="2" w:space="0" w:color="000000"/>
            </w:tcBorders>
            <w:shd w:fill="auto" w:val="clear"/>
            <w:tcMar>
              <w:top w:w="3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8%</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$299.1</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$337.2</w:t>
            </w:r>
          </w:p>
        </w:tc>
        <w:tc>
          <w:tcPr>
            <w:tcW w:w="980" w:type="dxa"/>
            <w:tcBorders>
              <w:top w:val="single" w:sz="2" w:space="0" w:color="000000"/>
              <w:right w:val="single" w:sz="2" w:space="0" w:color="000000"/>
            </w:tcBorders>
            <w:shd w:fill="auto" w:val="clear"/>
            <w:tcMar>
              <w:top w:w="3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(11)%</w:t>
            </w:r>
          </w:p>
        </w:tc>
      </w:tr>
      <w:tr>
        <w:trPr/>
        <w:tc>
          <w:tcPr>
            <w:tcW w:w="4130" w:type="dxa"/>
            <w:tcBorders>
              <w:left w:val="single" w:sz="2" w:space="0" w:color="000000"/>
            </w:tcBorders>
            <w:shd w:fill="auto" w:val="clear"/>
            <w:tcMar>
              <w:left w:w="28" w:type="dxa"/>
            </w:tcMar>
            <w:vAlign w:val="center"/>
          </w:tcPr>
          <w:p>
            <w:pPr>
              <w:pStyle w:val="TableContents"/>
              <w:spacing w:lineRule="auto" w:line="288" w:before="0" w:after="0"/>
              <w:ind w:left="0" w:right="0" w:firstLine="30"/>
              <w:jc w:val="left"/>
              <w:rPr>
                <w:sz w:val="17"/>
              </w:rPr>
            </w:pPr>
            <w:r>
              <w:rPr>
                <w:rFonts w:ascii="Arial" w:hAnsi="Arial"/>
                <w:sz w:val="17"/>
              </w:rPr>
              <w:t>Combined</w:t>
            </w:r>
            <w:r>
              <w:rPr>
                <w:rFonts w:ascii="Arial" w:hAnsi="Arial"/>
                <w:sz w:val="10"/>
              </w:rPr>
              <w:t xml:space="preserve">9 </w:t>
            </w:r>
            <w:r>
              <w:rPr>
                <w:rFonts w:ascii="Arial" w:hAnsi="Arial"/>
                <w:sz w:val="17"/>
              </w:rPr>
              <w:t>net revenue (at PFG share)</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$244.4</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$246.8</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(1)%</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$949.5</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$960.8</w:t>
            </w:r>
          </w:p>
        </w:tc>
        <w:tc>
          <w:tcPr>
            <w:tcW w:w="980" w:type="dxa"/>
            <w:tcBorders>
              <w:right w:val="single" w:sz="2" w:space="0" w:color="000000"/>
            </w:tcBorders>
            <w:shd w:fill="auto" w:val="clear"/>
            <w:tcMar>
              <w:right w:w="30" w:type="dxa"/>
            </w:tcMar>
            <w:vAlign w:val="center"/>
          </w:tcPr>
          <w:p>
            <w:pPr>
              <w:pStyle w:val="TableContents"/>
              <w:spacing w:before="0" w:after="0"/>
              <w:ind w:left="0" w:right="0" w:firstLine="180"/>
              <w:jc w:val="center"/>
              <w:rPr>
                <w:rFonts w:ascii="Arial" w:hAnsi="Arial"/>
                <w:sz w:val="17"/>
              </w:rPr>
            </w:pPr>
            <w:r>
              <w:rPr>
                <w:rFonts w:ascii="Arial" w:hAnsi="Arial"/>
                <w:sz w:val="17"/>
              </w:rPr>
              <w:t>(1)%</w:t>
            </w:r>
          </w:p>
        </w:tc>
      </w:tr>
      <w:tr>
        <w:trPr/>
        <w:tc>
          <w:tcPr>
            <w:tcW w:w="4130" w:type="dxa"/>
            <w:tcBorders>
              <w:left w:val="single" w:sz="2" w:space="0" w:color="000000"/>
            </w:tcBorders>
            <w:shd w:fill="auto" w:val="clear"/>
            <w:tcMar>
              <w:left w:w="28" w:type="dxa"/>
            </w:tcMar>
            <w:vAlign w:val="center"/>
          </w:tcPr>
          <w:p>
            <w:pPr>
              <w:pStyle w:val="TableContents"/>
              <w:spacing w:before="0" w:after="0"/>
              <w:ind w:left="0" w:right="0" w:firstLine="30"/>
              <w:jc w:val="left"/>
              <w:rPr>
                <w:rFonts w:ascii="Arial" w:hAnsi="Arial"/>
                <w:sz w:val="17"/>
              </w:rPr>
            </w:pPr>
            <w:r>
              <w:rPr>
                <w:rFonts w:ascii="Arial" w:hAnsi="Arial"/>
                <w:sz w:val="17"/>
              </w:rPr>
              <w:t>Pre-tax return on combined net revenue (at PFG share)</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38.1%</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35.0%</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31.5%</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35.1%</w:t>
            </w:r>
          </w:p>
        </w:tc>
        <w:tc>
          <w:tcPr>
            <w:tcW w:w="980" w:type="dxa"/>
            <w:tcBorders>
              <w:right w:val="single" w:sz="2" w:space="0" w:color="000000"/>
            </w:tcBorders>
            <w:shd w:fill="auto" w:val="clear"/>
            <w:tcMar>
              <w:right w:w="30" w:type="dxa"/>
            </w:tcMar>
            <w:vAlign w:val="center"/>
          </w:tcPr>
          <w:p>
            <w:pPr>
              <w:pStyle w:val="TableContents"/>
              <w:spacing w:before="0" w:after="0"/>
              <w:ind w:left="0" w:right="0" w:firstLine="180"/>
              <w:rPr/>
            </w:pPr>
            <w:r>
              <w:rPr/>
              <w:t> </w:t>
            </w:r>
          </w:p>
        </w:tc>
      </w:tr>
      <w:tr>
        <w:trPr/>
        <w:tc>
          <w:tcPr>
            <w:tcW w:w="4130"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left"/>
              <w:rPr>
                <w:sz w:val="17"/>
              </w:rPr>
            </w:pPr>
            <w:r>
              <w:rPr>
                <w:rFonts w:ascii="Arial" w:hAnsi="Arial"/>
                <w:sz w:val="17"/>
              </w:rPr>
              <w:t xml:space="preserve">Assets under management </w:t>
            </w:r>
            <w:r>
              <w:rPr>
                <w:rFonts w:ascii="Arial" w:hAnsi="Arial"/>
                <w:i/>
                <w:sz w:val="17"/>
              </w:rPr>
              <w:t>(billions)</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sz w:val="17"/>
              </w:rPr>
            </w:pPr>
            <w:r>
              <w:rPr>
                <w:rFonts w:ascii="Arial" w:hAnsi="Arial"/>
                <w:sz w:val="17"/>
              </w:rPr>
              <w:t>$168.0</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sz w:val="17"/>
              </w:rPr>
            </w:pPr>
            <w:r>
              <w:rPr>
                <w:rFonts w:ascii="Arial" w:hAnsi="Arial"/>
                <w:sz w:val="17"/>
              </w:rPr>
              <w:t>$156.3</w:t>
            </w:r>
          </w:p>
        </w:tc>
        <w:tc>
          <w:tcPr>
            <w:tcW w:w="815" w:type="dxa"/>
            <w:tcBorders>
              <w:bottom w:val="single" w:sz="2" w:space="0" w:color="000000"/>
              <w:right w:val="single" w:sz="2" w:space="0" w:color="000000"/>
            </w:tcBorders>
            <w:shd w:fill="auto" w:val="clear"/>
            <w:tcMar>
              <w:bottom w:w="12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7%</w:t>
            </w:r>
          </w:p>
        </w:tc>
        <w:tc>
          <w:tcPr>
            <w:tcW w:w="545"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rPr/>
            </w:pPr>
            <w:r>
              <w:rPr/>
              <w:t> </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980"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rPr/>
            </w:pPr>
            <w:r>
              <w:rPr/>
              <w:t>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b/>
                <w:sz w:val="18"/>
              </w:rPr>
              <w:t xml:space="preserve">Pre-tax operating earnings </w:t>
            </w:r>
            <w:r>
              <w:rPr>
                <w:rFonts w:ascii="Arial" w:hAnsi="Arial"/>
                <w:sz w:val="18"/>
              </w:rPr>
              <w:t xml:space="preserve">increased $6.9 million due to growth in the business and favorable encaje performance partially offset by foreign currency translation headwinds and unfavorable inflation in Latin America. </w:t>
            </w:r>
          </w:p>
        </w:tc>
      </w:tr>
    </w:tbl>
    <w:p>
      <w:pPr>
        <w:pStyle w:val="TextBody"/>
        <w:spacing w:lineRule="auto" w:line="288" w:before="0" w:after="0"/>
        <w:jc w:val="left"/>
        <w:rPr/>
      </w:pPr>
      <w:r>
        <w:rPr/>
        <w:t> </w:t>
      </w:r>
    </w:p>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b/>
                <w:sz w:val="18"/>
              </w:rPr>
              <w:t xml:space="preserve">Combined net revenue (at PFG share) </w:t>
            </w:r>
            <w:r>
              <w:rPr>
                <w:rFonts w:ascii="Arial" w:hAnsi="Arial"/>
                <w:sz w:val="18"/>
              </w:rPr>
              <w:t xml:space="preserve">decreased $2.4 million as foreign currency translation headwinds and unfavorable inflation more than offset favorable encaje performance in Latin America. </w:t>
            </w:r>
          </w:p>
        </w:tc>
      </w:tr>
    </w:tbl>
    <w:p>
      <w:pPr>
        <w:pStyle w:val="TextBody"/>
        <w:spacing w:lineRule="auto" w:line="288" w:before="0" w:after="0"/>
        <w:ind w:left="0" w:right="0" w:firstLine="720"/>
        <w:jc w:val="left"/>
        <w:rPr/>
      </w:pPr>
      <w:r>
        <w:rPr/>
        <w:t>  </w:t>
      </w:r>
    </w:p>
    <w:p>
      <w:pPr>
        <w:pStyle w:val="TextBody"/>
        <w:spacing w:lineRule="auto" w:line="288" w:before="0" w:after="0"/>
        <w:ind w:left="0" w:right="0" w:firstLine="720"/>
        <w:jc w:val="left"/>
        <w:rPr>
          <w:rFonts w:ascii="Arial" w:hAnsi="Arial"/>
          <w:sz w:val="18"/>
        </w:rPr>
      </w:pPr>
      <w:r>
        <w:rPr>
          <w:rFonts w:ascii="Arial" w:hAnsi="Arial"/>
          <w:sz w:val="18"/>
        </w:rPr>
      </w:r>
    </w:p>
    <w:p>
      <w:pPr>
        <w:pStyle w:val="TextBody"/>
        <w:spacing w:lineRule="auto" w:line="288" w:before="0" w:after="0"/>
        <w:ind w:left="0" w:right="0" w:firstLine="720"/>
        <w:jc w:val="left"/>
        <w:rPr>
          <w:rFonts w:ascii="Arial" w:hAnsi="Arial"/>
          <w:sz w:val="18"/>
        </w:rPr>
      </w:pPr>
      <w:r>
        <w:rPr>
          <w:rFonts w:ascii="Arial" w:hAnsi="Arial"/>
          <w:sz w:val="18"/>
        </w:rPr>
      </w:r>
    </w:p>
    <w:p>
      <w:pPr>
        <w:pStyle w:val="TextBody"/>
        <w:spacing w:lineRule="auto" w:line="288" w:before="0" w:after="0"/>
        <w:ind w:left="0" w:right="0" w:firstLine="720"/>
        <w:jc w:val="left"/>
        <w:rPr>
          <w:rFonts w:ascii="Arial" w:hAnsi="Arial"/>
          <w:sz w:val="18"/>
        </w:rPr>
      </w:pPr>
      <w:r>
        <w:rPr>
          <w:rFonts w:ascii="Arial" w:hAnsi="Arial"/>
          <w:sz w:val="18"/>
        </w:rPr>
      </w:r>
    </w:p>
    <w:p>
      <w:pPr>
        <w:pStyle w:val="TextBody"/>
        <w:spacing w:lineRule="auto" w:line="240" w:before="0" w:after="0"/>
        <w:jc w:val="left"/>
        <w:rPr/>
      </w:pPr>
      <w:r>
        <w:rPr/>
        <w:t> </w:t>
      </w:r>
    </w:p>
    <w:p>
      <w:pPr>
        <w:pStyle w:val="TextBody"/>
        <w:spacing w:lineRule="auto" w:line="288" w:before="0" w:after="0"/>
        <w:jc w:val="left"/>
        <w:rPr>
          <w:rFonts w:ascii="Arial" w:hAnsi="Arial"/>
          <w:sz w:val="18"/>
        </w:rPr>
      </w:pPr>
      <w:r>
        <w:rPr>
          <w:rFonts w:ascii="Arial" w:hAnsi="Arial"/>
          <w:sz w:val="18"/>
        </w:rPr>
      </w:r>
    </w:p>
    <w:p>
      <w:pPr>
        <w:pStyle w:val="TextBody"/>
        <w:spacing w:lineRule="auto" w:line="288" w:before="0" w:after="0"/>
        <w:jc w:val="left"/>
        <w:rPr>
          <w:rFonts w:ascii="Arial" w:hAnsi="Arial"/>
          <w:b/>
          <w:sz w:val="17"/>
        </w:rPr>
      </w:pPr>
      <w:r>
        <w:rPr>
          <w:rFonts w:ascii="Arial" w:hAnsi="Arial"/>
          <w:b/>
          <w:sz w:val="10"/>
        </w:rPr>
        <w:t>____________________________________</w:t>
      </w:r>
      <w:r>
        <w:rPr>
          <w:rFonts w:ascii="Arial" w:hAnsi="Arial"/>
          <w:b/>
          <w:sz w:val="17"/>
        </w:rPr>
        <w:t> </w:t>
      </w:r>
    </w:p>
    <w:p>
      <w:pPr>
        <w:pStyle w:val="TextBody"/>
        <w:spacing w:lineRule="auto" w:line="288" w:before="0" w:after="0"/>
        <w:jc w:val="left"/>
        <w:rPr>
          <w:sz w:val="13"/>
        </w:rPr>
      </w:pPr>
      <w:r>
        <w:rPr>
          <w:rFonts w:ascii="Arial" w:hAnsi="Arial"/>
          <w:sz w:val="8"/>
        </w:rPr>
        <w:t xml:space="preserve">8 </w:t>
      </w:r>
      <w:r>
        <w:rPr>
          <w:rFonts w:ascii="Arial" w:hAnsi="Arial"/>
          <w:sz w:val="13"/>
        </w:rPr>
        <w:t>The company has provided reconciliations of the non-GAAP measures to the most directly comparable U.S. GAAP measures at the end of the release. The company has determined this measure is more representative of underlying operating revenues growth for PGI as it removes commissions that are collected through fee revenue and passed through expenses with no impact to pre-tax operating earnings.</w:t>
      </w:r>
    </w:p>
    <w:p>
      <w:pPr>
        <w:pStyle w:val="TextBody"/>
        <w:spacing w:lineRule="auto" w:line="288" w:before="0" w:after="0"/>
        <w:jc w:val="left"/>
        <w:rPr>
          <w:sz w:val="13"/>
        </w:rPr>
      </w:pPr>
      <w:r>
        <w:rPr>
          <w:rFonts w:ascii="Arial" w:hAnsi="Arial"/>
          <w:sz w:val="8"/>
        </w:rPr>
        <w:t xml:space="preserve">9 </w:t>
      </w:r>
      <w:r>
        <w:rPr>
          <w:rFonts w:ascii="Arial" w:hAnsi="Arial"/>
          <w:sz w:val="13"/>
        </w:rPr>
        <w:t>Combined net revenue: net revenue for all PI companies at 100 percent less pass-through commissions. The company has determined combined net revenue (at PFG share) is more representative of underlying net revenue growth for PI as it reflects our proportionate share of consolidated and equity method subsidiaries. In addition, using this net revenue metric provides a more meaningful representation of our profit margins.</w:t>
      </w:r>
    </w:p>
    <w:p>
      <w:pPr>
        <w:pStyle w:val="TextBody"/>
        <w:spacing w:lineRule="auto" w:line="288" w:before="0" w:after="0"/>
        <w:rPr>
          <w:rFonts w:ascii="Arial" w:hAnsi="Arial"/>
          <w:sz w:val="13"/>
        </w:rPr>
      </w:pPr>
      <w:r>
        <w:rPr>
          <w:rFonts w:ascii="Arial" w:hAnsi="Arial"/>
          <w:sz w:val="13"/>
        </w:rPr>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r>
        <w:rPr/>
        <w:drawing>
          <wp:inline distT="0" distB="0" distL="0" distR="0">
            <wp:extent cx="1981200" cy="59055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jc w:val="left"/>
        <w:rPr>
          <w:rFonts w:ascii="Arial" w:hAnsi="Arial"/>
          <w:b/>
          <w:sz w:val="18"/>
        </w:rPr>
      </w:pPr>
      <w:r>
        <w:rPr>
          <w:rFonts w:ascii="Arial" w:hAnsi="Arial"/>
          <w:b/>
          <w:sz w:val="18"/>
        </w:rPr>
        <w:t>Specialty Benefits Insurance</w:t>
      </w:r>
    </w:p>
    <w:tbl>
      <w:tblPr>
        <w:tblW w:w="7460" w:type="dxa"/>
        <w:jc w:val="left"/>
        <w:tblInd w:w="0" w:type="dxa"/>
        <w:tblCellMar>
          <w:top w:w="0" w:type="dxa"/>
          <w:left w:w="0" w:type="dxa"/>
          <w:bottom w:w="0" w:type="dxa"/>
          <w:right w:w="0" w:type="dxa"/>
        </w:tblCellMar>
      </w:tblPr>
      <w:tblGrid>
        <w:gridCol w:w="3215"/>
        <w:gridCol w:w="545"/>
        <w:gridCol w:w="545"/>
        <w:gridCol w:w="815"/>
        <w:gridCol w:w="680"/>
        <w:gridCol w:w="680"/>
        <w:gridCol w:w="980"/>
      </w:tblGrid>
      <w:tr>
        <w:trPr/>
        <w:tc>
          <w:tcPr>
            <w:tcW w:w="7460" w:type="dxa"/>
            <w:gridSpan w:val="7"/>
            <w:tcBorders/>
            <w:shd w:fill="auto" w:val="clear"/>
            <w:vAlign w:val="center"/>
          </w:tcPr>
          <w:p>
            <w:pPr>
              <w:pStyle w:val="TableContents"/>
              <w:spacing w:before="0" w:after="283"/>
              <w:rPr>
                <w:sz w:val="4"/>
                <w:szCs w:val="4"/>
              </w:rPr>
            </w:pPr>
            <w:r>
              <w:rPr>
                <w:sz w:val="4"/>
                <w:szCs w:val="4"/>
              </w:rPr>
            </w:r>
          </w:p>
        </w:tc>
      </w:tr>
      <w:tr>
        <w:trPr/>
        <w:tc>
          <w:tcPr>
            <w:tcW w:w="321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215" w:type="dxa"/>
            <w:vMerge w:val="restart"/>
            <w:tcBorders>
              <w:top w:val="single" w:sz="12" w:space="0" w:color="000000"/>
              <w:left w:val="single" w:sz="2" w:space="0" w:color="000000"/>
            </w:tcBorders>
            <w:shd w:fill="auto" w:val="clear"/>
            <w:tcMar>
              <w:top w:w="30" w:type="dxa"/>
              <w:left w:w="28" w:type="dxa"/>
            </w:tcMar>
            <w:vAlign w:val="center"/>
          </w:tcPr>
          <w:p>
            <w:pPr>
              <w:pStyle w:val="TableContents"/>
              <w:spacing w:before="0" w:after="0"/>
              <w:ind w:left="0" w:right="0" w:firstLine="30"/>
              <w:jc w:val="center"/>
              <w:rPr>
                <w:rFonts w:ascii="Arial" w:hAnsi="Arial"/>
                <w:i/>
                <w:sz w:val="13"/>
              </w:rPr>
            </w:pPr>
            <w:r>
              <w:rPr>
                <w:rFonts w:ascii="Arial" w:hAnsi="Arial"/>
                <w:i/>
                <w:sz w:val="13"/>
              </w:rPr>
              <w:t>(in millions except percentages or otherwise noted)</w:t>
            </w:r>
          </w:p>
        </w:tc>
        <w:tc>
          <w:tcPr>
            <w:tcW w:w="1905" w:type="dxa"/>
            <w:gridSpan w:val="3"/>
            <w:tcBorders>
              <w:top w:val="single" w:sz="12" w:space="0" w:color="000000"/>
              <w:right w:val="single" w:sz="2" w:space="0" w:color="000000"/>
            </w:tcBorders>
            <w:shd w:fill="BFBFBF" w:val="clear"/>
            <w:tcMar>
              <w:top w:w="30" w:type="dxa"/>
              <w:right w:w="30" w:type="dxa"/>
            </w:tcMar>
            <w:vAlign w:val="center"/>
          </w:tcPr>
          <w:p>
            <w:pPr>
              <w:pStyle w:val="TableContents"/>
              <w:spacing w:before="0" w:after="0"/>
              <w:ind w:left="0" w:right="0" w:firstLine="30"/>
              <w:jc w:val="center"/>
              <w:rPr>
                <w:rFonts w:ascii="Arial" w:hAnsi="Arial"/>
                <w:b/>
                <w:i/>
                <w:sz w:val="17"/>
              </w:rPr>
            </w:pPr>
            <w:r>
              <w:rPr>
                <w:rFonts w:ascii="Arial" w:hAnsi="Arial"/>
                <w:b/>
                <w:i/>
                <w:sz w:val="17"/>
              </w:rPr>
              <w:t>Quarter</w:t>
            </w:r>
          </w:p>
        </w:tc>
        <w:tc>
          <w:tcPr>
            <w:tcW w:w="2340" w:type="dxa"/>
            <w:gridSpan w:val="3"/>
            <w:tcBorders>
              <w:top w:val="single" w:sz="12" w:space="0" w:color="000000"/>
              <w:left w:val="single" w:sz="2" w:space="0" w:color="000000"/>
              <w:right w:val="single" w:sz="2" w:space="0" w:color="000000"/>
            </w:tcBorders>
            <w:shd w:fill="BFBFBF" w:val="clear"/>
            <w:tcMar>
              <w:top w:w="30" w:type="dxa"/>
              <w:left w:w="28" w:type="dxa"/>
              <w:right w:w="30" w:type="dxa"/>
            </w:tcMar>
            <w:vAlign w:val="center"/>
          </w:tcPr>
          <w:p>
            <w:pPr>
              <w:pStyle w:val="TableContents"/>
              <w:spacing w:before="0" w:after="0"/>
              <w:ind w:left="0" w:right="0" w:firstLine="30"/>
              <w:jc w:val="center"/>
              <w:rPr>
                <w:rFonts w:ascii="Arial" w:hAnsi="Arial"/>
                <w:b/>
                <w:i/>
                <w:sz w:val="17"/>
                <w:highlight w:val="lightGray"/>
              </w:rPr>
            </w:pPr>
            <w:r>
              <w:rPr>
                <w:rFonts w:ascii="Arial" w:hAnsi="Arial"/>
                <w:b/>
                <w:i/>
                <w:sz w:val="17"/>
                <w:highlight w:val="lightGray"/>
              </w:rPr>
              <w:t>Trailing Twelve Months</w:t>
            </w:r>
          </w:p>
        </w:tc>
      </w:tr>
      <w:tr>
        <w:trPr/>
        <w:tc>
          <w:tcPr>
            <w:tcW w:w="3215" w:type="dxa"/>
            <w:vMerge w:val="continue"/>
            <w:tcBorders>
              <w:top w:val="single" w:sz="12" w:space="0" w:color="000000"/>
              <w:left w:val="single" w:sz="2" w:space="0" w:color="000000"/>
            </w:tcBorders>
            <w:shd w:fill="auto" w:val="clear"/>
            <w:tcMar>
              <w:top w:w="30" w:type="dxa"/>
              <w:left w:w="28" w:type="dxa"/>
            </w:tcMar>
            <w:vAlign w:val="center"/>
          </w:tcPr>
          <w:p>
            <w:pPr>
              <w:pStyle w:val="Normal"/>
              <w:rPr/>
            </w:pPr>
            <w:r>
              <w:rPr/>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815" w:type="dxa"/>
            <w:tcBorders>
              <w:bottom w:val="single" w:sz="2" w:space="0" w:color="000000"/>
              <w:right w:val="single" w:sz="2" w:space="0" w:color="000000"/>
            </w:tcBorders>
            <w:shd w:fill="auto" w:val="clear"/>
            <w:tcMar>
              <w:bottom w:w="12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 Change</w:t>
            </w:r>
          </w:p>
        </w:tc>
        <w:tc>
          <w:tcPr>
            <w:tcW w:w="680"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680"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980" w:type="dxa"/>
            <w:tcBorders>
              <w:bottom w:val="single" w:sz="2" w:space="0" w:color="000000"/>
              <w:right w:val="single" w:sz="2" w:space="0" w:color="000000"/>
            </w:tcBorders>
            <w:shd w:fill="auto" w:val="clear"/>
            <w:tcMar>
              <w:bottom w:w="12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 Change</w:t>
            </w:r>
          </w:p>
        </w:tc>
      </w:tr>
      <w:tr>
        <w:trPr/>
        <w:tc>
          <w:tcPr>
            <w:tcW w:w="3215" w:type="dxa"/>
            <w:tcBorders>
              <w:left w:val="single" w:sz="2" w:space="0" w:color="000000"/>
            </w:tcBorders>
            <w:shd w:fill="auto" w:val="clear"/>
            <w:tcMar>
              <w:left w:w="28" w:type="dxa"/>
            </w:tcMar>
            <w:vAlign w:val="center"/>
          </w:tcPr>
          <w:p>
            <w:pPr>
              <w:pStyle w:val="TableContents"/>
              <w:spacing w:before="0" w:after="0"/>
              <w:ind w:left="0" w:right="0" w:firstLine="30"/>
              <w:jc w:val="left"/>
              <w:rPr>
                <w:rFonts w:ascii="Arial" w:hAnsi="Arial"/>
                <w:sz w:val="17"/>
              </w:rPr>
            </w:pPr>
            <w:r>
              <w:rPr>
                <w:rFonts w:ascii="Arial" w:hAnsi="Arial"/>
                <w:sz w:val="17"/>
              </w:rPr>
              <w:t>Pre-tax operating earnings</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$93.2</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$63.4</w:t>
            </w:r>
          </w:p>
        </w:tc>
        <w:tc>
          <w:tcPr>
            <w:tcW w:w="815" w:type="dxa"/>
            <w:tcBorders>
              <w:top w:val="single" w:sz="2" w:space="0" w:color="000000"/>
              <w:right w:val="single" w:sz="2" w:space="0" w:color="000000"/>
            </w:tcBorders>
            <w:shd w:fill="auto" w:val="clear"/>
            <w:tcMar>
              <w:top w:w="3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47%</w:t>
            </w:r>
          </w:p>
        </w:tc>
        <w:tc>
          <w:tcPr>
            <w:tcW w:w="680" w:type="dxa"/>
            <w:tcBorders>
              <w:top w:val="single" w:sz="2" w:space="0" w:color="000000"/>
              <w:left w:val="single" w:sz="2" w:space="0" w:color="000000"/>
            </w:tcBorders>
            <w:shd w:fill="auto" w:val="clear"/>
            <w:tcMar>
              <w:top w:w="30" w:type="dxa"/>
              <w:left w:w="28" w:type="dxa"/>
            </w:tcMar>
            <w:vAlign w:val="center"/>
          </w:tcPr>
          <w:p>
            <w:pPr>
              <w:pStyle w:val="TableContents"/>
              <w:spacing w:before="0" w:after="0"/>
              <w:ind w:left="0" w:right="0" w:firstLine="30"/>
              <w:jc w:val="center"/>
              <w:rPr>
                <w:rFonts w:ascii="Arial" w:hAnsi="Arial"/>
                <w:sz w:val="17"/>
              </w:rPr>
            </w:pPr>
            <w:r>
              <w:rPr>
                <w:rFonts w:ascii="Arial" w:hAnsi="Arial"/>
                <w:sz w:val="17"/>
              </w:rPr>
              <w:t>$310.0</w:t>
            </w:r>
          </w:p>
        </w:tc>
        <w:tc>
          <w:tcPr>
            <w:tcW w:w="680"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$275.9</w:t>
            </w:r>
          </w:p>
        </w:tc>
        <w:tc>
          <w:tcPr>
            <w:tcW w:w="980" w:type="dxa"/>
            <w:tcBorders>
              <w:top w:val="single" w:sz="2" w:space="0" w:color="000000"/>
              <w:right w:val="single" w:sz="2" w:space="0" w:color="000000"/>
            </w:tcBorders>
            <w:shd w:fill="auto" w:val="clear"/>
            <w:tcMar>
              <w:top w:w="3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12%</w:t>
            </w:r>
          </w:p>
        </w:tc>
      </w:tr>
      <w:tr>
        <w:trPr/>
        <w:tc>
          <w:tcPr>
            <w:tcW w:w="3215" w:type="dxa"/>
            <w:tcBorders>
              <w:left w:val="single" w:sz="2" w:space="0" w:color="000000"/>
            </w:tcBorders>
            <w:shd w:fill="auto" w:val="clear"/>
            <w:tcMar>
              <w:left w:w="28" w:type="dxa"/>
            </w:tcMar>
            <w:vAlign w:val="center"/>
          </w:tcPr>
          <w:p>
            <w:pPr>
              <w:pStyle w:val="TableContents"/>
              <w:spacing w:before="0" w:after="0"/>
              <w:ind w:left="0" w:right="0" w:firstLine="30"/>
              <w:jc w:val="left"/>
              <w:rPr>
                <w:rFonts w:ascii="Arial" w:hAnsi="Arial"/>
                <w:sz w:val="17"/>
              </w:rPr>
            </w:pPr>
            <w:r>
              <w:rPr>
                <w:rFonts w:ascii="Arial" w:hAnsi="Arial"/>
                <w:sz w:val="17"/>
              </w:rPr>
              <w:t>Premium and fees</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$580.1</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$536.7</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8%</w:t>
            </w:r>
          </w:p>
        </w:tc>
        <w:tc>
          <w:tcPr>
            <w:tcW w:w="680" w:type="dxa"/>
            <w:tcBorders>
              <w:left w:val="single" w:sz="2" w:space="0" w:color="000000"/>
            </w:tcBorders>
            <w:shd w:fill="auto" w:val="clear"/>
            <w:tcMar>
              <w:left w:w="28" w:type="dxa"/>
            </w:tcMar>
            <w:vAlign w:val="center"/>
          </w:tcPr>
          <w:p>
            <w:pPr>
              <w:pStyle w:val="TableContents"/>
              <w:spacing w:before="0" w:after="0"/>
              <w:ind w:left="0" w:right="0" w:firstLine="30"/>
              <w:jc w:val="center"/>
              <w:rPr>
                <w:rFonts w:ascii="Arial" w:hAnsi="Arial"/>
                <w:sz w:val="17"/>
              </w:rPr>
            </w:pPr>
            <w:r>
              <w:rPr>
                <w:rFonts w:ascii="Arial" w:hAnsi="Arial"/>
                <w:sz w:val="17"/>
              </w:rPr>
              <w:t>$2,251.5</w:t>
            </w:r>
          </w:p>
        </w:tc>
        <w:tc>
          <w:tcPr>
            <w:tcW w:w="680"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$2,096.9</w:t>
            </w:r>
          </w:p>
        </w:tc>
        <w:tc>
          <w:tcPr>
            <w:tcW w:w="980" w:type="dxa"/>
            <w:tcBorders>
              <w:right w:val="single" w:sz="2" w:space="0" w:color="000000"/>
            </w:tcBorders>
            <w:shd w:fill="auto" w:val="clear"/>
            <w:tcMar>
              <w:right w:w="30" w:type="dxa"/>
            </w:tcMar>
            <w:vAlign w:val="center"/>
          </w:tcPr>
          <w:p>
            <w:pPr>
              <w:pStyle w:val="TableContents"/>
              <w:spacing w:before="0" w:after="0"/>
              <w:ind w:left="0" w:right="0" w:firstLine="180"/>
              <w:jc w:val="center"/>
              <w:rPr>
                <w:rFonts w:ascii="Arial" w:hAnsi="Arial"/>
                <w:sz w:val="17"/>
              </w:rPr>
            </w:pPr>
            <w:r>
              <w:rPr>
                <w:rFonts w:ascii="Arial" w:hAnsi="Arial"/>
                <w:sz w:val="17"/>
              </w:rPr>
              <w:t>7%</w:t>
            </w:r>
          </w:p>
        </w:tc>
      </w:tr>
      <w:tr>
        <w:trPr/>
        <w:tc>
          <w:tcPr>
            <w:tcW w:w="3215" w:type="dxa"/>
            <w:tcBorders>
              <w:left w:val="single" w:sz="2" w:space="0" w:color="000000"/>
            </w:tcBorders>
            <w:shd w:fill="auto" w:val="clear"/>
            <w:tcMar>
              <w:left w:w="28" w:type="dxa"/>
            </w:tcMar>
            <w:vAlign w:val="center"/>
          </w:tcPr>
          <w:p>
            <w:pPr>
              <w:pStyle w:val="TableContents"/>
              <w:spacing w:lineRule="auto" w:line="288" w:before="0" w:after="0"/>
              <w:ind w:left="0" w:right="0" w:firstLine="30"/>
              <w:jc w:val="left"/>
              <w:rPr>
                <w:sz w:val="17"/>
              </w:rPr>
            </w:pPr>
            <w:r>
              <w:rPr>
                <w:rFonts w:ascii="Arial" w:hAnsi="Arial"/>
                <w:sz w:val="17"/>
              </w:rPr>
              <w:t>Pre-tax return on premium and fees</w:t>
            </w:r>
            <w:r>
              <w:rPr>
                <w:rFonts w:ascii="Arial" w:hAnsi="Arial"/>
                <w:sz w:val="10"/>
              </w:rPr>
              <w:t>10</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16.1%</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11.8%</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c>
          <w:tcPr>
            <w:tcW w:w="680" w:type="dxa"/>
            <w:tcBorders>
              <w:left w:val="single" w:sz="2" w:space="0" w:color="000000"/>
            </w:tcBorders>
            <w:shd w:fill="auto" w:val="clear"/>
            <w:tcMar>
              <w:left w:w="28" w:type="dxa"/>
            </w:tcMar>
            <w:vAlign w:val="center"/>
          </w:tcPr>
          <w:p>
            <w:pPr>
              <w:pStyle w:val="TableContents"/>
              <w:spacing w:before="0" w:after="0"/>
              <w:ind w:left="0" w:right="0" w:firstLine="30"/>
              <w:jc w:val="center"/>
              <w:rPr>
                <w:rFonts w:ascii="Arial" w:hAnsi="Arial"/>
                <w:sz w:val="17"/>
              </w:rPr>
            </w:pPr>
            <w:r>
              <w:rPr>
                <w:rFonts w:ascii="Arial" w:hAnsi="Arial"/>
                <w:sz w:val="17"/>
              </w:rPr>
              <w:t>13.8%</w:t>
            </w:r>
          </w:p>
        </w:tc>
        <w:tc>
          <w:tcPr>
            <w:tcW w:w="680"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13.2%</w:t>
            </w:r>
          </w:p>
        </w:tc>
        <w:tc>
          <w:tcPr>
            <w:tcW w:w="980" w:type="dxa"/>
            <w:tcBorders>
              <w:right w:val="single" w:sz="2" w:space="0" w:color="000000"/>
            </w:tcBorders>
            <w:shd w:fill="auto" w:val="clear"/>
            <w:tcMar>
              <w:right w:w="30" w:type="dxa"/>
            </w:tcMar>
            <w:vAlign w:val="center"/>
          </w:tcPr>
          <w:p>
            <w:pPr>
              <w:pStyle w:val="TableContents"/>
              <w:spacing w:before="0" w:after="0"/>
              <w:ind w:left="0" w:right="0" w:firstLine="180"/>
              <w:rPr/>
            </w:pPr>
            <w:r>
              <w:rPr/>
              <w:t> </w:t>
            </w:r>
          </w:p>
        </w:tc>
      </w:tr>
      <w:tr>
        <w:trPr/>
        <w:tc>
          <w:tcPr>
            <w:tcW w:w="3215"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left"/>
              <w:rPr>
                <w:rFonts w:ascii="Arial" w:hAnsi="Arial"/>
                <w:sz w:val="17"/>
              </w:rPr>
            </w:pPr>
            <w:r>
              <w:rPr>
                <w:rFonts w:ascii="Arial" w:hAnsi="Arial"/>
                <w:sz w:val="17"/>
              </w:rPr>
              <w:t>Incurred loss ratio</w:t>
            </w:r>
          </w:p>
        </w:tc>
        <w:tc>
          <w:tcPr>
            <w:tcW w:w="545" w:type="dxa"/>
            <w:tcBorders>
              <w:bottom w:val="single" w:sz="2" w:space="0" w:color="000000"/>
            </w:tcBorders>
            <w:shd w:fill="auto" w:val="clear"/>
            <w:tcMar>
              <w:bottom w:w="120" w:type="dxa"/>
            </w:tcMar>
            <w:vAlign w:val="center"/>
          </w:tcPr>
          <w:p>
            <w:pPr>
              <w:pStyle w:val="TableContents"/>
              <w:spacing w:before="0" w:after="0"/>
              <w:ind w:left="0" w:right="0" w:firstLine="30"/>
              <w:jc w:val="center"/>
              <w:rPr>
                <w:rFonts w:ascii="Arial" w:hAnsi="Arial"/>
                <w:sz w:val="17"/>
              </w:rPr>
            </w:pPr>
            <w:r>
              <w:rPr>
                <w:rFonts w:ascii="Arial" w:hAnsi="Arial"/>
                <w:sz w:val="17"/>
              </w:rPr>
              <w:t>60.1%</w:t>
            </w:r>
          </w:p>
        </w:tc>
        <w:tc>
          <w:tcPr>
            <w:tcW w:w="545" w:type="dxa"/>
            <w:tcBorders>
              <w:bottom w:val="single" w:sz="2" w:space="0" w:color="000000"/>
            </w:tcBorders>
            <w:shd w:fill="auto" w:val="clear"/>
            <w:tcMar>
              <w:bottom w:w="120" w:type="dxa"/>
            </w:tcMar>
            <w:vAlign w:val="center"/>
          </w:tcPr>
          <w:p>
            <w:pPr>
              <w:pStyle w:val="TableContents"/>
              <w:spacing w:before="0" w:after="0"/>
              <w:ind w:left="0" w:right="0" w:firstLine="30"/>
              <w:jc w:val="center"/>
              <w:rPr>
                <w:rFonts w:ascii="Arial" w:hAnsi="Arial"/>
                <w:sz w:val="17"/>
              </w:rPr>
            </w:pPr>
            <w:r>
              <w:rPr>
                <w:rFonts w:ascii="Arial" w:hAnsi="Arial"/>
                <w:sz w:val="17"/>
              </w:rPr>
              <w:t>62.8%</w:t>
            </w:r>
          </w:p>
        </w:tc>
        <w:tc>
          <w:tcPr>
            <w:tcW w:w="815"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rPr/>
            </w:pPr>
            <w:r>
              <w:rPr/>
              <w:t> </w:t>
            </w:r>
          </w:p>
        </w:tc>
        <w:tc>
          <w:tcPr>
            <w:tcW w:w="680" w:type="dxa"/>
            <w:tcBorders>
              <w:left w:val="single" w:sz="2" w:space="0" w:color="000000"/>
              <w:bottom w:val="single" w:sz="2" w:space="0" w:color="000000"/>
            </w:tcBorders>
            <w:shd w:fill="auto" w:val="clear"/>
            <w:tcMar>
              <w:left w:w="28" w:type="dxa"/>
              <w:bottom w:w="120" w:type="dxa"/>
            </w:tcMar>
            <w:vAlign w:val="center"/>
          </w:tcPr>
          <w:p>
            <w:pPr>
              <w:pStyle w:val="TableContents"/>
              <w:spacing w:before="0" w:after="0"/>
              <w:ind w:left="0" w:right="0" w:firstLine="30"/>
              <w:jc w:val="center"/>
              <w:rPr>
                <w:rFonts w:ascii="Arial" w:hAnsi="Arial"/>
                <w:sz w:val="17"/>
              </w:rPr>
            </w:pPr>
            <w:r>
              <w:rPr>
                <w:rFonts w:ascii="Arial" w:hAnsi="Arial"/>
                <w:sz w:val="17"/>
              </w:rPr>
              <w:t>61.4%</w:t>
            </w:r>
          </w:p>
        </w:tc>
        <w:tc>
          <w:tcPr>
            <w:tcW w:w="680" w:type="dxa"/>
            <w:tcBorders>
              <w:bottom w:val="single" w:sz="2" w:space="0" w:color="000000"/>
            </w:tcBorders>
            <w:shd w:fill="auto" w:val="clear"/>
            <w:tcMar>
              <w:bottom w:w="120" w:type="dxa"/>
            </w:tcMar>
            <w:vAlign w:val="center"/>
          </w:tcPr>
          <w:p>
            <w:pPr>
              <w:pStyle w:val="TableContents"/>
              <w:spacing w:before="0" w:after="0"/>
              <w:ind w:left="0" w:right="0" w:firstLine="30"/>
              <w:jc w:val="center"/>
              <w:rPr>
                <w:rFonts w:ascii="Arial" w:hAnsi="Arial"/>
                <w:sz w:val="17"/>
              </w:rPr>
            </w:pPr>
            <w:r>
              <w:rPr>
                <w:rFonts w:ascii="Arial" w:hAnsi="Arial"/>
                <w:sz w:val="17"/>
              </w:rPr>
              <w:t>61.9%</w:t>
            </w:r>
          </w:p>
        </w:tc>
        <w:tc>
          <w:tcPr>
            <w:tcW w:w="980"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rPr/>
            </w:pPr>
            <w:r>
              <w:rPr/>
              <w:t>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b/>
                <w:sz w:val="18"/>
              </w:rPr>
              <w:t xml:space="preserve">Pre-tax operating earnings </w:t>
            </w:r>
            <w:r>
              <w:rPr>
                <w:rFonts w:ascii="Arial" w:hAnsi="Arial"/>
                <w:sz w:val="18"/>
              </w:rPr>
              <w:t xml:space="preserve">increased $29.8 million primarily due to favorable claims experience, higher variable investment income and growth in the business. </w:t>
            </w:r>
          </w:p>
        </w:tc>
      </w:tr>
    </w:tbl>
    <w:tbl>
      <w:tblPr>
        <w:tblW w:w="8500" w:type="dxa"/>
        <w:jc w:val="left"/>
        <w:tblInd w:w="0" w:type="dxa"/>
        <w:tblCellMar>
          <w:top w:w="0" w:type="dxa"/>
          <w:left w:w="0" w:type="dxa"/>
          <w:bottom w:w="0" w:type="dxa"/>
          <w:right w:w="0" w:type="dxa"/>
        </w:tblCellMar>
      </w:tblPr>
      <w:tblGrid>
        <w:gridCol w:w="485"/>
        <w:gridCol w:w="8015"/>
      </w:tblGrid>
      <w:tr>
        <w:trPr/>
        <w:tc>
          <w:tcPr>
            <w:tcW w:w="485" w:type="dxa"/>
            <w:tcBorders/>
            <w:shd w:fill="auto" w:val="clear"/>
            <w:vAlign w:val="center"/>
          </w:tcPr>
          <w:p>
            <w:pPr>
              <w:pStyle w:val="TableContents"/>
              <w:spacing w:before="0" w:after="283"/>
              <w:rPr>
                <w:sz w:val="4"/>
                <w:szCs w:val="4"/>
              </w:rPr>
            </w:pPr>
            <w:r>
              <w:rPr>
                <w:sz w:val="4"/>
                <w:szCs w:val="4"/>
              </w:rPr>
            </w:r>
          </w:p>
        </w:tc>
        <w:tc>
          <w:tcPr>
            <w:tcW w:w="8015"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8015" w:type="dxa"/>
            <w:tcBorders/>
            <w:shd w:fill="auto" w:val="clear"/>
            <w:vAlign w:val="center"/>
          </w:tcPr>
          <w:p>
            <w:pPr>
              <w:pStyle w:val="TableContents"/>
              <w:spacing w:lineRule="auto" w:line="288" w:before="0" w:after="0"/>
              <w:jc w:val="left"/>
              <w:rPr>
                <w:sz w:val="18"/>
              </w:rPr>
            </w:pPr>
            <w:r>
              <w:rPr>
                <w:rFonts w:ascii="Arial" w:hAnsi="Arial"/>
                <w:b/>
                <w:sz w:val="18"/>
              </w:rPr>
              <w:t xml:space="preserve">Premium and fees </w:t>
            </w:r>
            <w:r>
              <w:rPr>
                <w:rFonts w:ascii="Arial" w:hAnsi="Arial"/>
                <w:sz w:val="18"/>
              </w:rPr>
              <w:t xml:space="preserve">increased $43.4 million reflecting strong retention, sales, and in-group growth. </w:t>
            </w:r>
          </w:p>
        </w:tc>
      </w:tr>
    </w:tbl>
    <w:tbl>
      <w:tblPr>
        <w:tblW w:w="9940" w:type="dxa"/>
        <w:jc w:val="left"/>
        <w:tblInd w:w="0" w:type="dxa"/>
        <w:tblCellMar>
          <w:top w:w="0" w:type="dxa"/>
          <w:left w:w="0" w:type="dxa"/>
          <w:bottom w:w="0" w:type="dxa"/>
          <w:right w:w="0" w:type="dxa"/>
        </w:tblCellMar>
      </w:tblPr>
      <w:tblGrid>
        <w:gridCol w:w="485"/>
        <w:gridCol w:w="9455"/>
      </w:tblGrid>
      <w:tr>
        <w:trPr/>
        <w:tc>
          <w:tcPr>
            <w:tcW w:w="485" w:type="dxa"/>
            <w:tcBorders/>
            <w:shd w:fill="auto" w:val="clear"/>
            <w:vAlign w:val="center"/>
          </w:tcPr>
          <w:p>
            <w:pPr>
              <w:pStyle w:val="TableContents"/>
              <w:spacing w:before="0" w:after="283"/>
              <w:rPr>
                <w:sz w:val="4"/>
                <w:szCs w:val="4"/>
              </w:rPr>
            </w:pPr>
            <w:r>
              <w:rPr>
                <w:sz w:val="4"/>
                <w:szCs w:val="4"/>
              </w:rPr>
            </w:r>
          </w:p>
        </w:tc>
        <w:tc>
          <w:tcPr>
            <w:tcW w:w="9455"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455" w:type="dxa"/>
            <w:tcBorders/>
            <w:shd w:fill="auto" w:val="clear"/>
            <w:vAlign w:val="center"/>
          </w:tcPr>
          <w:p>
            <w:pPr>
              <w:pStyle w:val="TableContents"/>
              <w:spacing w:lineRule="auto" w:line="288" w:before="0" w:after="0"/>
              <w:jc w:val="left"/>
              <w:rPr>
                <w:sz w:val="18"/>
              </w:rPr>
            </w:pPr>
            <w:r>
              <w:rPr>
                <w:rFonts w:ascii="Arial" w:hAnsi="Arial"/>
                <w:b/>
                <w:sz w:val="18"/>
              </w:rPr>
              <w:t xml:space="preserve">Incurred loss ratio </w:t>
            </w:r>
            <w:r>
              <w:rPr>
                <w:rFonts w:ascii="Arial" w:hAnsi="Arial"/>
                <w:sz w:val="18"/>
              </w:rPr>
              <w:t xml:space="preserve">was at the low end of our expected range, driven by very favorable group life claims experience. </w:t>
            </w:r>
          </w:p>
        </w:tc>
      </w:tr>
    </w:tbl>
    <w:p>
      <w:pPr>
        <w:pStyle w:val="TextBody"/>
        <w:spacing w:lineRule="auto" w:line="288" w:before="0" w:after="0"/>
        <w:ind w:left="0" w:right="0" w:firstLine="720"/>
        <w:jc w:val="left"/>
        <w:rPr>
          <w:rFonts w:ascii="Arial" w:hAnsi="Arial"/>
          <w:sz w:val="18"/>
        </w:rPr>
      </w:pPr>
      <w:r>
        <w:rPr>
          <w:rFonts w:ascii="Arial" w:hAnsi="Arial"/>
          <w:sz w:val="18"/>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Arial" w:hAnsi="Arial"/>
          <w:b/>
          <w:sz w:val="18"/>
        </w:rPr>
      </w:pPr>
      <w:r>
        <w:rPr>
          <w:rFonts w:ascii="Arial" w:hAnsi="Arial"/>
          <w:b/>
          <w:sz w:val="18"/>
        </w:rPr>
        <w:t>Individual Life Insurance</w:t>
      </w:r>
    </w:p>
    <w:tbl>
      <w:tblPr>
        <w:tblW w:w="7460" w:type="dxa"/>
        <w:jc w:val="left"/>
        <w:tblInd w:w="0" w:type="dxa"/>
        <w:tblCellMar>
          <w:top w:w="0" w:type="dxa"/>
          <w:left w:w="0" w:type="dxa"/>
          <w:bottom w:w="0" w:type="dxa"/>
          <w:right w:w="0" w:type="dxa"/>
        </w:tblCellMar>
      </w:tblPr>
      <w:tblGrid>
        <w:gridCol w:w="3215"/>
        <w:gridCol w:w="545"/>
        <w:gridCol w:w="545"/>
        <w:gridCol w:w="815"/>
        <w:gridCol w:w="680"/>
        <w:gridCol w:w="680"/>
        <w:gridCol w:w="980"/>
      </w:tblGrid>
      <w:tr>
        <w:trPr/>
        <w:tc>
          <w:tcPr>
            <w:tcW w:w="7460" w:type="dxa"/>
            <w:gridSpan w:val="7"/>
            <w:tcBorders/>
            <w:shd w:fill="auto" w:val="clear"/>
            <w:vAlign w:val="center"/>
          </w:tcPr>
          <w:p>
            <w:pPr>
              <w:pStyle w:val="TableContents"/>
              <w:spacing w:before="0" w:after="283"/>
              <w:rPr>
                <w:sz w:val="4"/>
                <w:szCs w:val="4"/>
              </w:rPr>
            </w:pPr>
            <w:r>
              <w:rPr>
                <w:sz w:val="4"/>
                <w:szCs w:val="4"/>
              </w:rPr>
            </w:r>
          </w:p>
        </w:tc>
      </w:tr>
      <w:tr>
        <w:trPr/>
        <w:tc>
          <w:tcPr>
            <w:tcW w:w="321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215" w:type="dxa"/>
            <w:vMerge w:val="restart"/>
            <w:tcBorders>
              <w:top w:val="single" w:sz="12" w:space="0" w:color="000000"/>
              <w:left w:val="single" w:sz="2" w:space="0" w:color="000000"/>
            </w:tcBorders>
            <w:shd w:fill="auto" w:val="clear"/>
            <w:tcMar>
              <w:top w:w="30" w:type="dxa"/>
              <w:left w:w="28" w:type="dxa"/>
            </w:tcMar>
            <w:vAlign w:val="center"/>
          </w:tcPr>
          <w:p>
            <w:pPr>
              <w:pStyle w:val="TableContents"/>
              <w:spacing w:before="0" w:after="0"/>
              <w:ind w:left="0" w:right="0" w:firstLine="30"/>
              <w:jc w:val="center"/>
              <w:rPr>
                <w:rFonts w:ascii="Arial" w:hAnsi="Arial"/>
                <w:i/>
                <w:sz w:val="13"/>
              </w:rPr>
            </w:pPr>
            <w:r>
              <w:rPr>
                <w:rFonts w:ascii="Arial" w:hAnsi="Arial"/>
                <w:i/>
                <w:sz w:val="13"/>
              </w:rPr>
              <w:t>(in millions except percentages or otherwise noted)</w:t>
            </w:r>
          </w:p>
        </w:tc>
        <w:tc>
          <w:tcPr>
            <w:tcW w:w="1905" w:type="dxa"/>
            <w:gridSpan w:val="3"/>
            <w:tcBorders>
              <w:top w:val="single" w:sz="12" w:space="0" w:color="000000"/>
              <w:right w:val="single" w:sz="2" w:space="0" w:color="000000"/>
            </w:tcBorders>
            <w:shd w:fill="BFBFBF" w:val="clear"/>
            <w:tcMar>
              <w:top w:w="30" w:type="dxa"/>
              <w:right w:w="30" w:type="dxa"/>
            </w:tcMar>
            <w:vAlign w:val="center"/>
          </w:tcPr>
          <w:p>
            <w:pPr>
              <w:pStyle w:val="TableContents"/>
              <w:spacing w:before="0" w:after="0"/>
              <w:ind w:left="0" w:right="0" w:firstLine="30"/>
              <w:jc w:val="center"/>
              <w:rPr>
                <w:rFonts w:ascii="Arial" w:hAnsi="Arial"/>
                <w:b/>
                <w:i/>
                <w:sz w:val="17"/>
              </w:rPr>
            </w:pPr>
            <w:r>
              <w:rPr>
                <w:rFonts w:ascii="Arial" w:hAnsi="Arial"/>
                <w:b/>
                <w:i/>
                <w:sz w:val="17"/>
              </w:rPr>
              <w:t>Quarter</w:t>
            </w:r>
          </w:p>
        </w:tc>
        <w:tc>
          <w:tcPr>
            <w:tcW w:w="2340" w:type="dxa"/>
            <w:gridSpan w:val="3"/>
            <w:tcBorders>
              <w:top w:val="single" w:sz="12" w:space="0" w:color="000000"/>
              <w:left w:val="single" w:sz="2" w:space="0" w:color="000000"/>
              <w:right w:val="single" w:sz="2" w:space="0" w:color="000000"/>
            </w:tcBorders>
            <w:shd w:fill="BFBFBF" w:val="clear"/>
            <w:tcMar>
              <w:top w:w="30" w:type="dxa"/>
              <w:left w:w="28" w:type="dxa"/>
              <w:right w:w="30" w:type="dxa"/>
            </w:tcMar>
            <w:vAlign w:val="center"/>
          </w:tcPr>
          <w:p>
            <w:pPr>
              <w:pStyle w:val="TableContents"/>
              <w:spacing w:before="0" w:after="0"/>
              <w:ind w:left="0" w:right="0" w:firstLine="30"/>
              <w:jc w:val="center"/>
              <w:rPr>
                <w:rFonts w:ascii="Arial" w:hAnsi="Arial"/>
                <w:b/>
                <w:i/>
                <w:sz w:val="17"/>
              </w:rPr>
            </w:pPr>
            <w:r>
              <w:rPr>
                <w:rFonts w:ascii="Arial" w:hAnsi="Arial"/>
                <w:b/>
                <w:i/>
                <w:sz w:val="17"/>
              </w:rPr>
              <w:t>Trailing Twelve Months</w:t>
            </w:r>
          </w:p>
        </w:tc>
      </w:tr>
      <w:tr>
        <w:trPr/>
        <w:tc>
          <w:tcPr>
            <w:tcW w:w="3215" w:type="dxa"/>
            <w:vMerge w:val="continue"/>
            <w:tcBorders>
              <w:top w:val="single" w:sz="12" w:space="0" w:color="000000"/>
              <w:left w:val="single" w:sz="2" w:space="0" w:color="000000"/>
            </w:tcBorders>
            <w:shd w:fill="auto" w:val="clear"/>
            <w:tcMar>
              <w:top w:w="30" w:type="dxa"/>
              <w:left w:w="28" w:type="dxa"/>
            </w:tcMar>
            <w:vAlign w:val="center"/>
          </w:tcPr>
          <w:p>
            <w:pPr>
              <w:pStyle w:val="Normal"/>
              <w:rPr/>
            </w:pPr>
            <w:r>
              <w:rPr/>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54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815" w:type="dxa"/>
            <w:tcBorders>
              <w:bottom w:val="single" w:sz="2" w:space="0" w:color="000000"/>
              <w:right w:val="single" w:sz="2" w:space="0" w:color="000000"/>
            </w:tcBorders>
            <w:shd w:fill="auto" w:val="clear"/>
            <w:tcMar>
              <w:bottom w:w="12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 Change</w:t>
            </w:r>
          </w:p>
        </w:tc>
        <w:tc>
          <w:tcPr>
            <w:tcW w:w="680"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680"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980" w:type="dxa"/>
            <w:tcBorders>
              <w:bottom w:val="single" w:sz="2" w:space="0" w:color="000000"/>
              <w:right w:val="single" w:sz="2" w:space="0" w:color="000000"/>
            </w:tcBorders>
            <w:shd w:fill="auto" w:val="clear"/>
            <w:tcMar>
              <w:bottom w:w="12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 Change</w:t>
            </w:r>
          </w:p>
        </w:tc>
      </w:tr>
      <w:tr>
        <w:trPr/>
        <w:tc>
          <w:tcPr>
            <w:tcW w:w="3215" w:type="dxa"/>
            <w:tcBorders>
              <w:left w:val="single" w:sz="2" w:space="0" w:color="000000"/>
            </w:tcBorders>
            <w:shd w:fill="auto" w:val="clear"/>
            <w:tcMar>
              <w:left w:w="28" w:type="dxa"/>
            </w:tcMar>
            <w:vAlign w:val="center"/>
          </w:tcPr>
          <w:p>
            <w:pPr>
              <w:pStyle w:val="TableContents"/>
              <w:spacing w:before="0" w:after="0"/>
              <w:ind w:left="0" w:right="0" w:firstLine="30"/>
              <w:jc w:val="left"/>
              <w:rPr>
                <w:rFonts w:ascii="Arial" w:hAnsi="Arial"/>
                <w:sz w:val="17"/>
              </w:rPr>
            </w:pPr>
            <w:r>
              <w:rPr>
                <w:rFonts w:ascii="Arial" w:hAnsi="Arial"/>
                <w:sz w:val="17"/>
              </w:rPr>
              <w:t>Pre-tax operating earnings</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$53.1</w:t>
            </w:r>
          </w:p>
        </w:tc>
        <w:tc>
          <w:tcPr>
            <w:tcW w:w="545"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$49.9</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6%</w:t>
            </w:r>
          </w:p>
        </w:tc>
        <w:tc>
          <w:tcPr>
            <w:tcW w:w="680" w:type="dxa"/>
            <w:tcBorders>
              <w:top w:val="single" w:sz="2" w:space="0" w:color="000000"/>
              <w:left w:val="single" w:sz="2" w:space="0" w:color="000000"/>
            </w:tcBorders>
            <w:shd w:fill="auto" w:val="clear"/>
            <w:tcMar>
              <w:top w:w="30" w:type="dxa"/>
              <w:left w:w="28" w:type="dxa"/>
            </w:tcMar>
            <w:vAlign w:val="center"/>
          </w:tcPr>
          <w:p>
            <w:pPr>
              <w:pStyle w:val="TableContents"/>
              <w:spacing w:before="0" w:after="0"/>
              <w:ind w:left="0" w:right="0" w:firstLine="30"/>
              <w:jc w:val="center"/>
              <w:rPr>
                <w:rFonts w:ascii="Arial" w:hAnsi="Arial"/>
                <w:sz w:val="17"/>
              </w:rPr>
            </w:pPr>
            <w:r>
              <w:rPr>
                <w:rFonts w:ascii="Arial" w:hAnsi="Arial"/>
                <w:sz w:val="17"/>
              </w:rPr>
              <w:t>$185.7</w:t>
            </w:r>
          </w:p>
        </w:tc>
        <w:tc>
          <w:tcPr>
            <w:tcW w:w="680" w:type="dxa"/>
            <w:tcBorders>
              <w:top w:val="single" w:sz="2" w:space="0" w:color="000000"/>
            </w:tcBorders>
            <w:shd w:fill="auto" w:val="clear"/>
            <w:tcMar>
              <w:top w:w="30" w:type="dxa"/>
            </w:tcMar>
            <w:vAlign w:val="center"/>
          </w:tcPr>
          <w:p>
            <w:pPr>
              <w:pStyle w:val="TableContents"/>
              <w:spacing w:before="0" w:after="0"/>
              <w:ind w:left="0" w:right="0" w:firstLine="30"/>
              <w:jc w:val="center"/>
              <w:rPr>
                <w:rFonts w:ascii="Arial" w:hAnsi="Arial"/>
                <w:sz w:val="17"/>
              </w:rPr>
            </w:pPr>
            <w:r>
              <w:rPr>
                <w:rFonts w:ascii="Arial" w:hAnsi="Arial"/>
                <w:sz w:val="17"/>
              </w:rPr>
              <w:t>$159.7</w:t>
            </w:r>
          </w:p>
        </w:tc>
        <w:tc>
          <w:tcPr>
            <w:tcW w:w="980" w:type="dxa"/>
            <w:tcBorders>
              <w:top w:val="single" w:sz="2" w:space="0" w:color="000000"/>
              <w:right w:val="single" w:sz="2" w:space="0" w:color="000000"/>
            </w:tcBorders>
            <w:shd w:fill="auto" w:val="clear"/>
            <w:tcMar>
              <w:top w:w="3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16%</w:t>
            </w:r>
          </w:p>
        </w:tc>
      </w:tr>
      <w:tr>
        <w:trPr/>
        <w:tc>
          <w:tcPr>
            <w:tcW w:w="3215" w:type="dxa"/>
            <w:tcBorders>
              <w:left w:val="single" w:sz="2" w:space="0" w:color="000000"/>
            </w:tcBorders>
            <w:shd w:fill="auto" w:val="clear"/>
            <w:tcMar>
              <w:left w:w="28" w:type="dxa"/>
            </w:tcMar>
            <w:vAlign w:val="center"/>
          </w:tcPr>
          <w:p>
            <w:pPr>
              <w:pStyle w:val="TableContents"/>
              <w:spacing w:before="0" w:after="0"/>
              <w:ind w:left="0" w:right="0" w:firstLine="30"/>
              <w:jc w:val="left"/>
              <w:rPr>
                <w:rFonts w:ascii="Arial" w:hAnsi="Arial"/>
                <w:sz w:val="17"/>
              </w:rPr>
            </w:pPr>
            <w:r>
              <w:rPr>
                <w:rFonts w:ascii="Arial" w:hAnsi="Arial"/>
                <w:sz w:val="17"/>
              </w:rPr>
              <w:t>Premium and fees</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$282.6</w:t>
            </w:r>
          </w:p>
        </w:tc>
        <w:tc>
          <w:tcPr>
            <w:tcW w:w="545"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$268.0</w:t>
            </w:r>
          </w:p>
        </w:tc>
        <w:tc>
          <w:tcPr>
            <w:tcW w:w="815" w:type="dxa"/>
            <w:tcBorders>
              <w:right w:val="single" w:sz="2" w:space="0" w:color="000000"/>
            </w:tcBorders>
            <w:shd w:fill="auto" w:val="clear"/>
            <w:tcMar>
              <w:right w:w="30" w:type="dxa"/>
            </w:tcMar>
            <w:vAlign w:val="center"/>
          </w:tcPr>
          <w:p>
            <w:pPr>
              <w:pStyle w:val="TableContents"/>
              <w:spacing w:before="0" w:after="0"/>
              <w:ind w:left="0" w:right="0" w:firstLine="30"/>
              <w:jc w:val="center"/>
              <w:rPr>
                <w:rFonts w:ascii="Arial" w:hAnsi="Arial"/>
                <w:sz w:val="17"/>
              </w:rPr>
            </w:pPr>
            <w:r>
              <w:rPr>
                <w:rFonts w:ascii="Arial" w:hAnsi="Arial"/>
                <w:sz w:val="17"/>
              </w:rPr>
              <w:t>5%</w:t>
            </w:r>
          </w:p>
        </w:tc>
        <w:tc>
          <w:tcPr>
            <w:tcW w:w="680" w:type="dxa"/>
            <w:tcBorders>
              <w:left w:val="single" w:sz="2" w:space="0" w:color="000000"/>
            </w:tcBorders>
            <w:shd w:fill="auto" w:val="clear"/>
            <w:tcMar>
              <w:left w:w="28" w:type="dxa"/>
            </w:tcMar>
            <w:vAlign w:val="center"/>
          </w:tcPr>
          <w:p>
            <w:pPr>
              <w:pStyle w:val="TableContents"/>
              <w:spacing w:before="0" w:after="0"/>
              <w:ind w:left="0" w:right="0" w:firstLine="30"/>
              <w:jc w:val="center"/>
              <w:rPr>
                <w:rFonts w:ascii="Arial" w:hAnsi="Arial"/>
                <w:sz w:val="17"/>
              </w:rPr>
            </w:pPr>
            <w:r>
              <w:rPr>
                <w:rFonts w:ascii="Arial" w:hAnsi="Arial"/>
                <w:sz w:val="17"/>
              </w:rPr>
              <w:t>$1,117.9</w:t>
            </w:r>
          </w:p>
        </w:tc>
        <w:tc>
          <w:tcPr>
            <w:tcW w:w="680" w:type="dxa"/>
            <w:tcBorders/>
            <w:shd w:fill="auto" w:val="clear"/>
            <w:vAlign w:val="center"/>
          </w:tcPr>
          <w:p>
            <w:pPr>
              <w:pStyle w:val="TableContents"/>
              <w:spacing w:before="0" w:after="0"/>
              <w:ind w:left="0" w:right="0" w:firstLine="30"/>
              <w:jc w:val="center"/>
              <w:rPr>
                <w:rFonts w:ascii="Arial" w:hAnsi="Arial"/>
                <w:sz w:val="17"/>
              </w:rPr>
            </w:pPr>
            <w:r>
              <w:rPr>
                <w:rFonts w:ascii="Arial" w:hAnsi="Arial"/>
                <w:sz w:val="17"/>
              </w:rPr>
              <w:t>$1,095.7</w:t>
            </w:r>
          </w:p>
        </w:tc>
        <w:tc>
          <w:tcPr>
            <w:tcW w:w="980" w:type="dxa"/>
            <w:tcBorders>
              <w:right w:val="single" w:sz="2" w:space="0" w:color="000000"/>
            </w:tcBorders>
            <w:shd w:fill="auto" w:val="clear"/>
            <w:tcMar>
              <w:right w:w="30" w:type="dxa"/>
            </w:tcMar>
            <w:vAlign w:val="center"/>
          </w:tcPr>
          <w:p>
            <w:pPr>
              <w:pStyle w:val="TableContents"/>
              <w:spacing w:before="0" w:after="0"/>
              <w:ind w:left="0" w:right="0" w:firstLine="180"/>
              <w:jc w:val="center"/>
              <w:rPr>
                <w:rFonts w:ascii="Arial" w:hAnsi="Arial"/>
                <w:sz w:val="17"/>
              </w:rPr>
            </w:pPr>
            <w:r>
              <w:rPr>
                <w:rFonts w:ascii="Arial" w:hAnsi="Arial"/>
                <w:sz w:val="17"/>
              </w:rPr>
              <w:t>2%</w:t>
            </w:r>
          </w:p>
        </w:tc>
      </w:tr>
      <w:tr>
        <w:trPr/>
        <w:tc>
          <w:tcPr>
            <w:tcW w:w="3215"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left"/>
              <w:rPr>
                <w:rFonts w:ascii="Arial" w:hAnsi="Arial"/>
                <w:sz w:val="17"/>
              </w:rPr>
            </w:pPr>
            <w:r>
              <w:rPr>
                <w:rFonts w:ascii="Arial" w:hAnsi="Arial"/>
                <w:sz w:val="17"/>
              </w:rPr>
              <w:t xml:space="preserve">Pre-tax return on premium and fees </w:t>
            </w:r>
          </w:p>
        </w:tc>
        <w:tc>
          <w:tcPr>
            <w:tcW w:w="545" w:type="dxa"/>
            <w:tcBorders>
              <w:bottom w:val="single" w:sz="2" w:space="0" w:color="000000"/>
            </w:tcBorders>
            <w:shd w:fill="auto" w:val="clear"/>
            <w:tcMar>
              <w:bottom w:w="120" w:type="dxa"/>
            </w:tcMar>
            <w:vAlign w:val="center"/>
          </w:tcPr>
          <w:p>
            <w:pPr>
              <w:pStyle w:val="TableContents"/>
              <w:spacing w:before="0" w:after="0"/>
              <w:ind w:left="0" w:right="0" w:firstLine="30"/>
              <w:jc w:val="center"/>
              <w:rPr>
                <w:rFonts w:ascii="Arial" w:hAnsi="Arial"/>
                <w:sz w:val="17"/>
              </w:rPr>
            </w:pPr>
            <w:r>
              <w:rPr>
                <w:rFonts w:ascii="Arial" w:hAnsi="Arial"/>
                <w:sz w:val="17"/>
              </w:rPr>
              <w:t>18.8%</w:t>
            </w:r>
          </w:p>
        </w:tc>
        <w:tc>
          <w:tcPr>
            <w:tcW w:w="545" w:type="dxa"/>
            <w:tcBorders>
              <w:bottom w:val="single" w:sz="2" w:space="0" w:color="000000"/>
            </w:tcBorders>
            <w:shd w:fill="auto" w:val="clear"/>
            <w:tcMar>
              <w:bottom w:w="120" w:type="dxa"/>
            </w:tcMar>
            <w:vAlign w:val="center"/>
          </w:tcPr>
          <w:p>
            <w:pPr>
              <w:pStyle w:val="TableContents"/>
              <w:spacing w:before="0" w:after="0"/>
              <w:ind w:left="0" w:right="0" w:firstLine="30"/>
              <w:jc w:val="center"/>
              <w:rPr>
                <w:rFonts w:ascii="Arial" w:hAnsi="Arial"/>
                <w:sz w:val="17"/>
              </w:rPr>
            </w:pPr>
            <w:r>
              <w:rPr>
                <w:rFonts w:ascii="Arial" w:hAnsi="Arial"/>
                <w:sz w:val="17"/>
              </w:rPr>
              <w:t>18.6%</w:t>
            </w:r>
          </w:p>
        </w:tc>
        <w:tc>
          <w:tcPr>
            <w:tcW w:w="815"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ind w:left="0" w:right="0" w:firstLine="30"/>
              <w:rPr/>
            </w:pPr>
            <w:r>
              <w:rPr/>
              <w:t> </w:t>
            </w:r>
          </w:p>
        </w:tc>
        <w:tc>
          <w:tcPr>
            <w:tcW w:w="680"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center"/>
              <w:rPr>
                <w:rFonts w:ascii="Arial" w:hAnsi="Arial"/>
                <w:sz w:val="17"/>
              </w:rPr>
            </w:pPr>
            <w:r>
              <w:rPr>
                <w:rFonts w:ascii="Arial" w:hAnsi="Arial"/>
                <w:sz w:val="17"/>
              </w:rPr>
              <w:t>16.6%</w:t>
            </w:r>
          </w:p>
        </w:tc>
        <w:tc>
          <w:tcPr>
            <w:tcW w:w="680"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sz w:val="17"/>
              </w:rPr>
            </w:pPr>
            <w:r>
              <w:rPr>
                <w:rFonts w:ascii="Arial" w:hAnsi="Arial"/>
                <w:sz w:val="17"/>
              </w:rPr>
              <w:t>14.6%</w:t>
            </w:r>
          </w:p>
        </w:tc>
        <w:tc>
          <w:tcPr>
            <w:tcW w:w="980" w:type="dxa"/>
            <w:tcBorders>
              <w:bottom w:val="single" w:sz="2" w:space="0" w:color="000000"/>
              <w:right w:val="single" w:sz="2" w:space="0" w:color="000000"/>
            </w:tcBorders>
            <w:shd w:fill="auto" w:val="clear"/>
            <w:tcMar>
              <w:bottom w:w="30" w:type="dxa"/>
              <w:right w:w="30" w:type="dxa"/>
            </w:tcMar>
            <w:vAlign w:val="center"/>
          </w:tcPr>
          <w:p>
            <w:pPr>
              <w:pStyle w:val="TableContents"/>
              <w:spacing w:before="0" w:after="0"/>
              <w:rPr/>
            </w:pPr>
            <w:r>
              <w:rPr/>
              <w:t> </w:t>
            </w:r>
          </w:p>
        </w:tc>
      </w:tr>
    </w:tbl>
    <w:tbl>
      <w:tblPr>
        <w:tblW w:w="8845" w:type="dxa"/>
        <w:jc w:val="left"/>
        <w:tblInd w:w="0" w:type="dxa"/>
        <w:tblCellMar>
          <w:top w:w="0" w:type="dxa"/>
          <w:left w:w="0" w:type="dxa"/>
          <w:bottom w:w="0" w:type="dxa"/>
          <w:right w:w="0" w:type="dxa"/>
        </w:tblCellMar>
      </w:tblPr>
      <w:tblGrid>
        <w:gridCol w:w="485"/>
        <w:gridCol w:w="8360"/>
      </w:tblGrid>
      <w:tr>
        <w:trPr/>
        <w:tc>
          <w:tcPr>
            <w:tcW w:w="485" w:type="dxa"/>
            <w:tcBorders/>
            <w:shd w:fill="auto" w:val="clear"/>
            <w:vAlign w:val="center"/>
          </w:tcPr>
          <w:p>
            <w:pPr>
              <w:pStyle w:val="TableContents"/>
              <w:spacing w:before="0" w:after="283"/>
              <w:rPr>
                <w:sz w:val="4"/>
                <w:szCs w:val="4"/>
              </w:rPr>
            </w:pPr>
            <w:r>
              <w:rPr>
                <w:sz w:val="4"/>
                <w:szCs w:val="4"/>
              </w:rPr>
            </w:r>
          </w:p>
        </w:tc>
        <w:tc>
          <w:tcPr>
            <w:tcW w:w="836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8360" w:type="dxa"/>
            <w:tcBorders/>
            <w:shd w:fill="auto" w:val="clear"/>
            <w:vAlign w:val="center"/>
          </w:tcPr>
          <w:p>
            <w:pPr>
              <w:pStyle w:val="TableContents"/>
              <w:spacing w:lineRule="auto" w:line="288" w:before="0" w:after="0"/>
              <w:jc w:val="left"/>
              <w:rPr>
                <w:sz w:val="18"/>
              </w:rPr>
            </w:pPr>
            <w:r>
              <w:rPr>
                <w:rFonts w:ascii="Arial" w:hAnsi="Arial"/>
                <w:b/>
                <w:sz w:val="18"/>
              </w:rPr>
              <w:t>Pre-tax operating earnings</w:t>
            </w:r>
            <w:r>
              <w:rPr>
                <w:sz w:val="18"/>
              </w:rPr>
              <w:t xml:space="preserve"> </w:t>
            </w:r>
            <w:r>
              <w:rPr>
                <w:rFonts w:ascii="Arial" w:hAnsi="Arial"/>
                <w:sz w:val="18"/>
              </w:rPr>
              <w:t>increased $3.2 million primarily due to higher variable investment income.</w:t>
            </w:r>
          </w:p>
        </w:tc>
      </w:tr>
    </w:tbl>
    <w:tbl>
      <w:tblPr>
        <w:tblW w:w="6550" w:type="dxa"/>
        <w:jc w:val="left"/>
        <w:tblInd w:w="0" w:type="dxa"/>
        <w:tblCellMar>
          <w:top w:w="0" w:type="dxa"/>
          <w:left w:w="0" w:type="dxa"/>
          <w:bottom w:w="0" w:type="dxa"/>
          <w:right w:w="0" w:type="dxa"/>
        </w:tblCellMar>
      </w:tblPr>
      <w:tblGrid>
        <w:gridCol w:w="485"/>
        <w:gridCol w:w="6065"/>
      </w:tblGrid>
      <w:tr>
        <w:trPr/>
        <w:tc>
          <w:tcPr>
            <w:tcW w:w="485" w:type="dxa"/>
            <w:tcBorders/>
            <w:shd w:fill="auto" w:val="clear"/>
            <w:vAlign w:val="center"/>
          </w:tcPr>
          <w:p>
            <w:pPr>
              <w:pStyle w:val="TableContents"/>
              <w:spacing w:before="0" w:after="283"/>
              <w:rPr>
                <w:sz w:val="4"/>
                <w:szCs w:val="4"/>
              </w:rPr>
            </w:pPr>
            <w:r>
              <w:rPr>
                <w:sz w:val="4"/>
                <w:szCs w:val="4"/>
              </w:rPr>
            </w:r>
          </w:p>
        </w:tc>
        <w:tc>
          <w:tcPr>
            <w:tcW w:w="6065"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6065" w:type="dxa"/>
            <w:tcBorders/>
            <w:shd w:fill="auto" w:val="clear"/>
            <w:vAlign w:val="center"/>
          </w:tcPr>
          <w:p>
            <w:pPr>
              <w:pStyle w:val="TableContents"/>
              <w:spacing w:lineRule="auto" w:line="288" w:before="0" w:after="0"/>
              <w:rPr>
                <w:sz w:val="18"/>
              </w:rPr>
            </w:pPr>
            <w:r>
              <w:rPr>
                <w:rFonts w:ascii="Arial" w:hAnsi="Arial"/>
                <w:b/>
                <w:sz w:val="18"/>
              </w:rPr>
              <w:t xml:space="preserve">Premium and fees </w:t>
            </w:r>
            <w:r>
              <w:rPr>
                <w:rFonts w:ascii="Arial" w:hAnsi="Arial"/>
                <w:sz w:val="18"/>
              </w:rPr>
              <w:t xml:space="preserve">increased $14.6 million due to growth in the business. </w:t>
            </w:r>
          </w:p>
        </w:tc>
      </w:tr>
    </w:tbl>
    <w:p>
      <w:pPr>
        <w:pStyle w:val="TextBody"/>
        <w:spacing w:lineRule="auto" w:line="288" w:before="0" w:after="0"/>
        <w:ind w:left="0" w:right="0" w:firstLine="720"/>
        <w:rPr/>
      </w:pPr>
      <w:r>
        <w:rPr/>
        <w:t> </w:t>
      </w:r>
    </w:p>
    <w:p>
      <w:pPr>
        <w:pStyle w:val="TextBody"/>
        <w:spacing w:lineRule="auto" w:line="288" w:before="0" w:after="0"/>
        <w:ind w:left="0" w:right="0" w:firstLine="720"/>
        <w:jc w:val="left"/>
        <w:rPr>
          <w:rFonts w:ascii="Arial" w:hAnsi="Arial"/>
          <w:sz w:val="18"/>
        </w:rPr>
      </w:pPr>
      <w:r>
        <w:rPr>
          <w:rFonts w:ascii="Arial" w:hAnsi="Arial"/>
          <w:sz w:val="18"/>
        </w:rPr>
      </w:r>
    </w:p>
    <w:p>
      <w:pPr>
        <w:pStyle w:val="TextBody"/>
        <w:spacing w:lineRule="auto" w:line="331" w:before="0" w:after="0"/>
        <w:jc w:val="left"/>
        <w:rPr>
          <w:rFonts w:ascii="Arial" w:hAnsi="Arial"/>
          <w:b/>
          <w:sz w:val="18"/>
        </w:rPr>
      </w:pPr>
      <w:r>
        <w:rPr>
          <w:rFonts w:ascii="Arial" w:hAnsi="Arial"/>
          <w:b/>
          <w:sz w:val="18"/>
        </w:rPr>
        <w:t>Corporate</w:t>
      </w:r>
    </w:p>
    <w:tbl>
      <w:tblPr>
        <w:tblW w:w="7490" w:type="dxa"/>
        <w:jc w:val="left"/>
        <w:tblInd w:w="0" w:type="dxa"/>
        <w:tblCellMar>
          <w:top w:w="0" w:type="dxa"/>
          <w:left w:w="0" w:type="dxa"/>
          <w:bottom w:w="0" w:type="dxa"/>
          <w:right w:w="0" w:type="dxa"/>
        </w:tblCellMar>
      </w:tblPr>
      <w:tblGrid>
        <w:gridCol w:w="3215"/>
        <w:gridCol w:w="575"/>
        <w:gridCol w:w="575"/>
        <w:gridCol w:w="815"/>
        <w:gridCol w:w="665"/>
        <w:gridCol w:w="665"/>
        <w:gridCol w:w="980"/>
      </w:tblGrid>
      <w:tr>
        <w:trPr/>
        <w:tc>
          <w:tcPr>
            <w:tcW w:w="7490" w:type="dxa"/>
            <w:gridSpan w:val="7"/>
            <w:tcBorders/>
            <w:shd w:fill="auto" w:val="clear"/>
            <w:vAlign w:val="center"/>
          </w:tcPr>
          <w:p>
            <w:pPr>
              <w:pStyle w:val="TableContents"/>
              <w:spacing w:before="0" w:after="283"/>
              <w:rPr>
                <w:sz w:val="4"/>
                <w:szCs w:val="4"/>
              </w:rPr>
            </w:pPr>
            <w:r>
              <w:rPr>
                <w:sz w:val="4"/>
                <w:szCs w:val="4"/>
              </w:rPr>
            </w:r>
          </w:p>
        </w:tc>
      </w:tr>
      <w:tr>
        <w:trPr/>
        <w:tc>
          <w:tcPr>
            <w:tcW w:w="3215" w:type="dxa"/>
            <w:tcBorders/>
            <w:shd w:fill="auto" w:val="clear"/>
            <w:vAlign w:val="center"/>
          </w:tcPr>
          <w:p>
            <w:pPr>
              <w:pStyle w:val="TableContents"/>
              <w:spacing w:before="0" w:after="283"/>
              <w:rPr>
                <w:sz w:val="4"/>
                <w:szCs w:val="4"/>
              </w:rPr>
            </w:pPr>
            <w:r>
              <w:rPr>
                <w:sz w:val="4"/>
                <w:szCs w:val="4"/>
              </w:rPr>
            </w:r>
          </w:p>
        </w:tc>
        <w:tc>
          <w:tcPr>
            <w:tcW w:w="575" w:type="dxa"/>
            <w:tcBorders/>
            <w:shd w:fill="auto" w:val="clear"/>
            <w:vAlign w:val="center"/>
          </w:tcPr>
          <w:p>
            <w:pPr>
              <w:pStyle w:val="TableContents"/>
              <w:spacing w:before="0" w:after="283"/>
              <w:rPr>
                <w:sz w:val="4"/>
                <w:szCs w:val="4"/>
              </w:rPr>
            </w:pPr>
            <w:r>
              <w:rPr>
                <w:sz w:val="4"/>
                <w:szCs w:val="4"/>
              </w:rPr>
            </w:r>
          </w:p>
        </w:tc>
        <w:tc>
          <w:tcPr>
            <w:tcW w:w="575" w:type="dxa"/>
            <w:tcBorders/>
            <w:shd w:fill="auto" w:val="clear"/>
            <w:vAlign w:val="center"/>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c>
          <w:tcPr>
            <w:tcW w:w="665" w:type="dxa"/>
            <w:tcBorders/>
            <w:shd w:fill="auto" w:val="clear"/>
            <w:vAlign w:val="center"/>
          </w:tcPr>
          <w:p>
            <w:pPr>
              <w:pStyle w:val="TableContents"/>
              <w:spacing w:before="0" w:after="283"/>
              <w:rPr>
                <w:sz w:val="4"/>
                <w:szCs w:val="4"/>
              </w:rPr>
            </w:pPr>
            <w:r>
              <w:rPr>
                <w:sz w:val="4"/>
                <w:szCs w:val="4"/>
              </w:rPr>
            </w:r>
          </w:p>
        </w:tc>
        <w:tc>
          <w:tcPr>
            <w:tcW w:w="665"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215" w:type="dxa"/>
            <w:vMerge w:val="restart"/>
            <w:tcBorders>
              <w:top w:val="single" w:sz="12" w:space="0" w:color="000000"/>
              <w:left w:val="single" w:sz="2" w:space="0" w:color="000000"/>
            </w:tcBorders>
            <w:shd w:fill="auto" w:val="clear"/>
            <w:tcMar>
              <w:top w:w="30" w:type="dxa"/>
              <w:left w:w="28" w:type="dxa"/>
            </w:tcMar>
            <w:vAlign w:val="center"/>
          </w:tcPr>
          <w:p>
            <w:pPr>
              <w:pStyle w:val="TableContents"/>
              <w:spacing w:before="0" w:after="0"/>
              <w:ind w:left="0" w:right="0" w:firstLine="30"/>
              <w:jc w:val="center"/>
              <w:rPr>
                <w:rFonts w:ascii="Arial" w:hAnsi="Arial"/>
                <w:i/>
                <w:sz w:val="13"/>
              </w:rPr>
            </w:pPr>
            <w:r>
              <w:rPr>
                <w:rFonts w:ascii="Arial" w:hAnsi="Arial"/>
                <w:i/>
                <w:sz w:val="13"/>
              </w:rPr>
              <w:t>(in millions except percentages or otherwise noted)</w:t>
            </w:r>
          </w:p>
        </w:tc>
        <w:tc>
          <w:tcPr>
            <w:tcW w:w="1965" w:type="dxa"/>
            <w:gridSpan w:val="3"/>
            <w:tcBorders>
              <w:top w:val="single" w:sz="12" w:space="0" w:color="000000"/>
              <w:right w:val="single" w:sz="2" w:space="0" w:color="000000"/>
            </w:tcBorders>
            <w:shd w:fill="BFBFBF" w:val="clear"/>
            <w:tcMar>
              <w:top w:w="30" w:type="dxa"/>
              <w:right w:w="30" w:type="dxa"/>
            </w:tcMar>
            <w:vAlign w:val="center"/>
          </w:tcPr>
          <w:p>
            <w:pPr>
              <w:pStyle w:val="TableContents"/>
              <w:spacing w:before="0" w:after="0"/>
              <w:ind w:left="0" w:right="0" w:firstLine="30"/>
              <w:jc w:val="center"/>
              <w:rPr>
                <w:rFonts w:ascii="Arial" w:hAnsi="Arial"/>
                <w:b/>
                <w:i/>
                <w:sz w:val="17"/>
              </w:rPr>
            </w:pPr>
            <w:r>
              <w:rPr>
                <w:rFonts w:ascii="Arial" w:hAnsi="Arial"/>
                <w:b/>
                <w:i/>
                <w:sz w:val="17"/>
              </w:rPr>
              <w:t>Quarter</w:t>
            </w:r>
          </w:p>
        </w:tc>
        <w:tc>
          <w:tcPr>
            <w:tcW w:w="2310" w:type="dxa"/>
            <w:gridSpan w:val="3"/>
            <w:tcBorders>
              <w:top w:val="single" w:sz="12" w:space="0" w:color="000000"/>
              <w:right w:val="single" w:sz="2" w:space="0" w:color="000000"/>
            </w:tcBorders>
            <w:shd w:fill="BFBFBF" w:val="clear"/>
            <w:tcMar>
              <w:top w:w="30" w:type="dxa"/>
              <w:right w:w="30" w:type="dxa"/>
            </w:tcMar>
            <w:vAlign w:val="center"/>
          </w:tcPr>
          <w:p>
            <w:pPr>
              <w:pStyle w:val="TableContents"/>
              <w:spacing w:before="0" w:after="0"/>
              <w:ind w:left="0" w:right="0" w:firstLine="30"/>
              <w:jc w:val="center"/>
              <w:rPr>
                <w:rFonts w:ascii="Arial" w:hAnsi="Arial"/>
                <w:b/>
                <w:i/>
                <w:sz w:val="17"/>
                <w:highlight w:val="lightGray"/>
              </w:rPr>
            </w:pPr>
            <w:r>
              <w:rPr>
                <w:rFonts w:ascii="Arial" w:hAnsi="Arial"/>
                <w:b/>
                <w:i/>
                <w:sz w:val="17"/>
                <w:highlight w:val="lightGray"/>
              </w:rPr>
              <w:t>Trailing Twelve Months</w:t>
            </w:r>
          </w:p>
        </w:tc>
      </w:tr>
      <w:tr>
        <w:trPr/>
        <w:tc>
          <w:tcPr>
            <w:tcW w:w="3215" w:type="dxa"/>
            <w:vMerge w:val="continue"/>
            <w:tcBorders>
              <w:top w:val="single" w:sz="12" w:space="0" w:color="000000"/>
              <w:left w:val="single" w:sz="2" w:space="0" w:color="000000"/>
            </w:tcBorders>
            <w:shd w:fill="auto" w:val="clear"/>
            <w:tcMar>
              <w:top w:w="30" w:type="dxa"/>
              <w:left w:w="28" w:type="dxa"/>
            </w:tcMar>
            <w:vAlign w:val="center"/>
          </w:tcPr>
          <w:p>
            <w:pPr>
              <w:pStyle w:val="Normal"/>
              <w:rPr/>
            </w:pPr>
            <w:r>
              <w:rPr/>
            </w:r>
          </w:p>
        </w:tc>
        <w:tc>
          <w:tcPr>
            <w:tcW w:w="57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57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815" w:type="dxa"/>
            <w:tcBorders>
              <w:bottom w:val="single" w:sz="2" w:space="0" w:color="000000"/>
              <w:right w:val="single" w:sz="2" w:space="0" w:color="000000"/>
            </w:tcBorders>
            <w:shd w:fill="auto" w:val="clear"/>
            <w:tcMar>
              <w:bottom w:w="12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 Change</w:t>
            </w:r>
          </w:p>
        </w:tc>
        <w:tc>
          <w:tcPr>
            <w:tcW w:w="665"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2Q19</w:t>
            </w:r>
          </w:p>
        </w:tc>
        <w:tc>
          <w:tcPr>
            <w:tcW w:w="665" w:type="dxa"/>
            <w:tcBorders>
              <w:bottom w:val="single" w:sz="2" w:space="0" w:color="000000"/>
            </w:tcBorders>
            <w:shd w:fill="auto" w:val="clear"/>
            <w:tcMar>
              <w:bottom w:w="30" w:type="dxa"/>
            </w:tcMar>
            <w:vAlign w:val="center"/>
          </w:tcPr>
          <w:p>
            <w:pPr>
              <w:pStyle w:val="TableContents"/>
              <w:spacing w:before="0" w:after="0"/>
              <w:ind w:left="0" w:right="0" w:firstLine="30"/>
              <w:jc w:val="center"/>
              <w:rPr>
                <w:rFonts w:ascii="Arial" w:hAnsi="Arial"/>
                <w:b/>
                <w:sz w:val="17"/>
              </w:rPr>
            </w:pPr>
            <w:r>
              <w:rPr>
                <w:rFonts w:ascii="Arial" w:hAnsi="Arial"/>
                <w:b/>
                <w:sz w:val="17"/>
              </w:rPr>
              <w:t>2Q18</w:t>
            </w:r>
          </w:p>
        </w:tc>
        <w:tc>
          <w:tcPr>
            <w:tcW w:w="980" w:type="dxa"/>
            <w:tcBorders>
              <w:bottom w:val="single" w:sz="2" w:space="0" w:color="000000"/>
              <w:right w:val="single" w:sz="2" w:space="0" w:color="000000"/>
            </w:tcBorders>
            <w:shd w:fill="auto" w:val="clear"/>
            <w:tcMar>
              <w:bottom w:w="120" w:type="dxa"/>
              <w:right w:w="30" w:type="dxa"/>
            </w:tcMar>
            <w:vAlign w:val="center"/>
          </w:tcPr>
          <w:p>
            <w:pPr>
              <w:pStyle w:val="TableContents"/>
              <w:spacing w:before="0" w:after="0"/>
              <w:ind w:left="0" w:right="0" w:firstLine="180"/>
              <w:jc w:val="center"/>
              <w:rPr>
                <w:rFonts w:ascii="Arial" w:hAnsi="Arial"/>
                <w:sz w:val="17"/>
              </w:rPr>
            </w:pPr>
            <w:r>
              <w:rPr>
                <w:rFonts w:ascii="Arial" w:hAnsi="Arial"/>
                <w:sz w:val="17"/>
              </w:rPr>
              <w:t>% Change</w:t>
            </w:r>
          </w:p>
        </w:tc>
      </w:tr>
      <w:tr>
        <w:trPr/>
        <w:tc>
          <w:tcPr>
            <w:tcW w:w="3215" w:type="dxa"/>
            <w:tcBorders>
              <w:left w:val="single" w:sz="2" w:space="0" w:color="000000"/>
              <w:bottom w:val="single" w:sz="2" w:space="0" w:color="000000"/>
            </w:tcBorders>
            <w:shd w:fill="auto" w:val="clear"/>
            <w:tcMar>
              <w:left w:w="28" w:type="dxa"/>
              <w:bottom w:w="30" w:type="dxa"/>
            </w:tcMar>
            <w:vAlign w:val="center"/>
          </w:tcPr>
          <w:p>
            <w:pPr>
              <w:pStyle w:val="TableContents"/>
              <w:spacing w:before="0" w:after="0"/>
              <w:ind w:left="0" w:right="0" w:firstLine="30"/>
              <w:jc w:val="left"/>
              <w:rPr>
                <w:rFonts w:ascii="Arial" w:hAnsi="Arial"/>
                <w:sz w:val="17"/>
              </w:rPr>
            </w:pPr>
            <w:r>
              <w:rPr>
                <w:rFonts w:ascii="Arial" w:hAnsi="Arial"/>
                <w:sz w:val="17"/>
              </w:rPr>
              <w:t>Pre-tax operating losses</w:t>
            </w:r>
          </w:p>
        </w:tc>
        <w:tc>
          <w:tcPr>
            <w:tcW w:w="575" w:type="dxa"/>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Arial" w:hAnsi="Arial"/>
                <w:sz w:val="17"/>
              </w:rPr>
            </w:pPr>
            <w:r>
              <w:rPr>
                <w:rFonts w:ascii="Arial" w:hAnsi="Arial"/>
                <w:sz w:val="17"/>
              </w:rPr>
              <w:t>$(98.1)</w:t>
            </w:r>
          </w:p>
        </w:tc>
        <w:tc>
          <w:tcPr>
            <w:tcW w:w="575" w:type="dxa"/>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Arial" w:hAnsi="Arial"/>
                <w:sz w:val="17"/>
              </w:rPr>
            </w:pPr>
            <w:r>
              <w:rPr>
                <w:rFonts w:ascii="Arial" w:hAnsi="Arial"/>
                <w:sz w:val="17"/>
              </w:rPr>
              <w:t>$(70.7)</w:t>
            </w:r>
          </w:p>
        </w:tc>
        <w:tc>
          <w:tcPr>
            <w:tcW w:w="815" w:type="dxa"/>
            <w:tcBorders>
              <w:top w:val="single" w:sz="2" w:space="0" w:color="000000"/>
              <w:bottom w:val="single" w:sz="2" w:space="0" w:color="000000"/>
              <w:right w:val="single" w:sz="2" w:space="0" w:color="000000"/>
            </w:tcBorders>
            <w:shd w:fill="auto" w:val="clear"/>
            <w:tcMar>
              <w:top w:w="30" w:type="dxa"/>
              <w:bottom w:w="120" w:type="dxa"/>
              <w:right w:w="30" w:type="dxa"/>
            </w:tcMar>
            <w:vAlign w:val="center"/>
          </w:tcPr>
          <w:p>
            <w:pPr>
              <w:pStyle w:val="TableContents"/>
              <w:spacing w:before="0" w:after="0"/>
              <w:ind w:left="0" w:right="0" w:firstLine="30"/>
              <w:jc w:val="center"/>
              <w:rPr>
                <w:rFonts w:ascii="Arial" w:hAnsi="Arial"/>
                <w:sz w:val="17"/>
              </w:rPr>
            </w:pPr>
            <w:r>
              <w:rPr>
                <w:rFonts w:ascii="Arial" w:hAnsi="Arial"/>
                <w:sz w:val="17"/>
              </w:rPr>
              <w:t>(39)%</w:t>
            </w:r>
          </w:p>
        </w:tc>
        <w:tc>
          <w:tcPr>
            <w:tcW w:w="665" w:type="dxa"/>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Arial" w:hAnsi="Arial"/>
                <w:sz w:val="17"/>
              </w:rPr>
            </w:pPr>
            <w:r>
              <w:rPr>
                <w:rFonts w:ascii="Arial" w:hAnsi="Arial"/>
                <w:sz w:val="17"/>
              </w:rPr>
              <w:t>$(313.6)</w:t>
            </w:r>
          </w:p>
        </w:tc>
        <w:tc>
          <w:tcPr>
            <w:tcW w:w="665" w:type="dxa"/>
            <w:tcBorders>
              <w:top w:val="single" w:sz="2" w:space="0" w:color="000000"/>
              <w:bottom w:val="single" w:sz="2" w:space="0" w:color="000000"/>
            </w:tcBorders>
            <w:shd w:fill="auto" w:val="clear"/>
            <w:tcMar>
              <w:top w:w="30" w:type="dxa"/>
              <w:bottom w:w="30" w:type="dxa"/>
            </w:tcMar>
            <w:vAlign w:val="center"/>
          </w:tcPr>
          <w:p>
            <w:pPr>
              <w:pStyle w:val="TableContents"/>
              <w:spacing w:before="0" w:after="0"/>
              <w:ind w:left="0" w:right="0" w:firstLine="30"/>
              <w:jc w:val="center"/>
              <w:rPr>
                <w:rFonts w:ascii="Arial" w:hAnsi="Arial"/>
                <w:sz w:val="17"/>
              </w:rPr>
            </w:pPr>
            <w:r>
              <w:rPr>
                <w:rFonts w:ascii="Arial" w:hAnsi="Arial"/>
                <w:sz w:val="17"/>
              </w:rPr>
              <w:t>$(291.7)</w:t>
            </w:r>
          </w:p>
        </w:tc>
        <w:tc>
          <w:tcPr>
            <w:tcW w:w="980" w:type="dxa"/>
            <w:tcBorders>
              <w:top w:val="single" w:sz="2" w:space="0" w:color="000000"/>
              <w:right w:val="single" w:sz="2" w:space="0" w:color="000000"/>
            </w:tcBorders>
            <w:shd w:fill="auto" w:val="clear"/>
            <w:tcMar>
              <w:top w:w="30" w:type="dxa"/>
              <w:right w:w="30" w:type="dxa"/>
            </w:tcMar>
            <w:vAlign w:val="center"/>
          </w:tcPr>
          <w:p>
            <w:pPr>
              <w:pStyle w:val="TableContents"/>
              <w:spacing w:before="0" w:after="0"/>
              <w:jc w:val="center"/>
              <w:rPr>
                <w:rFonts w:ascii="Arial" w:hAnsi="Arial"/>
                <w:sz w:val="17"/>
              </w:rPr>
            </w:pPr>
            <w:r>
              <w:rPr>
                <w:rFonts w:ascii="Arial" w:hAnsi="Arial"/>
                <w:sz w:val="17"/>
              </w:rPr>
              <w:t>(8)%</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345" w:before="0" w:after="0"/>
              <w:ind w:left="0" w:right="0" w:firstLine="360"/>
              <w:rPr/>
            </w:pPr>
            <w:r>
              <w:rPr/>
              <w:t>•</w:t>
            </w:r>
          </w:p>
        </w:tc>
        <w:tc>
          <w:tcPr>
            <w:tcW w:w="9720" w:type="dxa"/>
            <w:tcBorders/>
            <w:shd w:fill="auto" w:val="clear"/>
            <w:vAlign w:val="center"/>
          </w:tcPr>
          <w:p>
            <w:pPr>
              <w:pStyle w:val="TableContents"/>
              <w:spacing w:lineRule="auto" w:line="345" w:before="0" w:after="0"/>
              <w:jc w:val="left"/>
              <w:rPr>
                <w:sz w:val="20"/>
              </w:rPr>
            </w:pPr>
            <w:r>
              <w:rPr>
                <w:rFonts w:ascii="Arial" w:hAnsi="Arial"/>
                <w:b/>
                <w:sz w:val="18"/>
              </w:rPr>
              <w:t>Pre-tax operating losses</w:t>
            </w:r>
            <w:r>
              <w:rPr>
                <w:sz w:val="20"/>
              </w:rPr>
              <w:t xml:space="preserve"> </w:t>
            </w:r>
            <w:r>
              <w:rPr>
                <w:rFonts w:ascii="Arial" w:hAnsi="Arial"/>
                <w:sz w:val="18"/>
              </w:rPr>
              <w:t>increased $27.4 million primarily due to higher operating expenses, including transaction expenses associated with the Wells Fargo Institutional Retirement &amp; Trust acquisition</w:t>
            </w:r>
            <w:r>
              <w:rPr>
                <w:rFonts w:ascii="Arial" w:hAnsi="Arial"/>
                <w:b/>
                <w:sz w:val="18"/>
              </w:rPr>
              <w:t xml:space="preserve">. </w:t>
            </w:r>
          </w:p>
        </w:tc>
      </w:tr>
    </w:tbl>
    <w:p>
      <w:pPr>
        <w:pStyle w:val="TextBody"/>
        <w:spacing w:lineRule="auto" w:line="345" w:before="0" w:after="0"/>
        <w:ind w:left="0" w:right="0" w:firstLine="720"/>
        <w:jc w:val="left"/>
        <w:rPr>
          <w:rFonts w:ascii="inherit" w:hAnsi="inherit"/>
          <w:sz w:val="17"/>
        </w:rPr>
      </w:pPr>
      <w:r>
        <w:rPr>
          <w:rFonts w:ascii="inherit" w:hAnsi="inherit"/>
          <w:sz w:val="17"/>
        </w:rPr>
      </w:r>
    </w:p>
    <w:p>
      <w:pPr>
        <w:pStyle w:val="TextBody"/>
        <w:spacing w:lineRule="auto" w:line="288" w:before="0" w:after="0"/>
        <w:jc w:val="left"/>
        <w:rPr>
          <w:rFonts w:ascii="Arial" w:hAnsi="Arial"/>
          <w:sz w:val="17"/>
        </w:rPr>
      </w:pPr>
      <w:r>
        <w:rPr>
          <w:rFonts w:ascii="Arial" w:hAnsi="Arial"/>
          <w:sz w:val="17"/>
        </w:rPr>
      </w:r>
    </w:p>
    <w:p>
      <w:pPr>
        <w:pStyle w:val="TextBody"/>
        <w:spacing w:lineRule="auto" w:line="288" w:before="0" w:after="0"/>
        <w:jc w:val="left"/>
        <w:rPr>
          <w:rFonts w:ascii="Arial" w:hAnsi="Arial"/>
          <w:sz w:val="17"/>
        </w:rPr>
      </w:pPr>
      <w:r>
        <w:rPr>
          <w:rFonts w:ascii="Arial" w:hAnsi="Arial"/>
          <w:sz w:val="17"/>
        </w:rPr>
      </w:r>
    </w:p>
    <w:p>
      <w:pPr>
        <w:pStyle w:val="TextBody"/>
        <w:spacing w:lineRule="auto" w:line="288" w:before="0" w:after="0"/>
        <w:jc w:val="left"/>
        <w:rPr>
          <w:rFonts w:ascii="Arial" w:hAnsi="Arial"/>
          <w:sz w:val="17"/>
        </w:rPr>
      </w:pPr>
      <w:r>
        <w:rPr>
          <w:rFonts w:ascii="Arial" w:hAnsi="Arial"/>
          <w:sz w:val="17"/>
        </w:rPr>
      </w:r>
    </w:p>
    <w:p>
      <w:pPr>
        <w:pStyle w:val="TextBody"/>
        <w:spacing w:lineRule="auto" w:line="288" w:before="0" w:after="0"/>
        <w:jc w:val="left"/>
        <w:rPr>
          <w:rFonts w:ascii="Arial" w:hAnsi="Arial"/>
          <w:sz w:val="17"/>
        </w:rPr>
      </w:pPr>
      <w:r>
        <w:rPr>
          <w:rFonts w:ascii="Arial" w:hAnsi="Arial"/>
          <w:sz w:val="17"/>
        </w:rPr>
      </w:r>
    </w:p>
    <w:p>
      <w:pPr>
        <w:pStyle w:val="TextBody"/>
        <w:spacing w:lineRule="auto" w:line="288" w:before="0" w:after="0"/>
        <w:jc w:val="left"/>
        <w:rPr>
          <w:rFonts w:ascii="Arial" w:hAnsi="Arial"/>
          <w:sz w:val="17"/>
        </w:rPr>
      </w:pPr>
      <w:r>
        <w:rPr>
          <w:rFonts w:ascii="Arial" w:hAnsi="Arial"/>
          <w:sz w:val="17"/>
        </w:rPr>
      </w:r>
    </w:p>
    <w:p>
      <w:pPr>
        <w:pStyle w:val="TextBody"/>
        <w:spacing w:lineRule="auto" w:line="288" w:before="0" w:after="0"/>
        <w:jc w:val="left"/>
        <w:rPr>
          <w:rFonts w:ascii="Arial" w:hAnsi="Arial"/>
          <w:sz w:val="17"/>
        </w:rPr>
      </w:pPr>
      <w:r>
        <w:rPr>
          <w:rFonts w:ascii="Arial" w:hAnsi="Arial"/>
          <w:sz w:val="17"/>
        </w:rPr>
      </w:r>
    </w:p>
    <w:p>
      <w:pPr>
        <w:pStyle w:val="TextBody"/>
        <w:spacing w:lineRule="auto" w:line="288" w:before="0" w:after="0"/>
        <w:jc w:val="left"/>
        <w:rPr>
          <w:rFonts w:ascii="Arial" w:hAnsi="Arial"/>
          <w:sz w:val="17"/>
        </w:rPr>
      </w:pPr>
      <w:r>
        <w:rPr>
          <w:rFonts w:ascii="Arial" w:hAnsi="Arial"/>
          <w:sz w:val="17"/>
        </w:rPr>
      </w:r>
    </w:p>
    <w:p>
      <w:pPr>
        <w:pStyle w:val="TextBody"/>
        <w:spacing w:lineRule="auto" w:line="288" w:before="0" w:after="0"/>
        <w:jc w:val="left"/>
        <w:rPr>
          <w:rFonts w:ascii="Arial" w:hAnsi="Arial"/>
          <w:b/>
          <w:sz w:val="17"/>
        </w:rPr>
      </w:pPr>
      <w:r>
        <w:rPr>
          <w:rFonts w:ascii="Arial" w:hAnsi="Arial"/>
          <w:b/>
          <w:sz w:val="10"/>
        </w:rPr>
        <w:t>____________________________________</w:t>
      </w:r>
      <w:r>
        <w:rPr>
          <w:rFonts w:ascii="Arial" w:hAnsi="Arial"/>
          <w:b/>
          <w:sz w:val="17"/>
        </w:rPr>
        <w:t> </w:t>
      </w:r>
    </w:p>
    <w:p>
      <w:pPr>
        <w:pStyle w:val="TextBody"/>
        <w:spacing w:lineRule="auto" w:line="288" w:before="0" w:after="0"/>
        <w:rPr>
          <w:sz w:val="13"/>
        </w:rPr>
      </w:pPr>
      <w:r>
        <w:rPr>
          <w:rFonts w:ascii="Arial" w:hAnsi="Arial"/>
          <w:sz w:val="8"/>
        </w:rPr>
        <w:t xml:space="preserve">10 </w:t>
      </w:r>
      <w:r>
        <w:rPr>
          <w:rFonts w:ascii="Arial" w:hAnsi="Arial"/>
          <w:sz w:val="13"/>
        </w:rPr>
        <w:t>Pre-tax return on premium and fees = pre-tax operating earnings divided by premium and fees</w:t>
      </w:r>
      <w:r>
        <w:rPr>
          <w:rFonts w:ascii="inherit" w:hAnsi="inherit"/>
          <w:sz w:val="13"/>
        </w:rPr>
        <w:t>.</w:t>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r>
        <w:rPr/>
        <w:drawing>
          <wp:inline distT="0" distB="0" distL="0" distR="0">
            <wp:extent cx="1981200" cy="59055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p>
      <w:pPr>
        <w:pStyle w:val="TextBody"/>
        <w:spacing w:lineRule="auto" w:line="417" w:before="0" w:after="0"/>
        <w:rPr>
          <w:rFonts w:ascii="Arial" w:hAnsi="Arial"/>
          <w:sz w:val="13"/>
        </w:rPr>
      </w:pPr>
      <w:r>
        <w:rPr>
          <w:rFonts w:ascii="Arial" w:hAnsi="Arial"/>
          <w:sz w:val="13"/>
        </w:rPr>
      </w:r>
    </w:p>
    <w:p>
      <w:pPr>
        <w:pStyle w:val="TextBody"/>
        <w:spacing w:lineRule="auto" w:line="288" w:before="0" w:after="0"/>
        <w:jc w:val="left"/>
        <w:rPr>
          <w:rFonts w:ascii="Arial" w:hAnsi="Arial"/>
          <w:b/>
          <w:sz w:val="18"/>
        </w:rPr>
      </w:pPr>
      <w:r>
        <w:rPr>
          <w:rFonts w:ascii="Arial" w:hAnsi="Arial"/>
          <w:b/>
          <w:sz w:val="18"/>
        </w:rPr>
        <w:t>Forward looking and cautionary statements</w:t>
      </w:r>
    </w:p>
    <w:p>
      <w:pPr>
        <w:pStyle w:val="TextBody"/>
        <w:spacing w:lineRule="auto" w:line="288" w:before="0" w:after="0"/>
        <w:rPr>
          <w:rFonts w:ascii="Arial" w:hAnsi="Arial"/>
          <w:sz w:val="18"/>
        </w:rPr>
      </w:pPr>
      <w:r>
        <w:rPr>
          <w:rFonts w:ascii="Arial" w:hAnsi="Arial"/>
          <w:sz w:val="18"/>
        </w:rPr>
        <w:t xml:space="preserve">Certain statements made by the company which are not historical facts may be considered forward-looking statements, including, without limitation, statements as to non-GAAP operating earnings, net income available to PFG, net cash flow,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 31, 2018, and in the company’s quarterly report on Form 10-Q for the quarter ended March 31, 2019, filed by the company with the U.S.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conditions in the global capital markets and the economy generally; volatility or declines in the equity, bond or real estate markets; changes in interest rates or credit spreads or a sustained low interest rate environment; the company’s investment portfolio is subject to several risks that may diminish the value of its invested assets and the investment returns credited to customers; the company’s valuation of investments and the determination of the amount of allowances and impairments taken on such investments may include methodologies, estimations and assumptions that are subject to differing interpretations; any impairments of or valuation allowances against the company’s deferred tax assets; the company’s actual experience for insurance and annuity products could differ significantly from its pricing and reserving assumptions; the pattern of amortizing the company’s DAC and other actuarial balances on its universal life-type insurance contracts, participating life insurance policies and certain investment contracts may change; changes in laws, regulations or accounting standards; the company may not be able to protect its intellectual property and may be subject to infringement claims; the company’s ability to pay stockholder dividends and meet its obligations may be constrained by the limitations on dividends Iowa insurance laws impose on Principal Life; litigation and regulatory investigations; from time to time the company may become subject to tax audits, tax litigation or similar proceedings, and as a result it may owe additional taxes, interest and penalties in amounts that may be material; applicable laws and the company’s certificate of incorporation and by-laws may discourage takeovers and business combinations that some stockholders might consider in their best interests; competition, including from companies that may have greater financial resources, broader arrays of products, higher ratings and stronger financial performance; technological and societal changes may disrupt the company’s business model and impair its ability to retain existing customers, attract new customers and maintain its profitability; a downgrade in the company’s financial strength or credit ratings; client terminations, withdrawals or changes in investor preferences; inability to attract and retain qualified employees and sales representatives and develop new distribution sources; an interruption in telecommunication, information technology or other systems, or a failure to maintain the confidentiality, integrity or availability of data residing on such systems; international business risks; fluctuations in foreign currency exchange rates; risks arising from participation in joint ventures; the company may need to fund deficiencies in its “Closed Block” assets; the company’s reinsurers could default on their obligations or increase their rates; risks arising from acquisitions of businesses; and loss of key vendor relationships or failure of a vendor to protect information of our customers or employees. </w:t>
      </w:r>
    </w:p>
    <w:p>
      <w:pPr>
        <w:pStyle w:val="TextBody"/>
        <w:spacing w:lineRule="auto" w:line="288" w:before="0" w:after="0"/>
        <w:jc w:val="left"/>
        <w:rPr>
          <w:rFonts w:ascii="Arial" w:hAnsi="Arial"/>
          <w:sz w:val="18"/>
        </w:rPr>
      </w:pPr>
      <w:r>
        <w:rPr>
          <w:rFonts w:ascii="Arial" w:hAnsi="Arial"/>
          <w:sz w:val="18"/>
        </w:rPr>
      </w:r>
    </w:p>
    <w:p>
      <w:pPr>
        <w:pStyle w:val="TextBody"/>
        <w:spacing w:lineRule="auto" w:line="288" w:before="0" w:after="0"/>
        <w:jc w:val="left"/>
        <w:rPr>
          <w:rFonts w:ascii="Arial" w:hAnsi="Arial"/>
          <w:b/>
          <w:sz w:val="18"/>
        </w:rPr>
      </w:pPr>
      <w:r>
        <w:rPr>
          <w:rFonts w:ascii="Arial" w:hAnsi="Arial"/>
          <w:b/>
          <w:sz w:val="18"/>
        </w:rPr>
        <w:t>Use of Non-GAAP financial measures</w:t>
      </w:r>
    </w:p>
    <w:p>
      <w:pPr>
        <w:pStyle w:val="TextBody"/>
        <w:spacing w:lineRule="auto" w:line="288" w:before="0" w:after="0"/>
        <w:jc w:val="left"/>
        <w:rPr>
          <w:rFonts w:ascii="Arial" w:hAnsi="Arial"/>
          <w:sz w:val="18"/>
        </w:rPr>
      </w:pPr>
      <w:r>
        <w:rPr>
          <w:rFonts w:ascii="Arial" w:hAnsi="Arial"/>
          <w:sz w:val="18"/>
        </w:rPr>
        <w:t xml:space="preserve">The company uses a number of non-GAAP financial measures that management believes are useful to investors because they illustrate the performance of normal, ongoing operations, which is important in </w:t>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r>
        <w:rPr/>
        <w:drawing>
          <wp:inline distT="0" distB="0" distL="0" distR="0">
            <wp:extent cx="1981200" cy="59055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p>
      <w:pPr>
        <w:pStyle w:val="TextBody"/>
        <w:spacing w:lineRule="auto" w:line="288" w:before="0" w:after="0"/>
        <w:jc w:val="left"/>
        <w:rPr>
          <w:sz w:val="18"/>
        </w:rPr>
      </w:pPr>
      <w:r>
        <w:rPr>
          <w:rFonts w:ascii="Arial" w:hAnsi="Arial"/>
          <w:sz w:val="18"/>
        </w:rPr>
        <w:t>understanding and evaluating the company’s financial condition and results of operations. They are not, however, a substitute for U.S. GAAP financial measures. Therefore, the company has provided reconciliations of the non-GAAP measures to the most directly comparable U.S. GAAP measure at the end of the release. The company adjusts U.S. GAAP measures for items not directly related to</w:t>
      </w:r>
      <w:r>
        <w:rPr>
          <w:sz w:val="18"/>
        </w:rPr>
        <w:t xml:space="preserve"> </w:t>
      </w:r>
      <w:r>
        <w:rPr>
          <w:rFonts w:ascii="Arial" w:hAnsi="Arial"/>
          <w:sz w:val="18"/>
        </w:rPr>
        <w:t>ongoing operations. However, it is possible these adjusting items have occurred in the past and could recur in future reporting periods. Management also uses non-GAAP measures for goal setting, as a basis for determining employee and senior management awards and compensation and evaluating performance on a basis comparable to that used by investors and securities analysts.</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Arial" w:hAnsi="Arial"/>
          <w:b/>
          <w:sz w:val="18"/>
        </w:rPr>
      </w:pPr>
      <w:r>
        <w:rPr>
          <w:rFonts w:ascii="Arial" w:hAnsi="Arial"/>
          <w:b/>
          <w:sz w:val="18"/>
        </w:rPr>
        <w:t>Earnings conference call</w:t>
      </w:r>
    </w:p>
    <w:p>
      <w:pPr>
        <w:pStyle w:val="TextBody"/>
        <w:spacing w:lineRule="auto" w:line="288" w:before="0" w:after="0"/>
        <w:jc w:val="left"/>
        <w:rPr>
          <w:rFonts w:ascii="Arial" w:hAnsi="Arial"/>
          <w:sz w:val="18"/>
        </w:rPr>
      </w:pPr>
      <w:r>
        <w:rPr>
          <w:rFonts w:ascii="Arial" w:hAnsi="Arial"/>
          <w:sz w:val="18"/>
        </w:rPr>
        <w:t>On Friday, Jul. 26, 2019, at 10:00 a.m. (ET), Chairman, President and Chief Executive Officer Dan Houston and Executive Vice President and Chief Financial Officer Deanna Strable will lead a discussion of results and the impacts on future prospects, asset quality and capital adequacy during a live conference call, which can be accessed as follows:</w:t>
      </w:r>
    </w:p>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sz w:val="18"/>
              </w:rPr>
              <w:t xml:space="preserve">Via live Internet webcast. Please go to </w:t>
            </w:r>
            <w:r>
              <w:rPr>
                <w:rFonts w:ascii="Arial" w:hAnsi="Arial"/>
                <w:color w:val="0000FF"/>
                <w:sz w:val="18"/>
                <w:u w:val="single"/>
              </w:rPr>
              <w:t>principal.com/investor</w:t>
            </w:r>
            <w:r>
              <w:rPr>
                <w:color w:val="0000FF"/>
                <w:sz w:val="18"/>
              </w:rPr>
              <w:t xml:space="preserve"> </w:t>
            </w:r>
            <w:r>
              <w:rPr>
                <w:rFonts w:ascii="Arial" w:hAnsi="Arial"/>
                <w:sz w:val="18"/>
              </w:rPr>
              <w:t xml:space="preserve">at least 10-15 minutes prior to the start of the call to register, and to download and install any necessary audio software.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rFonts w:ascii="Arial" w:hAnsi="Arial"/>
                <w:sz w:val="18"/>
              </w:rPr>
            </w:pPr>
            <w:r>
              <w:rPr>
                <w:rFonts w:ascii="Arial" w:hAnsi="Arial"/>
                <w:sz w:val="18"/>
              </w:rPr>
              <w:t xml:space="preserve">Via telephone by dialing 866-427-0175 (U.S. and Canadian callers) or 706-643-7701 (international callers) approximately 10 minutes prior to the start of the call. The access code is 1967548.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rFonts w:ascii="Arial" w:hAnsi="Arial"/>
                <w:sz w:val="18"/>
              </w:rPr>
            </w:pPr>
            <w:r>
              <w:rPr>
                <w:rFonts w:ascii="Arial" w:hAnsi="Arial"/>
                <w:sz w:val="18"/>
              </w:rPr>
              <w:t xml:space="preserve">Replay of the earnings call via telephone is available by dialing 855-859-2056 (U.S. and Canadian callers) or 404-537-3406 (international callers). The access code is 1967548. This replay will be available approximately two hours after the completion of the live earnings call through the end of day August 2, 2019. </w:t>
            </w:r>
          </w:p>
        </w:tc>
      </w:tr>
    </w:tbl>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left"/>
              <w:rPr>
                <w:sz w:val="18"/>
              </w:rPr>
            </w:pPr>
            <w:r>
              <w:rPr>
                <w:rFonts w:ascii="Arial" w:hAnsi="Arial"/>
                <w:sz w:val="18"/>
              </w:rPr>
              <w:t xml:space="preserve">Replay of the earnings call via webcast as well as a transcript of the call will be available after the call at </w:t>
            </w:r>
            <w:r>
              <w:rPr>
                <w:rFonts w:ascii="Arial" w:hAnsi="Arial"/>
                <w:color w:val="0000FF"/>
                <w:sz w:val="18"/>
                <w:u w:val="single"/>
              </w:rPr>
              <w:t>principal.com/investor</w:t>
            </w:r>
            <w:r>
              <w:rPr>
                <w:rFonts w:ascii="Arial" w:hAnsi="Arial"/>
                <w:sz w:val="18"/>
              </w:rPr>
              <w:t>.</w:t>
            </w:r>
          </w:p>
        </w:tc>
      </w:tr>
    </w:tbl>
    <w:p>
      <w:pPr>
        <w:pStyle w:val="TextBody"/>
        <w:spacing w:lineRule="auto" w:line="288" w:before="0" w:after="0"/>
        <w:ind w:left="0" w:right="0" w:firstLine="720"/>
        <w:jc w:val="left"/>
        <w:rPr>
          <w:rFonts w:ascii="Arial" w:hAnsi="Arial"/>
          <w:sz w:val="18"/>
        </w:rPr>
      </w:pPr>
      <w:r>
        <w:rPr>
          <w:rFonts w:ascii="Arial" w:hAnsi="Arial"/>
          <w:sz w:val="18"/>
        </w:rPr>
      </w:r>
    </w:p>
    <w:p>
      <w:pPr>
        <w:pStyle w:val="TextBody"/>
        <w:spacing w:lineRule="auto" w:line="288" w:before="0" w:after="0"/>
        <w:jc w:val="left"/>
        <w:rPr>
          <w:sz w:val="18"/>
        </w:rPr>
      </w:pPr>
      <w:r>
        <w:rPr>
          <w:rFonts w:ascii="Arial" w:hAnsi="Arial"/>
          <w:sz w:val="18"/>
        </w:rPr>
        <w:t xml:space="preserve">The company’s financial supplement and slide presentation is currently available at </w:t>
      </w:r>
      <w:r>
        <w:rPr>
          <w:rFonts w:ascii="Arial" w:hAnsi="Arial"/>
          <w:color w:val="0000FF"/>
          <w:sz w:val="18"/>
          <w:u w:val="single"/>
        </w:rPr>
        <w:t>principal.com/investor</w:t>
      </w:r>
      <w:r>
        <w:rPr>
          <w:rFonts w:ascii="Arial" w:hAnsi="Arial"/>
          <w:sz w:val="18"/>
        </w:rPr>
        <w:t xml:space="preserve">, and may be referred to during the call. </w:t>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jc w:val="left"/>
        <w:rPr>
          <w:sz w:val="18"/>
        </w:rPr>
      </w:pPr>
      <w:r>
        <w:rPr>
          <w:rFonts w:ascii="Arial" w:hAnsi="Arial"/>
          <w:b/>
          <w:sz w:val="18"/>
          <w:u w:val="single"/>
        </w:rPr>
        <w:t>About Principal</w:t>
      </w:r>
      <w:r>
        <w:rPr>
          <w:rFonts w:ascii="Arial" w:hAnsi="Arial"/>
          <w:b/>
          <w:sz w:val="12"/>
        </w:rPr>
        <w:t>®</w:t>
      </w:r>
      <w:r>
        <w:rPr>
          <w:rFonts w:ascii="Arial" w:hAnsi="Arial"/>
          <w:sz w:val="12"/>
        </w:rPr>
        <w:t>11</w:t>
      </w:r>
      <w:r>
        <w:rPr>
          <w:rFonts w:ascii="Arial" w:hAnsi="Arial"/>
          <w:sz w:val="18"/>
        </w:rPr>
        <w:t> </w:t>
      </w:r>
    </w:p>
    <w:p>
      <w:pPr>
        <w:pStyle w:val="TextBody"/>
        <w:spacing w:lineRule="auto" w:line="288" w:before="0" w:after="0"/>
        <w:rPr>
          <w:sz w:val="18"/>
        </w:rPr>
      </w:pPr>
      <w:r>
        <w:rPr>
          <w:rFonts w:ascii="Arial" w:hAnsi="Arial"/>
          <w:sz w:val="18"/>
        </w:rPr>
        <w:t xml:space="preserve">Principal helps people and companies around the world build, protect and advance their financial well-being through retirement, insurance and asset management solutions that fit their lives. Our employees are passionate about helping clients of all income and portfolio sizes achieve their goals - offering innovative ideas, investment expertise and real-life solutions to make financial progress possible. To find out more, visit us at </w:t>
      </w:r>
      <w:r>
        <w:rPr>
          <w:rFonts w:ascii="Arial" w:hAnsi="Arial"/>
          <w:color w:val="0000FF"/>
          <w:sz w:val="18"/>
          <w:u w:val="single"/>
        </w:rPr>
        <w:t>principal.com</w:t>
      </w:r>
      <w:r>
        <w:rPr>
          <w:rFonts w:ascii="Arial" w:hAnsi="Arial"/>
          <w:sz w:val="18"/>
        </w:rPr>
        <w:t>.</w:t>
      </w:r>
    </w:p>
    <w:p>
      <w:pPr>
        <w:pStyle w:val="TextBody"/>
        <w:spacing w:lineRule="auto" w:line="288" w:before="0" w:after="0"/>
        <w:jc w:val="left"/>
        <w:rPr>
          <w:rFonts w:ascii="Arial" w:hAnsi="Arial"/>
          <w:sz w:val="18"/>
        </w:rPr>
      </w:pPr>
      <w:r>
        <w:rPr>
          <w:rFonts w:ascii="Arial" w:hAnsi="Arial"/>
          <w:sz w:val="18"/>
        </w:rPr>
      </w:r>
    </w:p>
    <w:p>
      <w:pPr>
        <w:pStyle w:val="TextBody"/>
        <w:spacing w:lineRule="auto" w:line="288" w:before="0" w:after="0"/>
        <w:jc w:val="left"/>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sz w:val="18"/>
        </w:rPr>
      </w:pPr>
      <w:r>
        <w:rPr>
          <w:rFonts w:ascii="Arial" w:hAnsi="Arial"/>
          <w:sz w:val="18"/>
        </w:rPr>
        <w:t>###</w:t>
      </w:r>
    </w:p>
    <w:p>
      <w:pPr>
        <w:pStyle w:val="TextBody"/>
        <w:spacing w:lineRule="auto" w:line="288" w:before="0" w:after="0"/>
        <w:jc w:val="center"/>
        <w:rPr>
          <w:rFonts w:ascii="Arial" w:hAnsi="Arial"/>
          <w:sz w:val="18"/>
        </w:rPr>
      </w:pPr>
      <w:r>
        <w:rPr>
          <w:rFonts w:ascii="Arial" w:hAnsi="Arial"/>
          <w:sz w:val="18"/>
        </w:rPr>
      </w:r>
    </w:p>
    <w:p>
      <w:pPr>
        <w:pStyle w:val="HorizontalLine"/>
        <w:spacing w:lineRule="auto" w:line="288"/>
        <w:rPr/>
      </w:pPr>
      <w:r>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jc w:val="left"/>
        <w:rPr>
          <w:rFonts w:ascii="Arial" w:hAnsi="Arial"/>
          <w:b/>
          <w:sz w:val="17"/>
        </w:rPr>
      </w:pPr>
      <w:r>
        <w:rPr>
          <w:rFonts w:ascii="Arial" w:hAnsi="Arial"/>
          <w:b/>
          <w:sz w:val="10"/>
        </w:rPr>
        <w:t>____________________________________</w:t>
      </w:r>
      <w:r>
        <w:rPr>
          <w:rFonts w:ascii="Arial" w:hAnsi="Arial"/>
          <w:b/>
          <w:sz w:val="17"/>
        </w:rPr>
        <w:t> </w:t>
      </w:r>
    </w:p>
    <w:p>
      <w:pPr>
        <w:pStyle w:val="TextBody"/>
        <w:spacing w:lineRule="auto" w:line="288" w:before="0" w:after="0"/>
        <w:rPr>
          <w:sz w:val="13"/>
        </w:rPr>
      </w:pPr>
      <w:r>
        <w:rPr>
          <w:rFonts w:ascii="Arial" w:hAnsi="Arial"/>
          <w:sz w:val="8"/>
        </w:rPr>
        <w:t>11</w:t>
      </w:r>
      <w:r>
        <w:rPr>
          <w:sz w:val="13"/>
        </w:rPr>
        <w:t xml:space="preserve"> </w:t>
      </w:r>
      <w:r>
        <w:rPr>
          <w:rFonts w:ascii="Arial" w:hAnsi="Arial"/>
          <w:sz w:val="13"/>
        </w:rPr>
        <w:t>Principal, Principal and symbol design and Principal Financial Group are trademarks and service marks of Principal Financial Services, Inc., a member of the Principal Financial Group.</w:t>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r>
        <w:rPr/>
        <w:drawing>
          <wp:inline distT="0" distB="0" distL="0" distR="0">
            <wp:extent cx="1981200" cy="59055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jc w:val="left"/>
        <w:rPr>
          <w:rFonts w:ascii="Arial" w:hAnsi="Arial"/>
          <w:b/>
          <w:i/>
          <w:sz w:val="17"/>
        </w:rPr>
      </w:pPr>
      <w:r>
        <w:rPr>
          <w:rFonts w:ascii="Arial" w:hAnsi="Arial"/>
          <w:b/>
          <w:i/>
          <w:sz w:val="17"/>
        </w:rPr>
        <w:t>Summary of Principal Financial Group, Inc. and Segment Results</w:t>
      </w:r>
    </w:p>
    <w:p>
      <w:pPr>
        <w:pStyle w:val="TextBody"/>
        <w:spacing w:lineRule="auto" w:line="288" w:before="0" w:after="0"/>
        <w:jc w:val="left"/>
        <w:rPr>
          <w:rFonts w:ascii="inherit" w:hAnsi="inherit"/>
          <w:sz w:val="17"/>
        </w:rPr>
      </w:pPr>
      <w:r>
        <w:rPr>
          <w:rFonts w:ascii="inherit" w:hAnsi="inherit"/>
          <w:sz w:val="17"/>
        </w:rPr>
      </w:r>
    </w:p>
    <w:tbl>
      <w:tblPr>
        <w:tblW w:w="6793" w:type="dxa"/>
        <w:jc w:val="center"/>
        <w:tblInd w:w="0" w:type="dxa"/>
        <w:tblCellMar>
          <w:top w:w="0" w:type="dxa"/>
          <w:left w:w="0" w:type="dxa"/>
          <w:bottom w:w="0" w:type="dxa"/>
          <w:right w:w="0" w:type="dxa"/>
        </w:tblCellMar>
      </w:tblPr>
      <w:tblGrid>
        <w:gridCol w:w="3515"/>
        <w:gridCol w:w="797"/>
        <w:gridCol w:w="797"/>
        <w:gridCol w:w="834"/>
        <w:gridCol w:w="850"/>
      </w:tblGrid>
      <w:tr>
        <w:trPr/>
        <w:tc>
          <w:tcPr>
            <w:tcW w:w="6793" w:type="dxa"/>
            <w:gridSpan w:val="5"/>
            <w:tcBorders/>
            <w:shd w:fill="auto" w:val="clear"/>
            <w:vAlign w:val="center"/>
          </w:tcPr>
          <w:p>
            <w:pPr>
              <w:pStyle w:val="TableContents"/>
              <w:spacing w:before="0" w:after="283"/>
              <w:rPr>
                <w:sz w:val="4"/>
                <w:szCs w:val="4"/>
              </w:rPr>
            </w:pPr>
            <w:r>
              <w:rPr>
                <w:sz w:val="4"/>
                <w:szCs w:val="4"/>
              </w:rPr>
            </w:r>
          </w:p>
        </w:tc>
      </w:tr>
      <w:tr>
        <w:trPr/>
        <w:tc>
          <w:tcPr>
            <w:tcW w:w="3515" w:type="dxa"/>
            <w:tcBorders/>
            <w:shd w:fill="auto" w:val="clear"/>
            <w:vAlign w:val="center"/>
          </w:tcPr>
          <w:p>
            <w:pPr>
              <w:pStyle w:val="TableContents"/>
              <w:spacing w:before="0" w:after="283"/>
              <w:rPr>
                <w:sz w:val="4"/>
                <w:szCs w:val="4"/>
              </w:rPr>
            </w:pPr>
            <w:r>
              <w:rPr>
                <w:sz w:val="4"/>
                <w:szCs w:val="4"/>
              </w:rPr>
            </w:r>
          </w:p>
        </w:tc>
        <w:tc>
          <w:tcPr>
            <w:tcW w:w="797" w:type="dxa"/>
            <w:tcBorders/>
            <w:shd w:fill="auto" w:val="clear"/>
            <w:vAlign w:val="center"/>
          </w:tcPr>
          <w:p>
            <w:pPr>
              <w:pStyle w:val="TableContents"/>
              <w:spacing w:before="0" w:after="283"/>
              <w:rPr>
                <w:sz w:val="4"/>
                <w:szCs w:val="4"/>
              </w:rPr>
            </w:pPr>
            <w:r>
              <w:rPr>
                <w:sz w:val="4"/>
                <w:szCs w:val="4"/>
              </w:rPr>
            </w:r>
          </w:p>
        </w:tc>
        <w:tc>
          <w:tcPr>
            <w:tcW w:w="797" w:type="dxa"/>
            <w:tcBorders/>
            <w:shd w:fill="auto" w:val="clear"/>
            <w:vAlign w:val="center"/>
          </w:tcPr>
          <w:p>
            <w:pPr>
              <w:pStyle w:val="TableContents"/>
              <w:spacing w:before="0" w:after="283"/>
              <w:rPr>
                <w:sz w:val="4"/>
                <w:szCs w:val="4"/>
              </w:rPr>
            </w:pPr>
            <w:r>
              <w:rPr>
                <w:sz w:val="4"/>
                <w:szCs w:val="4"/>
              </w:rPr>
            </w:r>
          </w:p>
        </w:tc>
        <w:tc>
          <w:tcPr>
            <w:tcW w:w="834" w:type="dxa"/>
            <w:tcBorders/>
            <w:shd w:fill="auto" w:val="clear"/>
            <w:vAlign w:val="center"/>
          </w:tcPr>
          <w:p>
            <w:pPr>
              <w:pStyle w:val="TableContents"/>
              <w:spacing w:before="0" w:after="283"/>
              <w:rPr>
                <w:sz w:val="4"/>
                <w:szCs w:val="4"/>
              </w:rPr>
            </w:pPr>
            <w:r>
              <w:rPr>
                <w:sz w:val="4"/>
                <w:szCs w:val="4"/>
              </w:rPr>
            </w:r>
          </w:p>
        </w:tc>
        <w:tc>
          <w:tcPr>
            <w:tcW w:w="850"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515" w:type="dxa"/>
            <w:vMerge w:val="restart"/>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b/>
                <w:i/>
                <w:sz w:val="15"/>
              </w:rPr>
            </w:pPr>
            <w:r>
              <w:rPr>
                <w:rFonts w:ascii="Arial" w:hAnsi="Arial"/>
                <w:b/>
                <w:i/>
                <w:sz w:val="15"/>
              </w:rPr>
              <w:t>Principal Financial Group, Inc. Results:</w:t>
            </w:r>
          </w:p>
        </w:tc>
        <w:tc>
          <w:tcPr>
            <w:tcW w:w="3278" w:type="dxa"/>
            <w:gridSpan w:val="4"/>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i/>
                <w:sz w:val="15"/>
              </w:rPr>
            </w:pPr>
            <w:r>
              <w:rPr>
                <w:rFonts w:ascii="Arial" w:hAnsi="Arial"/>
                <w:b/>
                <w:i/>
                <w:sz w:val="15"/>
              </w:rPr>
              <w:t>(in millions)</w:t>
            </w:r>
          </w:p>
        </w:tc>
      </w:tr>
      <w:tr>
        <w:trPr/>
        <w:tc>
          <w:tcPr>
            <w:tcW w:w="3515" w:type="dxa"/>
            <w:vMerge w:val="continue"/>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Normal"/>
              <w:rPr/>
            </w:pPr>
            <w:r>
              <w:rPr/>
            </w:r>
          </w:p>
        </w:tc>
        <w:tc>
          <w:tcPr>
            <w:tcW w:w="1594" w:type="dxa"/>
            <w:gridSpan w:val="2"/>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i/>
                <w:sz w:val="15"/>
              </w:rPr>
            </w:pPr>
            <w:r>
              <w:rPr>
                <w:rFonts w:ascii="Arial" w:hAnsi="Arial"/>
                <w:b/>
                <w:i/>
                <w:sz w:val="15"/>
              </w:rPr>
              <w:t>Three Months Ended,</w:t>
            </w:r>
          </w:p>
        </w:tc>
        <w:tc>
          <w:tcPr>
            <w:tcW w:w="1684" w:type="dxa"/>
            <w:gridSpan w:val="2"/>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i/>
                <w:sz w:val="15"/>
              </w:rPr>
            </w:pPr>
            <w:r>
              <w:rPr>
                <w:rFonts w:ascii="Arial" w:hAnsi="Arial"/>
                <w:i/>
                <w:sz w:val="15"/>
              </w:rPr>
              <w:t>Trailing Twelve Months,</w:t>
            </w:r>
          </w:p>
        </w:tc>
      </w:tr>
      <w:tr>
        <w:trPr/>
        <w:tc>
          <w:tcPr>
            <w:tcW w:w="3515" w:type="dxa"/>
            <w:vMerge w:val="continue"/>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Normal"/>
              <w:rPr/>
            </w:pPr>
            <w:r>
              <w:rPr/>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sz w:val="15"/>
              </w:rPr>
            </w:pPr>
            <w:r>
              <w:rPr>
                <w:rFonts w:ascii="Arial" w:hAnsi="Arial"/>
                <w:sz w:val="15"/>
              </w:rPr>
              <w:t>6/30/19</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sz w:val="15"/>
              </w:rPr>
            </w:pPr>
            <w:r>
              <w:rPr>
                <w:rFonts w:ascii="Arial" w:hAnsi="Arial"/>
                <w:sz w:val="15"/>
              </w:rPr>
              <w:t>6/30/18</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sz w:val="15"/>
              </w:rPr>
            </w:pPr>
            <w:r>
              <w:rPr>
                <w:rFonts w:ascii="Arial" w:hAnsi="Arial"/>
                <w:sz w:val="15"/>
              </w:rPr>
              <w:t>6/30/19</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sz w:val="15"/>
              </w:rPr>
            </w:pPr>
            <w:r>
              <w:rPr>
                <w:rFonts w:ascii="Arial" w:hAnsi="Arial"/>
                <w:sz w:val="15"/>
              </w:rPr>
              <w:t>6/30/18</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b/>
                <w:i/>
                <w:sz w:val="15"/>
              </w:rPr>
            </w:pPr>
            <w:r>
              <w:rPr>
                <w:rFonts w:ascii="Arial" w:hAnsi="Arial"/>
                <w:b/>
                <w:i/>
                <w:sz w:val="15"/>
              </w:rPr>
              <w:t>Net income attributable to PFG</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$ 386.3 </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$ 456.6 </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$ 1,509.0 </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$ 2,505.7 </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i/>
                <w:sz w:val="15"/>
              </w:rPr>
            </w:pPr>
            <w:r>
              <w:rPr>
                <w:rFonts w:ascii="Arial" w:hAnsi="Arial"/>
                <w:i/>
                <w:sz w:val="15"/>
              </w:rPr>
              <w:t>Net realized capital (gains) losses, as adjusted</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40.8</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(65.2)</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115.7</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(456.5)</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i/>
                <w:sz w:val="15"/>
              </w:rPr>
            </w:pPr>
            <w:r>
              <w:rPr>
                <w:rFonts w:ascii="Arial" w:hAnsi="Arial"/>
                <w:i/>
                <w:sz w:val="15"/>
              </w:rPr>
              <w:t>Other after-tax adjustments</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0.0</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0.0</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0.0</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(524.5)</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b/>
                <w:i/>
                <w:sz w:val="15"/>
              </w:rPr>
            </w:pPr>
            <w:r>
              <w:rPr>
                <w:rFonts w:ascii="Arial" w:hAnsi="Arial"/>
                <w:b/>
                <w:i/>
                <w:sz w:val="15"/>
              </w:rPr>
              <w:t>Non-GAAP Operating Earnings*</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$ 427.1 </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$ 391.4 </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$ 1,624.7 </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$ 1,524.7 </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i/>
                <w:sz w:val="15"/>
              </w:rPr>
            </w:pPr>
            <w:r>
              <w:rPr>
                <w:rFonts w:ascii="Arial" w:hAnsi="Arial"/>
                <w:i/>
                <w:sz w:val="15"/>
              </w:rPr>
              <w:t>Income taxes</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86.1</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94.3</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339.5</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363.9</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b/>
                <w:i/>
                <w:sz w:val="15"/>
              </w:rPr>
            </w:pPr>
            <w:r>
              <w:rPr>
                <w:rFonts w:ascii="Arial" w:hAnsi="Arial"/>
                <w:b/>
                <w:i/>
                <w:sz w:val="15"/>
              </w:rPr>
              <w:t>Non-GAAP Pre-Tax Operating Earnings</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$ 513.2</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$ 485.7</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$ 1,964.2</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$ 1,888.6</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rPr/>
            </w:pPr>
            <w:r>
              <w:rPr/>
              <w:t> </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rPr/>
            </w:pPr>
            <w:r>
              <w:rPr/>
              <w:t> </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rPr/>
            </w:pPr>
            <w:r>
              <w:rPr/>
              <w:t> </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rPr/>
            </w:pPr>
            <w:r>
              <w:rPr/>
              <w:t> </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rPr/>
            </w:pPr>
            <w:r>
              <w:rPr/>
              <w:t> </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b/>
                <w:i/>
                <w:sz w:val="15"/>
              </w:rPr>
            </w:pPr>
            <w:r>
              <w:rPr>
                <w:rFonts w:ascii="Arial" w:hAnsi="Arial"/>
                <w:b/>
                <w:i/>
                <w:sz w:val="15"/>
              </w:rPr>
              <w:t>Segment Pre-Tax Operating Earnings (Losses):</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rPr/>
            </w:pPr>
            <w:r>
              <w:rPr/>
              <w:t> </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rPr/>
            </w:pPr>
            <w:r>
              <w:rPr/>
              <w:t> </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rPr/>
            </w:pPr>
            <w:r>
              <w:rPr/>
              <w:t> </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rPr/>
            </w:pPr>
            <w:r>
              <w:rPr/>
              <w:t> </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i/>
                <w:sz w:val="15"/>
              </w:rPr>
            </w:pPr>
            <w:r>
              <w:rPr>
                <w:rFonts w:ascii="Arial" w:hAnsi="Arial"/>
                <w:i/>
                <w:sz w:val="15"/>
              </w:rPr>
              <w:t>Retirement and Income Solutions</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$ 256.2 </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$ 227.6 </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$ 947.5</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$ 905.1 </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i/>
                <w:sz w:val="15"/>
              </w:rPr>
            </w:pPr>
            <w:r>
              <w:rPr>
                <w:rFonts w:ascii="Arial" w:hAnsi="Arial"/>
                <w:i/>
                <w:sz w:val="15"/>
              </w:rPr>
              <w:t>Principal Global Investors</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115.6 </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129.2 </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 xml:space="preserve">535.5 </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 xml:space="preserve">502.4 </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i/>
                <w:sz w:val="15"/>
              </w:rPr>
            </w:pPr>
            <w:r>
              <w:rPr>
                <w:rFonts w:ascii="Arial" w:hAnsi="Arial"/>
                <w:i/>
                <w:sz w:val="15"/>
              </w:rPr>
              <w:t>Principal International</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93.2 </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86.3 </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 xml:space="preserve">299.1 </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 xml:space="preserve">337.2 </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i/>
                <w:sz w:val="15"/>
              </w:rPr>
            </w:pPr>
            <w:r>
              <w:rPr>
                <w:rFonts w:ascii="Arial" w:hAnsi="Arial"/>
                <w:i/>
                <w:sz w:val="15"/>
              </w:rPr>
              <w:t>U.S. Insurance Solutions</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146.3 </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113.3 </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 xml:space="preserve">495.7 </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 xml:space="preserve">435.6 </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i/>
                <w:sz w:val="15"/>
              </w:rPr>
            </w:pPr>
            <w:r>
              <w:rPr>
                <w:rFonts w:ascii="Arial" w:hAnsi="Arial"/>
                <w:i/>
                <w:sz w:val="15"/>
              </w:rPr>
              <w:t>Corporate</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(98.1)</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(70.7)</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(313.6)</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sz w:val="15"/>
              </w:rPr>
            </w:pPr>
            <w:r>
              <w:rPr>
                <w:rFonts w:ascii="Arial" w:hAnsi="Arial"/>
                <w:sz w:val="15"/>
              </w:rPr>
              <w:t>(291.7)</w:t>
            </w:r>
          </w:p>
        </w:tc>
      </w:tr>
      <w:tr>
        <w:trPr/>
        <w:tc>
          <w:tcPr>
            <w:tcW w:w="3515"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b/>
                <w:i/>
                <w:sz w:val="15"/>
              </w:rPr>
            </w:pPr>
            <w:r>
              <w:rPr>
                <w:rFonts w:ascii="Arial" w:hAnsi="Arial"/>
                <w:b/>
                <w:i/>
                <w:sz w:val="15"/>
              </w:rPr>
              <w:t>Total Segment Pre-Tax Operating Earnings</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$ 513.2</w:t>
            </w:r>
          </w:p>
        </w:tc>
        <w:tc>
          <w:tcPr>
            <w:tcW w:w="79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$ 485.7</w:t>
            </w:r>
          </w:p>
        </w:tc>
        <w:tc>
          <w:tcPr>
            <w:tcW w:w="83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$ 1,964.2</w:t>
            </w:r>
          </w:p>
        </w:tc>
        <w:tc>
          <w:tcPr>
            <w:tcW w:w="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jc w:val="right"/>
              <w:rPr>
                <w:rFonts w:ascii="Arial" w:hAnsi="Arial"/>
                <w:b/>
                <w:sz w:val="15"/>
              </w:rPr>
            </w:pPr>
            <w:r>
              <w:rPr>
                <w:rFonts w:ascii="Arial" w:hAnsi="Arial"/>
                <w:b/>
                <w:sz w:val="15"/>
              </w:rPr>
              <w:t>$ 1,888.6</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tbl>
      <w:tblPr>
        <w:tblW w:w="7828" w:type="dxa"/>
        <w:jc w:val="center"/>
        <w:tblInd w:w="0" w:type="dxa"/>
        <w:tblCellMar>
          <w:top w:w="0" w:type="dxa"/>
          <w:left w:w="0" w:type="dxa"/>
          <w:bottom w:w="0" w:type="dxa"/>
          <w:right w:w="0" w:type="dxa"/>
        </w:tblCellMar>
      </w:tblPr>
      <w:tblGrid>
        <w:gridCol w:w="4850"/>
        <w:gridCol w:w="742"/>
        <w:gridCol w:w="852"/>
        <w:gridCol w:w="637"/>
        <w:gridCol w:w="747"/>
      </w:tblGrid>
      <w:tr>
        <w:trPr/>
        <w:tc>
          <w:tcPr>
            <w:tcW w:w="7828" w:type="dxa"/>
            <w:gridSpan w:val="5"/>
            <w:tcBorders/>
            <w:shd w:fill="auto" w:val="clear"/>
            <w:vAlign w:val="center"/>
          </w:tcPr>
          <w:p>
            <w:pPr>
              <w:pStyle w:val="TableContents"/>
              <w:spacing w:before="0" w:after="283"/>
              <w:rPr>
                <w:sz w:val="4"/>
                <w:szCs w:val="4"/>
              </w:rPr>
            </w:pPr>
            <w:r>
              <w:rPr>
                <w:sz w:val="4"/>
                <w:szCs w:val="4"/>
              </w:rPr>
            </w:r>
          </w:p>
        </w:tc>
      </w:tr>
      <w:tr>
        <w:trPr/>
        <w:tc>
          <w:tcPr>
            <w:tcW w:w="4850" w:type="dxa"/>
            <w:tcBorders/>
            <w:shd w:fill="auto" w:val="clear"/>
            <w:vAlign w:val="center"/>
          </w:tcPr>
          <w:p>
            <w:pPr>
              <w:pStyle w:val="TableContents"/>
              <w:spacing w:before="0" w:after="283"/>
              <w:rPr>
                <w:sz w:val="4"/>
                <w:szCs w:val="4"/>
              </w:rPr>
            </w:pPr>
            <w:r>
              <w:rPr>
                <w:sz w:val="4"/>
                <w:szCs w:val="4"/>
              </w:rPr>
            </w:r>
          </w:p>
        </w:tc>
        <w:tc>
          <w:tcPr>
            <w:tcW w:w="742" w:type="dxa"/>
            <w:tcBorders/>
            <w:shd w:fill="auto" w:val="clear"/>
            <w:vAlign w:val="center"/>
          </w:tcPr>
          <w:p>
            <w:pPr>
              <w:pStyle w:val="TableContents"/>
              <w:spacing w:before="0" w:after="283"/>
              <w:rPr>
                <w:sz w:val="4"/>
                <w:szCs w:val="4"/>
              </w:rPr>
            </w:pPr>
            <w:r>
              <w:rPr>
                <w:sz w:val="4"/>
                <w:szCs w:val="4"/>
              </w:rPr>
            </w:r>
          </w:p>
        </w:tc>
        <w:tc>
          <w:tcPr>
            <w:tcW w:w="852" w:type="dxa"/>
            <w:tcBorders/>
            <w:shd w:fill="auto" w:val="clear"/>
            <w:vAlign w:val="center"/>
          </w:tcPr>
          <w:p>
            <w:pPr>
              <w:pStyle w:val="TableContents"/>
              <w:spacing w:before="0" w:after="283"/>
              <w:rPr>
                <w:sz w:val="4"/>
                <w:szCs w:val="4"/>
              </w:rPr>
            </w:pPr>
            <w:r>
              <w:rPr>
                <w:sz w:val="4"/>
                <w:szCs w:val="4"/>
              </w:rPr>
            </w:r>
          </w:p>
        </w:tc>
        <w:tc>
          <w:tcPr>
            <w:tcW w:w="637" w:type="dxa"/>
            <w:tcBorders/>
            <w:shd w:fill="auto" w:val="clear"/>
            <w:vAlign w:val="center"/>
          </w:tcPr>
          <w:p>
            <w:pPr>
              <w:pStyle w:val="TableContents"/>
              <w:spacing w:before="0" w:after="283"/>
              <w:rPr>
                <w:sz w:val="4"/>
                <w:szCs w:val="4"/>
              </w:rPr>
            </w:pPr>
            <w:r>
              <w:rPr>
                <w:sz w:val="4"/>
                <w:szCs w:val="4"/>
              </w:rPr>
            </w:r>
          </w:p>
        </w:tc>
        <w:tc>
          <w:tcPr>
            <w:tcW w:w="747" w:type="dxa"/>
            <w:tcBorders/>
            <w:shd w:fill="auto" w:val="clear"/>
            <w:vAlign w:val="center"/>
          </w:tcPr>
          <w:p>
            <w:pPr>
              <w:pStyle w:val="TableContents"/>
              <w:spacing w:before="0" w:after="283"/>
              <w:ind w:left="0" w:right="0" w:firstLine="30"/>
              <w:rPr>
                <w:sz w:val="4"/>
                <w:szCs w:val="4"/>
              </w:rPr>
            </w:pPr>
            <w:r>
              <w:rPr>
                <w:sz w:val="4"/>
                <w:szCs w:val="4"/>
              </w:rPr>
            </w:r>
          </w:p>
        </w:tc>
      </w:tr>
      <w:tr>
        <w:trPr/>
        <w:tc>
          <w:tcPr>
            <w:tcW w:w="4850" w:type="dxa"/>
            <w:vMerge w:val="restart"/>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jc w:val="both"/>
              <w:rPr>
                <w:rFonts w:ascii="Arial" w:hAnsi="Arial"/>
                <w:sz w:val="15"/>
              </w:rPr>
            </w:pPr>
            <w:r>
              <w:rPr>
                <w:rFonts w:ascii="Arial" w:hAnsi="Arial"/>
                <w:sz w:val="15"/>
              </w:rPr>
            </w:r>
          </w:p>
          <w:p>
            <w:pPr>
              <w:pStyle w:val="TableContents"/>
              <w:spacing w:before="0" w:after="0"/>
              <w:ind w:left="0" w:right="0" w:firstLine="30"/>
              <w:jc w:val="both"/>
              <w:rPr>
                <w:rFonts w:ascii="Arial" w:hAnsi="Arial"/>
                <w:sz w:val="15"/>
              </w:rPr>
            </w:pPr>
            <w:r>
              <w:rPr>
                <w:rFonts w:ascii="Arial" w:hAnsi="Arial"/>
                <w:sz w:val="15"/>
              </w:rPr>
            </w:r>
          </w:p>
        </w:tc>
        <w:tc>
          <w:tcPr>
            <w:tcW w:w="2978" w:type="dxa"/>
            <w:gridSpan w:val="4"/>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Per Diluted Share</w:t>
            </w:r>
          </w:p>
        </w:tc>
      </w:tr>
      <w:tr>
        <w:trPr/>
        <w:tc>
          <w:tcPr>
            <w:tcW w:w="4850" w:type="dxa"/>
            <w:vMerge w:val="continue"/>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Normal"/>
              <w:rPr/>
            </w:pPr>
            <w:r>
              <w:rPr/>
            </w:r>
          </w:p>
        </w:tc>
        <w:tc>
          <w:tcPr>
            <w:tcW w:w="1594" w:type="dxa"/>
            <w:gridSpan w:val="2"/>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i/>
                <w:sz w:val="15"/>
              </w:rPr>
            </w:pPr>
            <w:r>
              <w:rPr>
                <w:rFonts w:ascii="Arial" w:hAnsi="Arial"/>
                <w:b/>
                <w:i/>
                <w:sz w:val="15"/>
              </w:rPr>
              <w:t>Three Months Ended,</w:t>
            </w:r>
          </w:p>
        </w:tc>
        <w:tc>
          <w:tcPr>
            <w:tcW w:w="1384" w:type="dxa"/>
            <w:gridSpan w:val="2"/>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i/>
                <w:sz w:val="15"/>
              </w:rPr>
            </w:pPr>
            <w:r>
              <w:rPr>
                <w:rFonts w:ascii="Arial" w:hAnsi="Arial"/>
                <w:i/>
                <w:sz w:val="15"/>
              </w:rPr>
              <w:t>Six Months Ended,</w:t>
            </w:r>
          </w:p>
        </w:tc>
      </w:tr>
      <w:tr>
        <w:trPr/>
        <w:tc>
          <w:tcPr>
            <w:tcW w:w="4850" w:type="dxa"/>
            <w:vMerge w:val="continue"/>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Normal"/>
              <w:rPr/>
            </w:pPr>
            <w:r>
              <w:rPr/>
            </w:r>
          </w:p>
        </w:tc>
        <w:tc>
          <w:tcPr>
            <w:tcW w:w="74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sz w:val="15"/>
              </w:rPr>
            </w:pPr>
            <w:r>
              <w:rPr>
                <w:rFonts w:ascii="Arial" w:hAnsi="Arial"/>
                <w:sz w:val="15"/>
              </w:rPr>
              <w:t>6/30/19</w:t>
            </w:r>
          </w:p>
        </w:tc>
        <w:tc>
          <w:tcPr>
            <w:tcW w:w="85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sz w:val="15"/>
              </w:rPr>
            </w:pPr>
            <w:r>
              <w:rPr>
                <w:rFonts w:ascii="Arial" w:hAnsi="Arial"/>
                <w:sz w:val="15"/>
              </w:rPr>
              <w:t>6/30/18</w:t>
            </w:r>
          </w:p>
        </w:tc>
        <w:tc>
          <w:tcPr>
            <w:tcW w:w="63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sz w:val="15"/>
              </w:rPr>
            </w:pPr>
            <w:r>
              <w:rPr>
                <w:rFonts w:ascii="Arial" w:hAnsi="Arial"/>
                <w:sz w:val="15"/>
              </w:rPr>
              <w:t>6/30/19</w:t>
            </w:r>
          </w:p>
        </w:tc>
        <w:tc>
          <w:tcPr>
            <w:tcW w:w="74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sz w:val="15"/>
              </w:rPr>
            </w:pPr>
            <w:r>
              <w:rPr>
                <w:rFonts w:ascii="Arial" w:hAnsi="Arial"/>
                <w:sz w:val="15"/>
              </w:rPr>
              <w:t>6/30/18</w:t>
            </w:r>
          </w:p>
        </w:tc>
      </w:tr>
      <w:tr>
        <w:trPr/>
        <w:tc>
          <w:tcPr>
            <w:tcW w:w="4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b/>
                <w:i/>
                <w:sz w:val="15"/>
              </w:rPr>
            </w:pPr>
            <w:r>
              <w:rPr>
                <w:rFonts w:ascii="Arial" w:hAnsi="Arial"/>
                <w:b/>
                <w:i/>
                <w:sz w:val="15"/>
              </w:rPr>
              <w:t xml:space="preserve">Net income </w:t>
            </w:r>
          </w:p>
        </w:tc>
        <w:tc>
          <w:tcPr>
            <w:tcW w:w="74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$ 1.37 </w:t>
            </w:r>
          </w:p>
        </w:tc>
        <w:tc>
          <w:tcPr>
            <w:tcW w:w="85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$ 1.58</w:t>
            </w:r>
          </w:p>
        </w:tc>
        <w:tc>
          <w:tcPr>
            <w:tcW w:w="63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$ 2.90 </w:t>
            </w:r>
          </w:p>
        </w:tc>
        <w:tc>
          <w:tcPr>
            <w:tcW w:w="74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$ 2.93</w:t>
            </w:r>
          </w:p>
        </w:tc>
      </w:tr>
      <w:tr>
        <w:trPr/>
        <w:tc>
          <w:tcPr>
            <w:tcW w:w="4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i/>
                <w:sz w:val="15"/>
              </w:rPr>
            </w:pPr>
            <w:r>
              <w:rPr>
                <w:rFonts w:ascii="Arial" w:hAnsi="Arial"/>
                <w:i/>
                <w:sz w:val="15"/>
              </w:rPr>
              <w:t>Net realized capital (gains) losses, as adjusted</w:t>
            </w:r>
          </w:p>
        </w:tc>
        <w:tc>
          <w:tcPr>
            <w:tcW w:w="74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0.15</w:t>
            </w:r>
          </w:p>
        </w:tc>
        <w:tc>
          <w:tcPr>
            <w:tcW w:w="85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(0.23)</w:t>
            </w:r>
          </w:p>
        </w:tc>
        <w:tc>
          <w:tcPr>
            <w:tcW w:w="63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0.04</w:t>
            </w:r>
          </w:p>
        </w:tc>
        <w:tc>
          <w:tcPr>
            <w:tcW w:w="74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pPr>
            <w:r>
              <w:rPr/>
              <w:t>    </w:t>
            </w:r>
            <w:r>
              <w:rPr>
                <w:rFonts w:ascii="Arial" w:hAnsi="Arial"/>
                <w:sz w:val="15"/>
              </w:rPr>
              <w:t>(0.18)</w:t>
            </w:r>
          </w:p>
        </w:tc>
      </w:tr>
      <w:tr>
        <w:trPr/>
        <w:tc>
          <w:tcPr>
            <w:tcW w:w="4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left"/>
              <w:rPr>
                <w:rFonts w:ascii="Arial" w:hAnsi="Arial"/>
                <w:b/>
                <w:i/>
                <w:sz w:val="15"/>
              </w:rPr>
            </w:pPr>
            <w:r>
              <w:rPr>
                <w:rFonts w:ascii="Arial" w:hAnsi="Arial"/>
                <w:b/>
                <w:i/>
                <w:sz w:val="15"/>
              </w:rPr>
              <w:t xml:space="preserve">Non-GAAP Operating Earnings </w:t>
            </w:r>
          </w:p>
        </w:tc>
        <w:tc>
          <w:tcPr>
            <w:tcW w:w="74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$ 1.52 </w:t>
            </w:r>
          </w:p>
        </w:tc>
        <w:tc>
          <w:tcPr>
            <w:tcW w:w="85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$ 1.35 </w:t>
            </w:r>
          </w:p>
        </w:tc>
        <w:tc>
          <w:tcPr>
            <w:tcW w:w="63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$ 2.94 </w:t>
            </w:r>
          </w:p>
        </w:tc>
        <w:tc>
          <w:tcPr>
            <w:tcW w:w="74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 xml:space="preserve">$ 2.75 </w:t>
            </w:r>
          </w:p>
        </w:tc>
      </w:tr>
      <w:tr>
        <w:trPr/>
        <w:tc>
          <w:tcPr>
            <w:tcW w:w="4850"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rPr>
                <w:sz w:val="15"/>
              </w:rPr>
            </w:pPr>
            <w:r>
              <w:rPr>
                <w:rFonts w:ascii="Arial" w:hAnsi="Arial"/>
                <w:b/>
                <w:i/>
                <w:sz w:val="15"/>
              </w:rPr>
              <w:t xml:space="preserve">Weighted-average diluted common shares outstanding </w:t>
            </w:r>
            <w:r>
              <w:rPr>
                <w:rFonts w:ascii="Arial" w:hAnsi="Arial"/>
                <w:i/>
                <w:sz w:val="15"/>
              </w:rPr>
              <w:t>(in millions)</w:t>
            </w:r>
          </w:p>
        </w:tc>
        <w:tc>
          <w:tcPr>
            <w:tcW w:w="74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281.2</w:t>
            </w:r>
          </w:p>
        </w:tc>
        <w:tc>
          <w:tcPr>
            <w:tcW w:w="85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289.2</w:t>
            </w:r>
          </w:p>
        </w:tc>
        <w:tc>
          <w:tcPr>
            <w:tcW w:w="63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right"/>
              <w:rPr>
                <w:rFonts w:ascii="Arial" w:hAnsi="Arial"/>
                <w:b/>
                <w:sz w:val="15"/>
              </w:rPr>
            </w:pPr>
            <w:r>
              <w:rPr>
                <w:rFonts w:ascii="Arial" w:hAnsi="Arial"/>
                <w:b/>
                <w:sz w:val="15"/>
              </w:rPr>
              <w:t>281.2</w:t>
            </w:r>
          </w:p>
        </w:tc>
        <w:tc>
          <w:tcPr>
            <w:tcW w:w="74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jc w:val="right"/>
              <w:rPr>
                <w:rFonts w:ascii="Arial" w:hAnsi="Arial"/>
                <w:b/>
                <w:sz w:val="15"/>
              </w:rPr>
            </w:pPr>
            <w:r>
              <w:rPr>
                <w:rFonts w:ascii="Arial" w:hAnsi="Arial"/>
                <w:b/>
                <w:sz w:val="15"/>
              </w:rPr>
              <w:t>291.1</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Arial" w:hAnsi="Arial"/>
          <w:b/>
          <w:sz w:val="18"/>
        </w:rPr>
      </w:pPr>
      <w:r>
        <w:rPr>
          <w:rFonts w:ascii="Arial" w:hAnsi="Arial"/>
          <w:b/>
          <w:sz w:val="18"/>
        </w:rPr>
        <w:t>*U.S. GAAP (GAAP) net income attributable to PFG versus non-GAAP operating earnings</w:t>
      </w:r>
    </w:p>
    <w:p>
      <w:pPr>
        <w:pStyle w:val="TextBody"/>
        <w:spacing w:lineRule="auto" w:line="288" w:before="0" w:after="0"/>
        <w:jc w:val="left"/>
        <w:rPr>
          <w:rFonts w:ascii="Arial" w:hAnsi="Arial"/>
          <w:sz w:val="18"/>
        </w:rPr>
      </w:pPr>
      <w:r>
        <w:rPr>
          <w:rFonts w:ascii="Arial" w:hAnsi="Arial"/>
          <w:sz w:val="18"/>
        </w:rPr>
        <w:t>Management uses non-GAAP operating earnings, which is a financial measure that excludes the effect of net realized capital gains and losses, as adjusted, and other after-tax adjustments the company believes are not indicative of overall operating trends, for goal setting, as a basis for determining employee and senior management awards and compensation, and evaluating performance on a basis comparable to that used by investors and securities analysts. Note: it is possible these adjusting items have occurred in the past and could recur in future reporting periods. While these items may be significant components in understanding and assessing our consolidated financial performance, management believes the presentation of non-GAAP operating earnings enhances the understanding of results of operations by highlighting earnings attributable to the normal, ongoing operations of the company’s businesses.</w:t>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r>
        <w:rPr/>
        <w:drawing>
          <wp:inline distT="0" distB="0" distL="0" distR="0">
            <wp:extent cx="1981200" cy="59055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jc w:val="center"/>
        <w:rPr>
          <w:rFonts w:ascii="Arial" w:hAnsi="Arial"/>
          <w:b/>
          <w:i/>
          <w:sz w:val="15"/>
        </w:rPr>
      </w:pPr>
      <w:r>
        <w:rPr>
          <w:rFonts w:ascii="Arial" w:hAnsi="Arial"/>
          <w:b/>
          <w:i/>
          <w:sz w:val="15"/>
        </w:rPr>
        <w:t>Selected Balance Sheet Statistics</w:t>
      </w:r>
    </w:p>
    <w:p>
      <w:pPr>
        <w:pStyle w:val="TextBody"/>
        <w:spacing w:lineRule="auto" w:line="288" w:before="0" w:after="0"/>
        <w:jc w:val="center"/>
        <w:rPr>
          <w:rFonts w:ascii="inherit" w:hAnsi="inherit"/>
          <w:sz w:val="17"/>
        </w:rPr>
      </w:pPr>
      <w:r>
        <w:rPr>
          <w:rFonts w:ascii="inherit" w:hAnsi="inherit"/>
          <w:sz w:val="17"/>
        </w:rPr>
      </w:r>
    </w:p>
    <w:tbl>
      <w:tblPr>
        <w:tblW w:w="10205" w:type="dxa"/>
        <w:jc w:val="center"/>
        <w:tblInd w:w="0" w:type="dxa"/>
        <w:tblCellMar>
          <w:top w:w="0" w:type="dxa"/>
          <w:left w:w="0" w:type="dxa"/>
          <w:bottom w:w="0" w:type="dxa"/>
          <w:right w:w="0" w:type="dxa"/>
        </w:tblCellMar>
      </w:tblPr>
      <w:tblGrid>
        <w:gridCol w:w="8485"/>
        <w:gridCol w:w="852"/>
        <w:gridCol w:w="868"/>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8485" w:type="dxa"/>
            <w:tcBorders/>
            <w:shd w:fill="auto" w:val="clear"/>
            <w:vAlign w:val="center"/>
          </w:tcPr>
          <w:p>
            <w:pPr>
              <w:pStyle w:val="TableContents"/>
              <w:spacing w:before="0" w:after="283"/>
              <w:rPr>
                <w:sz w:val="4"/>
                <w:szCs w:val="4"/>
              </w:rPr>
            </w:pPr>
            <w:r>
              <w:rPr>
                <w:sz w:val="4"/>
                <w:szCs w:val="4"/>
              </w:rPr>
            </w:r>
          </w:p>
        </w:tc>
        <w:tc>
          <w:tcPr>
            <w:tcW w:w="852" w:type="dxa"/>
            <w:tcBorders/>
            <w:shd w:fill="auto" w:val="clear"/>
            <w:vAlign w:val="center"/>
          </w:tcPr>
          <w:p>
            <w:pPr>
              <w:pStyle w:val="TableContents"/>
              <w:spacing w:before="0" w:after="283"/>
              <w:rPr>
                <w:sz w:val="4"/>
                <w:szCs w:val="4"/>
              </w:rPr>
            </w:pPr>
            <w:r>
              <w:rPr>
                <w:sz w:val="4"/>
                <w:szCs w:val="4"/>
              </w:rPr>
            </w:r>
          </w:p>
        </w:tc>
        <w:tc>
          <w:tcPr>
            <w:tcW w:w="86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485" w:type="dxa"/>
            <w:vMerge w:val="restart"/>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c>
          <w:tcPr>
            <w:tcW w:w="1720" w:type="dxa"/>
            <w:gridSpan w:val="2"/>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Period Ended,</w:t>
            </w:r>
          </w:p>
        </w:tc>
      </w:tr>
      <w:tr>
        <w:trPr/>
        <w:tc>
          <w:tcPr>
            <w:tcW w:w="8485" w:type="dxa"/>
            <w:vMerge w:val="continue"/>
            <w:tcBorders>
              <w:right w:val="single" w:sz="2" w:space="0" w:color="000000"/>
            </w:tcBorders>
            <w:shd w:fill="auto" w:val="clear"/>
            <w:tcMar>
              <w:right w:w="30" w:type="dxa"/>
            </w:tcMar>
            <w:vAlign w:val="center"/>
          </w:tcPr>
          <w:p>
            <w:pPr>
              <w:pStyle w:val="Normal"/>
              <w:rPr/>
            </w:pPr>
            <w:r>
              <w:rPr/>
            </w:r>
          </w:p>
        </w:tc>
        <w:tc>
          <w:tcPr>
            <w:tcW w:w="852"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6/30/19</w:t>
            </w:r>
          </w:p>
        </w:tc>
        <w:tc>
          <w:tcPr>
            <w:tcW w:w="868"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12/31/18</w:t>
            </w:r>
          </w:p>
        </w:tc>
      </w:tr>
      <w:tr>
        <w:trPr/>
        <w:tc>
          <w:tcPr>
            <w:tcW w:w="848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Total assets (in billions)</w:t>
            </w:r>
          </w:p>
        </w:tc>
        <w:tc>
          <w:tcPr>
            <w:tcW w:w="852" w:type="dxa"/>
            <w:tcBorders>
              <w:top w:val="single" w:sz="2" w:space="0" w:color="000000"/>
            </w:tcBorders>
            <w:shd w:fill="auto" w:val="clear"/>
            <w:tcMar>
              <w:top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$ 267.9 </w:t>
            </w:r>
          </w:p>
        </w:tc>
        <w:tc>
          <w:tcPr>
            <w:tcW w:w="868" w:type="dxa"/>
            <w:tcBorders>
              <w:top w:val="single" w:sz="2" w:space="0" w:color="000000"/>
            </w:tcBorders>
            <w:shd w:fill="auto" w:val="clear"/>
            <w:tcMar>
              <w:top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$ 243.0 </w:t>
            </w:r>
          </w:p>
        </w:tc>
      </w:tr>
      <w:tr>
        <w:trPr/>
        <w:tc>
          <w:tcPr>
            <w:tcW w:w="848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Stockholders’ equity (in millions)</w:t>
            </w:r>
          </w:p>
        </w:tc>
        <w:tc>
          <w:tcPr>
            <w:tcW w:w="852"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$ 14,102.0 </w:t>
            </w:r>
          </w:p>
        </w:tc>
        <w:tc>
          <w:tcPr>
            <w:tcW w:w="86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$ 11,456.0 </w:t>
            </w:r>
          </w:p>
        </w:tc>
      </w:tr>
      <w:tr>
        <w:trPr/>
        <w:tc>
          <w:tcPr>
            <w:tcW w:w="848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Total common equity (in millions)</w:t>
            </w:r>
          </w:p>
        </w:tc>
        <w:tc>
          <w:tcPr>
            <w:tcW w:w="852"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$ 14,034.7 </w:t>
            </w:r>
          </w:p>
        </w:tc>
        <w:tc>
          <w:tcPr>
            <w:tcW w:w="86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$ 11,390.0 </w:t>
            </w:r>
          </w:p>
        </w:tc>
      </w:tr>
      <w:tr>
        <w:trPr/>
        <w:tc>
          <w:tcPr>
            <w:tcW w:w="848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Total common equity excluding accumulated other comprehensive income (AOCI) other than foreign currency translation adjustment (in millions)</w:t>
            </w:r>
          </w:p>
        </w:tc>
        <w:tc>
          <w:tcPr>
            <w:tcW w:w="852"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$ 12,188.2 </w:t>
            </w:r>
          </w:p>
        </w:tc>
        <w:tc>
          <w:tcPr>
            <w:tcW w:w="86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$ 11,695.6 </w:t>
            </w:r>
          </w:p>
        </w:tc>
      </w:tr>
      <w:tr>
        <w:trPr/>
        <w:tc>
          <w:tcPr>
            <w:tcW w:w="848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End of period common shares outstanding (in millions)</w:t>
            </w:r>
          </w:p>
        </w:tc>
        <w:tc>
          <w:tcPr>
            <w:tcW w:w="852"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278.6</w:t>
            </w:r>
          </w:p>
        </w:tc>
        <w:tc>
          <w:tcPr>
            <w:tcW w:w="86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279.5</w:t>
            </w:r>
          </w:p>
        </w:tc>
      </w:tr>
      <w:tr>
        <w:trPr/>
        <w:tc>
          <w:tcPr>
            <w:tcW w:w="848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Book value per common share</w:t>
            </w:r>
          </w:p>
        </w:tc>
        <w:tc>
          <w:tcPr>
            <w:tcW w:w="852"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$ 50.38 </w:t>
            </w:r>
          </w:p>
        </w:tc>
        <w:tc>
          <w:tcPr>
            <w:tcW w:w="86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$ 40.75 </w:t>
            </w:r>
          </w:p>
        </w:tc>
      </w:tr>
      <w:tr>
        <w:trPr/>
        <w:tc>
          <w:tcPr>
            <w:tcW w:w="848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Book value per common share excluding AOCI other than foreign currency translation adjustment</w:t>
            </w:r>
          </w:p>
        </w:tc>
        <w:tc>
          <w:tcPr>
            <w:tcW w:w="852"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$ 43.75 </w:t>
            </w:r>
          </w:p>
        </w:tc>
        <w:tc>
          <w:tcPr>
            <w:tcW w:w="868" w:type="dxa"/>
            <w:tcBorders/>
            <w:shd w:fill="auto" w:val="clear"/>
            <w:vAlign w:val="center"/>
          </w:tcPr>
          <w:p>
            <w:pPr>
              <w:pStyle w:val="TableContents"/>
              <w:spacing w:before="0" w:after="0"/>
              <w:jc w:val="right"/>
              <w:rPr>
                <w:rFonts w:ascii="Arial" w:hAnsi="Arial"/>
                <w:sz w:val="15"/>
              </w:rPr>
            </w:pPr>
            <w:r>
              <w:rPr>
                <w:rFonts w:ascii="Arial" w:hAnsi="Arial"/>
                <w:sz w:val="15"/>
              </w:rPr>
              <w:t xml:space="preserve">$ 41.84 </w:t>
            </w:r>
          </w:p>
        </w:tc>
      </w:tr>
    </w:tbl>
    <w:p>
      <w:pPr>
        <w:pStyle w:val="TextBody"/>
        <w:spacing w:lineRule="auto" w:line="417" w:before="0" w:after="0"/>
        <w:jc w:val="left"/>
        <w:rPr/>
      </w:pPr>
      <w:r>
        <w:rPr/>
        <w:t>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Arial" w:hAnsi="Arial"/>
          <w:b/>
          <w:sz w:val="15"/>
        </w:rPr>
      </w:pPr>
      <w:r>
        <w:rPr>
          <w:rFonts w:ascii="Arial" w:hAnsi="Arial"/>
          <w:b/>
          <w:sz w:val="15"/>
        </w:rPr>
        <w:t>Principal Financial Group, Inc.</w:t>
      </w:r>
    </w:p>
    <w:p>
      <w:pPr>
        <w:pStyle w:val="TextBody"/>
        <w:spacing w:lineRule="auto" w:line="288" w:before="0" w:after="0"/>
        <w:jc w:val="center"/>
        <w:rPr>
          <w:rFonts w:ascii="Arial" w:hAnsi="Arial"/>
          <w:b/>
          <w:sz w:val="15"/>
        </w:rPr>
      </w:pPr>
      <w:r>
        <w:rPr>
          <w:rFonts w:ascii="Arial" w:hAnsi="Arial"/>
          <w:b/>
          <w:sz w:val="15"/>
        </w:rPr>
        <w:t>Reconciliation of U.S. GAAP to Non-GAAP Financial Measures</w:t>
      </w:r>
    </w:p>
    <w:p>
      <w:pPr>
        <w:pStyle w:val="TextBody"/>
        <w:spacing w:lineRule="auto" w:line="288" w:before="0" w:after="0"/>
        <w:jc w:val="center"/>
        <w:rPr>
          <w:rFonts w:ascii="Arial" w:hAnsi="Arial"/>
          <w:b/>
          <w:sz w:val="15"/>
        </w:rPr>
      </w:pPr>
      <w:r>
        <w:rPr>
          <w:rFonts w:ascii="Arial" w:hAnsi="Arial"/>
          <w:b/>
          <w:sz w:val="15"/>
        </w:rPr>
        <w:t>(in millions, except as indicated)</w:t>
      </w:r>
    </w:p>
    <w:p>
      <w:pPr>
        <w:pStyle w:val="TextBody"/>
        <w:spacing w:lineRule="auto" w:line="288" w:before="0" w:after="0"/>
        <w:jc w:val="center"/>
        <w:rPr>
          <w:rFonts w:ascii="inherit" w:hAnsi="inherit"/>
          <w:sz w:val="17"/>
        </w:rPr>
      </w:pPr>
      <w:r>
        <w:rPr>
          <w:rFonts w:ascii="inherit" w:hAnsi="inherit"/>
          <w:sz w:val="17"/>
        </w:rPr>
      </w:r>
    </w:p>
    <w:tbl>
      <w:tblPr>
        <w:tblW w:w="10205" w:type="dxa"/>
        <w:jc w:val="center"/>
        <w:tblInd w:w="0" w:type="dxa"/>
        <w:tblCellMar>
          <w:top w:w="0" w:type="dxa"/>
          <w:left w:w="0" w:type="dxa"/>
          <w:bottom w:w="0" w:type="dxa"/>
          <w:right w:w="0" w:type="dxa"/>
        </w:tblCellMar>
      </w:tblPr>
      <w:tblGrid>
        <w:gridCol w:w="8213"/>
        <w:gridCol w:w="988"/>
        <w:gridCol w:w="1004"/>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8213" w:type="dxa"/>
            <w:tcBorders/>
            <w:shd w:fill="auto" w:val="clear"/>
            <w:vAlign w:val="center"/>
          </w:tcPr>
          <w:p>
            <w:pPr>
              <w:pStyle w:val="TableContents"/>
              <w:spacing w:before="0" w:after="283"/>
              <w:rPr>
                <w:sz w:val="4"/>
                <w:szCs w:val="4"/>
              </w:rPr>
            </w:pPr>
            <w:r>
              <w:rPr>
                <w:sz w:val="4"/>
                <w:szCs w:val="4"/>
              </w:rPr>
            </w:r>
          </w:p>
        </w:tc>
        <w:tc>
          <w:tcPr>
            <w:tcW w:w="988" w:type="dxa"/>
            <w:tcBorders/>
            <w:shd w:fill="auto" w:val="clear"/>
            <w:vAlign w:val="center"/>
          </w:tcPr>
          <w:p>
            <w:pPr>
              <w:pStyle w:val="TableContents"/>
              <w:spacing w:before="0" w:after="283"/>
              <w:rPr>
                <w:sz w:val="4"/>
                <w:szCs w:val="4"/>
              </w:rPr>
            </w:pPr>
            <w:r>
              <w:rPr>
                <w:sz w:val="4"/>
                <w:szCs w:val="4"/>
              </w:rPr>
            </w:r>
          </w:p>
        </w:tc>
        <w:tc>
          <w:tcPr>
            <w:tcW w:w="1004" w:type="dxa"/>
            <w:tcBorders/>
            <w:shd w:fill="auto" w:val="clear"/>
            <w:vAlign w:val="center"/>
          </w:tcPr>
          <w:p>
            <w:pPr>
              <w:pStyle w:val="TableContents"/>
              <w:spacing w:before="0" w:after="283"/>
              <w:ind w:left="0" w:right="0" w:firstLine="30"/>
              <w:rPr>
                <w:sz w:val="4"/>
                <w:szCs w:val="4"/>
              </w:rPr>
            </w:pPr>
            <w:r>
              <w:rPr>
                <w:sz w:val="4"/>
                <w:szCs w:val="4"/>
              </w:rPr>
            </w:r>
          </w:p>
        </w:tc>
      </w:tr>
      <w:tr>
        <w:trPr/>
        <w:tc>
          <w:tcPr>
            <w:tcW w:w="8213" w:type="dxa"/>
            <w:vMerge w:val="restart"/>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c>
          <w:tcPr>
            <w:tcW w:w="1992" w:type="dxa"/>
            <w:gridSpan w:val="2"/>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Period Ended,</w:t>
            </w:r>
          </w:p>
        </w:tc>
      </w:tr>
      <w:tr>
        <w:trPr/>
        <w:tc>
          <w:tcPr>
            <w:tcW w:w="8213" w:type="dxa"/>
            <w:vMerge w:val="continue"/>
            <w:tcBorders>
              <w:right w:val="single" w:sz="2" w:space="0" w:color="000000"/>
            </w:tcBorders>
            <w:shd w:fill="auto" w:val="clear"/>
            <w:tcMar>
              <w:right w:w="30" w:type="dxa"/>
            </w:tcMar>
            <w:vAlign w:val="center"/>
          </w:tcPr>
          <w:p>
            <w:pPr>
              <w:pStyle w:val="Normal"/>
              <w:rPr/>
            </w:pPr>
            <w:r>
              <w:rPr/>
            </w:r>
          </w:p>
        </w:tc>
        <w:tc>
          <w:tcPr>
            <w:tcW w:w="988"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6/30/19</w:t>
            </w:r>
          </w:p>
        </w:tc>
        <w:tc>
          <w:tcPr>
            <w:tcW w:w="1004"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12/31/18</w:t>
            </w:r>
          </w:p>
        </w:tc>
      </w:tr>
      <w:tr>
        <w:trPr/>
        <w:tc>
          <w:tcPr>
            <w:tcW w:w="8213" w:type="dxa"/>
            <w:tcBorders/>
            <w:shd w:fill="auto" w:val="clear"/>
            <w:vAlign w:val="center"/>
          </w:tcPr>
          <w:p>
            <w:pPr>
              <w:pStyle w:val="TableContents"/>
              <w:spacing w:before="0" w:after="0"/>
              <w:ind w:left="0" w:right="0" w:firstLine="30"/>
              <w:jc w:val="left"/>
              <w:rPr>
                <w:rFonts w:ascii="Arial" w:hAnsi="Arial"/>
                <w:b/>
                <w:sz w:val="15"/>
              </w:rPr>
            </w:pPr>
            <w:r>
              <w:rPr>
                <w:rFonts w:ascii="Arial" w:hAnsi="Arial"/>
                <w:b/>
                <w:sz w:val="15"/>
              </w:rPr>
              <w:t>Stockholders’ Equity, Excluding AOCI Other Than Foreign Currency Translation Adjustment, Available to Common Stockholders:</w:t>
            </w:r>
          </w:p>
        </w:tc>
        <w:tc>
          <w:tcPr>
            <w:tcW w:w="988"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1004"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r>
      <w:tr>
        <w:trPr/>
        <w:tc>
          <w:tcPr>
            <w:tcW w:w="8213"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Stockholders’ equity</w:t>
            </w:r>
          </w:p>
        </w:tc>
        <w:tc>
          <w:tcPr>
            <w:tcW w:w="98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$ 14,102.0 </w:t>
            </w:r>
          </w:p>
        </w:tc>
        <w:tc>
          <w:tcPr>
            <w:tcW w:w="1004"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$ 11,456.0 </w:t>
            </w:r>
          </w:p>
        </w:tc>
      </w:tr>
      <w:tr>
        <w:trPr/>
        <w:tc>
          <w:tcPr>
            <w:tcW w:w="8213"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Noncontrolling interest</w:t>
            </w:r>
          </w:p>
        </w:tc>
        <w:tc>
          <w:tcPr>
            <w:tcW w:w="988" w:type="dxa"/>
            <w:tcBorders>
              <w:bottom w:val="single" w:sz="2" w:space="0" w:color="000000"/>
            </w:tcBorders>
            <w:shd w:fill="auto" w:val="clear"/>
            <w:tcMar>
              <w:bottom w:w="30" w:type="dxa"/>
            </w:tcMar>
            <w:vAlign w:val="center"/>
          </w:tcPr>
          <w:p>
            <w:pPr>
              <w:pStyle w:val="TableContents"/>
              <w:spacing w:before="0" w:after="0"/>
              <w:ind w:left="0" w:right="0" w:firstLine="30"/>
              <w:jc w:val="right"/>
              <w:rPr/>
            </w:pPr>
            <w:r>
              <w:rPr/>
              <w:t>         </w:t>
            </w:r>
            <w:r>
              <w:rPr>
                <w:rFonts w:ascii="Arial" w:hAnsi="Arial"/>
                <w:sz w:val="15"/>
              </w:rPr>
              <w:t>(67.3)</w:t>
            </w:r>
          </w:p>
        </w:tc>
        <w:tc>
          <w:tcPr>
            <w:tcW w:w="1004" w:type="dxa"/>
            <w:tcBorders>
              <w:bottom w:val="single" w:sz="2" w:space="0" w:color="000000"/>
            </w:tcBorders>
            <w:shd w:fill="auto" w:val="clear"/>
            <w:tcMar>
              <w:bottom w:w="30" w:type="dxa"/>
            </w:tcMar>
            <w:vAlign w:val="center"/>
          </w:tcPr>
          <w:p>
            <w:pPr>
              <w:pStyle w:val="TableContents"/>
              <w:spacing w:before="0" w:after="0"/>
              <w:ind w:left="0" w:right="0" w:firstLine="30"/>
              <w:jc w:val="right"/>
              <w:rPr/>
            </w:pPr>
            <w:r>
              <w:rPr/>
              <w:t>         </w:t>
            </w:r>
            <w:r>
              <w:rPr>
                <w:rFonts w:ascii="Arial" w:hAnsi="Arial"/>
                <w:sz w:val="15"/>
              </w:rPr>
              <w:t>(66.0)</w:t>
            </w:r>
          </w:p>
        </w:tc>
      </w:tr>
      <w:tr>
        <w:trPr/>
        <w:tc>
          <w:tcPr>
            <w:tcW w:w="8213"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Stockholders’ equity available to common stockholders</w:t>
            </w:r>
          </w:p>
        </w:tc>
        <w:tc>
          <w:tcPr>
            <w:tcW w:w="988" w:type="dxa"/>
            <w:tcBorders>
              <w:top w:val="single" w:sz="2" w:space="0" w:color="000000"/>
            </w:tcBorders>
            <w:shd w:fill="auto" w:val="clear"/>
            <w:tcMar>
              <w:top w:w="30" w:type="dxa"/>
            </w:tcMar>
            <w:vAlign w:val="center"/>
          </w:tcPr>
          <w:p>
            <w:pPr>
              <w:pStyle w:val="TableContents"/>
              <w:spacing w:before="0" w:after="0"/>
              <w:ind w:left="0" w:right="0" w:firstLine="30"/>
              <w:jc w:val="right"/>
              <w:rPr>
                <w:rFonts w:ascii="Arial" w:hAnsi="Arial"/>
                <w:sz w:val="15"/>
              </w:rPr>
            </w:pPr>
            <w:r>
              <w:rPr>
                <w:rFonts w:ascii="Arial" w:hAnsi="Arial"/>
                <w:sz w:val="15"/>
              </w:rPr>
              <w:t>14,034.7</w:t>
            </w:r>
          </w:p>
        </w:tc>
        <w:tc>
          <w:tcPr>
            <w:tcW w:w="1004" w:type="dxa"/>
            <w:tcBorders>
              <w:top w:val="single" w:sz="2" w:space="0" w:color="000000"/>
            </w:tcBorders>
            <w:shd w:fill="auto" w:val="clear"/>
            <w:tcMar>
              <w:top w:w="30" w:type="dxa"/>
            </w:tcMar>
            <w:vAlign w:val="center"/>
          </w:tcPr>
          <w:p>
            <w:pPr>
              <w:pStyle w:val="TableContents"/>
              <w:spacing w:before="0" w:after="0"/>
              <w:ind w:left="0" w:right="0" w:firstLine="30"/>
              <w:jc w:val="right"/>
              <w:rPr>
                <w:rFonts w:ascii="Arial" w:hAnsi="Arial"/>
                <w:sz w:val="15"/>
              </w:rPr>
            </w:pPr>
            <w:r>
              <w:rPr>
                <w:rFonts w:ascii="Arial" w:hAnsi="Arial"/>
                <w:sz w:val="15"/>
              </w:rPr>
              <w:t>11,390.0</w:t>
            </w:r>
          </w:p>
        </w:tc>
      </w:tr>
      <w:tr>
        <w:trPr/>
        <w:tc>
          <w:tcPr>
            <w:tcW w:w="8213"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Net unrealized capital (gains) losses</w:t>
            </w:r>
          </w:p>
        </w:tc>
        <w:tc>
          <w:tcPr>
            <w:tcW w:w="98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(2,290.7)</w:t>
            </w:r>
          </w:p>
        </w:tc>
        <w:tc>
          <w:tcPr>
            <w:tcW w:w="1004"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(207.3)</w:t>
            </w:r>
          </w:p>
        </w:tc>
      </w:tr>
      <w:tr>
        <w:trPr/>
        <w:tc>
          <w:tcPr>
            <w:tcW w:w="8213"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Net unrecognized postretirement benefit obligation</w:t>
            </w:r>
          </w:p>
        </w:tc>
        <w:tc>
          <w:tcPr>
            <w:tcW w:w="98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444.2</w:t>
            </w:r>
          </w:p>
        </w:tc>
        <w:tc>
          <w:tcPr>
            <w:tcW w:w="1004"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512.9</w:t>
            </w:r>
          </w:p>
        </w:tc>
      </w:tr>
      <w:tr>
        <w:trPr/>
        <w:tc>
          <w:tcPr>
            <w:tcW w:w="8213"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 xml:space="preserve">Stockholders’ equity, excluding AOCI other than foreign currency translation adjustment, available to common stockholders </w:t>
            </w:r>
          </w:p>
        </w:tc>
        <w:tc>
          <w:tcPr>
            <w:tcW w:w="98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$ 12,188.2 </w:t>
            </w:r>
          </w:p>
        </w:tc>
        <w:tc>
          <w:tcPr>
            <w:tcW w:w="1004"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$ 11,695.6 </w:t>
            </w:r>
          </w:p>
        </w:tc>
      </w:tr>
      <w:tr>
        <w:trPr/>
        <w:tc>
          <w:tcPr>
            <w:tcW w:w="8213" w:type="dxa"/>
            <w:tcBorders/>
            <w:shd w:fill="auto" w:val="clear"/>
            <w:vAlign w:val="center"/>
          </w:tcPr>
          <w:p>
            <w:pPr>
              <w:pStyle w:val="TableContents"/>
              <w:spacing w:before="0" w:after="0"/>
              <w:ind w:left="0" w:right="0" w:firstLine="30"/>
              <w:rPr/>
            </w:pPr>
            <w:r>
              <w:rPr/>
              <w:t> </w:t>
            </w:r>
          </w:p>
        </w:tc>
        <w:tc>
          <w:tcPr>
            <w:tcW w:w="988"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04"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r>
      <w:tr>
        <w:trPr/>
        <w:tc>
          <w:tcPr>
            <w:tcW w:w="8213" w:type="dxa"/>
            <w:tcBorders/>
            <w:shd w:fill="auto" w:val="clear"/>
            <w:vAlign w:val="center"/>
          </w:tcPr>
          <w:p>
            <w:pPr>
              <w:pStyle w:val="TableContents"/>
              <w:spacing w:before="0" w:after="0"/>
              <w:ind w:left="0" w:right="0" w:firstLine="30"/>
              <w:rPr/>
            </w:pPr>
            <w:r>
              <w:rPr/>
              <w:t> </w:t>
            </w:r>
          </w:p>
        </w:tc>
        <w:tc>
          <w:tcPr>
            <w:tcW w:w="988" w:type="dxa"/>
            <w:tcBorders/>
            <w:shd w:fill="auto" w:val="clear"/>
            <w:vAlign w:val="center"/>
          </w:tcPr>
          <w:p>
            <w:pPr>
              <w:pStyle w:val="TableContents"/>
              <w:spacing w:before="0" w:after="0"/>
              <w:ind w:left="0" w:right="0" w:firstLine="30"/>
              <w:rPr/>
            </w:pPr>
            <w:r>
              <w:rPr/>
              <w:t> </w:t>
            </w:r>
          </w:p>
        </w:tc>
        <w:tc>
          <w:tcPr>
            <w:tcW w:w="1004" w:type="dxa"/>
            <w:tcBorders/>
            <w:shd w:fill="auto" w:val="clear"/>
            <w:vAlign w:val="center"/>
          </w:tcPr>
          <w:p>
            <w:pPr>
              <w:pStyle w:val="TableContents"/>
              <w:spacing w:before="0" w:after="0"/>
              <w:ind w:left="0" w:right="0" w:firstLine="30"/>
              <w:rPr/>
            </w:pPr>
            <w:r>
              <w:rPr/>
              <w:t> </w:t>
            </w:r>
          </w:p>
        </w:tc>
      </w:tr>
      <w:tr>
        <w:trPr/>
        <w:tc>
          <w:tcPr>
            <w:tcW w:w="8213" w:type="dxa"/>
            <w:tcBorders/>
            <w:shd w:fill="auto" w:val="clear"/>
            <w:vAlign w:val="center"/>
          </w:tcPr>
          <w:p>
            <w:pPr>
              <w:pStyle w:val="TableContents"/>
              <w:spacing w:before="0" w:after="0"/>
              <w:ind w:left="0" w:right="0" w:firstLine="30"/>
              <w:rPr/>
            </w:pPr>
            <w:r>
              <w:rPr/>
              <w:t> </w:t>
            </w:r>
          </w:p>
        </w:tc>
        <w:tc>
          <w:tcPr>
            <w:tcW w:w="988" w:type="dxa"/>
            <w:tcBorders/>
            <w:shd w:fill="auto" w:val="clear"/>
            <w:vAlign w:val="center"/>
          </w:tcPr>
          <w:p>
            <w:pPr>
              <w:pStyle w:val="TableContents"/>
              <w:spacing w:before="0" w:after="0"/>
              <w:ind w:left="0" w:right="0" w:firstLine="30"/>
              <w:rPr/>
            </w:pPr>
            <w:r>
              <w:rPr/>
              <w:t> </w:t>
            </w:r>
          </w:p>
        </w:tc>
        <w:tc>
          <w:tcPr>
            <w:tcW w:w="1004" w:type="dxa"/>
            <w:tcBorders/>
            <w:shd w:fill="auto" w:val="clear"/>
            <w:vAlign w:val="center"/>
          </w:tcPr>
          <w:p>
            <w:pPr>
              <w:pStyle w:val="TableContents"/>
              <w:spacing w:before="0" w:after="0"/>
              <w:ind w:left="0" w:right="0" w:firstLine="30"/>
              <w:rPr/>
            </w:pPr>
            <w:r>
              <w:rPr/>
              <w:t> </w:t>
            </w:r>
          </w:p>
        </w:tc>
      </w:tr>
      <w:tr>
        <w:trPr/>
        <w:tc>
          <w:tcPr>
            <w:tcW w:w="8213" w:type="dxa"/>
            <w:tcBorders/>
            <w:shd w:fill="auto" w:val="clear"/>
            <w:vAlign w:val="center"/>
          </w:tcPr>
          <w:p>
            <w:pPr>
              <w:pStyle w:val="TableContents"/>
              <w:spacing w:before="0" w:after="0"/>
              <w:ind w:left="0" w:right="0" w:firstLine="30"/>
              <w:jc w:val="left"/>
              <w:rPr>
                <w:rFonts w:ascii="Arial" w:hAnsi="Arial"/>
                <w:b/>
                <w:sz w:val="15"/>
              </w:rPr>
            </w:pPr>
            <w:r>
              <w:rPr>
                <w:rFonts w:ascii="Arial" w:hAnsi="Arial"/>
                <w:b/>
                <w:sz w:val="15"/>
              </w:rPr>
              <w:t>Book Value Per Common Share, Excluding AOCI Other Than Foreign Currency Translation Adjustment:</w:t>
            </w:r>
          </w:p>
        </w:tc>
        <w:tc>
          <w:tcPr>
            <w:tcW w:w="988" w:type="dxa"/>
            <w:tcBorders/>
            <w:shd w:fill="auto" w:val="clear"/>
            <w:vAlign w:val="center"/>
          </w:tcPr>
          <w:p>
            <w:pPr>
              <w:pStyle w:val="TableContents"/>
              <w:spacing w:before="0" w:after="0"/>
              <w:ind w:left="0" w:right="0" w:firstLine="30"/>
              <w:rPr/>
            </w:pPr>
            <w:r>
              <w:rPr/>
              <w:t> </w:t>
            </w:r>
          </w:p>
        </w:tc>
        <w:tc>
          <w:tcPr>
            <w:tcW w:w="1004" w:type="dxa"/>
            <w:tcBorders/>
            <w:shd w:fill="auto" w:val="clear"/>
            <w:vAlign w:val="center"/>
          </w:tcPr>
          <w:p>
            <w:pPr>
              <w:pStyle w:val="TableContents"/>
              <w:spacing w:before="0" w:after="0"/>
              <w:ind w:left="0" w:right="0" w:firstLine="30"/>
              <w:rPr/>
            </w:pPr>
            <w:r>
              <w:rPr/>
              <w:t> </w:t>
            </w:r>
          </w:p>
        </w:tc>
      </w:tr>
      <w:tr>
        <w:trPr/>
        <w:tc>
          <w:tcPr>
            <w:tcW w:w="8213"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Book value per common share</w:t>
            </w:r>
          </w:p>
        </w:tc>
        <w:tc>
          <w:tcPr>
            <w:tcW w:w="98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$ 50.38</w:t>
            </w:r>
          </w:p>
        </w:tc>
        <w:tc>
          <w:tcPr>
            <w:tcW w:w="1004"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$ 40.75</w:t>
            </w:r>
          </w:p>
        </w:tc>
      </w:tr>
      <w:tr>
        <w:trPr/>
        <w:tc>
          <w:tcPr>
            <w:tcW w:w="8213"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Net unrealized capital (gains) losses</w:t>
            </w:r>
          </w:p>
        </w:tc>
        <w:tc>
          <w:tcPr>
            <w:tcW w:w="988"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(8.22) </w:t>
            </w:r>
          </w:p>
        </w:tc>
        <w:tc>
          <w:tcPr>
            <w:tcW w:w="1004"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(0.74) </w:t>
            </w:r>
          </w:p>
        </w:tc>
      </w:tr>
      <w:tr>
        <w:trPr/>
        <w:tc>
          <w:tcPr>
            <w:tcW w:w="8213"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Net unrecognized postretirement benefit obligation</w:t>
            </w:r>
          </w:p>
        </w:tc>
        <w:tc>
          <w:tcPr>
            <w:tcW w:w="988" w:type="dxa"/>
            <w:tcBorders>
              <w:bottom w:val="single" w:sz="2" w:space="0" w:color="000000"/>
            </w:tcBorders>
            <w:shd w:fill="auto" w:val="clear"/>
            <w:tcMar>
              <w:bottom w:w="30" w:type="dxa"/>
            </w:tcMar>
            <w:vAlign w:val="center"/>
          </w:tcPr>
          <w:p>
            <w:pPr>
              <w:pStyle w:val="TableContents"/>
              <w:spacing w:before="0" w:after="0"/>
              <w:ind w:left="0" w:right="0" w:firstLine="30"/>
              <w:jc w:val="right"/>
              <w:rPr/>
            </w:pPr>
            <w:r>
              <w:rPr/>
              <w:t>      </w:t>
            </w:r>
            <w:r>
              <w:rPr>
                <w:rFonts w:ascii="Arial" w:hAnsi="Arial"/>
                <w:sz w:val="15"/>
              </w:rPr>
              <w:t>1.59</w:t>
            </w:r>
          </w:p>
        </w:tc>
        <w:tc>
          <w:tcPr>
            <w:tcW w:w="1004" w:type="dxa"/>
            <w:tcBorders>
              <w:bottom w:val="single" w:sz="2" w:space="0" w:color="000000"/>
            </w:tcBorders>
            <w:shd w:fill="auto" w:val="clear"/>
            <w:tcMar>
              <w:bottom w:w="30" w:type="dxa"/>
            </w:tcMar>
            <w:vAlign w:val="center"/>
          </w:tcPr>
          <w:p>
            <w:pPr>
              <w:pStyle w:val="TableContents"/>
              <w:spacing w:before="0" w:after="0"/>
              <w:ind w:left="0" w:right="0" w:firstLine="30"/>
              <w:jc w:val="right"/>
              <w:rPr/>
            </w:pPr>
            <w:r>
              <w:rPr/>
              <w:t>      </w:t>
            </w:r>
            <w:r>
              <w:rPr>
                <w:rFonts w:ascii="Arial" w:hAnsi="Arial"/>
                <w:sz w:val="15"/>
              </w:rPr>
              <w:t>1.83</w:t>
            </w:r>
          </w:p>
        </w:tc>
      </w:tr>
      <w:tr>
        <w:trPr/>
        <w:tc>
          <w:tcPr>
            <w:tcW w:w="8213"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Book value per common share, excluding AOCI other than foreign currency translation adjustment</w:t>
            </w:r>
          </w:p>
        </w:tc>
        <w:tc>
          <w:tcPr>
            <w:tcW w:w="98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$ 43.75</w:t>
            </w:r>
          </w:p>
        </w:tc>
        <w:tc>
          <w:tcPr>
            <w:tcW w:w="1004"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$ 41.84</w:t>
            </w:r>
          </w:p>
        </w:tc>
      </w:tr>
      <w:tr>
        <w:trPr/>
        <w:tc>
          <w:tcPr>
            <w:tcW w:w="8213" w:type="dxa"/>
            <w:tcBorders/>
            <w:shd w:fill="auto" w:val="clear"/>
            <w:vAlign w:val="center"/>
          </w:tcPr>
          <w:p>
            <w:pPr>
              <w:pStyle w:val="TableContents"/>
              <w:spacing w:before="0" w:after="0"/>
              <w:ind w:left="0" w:right="0" w:firstLine="30"/>
              <w:rPr/>
            </w:pPr>
            <w:r>
              <w:rPr/>
              <w:t> </w:t>
            </w:r>
          </w:p>
        </w:tc>
        <w:tc>
          <w:tcPr>
            <w:tcW w:w="988"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04" w:type="dxa"/>
            <w:tcBorders>
              <w:top w:val="double" w:sz="6" w:space="0" w:color="000000"/>
            </w:tcBorders>
            <w:shd w:fill="auto" w:val="clear"/>
            <w:tcMar>
              <w:top w:w="30" w:type="dxa"/>
            </w:tcMar>
            <w:vAlign w:val="center"/>
          </w:tcPr>
          <w:p>
            <w:pPr>
              <w:pStyle w:val="TableContents"/>
              <w:spacing w:before="0" w:after="0"/>
              <w:rPr/>
            </w:pPr>
            <w:r>
              <w:rPr/>
              <w:t> </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r>
        <w:rPr/>
        <w:drawing>
          <wp:inline distT="0" distB="0" distL="0" distR="0">
            <wp:extent cx="1981200" cy="59055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tbl>
      <w:tblPr>
        <w:tblW w:w="9013" w:type="dxa"/>
        <w:jc w:val="center"/>
        <w:tblInd w:w="0" w:type="dxa"/>
        <w:tblCellMar>
          <w:top w:w="0" w:type="dxa"/>
          <w:left w:w="0" w:type="dxa"/>
          <w:bottom w:w="0" w:type="dxa"/>
          <w:right w:w="0" w:type="dxa"/>
        </w:tblCellMar>
      </w:tblPr>
      <w:tblGrid>
        <w:gridCol w:w="5615"/>
        <w:gridCol w:w="858"/>
        <w:gridCol w:w="736"/>
        <w:gridCol w:w="1078"/>
        <w:gridCol w:w="726"/>
      </w:tblGrid>
      <w:tr>
        <w:trPr/>
        <w:tc>
          <w:tcPr>
            <w:tcW w:w="9013" w:type="dxa"/>
            <w:gridSpan w:val="5"/>
            <w:tcBorders/>
            <w:shd w:fill="auto" w:val="clear"/>
            <w:vAlign w:val="center"/>
          </w:tcPr>
          <w:p>
            <w:pPr>
              <w:pStyle w:val="TableContents"/>
              <w:spacing w:before="0" w:after="283"/>
              <w:rPr>
                <w:sz w:val="4"/>
                <w:szCs w:val="4"/>
              </w:rPr>
            </w:pPr>
            <w:r>
              <w:rPr>
                <w:sz w:val="4"/>
                <w:szCs w:val="4"/>
              </w:rPr>
            </w:r>
          </w:p>
        </w:tc>
      </w:tr>
      <w:tr>
        <w:trPr/>
        <w:tc>
          <w:tcPr>
            <w:tcW w:w="5615" w:type="dxa"/>
            <w:tcBorders/>
            <w:shd w:fill="auto" w:val="clear"/>
            <w:vAlign w:val="center"/>
          </w:tcPr>
          <w:p>
            <w:pPr>
              <w:pStyle w:val="TableContents"/>
              <w:spacing w:before="0" w:after="283"/>
              <w:rPr>
                <w:sz w:val="4"/>
                <w:szCs w:val="4"/>
              </w:rPr>
            </w:pPr>
            <w:r>
              <w:rPr>
                <w:sz w:val="4"/>
                <w:szCs w:val="4"/>
              </w:rPr>
            </w:r>
          </w:p>
        </w:tc>
        <w:tc>
          <w:tcPr>
            <w:tcW w:w="858" w:type="dxa"/>
            <w:tcBorders/>
            <w:shd w:fill="auto" w:val="clear"/>
            <w:vAlign w:val="center"/>
          </w:tcPr>
          <w:p>
            <w:pPr>
              <w:pStyle w:val="TableContents"/>
              <w:spacing w:before="0" w:after="283"/>
              <w:rPr>
                <w:sz w:val="4"/>
                <w:szCs w:val="4"/>
              </w:rPr>
            </w:pPr>
            <w:r>
              <w:rPr>
                <w:sz w:val="4"/>
                <w:szCs w:val="4"/>
              </w:rPr>
            </w:r>
          </w:p>
        </w:tc>
        <w:tc>
          <w:tcPr>
            <w:tcW w:w="736" w:type="dxa"/>
            <w:tcBorders/>
            <w:shd w:fill="auto" w:val="clear"/>
            <w:vAlign w:val="center"/>
          </w:tcPr>
          <w:p>
            <w:pPr>
              <w:pStyle w:val="TableContents"/>
              <w:spacing w:before="0" w:after="283"/>
              <w:rPr>
                <w:sz w:val="4"/>
                <w:szCs w:val="4"/>
              </w:rPr>
            </w:pPr>
            <w:r>
              <w:rPr>
                <w:sz w:val="4"/>
                <w:szCs w:val="4"/>
              </w:rPr>
            </w:r>
          </w:p>
        </w:tc>
        <w:tc>
          <w:tcPr>
            <w:tcW w:w="1078" w:type="dxa"/>
            <w:tcBorders/>
            <w:shd w:fill="auto" w:val="clear"/>
            <w:vAlign w:val="center"/>
          </w:tcPr>
          <w:p>
            <w:pPr>
              <w:pStyle w:val="TableContents"/>
              <w:spacing w:before="0" w:after="283"/>
              <w:rPr>
                <w:sz w:val="4"/>
                <w:szCs w:val="4"/>
              </w:rPr>
            </w:pPr>
            <w:r>
              <w:rPr>
                <w:sz w:val="4"/>
                <w:szCs w:val="4"/>
              </w:rPr>
            </w:r>
          </w:p>
        </w:tc>
        <w:tc>
          <w:tcPr>
            <w:tcW w:w="726" w:type="dxa"/>
            <w:tcBorders/>
            <w:shd w:fill="auto" w:val="clear"/>
            <w:vAlign w:val="center"/>
          </w:tcPr>
          <w:p>
            <w:pPr>
              <w:pStyle w:val="TableContents"/>
              <w:spacing w:before="0" w:after="283"/>
              <w:ind w:left="0" w:right="0" w:firstLine="30"/>
              <w:rPr>
                <w:sz w:val="4"/>
                <w:szCs w:val="4"/>
              </w:rPr>
            </w:pPr>
            <w:r>
              <w:rPr>
                <w:sz w:val="4"/>
                <w:szCs w:val="4"/>
              </w:rPr>
            </w:r>
          </w:p>
        </w:tc>
      </w:tr>
      <w:tr>
        <w:trPr/>
        <w:tc>
          <w:tcPr>
            <w:tcW w:w="9013" w:type="dxa"/>
            <w:gridSpan w:val="5"/>
            <w:tcBorders/>
            <w:shd w:fill="auto" w:val="clear"/>
            <w:vAlign w:val="center"/>
          </w:tcPr>
          <w:p>
            <w:pPr>
              <w:pStyle w:val="TableContents"/>
              <w:spacing w:before="0" w:after="0"/>
              <w:jc w:val="center"/>
              <w:rPr>
                <w:rFonts w:ascii="Arial" w:hAnsi="Arial"/>
                <w:b/>
                <w:sz w:val="15"/>
              </w:rPr>
            </w:pPr>
            <w:r>
              <w:rPr>
                <w:rFonts w:ascii="Arial" w:hAnsi="Arial"/>
                <w:b/>
                <w:sz w:val="15"/>
              </w:rPr>
              <w:t>Principal Financial Group, Inc.</w:t>
            </w:r>
          </w:p>
          <w:p>
            <w:pPr>
              <w:pStyle w:val="TableContents"/>
              <w:spacing w:before="0" w:after="0"/>
              <w:jc w:val="center"/>
              <w:rPr>
                <w:rFonts w:ascii="Arial" w:hAnsi="Arial"/>
                <w:b/>
                <w:sz w:val="15"/>
              </w:rPr>
            </w:pPr>
            <w:r>
              <w:rPr>
                <w:rFonts w:ascii="Arial" w:hAnsi="Arial"/>
                <w:b/>
                <w:sz w:val="15"/>
              </w:rPr>
              <w:t>Reconciliation of U.S. GAAP to Non-GAAP Financial Measures</w:t>
            </w:r>
          </w:p>
          <w:p>
            <w:pPr>
              <w:pStyle w:val="TableContents"/>
              <w:spacing w:before="0" w:after="0"/>
              <w:ind w:left="0" w:right="0" w:firstLine="30"/>
              <w:jc w:val="center"/>
              <w:rPr>
                <w:rFonts w:ascii="Arial" w:hAnsi="Arial"/>
                <w:b/>
                <w:sz w:val="15"/>
              </w:rPr>
            </w:pPr>
            <w:r>
              <w:rPr>
                <w:rFonts w:ascii="Arial" w:hAnsi="Arial"/>
                <w:b/>
                <w:sz w:val="15"/>
              </w:rPr>
              <w:t>(in millions)</w:t>
            </w:r>
          </w:p>
        </w:tc>
      </w:tr>
      <w:tr>
        <w:trPr/>
        <w:tc>
          <w:tcPr>
            <w:tcW w:w="5615" w:type="dxa"/>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c>
          <w:tcPr>
            <w:tcW w:w="1594" w:type="dxa"/>
            <w:gridSpan w:val="2"/>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Three Months Ended,</w:t>
            </w:r>
          </w:p>
        </w:tc>
        <w:tc>
          <w:tcPr>
            <w:tcW w:w="1804" w:type="dxa"/>
            <w:gridSpan w:val="2"/>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Trailing Twelve Months,</w:t>
            </w:r>
          </w:p>
        </w:tc>
      </w:tr>
      <w:tr>
        <w:trPr/>
        <w:tc>
          <w:tcPr>
            <w:tcW w:w="5615" w:type="dxa"/>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c>
          <w:tcPr>
            <w:tcW w:w="858" w:type="dxa"/>
            <w:tcBorders>
              <w:top w:val="single" w:sz="2" w:space="0" w:color="000000"/>
              <w:bottom w:val="single" w:sz="2" w:space="0" w:color="000000"/>
              <w:right w:val="single" w:sz="2" w:space="0" w:color="000000"/>
            </w:tcBorders>
            <w:shd w:fill="auto" w:val="clear"/>
            <w:tcMar>
              <w:top w:w="30"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6/30/19</w:t>
            </w:r>
          </w:p>
        </w:tc>
        <w:tc>
          <w:tcPr>
            <w:tcW w:w="736" w:type="dxa"/>
            <w:tcBorders>
              <w:top w:val="single" w:sz="2" w:space="0" w:color="000000"/>
              <w:bottom w:val="single" w:sz="2" w:space="0" w:color="000000"/>
              <w:right w:val="single" w:sz="2" w:space="0" w:color="000000"/>
            </w:tcBorders>
            <w:shd w:fill="auto" w:val="clear"/>
            <w:tcMar>
              <w:top w:w="30"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6/30/18</w:t>
            </w:r>
          </w:p>
        </w:tc>
        <w:tc>
          <w:tcPr>
            <w:tcW w:w="1078"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6/30/19</w:t>
            </w:r>
          </w:p>
        </w:tc>
        <w:tc>
          <w:tcPr>
            <w:tcW w:w="726"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6/30/18</w:t>
            </w:r>
          </w:p>
        </w:tc>
      </w:tr>
      <w:tr>
        <w:trPr/>
        <w:tc>
          <w:tcPr>
            <w:tcW w:w="5615" w:type="dxa"/>
            <w:tcBorders/>
            <w:shd w:fill="auto" w:val="clear"/>
            <w:vAlign w:val="center"/>
          </w:tcPr>
          <w:p>
            <w:pPr>
              <w:pStyle w:val="TableContents"/>
              <w:spacing w:before="0" w:after="0"/>
              <w:ind w:left="0" w:right="0" w:firstLine="30"/>
              <w:jc w:val="left"/>
              <w:rPr>
                <w:rFonts w:ascii="Arial" w:hAnsi="Arial"/>
                <w:b/>
                <w:sz w:val="15"/>
              </w:rPr>
            </w:pPr>
            <w:r>
              <w:rPr>
                <w:rFonts w:ascii="Arial" w:hAnsi="Arial"/>
                <w:b/>
                <w:sz w:val="15"/>
              </w:rPr>
              <w:t>Income Taxes:</w:t>
            </w:r>
          </w:p>
        </w:tc>
        <w:tc>
          <w:tcPr>
            <w:tcW w:w="858" w:type="dxa"/>
            <w:tcBorders/>
            <w:shd w:fill="auto" w:val="clear"/>
            <w:vAlign w:val="center"/>
          </w:tcPr>
          <w:p>
            <w:pPr>
              <w:pStyle w:val="TableContents"/>
              <w:spacing w:before="0" w:after="0"/>
              <w:ind w:left="0" w:right="0" w:firstLine="30"/>
              <w:rPr/>
            </w:pPr>
            <w:r>
              <w:rPr/>
              <w:t> </w:t>
            </w:r>
          </w:p>
        </w:tc>
        <w:tc>
          <w:tcPr>
            <w:tcW w:w="736" w:type="dxa"/>
            <w:tcBorders/>
            <w:shd w:fill="auto" w:val="clear"/>
            <w:vAlign w:val="center"/>
          </w:tcPr>
          <w:p>
            <w:pPr>
              <w:pStyle w:val="TableContents"/>
              <w:spacing w:before="0" w:after="0"/>
              <w:ind w:left="0" w:right="0" w:firstLine="30"/>
              <w:rPr/>
            </w:pPr>
            <w:r>
              <w:rPr/>
              <w:t> </w:t>
            </w:r>
          </w:p>
        </w:tc>
        <w:tc>
          <w:tcPr>
            <w:tcW w:w="1078" w:type="dxa"/>
            <w:tcBorders/>
            <w:shd w:fill="auto" w:val="clear"/>
            <w:vAlign w:val="center"/>
          </w:tcPr>
          <w:p>
            <w:pPr>
              <w:pStyle w:val="TableContents"/>
              <w:spacing w:before="0" w:after="0"/>
              <w:ind w:left="0" w:right="0" w:firstLine="30"/>
              <w:rPr/>
            </w:pPr>
            <w:r>
              <w:rPr/>
              <w:t> </w:t>
            </w:r>
          </w:p>
        </w:tc>
        <w:tc>
          <w:tcPr>
            <w:tcW w:w="726" w:type="dxa"/>
            <w:tcBorders/>
            <w:shd w:fill="auto" w:val="clear"/>
            <w:vAlign w:val="center"/>
          </w:tcPr>
          <w:p>
            <w:pPr>
              <w:pStyle w:val="TableContents"/>
              <w:spacing w:before="0" w:after="0"/>
              <w:ind w:left="0" w:right="0" w:firstLine="30"/>
              <w:rPr/>
            </w:pPr>
            <w:r>
              <w:rPr/>
              <w:t> </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Total GAAP income taxes (benefits)</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$ 58.2</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$ 55.9</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$ 252.4</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(73.1)</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Net realized capital gains (losses) tax adjustments</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11.5</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16.6</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38.3</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(239.4)</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Tax benefit related to other after-tax adjustments</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594.5</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Income taxes related to equity method investments and noncontrolling interest</w:t>
            </w:r>
          </w:p>
        </w:tc>
        <w:tc>
          <w:tcPr>
            <w:tcW w:w="858" w:type="dxa"/>
            <w:tcBorders>
              <w:bottom w:val="single" w:sz="2" w:space="0" w:color="000000"/>
            </w:tcBorders>
            <w:shd w:fill="auto" w:val="clear"/>
            <w:tcMar>
              <w:bottom w:w="30" w:type="dxa"/>
            </w:tcMar>
            <w:vAlign w:val="center"/>
          </w:tcPr>
          <w:p>
            <w:pPr>
              <w:pStyle w:val="TableContents"/>
              <w:spacing w:before="0" w:after="0"/>
              <w:ind w:left="0" w:right="0" w:firstLine="30"/>
              <w:jc w:val="right"/>
              <w:rPr>
                <w:rFonts w:ascii="Arial" w:hAnsi="Arial"/>
                <w:sz w:val="15"/>
              </w:rPr>
            </w:pPr>
            <w:r>
              <w:rPr>
                <w:rFonts w:ascii="Arial" w:hAnsi="Arial"/>
                <w:sz w:val="15"/>
              </w:rPr>
              <w:t>16.4</w:t>
            </w:r>
          </w:p>
        </w:tc>
        <w:tc>
          <w:tcPr>
            <w:tcW w:w="736" w:type="dxa"/>
            <w:tcBorders>
              <w:bottom w:val="single" w:sz="2" w:space="0" w:color="000000"/>
            </w:tcBorders>
            <w:shd w:fill="auto" w:val="clear"/>
            <w:tcMar>
              <w:bottom w:w="30" w:type="dxa"/>
            </w:tcMar>
            <w:vAlign w:val="center"/>
          </w:tcPr>
          <w:p>
            <w:pPr>
              <w:pStyle w:val="TableContents"/>
              <w:spacing w:before="0" w:after="0"/>
              <w:ind w:left="0" w:right="0" w:firstLine="30"/>
              <w:jc w:val="right"/>
              <w:rPr>
                <w:rFonts w:ascii="Arial" w:hAnsi="Arial"/>
                <w:sz w:val="15"/>
              </w:rPr>
            </w:pPr>
            <w:r>
              <w:rPr>
                <w:rFonts w:ascii="Arial" w:hAnsi="Arial"/>
                <w:sz w:val="15"/>
              </w:rPr>
              <w:t>21.8</w:t>
            </w:r>
          </w:p>
        </w:tc>
        <w:tc>
          <w:tcPr>
            <w:tcW w:w="1078" w:type="dxa"/>
            <w:tcBorders>
              <w:bottom w:val="single" w:sz="2" w:space="0" w:color="000000"/>
            </w:tcBorders>
            <w:shd w:fill="auto" w:val="clear"/>
            <w:tcMar>
              <w:bottom w:w="30" w:type="dxa"/>
            </w:tcMar>
            <w:vAlign w:val="center"/>
          </w:tcPr>
          <w:p>
            <w:pPr>
              <w:pStyle w:val="TableContents"/>
              <w:spacing w:before="0" w:after="0"/>
              <w:ind w:left="0" w:right="0" w:firstLine="30"/>
              <w:jc w:val="right"/>
              <w:rPr>
                <w:rFonts w:ascii="Arial" w:hAnsi="Arial"/>
                <w:sz w:val="15"/>
              </w:rPr>
            </w:pPr>
            <w:r>
              <w:rPr>
                <w:rFonts w:ascii="Arial" w:hAnsi="Arial"/>
                <w:sz w:val="15"/>
              </w:rPr>
              <w:t>48.8</w:t>
            </w:r>
          </w:p>
        </w:tc>
        <w:tc>
          <w:tcPr>
            <w:tcW w:w="726" w:type="dxa"/>
            <w:tcBorders>
              <w:bottom w:val="single" w:sz="2" w:space="0" w:color="000000"/>
            </w:tcBorders>
            <w:shd w:fill="auto" w:val="clear"/>
            <w:tcMar>
              <w:bottom w:w="30" w:type="dxa"/>
            </w:tcMar>
            <w:vAlign w:val="center"/>
          </w:tcPr>
          <w:p>
            <w:pPr>
              <w:pStyle w:val="TableContents"/>
              <w:spacing w:before="0" w:after="0"/>
              <w:ind w:left="0" w:right="0" w:firstLine="30"/>
              <w:jc w:val="right"/>
              <w:rPr>
                <w:rFonts w:ascii="Arial" w:hAnsi="Arial"/>
                <w:sz w:val="15"/>
              </w:rPr>
            </w:pPr>
            <w:r>
              <w:rPr>
                <w:rFonts w:ascii="Arial" w:hAnsi="Arial"/>
                <w:sz w:val="15"/>
              </w:rPr>
              <w:t>81.9</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Income taxes</w:t>
            </w:r>
          </w:p>
        </w:tc>
        <w:tc>
          <w:tcPr>
            <w:tcW w:w="85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$ 86.1</w:t>
            </w:r>
          </w:p>
        </w:tc>
        <w:tc>
          <w:tcPr>
            <w:tcW w:w="736"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$ 94.3</w:t>
            </w:r>
          </w:p>
        </w:tc>
        <w:tc>
          <w:tcPr>
            <w:tcW w:w="107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$ 339.5</w:t>
            </w:r>
          </w:p>
        </w:tc>
        <w:tc>
          <w:tcPr>
            <w:tcW w:w="726"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$ 363.9</w:t>
            </w:r>
          </w:p>
        </w:tc>
      </w:tr>
      <w:tr>
        <w:trPr/>
        <w:tc>
          <w:tcPr>
            <w:tcW w:w="5615" w:type="dxa"/>
            <w:tcBorders/>
            <w:shd w:fill="auto" w:val="clear"/>
            <w:vAlign w:val="center"/>
          </w:tcPr>
          <w:p>
            <w:pPr>
              <w:pStyle w:val="TableContents"/>
              <w:spacing w:before="0" w:after="0"/>
              <w:ind w:left="0" w:right="0" w:firstLine="30"/>
              <w:rPr/>
            </w:pPr>
            <w:r>
              <w:rPr/>
              <w:t> </w:t>
            </w:r>
          </w:p>
        </w:tc>
        <w:tc>
          <w:tcPr>
            <w:tcW w:w="858"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736"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78"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726"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r>
      <w:tr>
        <w:trPr/>
        <w:tc>
          <w:tcPr>
            <w:tcW w:w="5615" w:type="dxa"/>
            <w:tcBorders/>
            <w:shd w:fill="auto" w:val="clear"/>
            <w:vAlign w:val="center"/>
          </w:tcPr>
          <w:p>
            <w:pPr>
              <w:pStyle w:val="TableContents"/>
              <w:spacing w:before="0" w:after="0"/>
              <w:ind w:left="0" w:right="0" w:firstLine="30"/>
              <w:jc w:val="left"/>
              <w:rPr>
                <w:rFonts w:ascii="Arial" w:hAnsi="Arial"/>
                <w:b/>
                <w:sz w:val="15"/>
              </w:rPr>
            </w:pPr>
            <w:r>
              <w:rPr>
                <w:rFonts w:ascii="Arial" w:hAnsi="Arial"/>
                <w:b/>
                <w:sz w:val="15"/>
              </w:rPr>
              <w:t>Net Realized Capital Gains (Losses):</w:t>
            </w:r>
          </w:p>
        </w:tc>
        <w:tc>
          <w:tcPr>
            <w:tcW w:w="858" w:type="dxa"/>
            <w:tcBorders/>
            <w:shd w:fill="auto" w:val="clear"/>
            <w:vAlign w:val="center"/>
          </w:tcPr>
          <w:p>
            <w:pPr>
              <w:pStyle w:val="TableContents"/>
              <w:spacing w:before="0" w:after="0"/>
              <w:ind w:left="0" w:right="0" w:firstLine="30"/>
              <w:rPr/>
            </w:pPr>
            <w:r>
              <w:rPr/>
              <w:t> </w:t>
            </w:r>
          </w:p>
        </w:tc>
        <w:tc>
          <w:tcPr>
            <w:tcW w:w="736" w:type="dxa"/>
            <w:tcBorders/>
            <w:shd w:fill="auto" w:val="clear"/>
            <w:vAlign w:val="center"/>
          </w:tcPr>
          <w:p>
            <w:pPr>
              <w:pStyle w:val="TableContents"/>
              <w:spacing w:before="0" w:after="0"/>
              <w:ind w:left="0" w:right="0" w:firstLine="30"/>
              <w:rPr/>
            </w:pPr>
            <w:r>
              <w:rPr/>
              <w:t> </w:t>
            </w:r>
          </w:p>
        </w:tc>
        <w:tc>
          <w:tcPr>
            <w:tcW w:w="1078" w:type="dxa"/>
            <w:tcBorders/>
            <w:shd w:fill="auto" w:val="clear"/>
            <w:vAlign w:val="center"/>
          </w:tcPr>
          <w:p>
            <w:pPr>
              <w:pStyle w:val="TableContents"/>
              <w:spacing w:before="0" w:after="0"/>
              <w:ind w:left="0" w:right="0" w:firstLine="30"/>
              <w:rPr/>
            </w:pPr>
            <w:r>
              <w:rPr/>
              <w:t> </w:t>
            </w:r>
          </w:p>
        </w:tc>
        <w:tc>
          <w:tcPr>
            <w:tcW w:w="726" w:type="dxa"/>
            <w:tcBorders/>
            <w:shd w:fill="auto" w:val="clear"/>
            <w:vAlign w:val="center"/>
          </w:tcPr>
          <w:p>
            <w:pPr>
              <w:pStyle w:val="TableContents"/>
              <w:spacing w:before="0" w:after="0"/>
              <w:ind w:left="0" w:right="0" w:firstLine="30"/>
              <w:rPr/>
            </w:pPr>
            <w:r>
              <w:rPr/>
              <w:t> </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GAAP net realized capital gains (losses)</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(4.0)</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$ 67.4</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(37.2)</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$ 679.0</w:t>
            </w:r>
          </w:p>
        </w:tc>
      </w:tr>
      <w:tr>
        <w:trPr/>
        <w:tc>
          <w:tcPr>
            <w:tcW w:w="5615" w:type="dxa"/>
            <w:tcBorders/>
            <w:shd w:fill="auto" w:val="clear"/>
            <w:vAlign w:val="center"/>
          </w:tcPr>
          <w:p>
            <w:pPr>
              <w:pStyle w:val="TableContents"/>
              <w:spacing w:before="0" w:after="0"/>
              <w:ind w:left="0" w:right="0" w:firstLine="30"/>
              <w:rPr/>
            </w:pPr>
            <w:r>
              <w:rPr/>
              <w:t> </w:t>
            </w:r>
          </w:p>
        </w:tc>
        <w:tc>
          <w:tcPr>
            <w:tcW w:w="858" w:type="dxa"/>
            <w:tcBorders/>
            <w:shd w:fill="auto" w:val="clear"/>
            <w:vAlign w:val="center"/>
          </w:tcPr>
          <w:p>
            <w:pPr>
              <w:pStyle w:val="TableContents"/>
              <w:spacing w:before="0" w:after="0"/>
              <w:ind w:left="0" w:right="0" w:firstLine="30"/>
              <w:rPr/>
            </w:pPr>
            <w:r>
              <w:rPr/>
              <w:t> </w:t>
            </w:r>
          </w:p>
        </w:tc>
        <w:tc>
          <w:tcPr>
            <w:tcW w:w="736" w:type="dxa"/>
            <w:tcBorders/>
            <w:shd w:fill="auto" w:val="clear"/>
            <w:vAlign w:val="center"/>
          </w:tcPr>
          <w:p>
            <w:pPr>
              <w:pStyle w:val="TableContents"/>
              <w:spacing w:before="0" w:after="0"/>
              <w:ind w:left="0" w:right="0" w:firstLine="30"/>
              <w:rPr/>
            </w:pPr>
            <w:r>
              <w:rPr/>
              <w:t> </w:t>
            </w:r>
          </w:p>
        </w:tc>
        <w:tc>
          <w:tcPr>
            <w:tcW w:w="1078" w:type="dxa"/>
            <w:tcBorders/>
            <w:shd w:fill="auto" w:val="clear"/>
            <w:vAlign w:val="center"/>
          </w:tcPr>
          <w:p>
            <w:pPr>
              <w:pStyle w:val="TableContents"/>
              <w:spacing w:before="0" w:after="0"/>
              <w:ind w:left="0" w:right="0" w:firstLine="30"/>
              <w:rPr/>
            </w:pPr>
            <w:r>
              <w:rPr/>
              <w:t> </w:t>
            </w:r>
          </w:p>
        </w:tc>
        <w:tc>
          <w:tcPr>
            <w:tcW w:w="726" w:type="dxa"/>
            <w:tcBorders/>
            <w:shd w:fill="auto" w:val="clear"/>
            <w:vAlign w:val="center"/>
          </w:tcPr>
          <w:p>
            <w:pPr>
              <w:pStyle w:val="TableContents"/>
              <w:spacing w:before="0" w:after="0"/>
              <w:ind w:left="0" w:right="0" w:firstLine="30"/>
              <w:rPr/>
            </w:pPr>
            <w:r>
              <w:rPr/>
              <w:t> </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Recognition of front-end fee revenues</w:t>
            </w:r>
          </w:p>
        </w:tc>
        <w:tc>
          <w:tcPr>
            <w:tcW w:w="858" w:type="dxa"/>
            <w:tcBorders/>
            <w:shd w:fill="auto" w:val="clear"/>
            <w:vAlign w:val="center"/>
          </w:tcPr>
          <w:p>
            <w:pPr>
              <w:pStyle w:val="TableContents"/>
              <w:spacing w:before="0" w:after="0"/>
              <w:ind w:left="0" w:right="0" w:firstLine="30"/>
              <w:jc w:val="right"/>
              <w:rPr/>
            </w:pPr>
            <w:r>
              <w:rPr/>
              <w:t>     </w:t>
            </w:r>
            <w:r>
              <w:rPr>
                <w:rFonts w:ascii="Arial" w:hAnsi="Arial"/>
                <w:sz w:val="15"/>
              </w:rPr>
              <w:t>4.2</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(0.8)</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10.1</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(2.4)</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Market value adjustments to fee revenues</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36" w:type="dxa"/>
            <w:tcBorders/>
            <w:shd w:fill="auto" w:val="clear"/>
            <w:vAlign w:val="center"/>
          </w:tcPr>
          <w:p>
            <w:pPr>
              <w:pStyle w:val="TableContents"/>
              <w:spacing w:before="0" w:after="0"/>
              <w:ind w:left="0" w:right="0" w:firstLine="30"/>
              <w:jc w:val="right"/>
              <w:rPr/>
            </w:pPr>
            <w:r>
              <w:rPr/>
              <w:t>      </w:t>
            </w:r>
            <w:r>
              <w:rPr>
                <w:rFonts w:ascii="Arial" w:hAnsi="Arial"/>
                <w:sz w:val="15"/>
              </w:rPr>
              <w:t>0.1</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Net realized capital gains (losses) related to equity method investments</w:t>
            </w:r>
          </w:p>
        </w:tc>
        <w:tc>
          <w:tcPr>
            <w:tcW w:w="858" w:type="dxa"/>
            <w:tcBorders/>
            <w:shd w:fill="auto" w:val="clear"/>
            <w:vAlign w:val="center"/>
          </w:tcPr>
          <w:p>
            <w:pPr>
              <w:pStyle w:val="TableContents"/>
              <w:spacing w:before="0" w:after="0"/>
              <w:ind w:left="0" w:right="0" w:firstLine="30"/>
              <w:jc w:val="right"/>
              <w:rPr/>
            </w:pPr>
            <w:r>
              <w:rPr/>
              <w:t>     </w:t>
            </w:r>
            <w:r>
              <w:rPr>
                <w:rFonts w:ascii="Arial" w:hAnsi="Arial"/>
                <w:sz w:val="15"/>
              </w:rPr>
              <w:t>1.2</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(4.2)</w:t>
            </w:r>
          </w:p>
        </w:tc>
        <w:tc>
          <w:tcPr>
            <w:tcW w:w="1078" w:type="dxa"/>
            <w:tcBorders/>
            <w:shd w:fill="auto" w:val="clear"/>
            <w:vAlign w:val="center"/>
          </w:tcPr>
          <w:p>
            <w:pPr>
              <w:pStyle w:val="TableContents"/>
              <w:spacing w:before="0" w:after="0"/>
              <w:ind w:left="0" w:right="0" w:firstLine="30"/>
              <w:jc w:val="right"/>
              <w:rPr/>
            </w:pPr>
            <w:r>
              <w:rPr/>
              <w:t>         </w:t>
            </w:r>
            <w:r>
              <w:rPr>
                <w:rFonts w:ascii="Arial" w:hAnsi="Arial"/>
                <w:sz w:val="15"/>
              </w:rPr>
              <w:t>(0.6)</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(3.7)</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Derivative and hedging-related revenue adjustments</w:t>
            </w:r>
          </w:p>
        </w:tc>
        <w:tc>
          <w:tcPr>
            <w:tcW w:w="858"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(21.4) </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(14.9)</w:t>
            </w:r>
          </w:p>
        </w:tc>
        <w:tc>
          <w:tcPr>
            <w:tcW w:w="1078"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(65.1) </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(57.6)</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Sponsored investment fund adjustments</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6.8</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3.0</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22.6</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8.5</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Amortization of deferred acquisition costs</w:t>
            </w:r>
          </w:p>
        </w:tc>
        <w:tc>
          <w:tcPr>
            <w:tcW w:w="858"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(16.3) </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(0.1)</w:t>
            </w:r>
          </w:p>
        </w:tc>
        <w:tc>
          <w:tcPr>
            <w:tcW w:w="1078"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(47.5) </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30.4</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Capital gains distributed - operating expenses</w:t>
            </w:r>
          </w:p>
        </w:tc>
        <w:tc>
          <w:tcPr>
            <w:tcW w:w="858"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(2.9) </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(4.0)</w:t>
            </w:r>
          </w:p>
        </w:tc>
        <w:tc>
          <w:tcPr>
            <w:tcW w:w="1078"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11.5 </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(18.1)</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Amortization of other actuarial balances</w:t>
            </w:r>
          </w:p>
        </w:tc>
        <w:tc>
          <w:tcPr>
            <w:tcW w:w="858"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(12.8) </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1.3</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(31.8)</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13.3</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Market value adjustments of embedded derivatives</w:t>
            </w:r>
          </w:p>
        </w:tc>
        <w:tc>
          <w:tcPr>
            <w:tcW w:w="858" w:type="dxa"/>
            <w:tcBorders/>
            <w:shd w:fill="auto" w:val="clear"/>
            <w:vAlign w:val="center"/>
          </w:tcPr>
          <w:p>
            <w:pPr>
              <w:pStyle w:val="TableContents"/>
              <w:spacing w:before="0" w:after="0"/>
              <w:ind w:left="0" w:right="0" w:firstLine="30"/>
              <w:jc w:val="right"/>
              <w:rPr/>
            </w:pPr>
            <w:r>
              <w:rPr/>
              <w:t>    </w:t>
            </w:r>
            <w:r>
              <w:rPr>
                <w:rFonts w:ascii="Arial" w:hAnsi="Arial"/>
                <w:sz w:val="15"/>
              </w:rPr>
              <w:t>8.9</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5.1</w:t>
            </w:r>
          </w:p>
        </w:tc>
        <w:tc>
          <w:tcPr>
            <w:tcW w:w="1078" w:type="dxa"/>
            <w:tcBorders/>
            <w:shd w:fill="auto" w:val="clear"/>
            <w:vAlign w:val="center"/>
          </w:tcPr>
          <w:p>
            <w:pPr>
              <w:pStyle w:val="TableContents"/>
              <w:spacing w:before="0" w:after="0"/>
              <w:ind w:left="0" w:right="0" w:firstLine="30"/>
              <w:jc w:val="right"/>
              <w:rPr/>
            </w:pPr>
            <w:r>
              <w:rPr/>
              <w:t>       </w:t>
            </w:r>
            <w:r>
              <w:rPr>
                <w:rFonts w:ascii="Arial" w:hAnsi="Arial"/>
                <w:sz w:val="15"/>
              </w:rPr>
              <w:t>26.9</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52.5</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Capital gains distributed - cost of interest credited</w:t>
            </w:r>
          </w:p>
        </w:tc>
        <w:tc>
          <w:tcPr>
            <w:tcW w:w="858"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(12.3) </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(4.3)</w:t>
            </w:r>
          </w:p>
        </w:tc>
        <w:tc>
          <w:tcPr>
            <w:tcW w:w="1078" w:type="dxa"/>
            <w:tcBorders/>
            <w:shd w:fill="auto" w:val="clear"/>
            <w:vAlign w:val="center"/>
          </w:tcPr>
          <w:p>
            <w:pPr>
              <w:pStyle w:val="TableContents"/>
              <w:spacing w:before="0" w:after="0"/>
              <w:ind w:left="0" w:right="0" w:firstLine="30"/>
              <w:jc w:val="right"/>
              <w:rPr/>
            </w:pPr>
            <w:r>
              <w:rPr/>
              <w:t>      </w:t>
            </w:r>
            <w:r>
              <w:rPr>
                <w:rFonts w:ascii="Arial" w:hAnsi="Arial"/>
                <w:sz w:val="15"/>
              </w:rPr>
              <w:t xml:space="preserve">(23.3) </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(6.5)</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Net realized capital gains (losses) tax adjustments</w:t>
            </w:r>
          </w:p>
        </w:tc>
        <w:tc>
          <w:tcPr>
            <w:tcW w:w="858" w:type="dxa"/>
            <w:tcBorders/>
            <w:shd w:fill="auto" w:val="clear"/>
            <w:vAlign w:val="center"/>
          </w:tcPr>
          <w:p>
            <w:pPr>
              <w:pStyle w:val="TableContents"/>
              <w:spacing w:before="0" w:after="0"/>
              <w:ind w:left="0" w:right="0" w:firstLine="30"/>
              <w:jc w:val="right"/>
              <w:rPr/>
            </w:pPr>
            <w:r>
              <w:rPr/>
              <w:t> </w:t>
            </w:r>
            <w:r>
              <w:rPr>
                <w:rFonts w:ascii="Arial" w:hAnsi="Arial"/>
                <w:sz w:val="15"/>
              </w:rPr>
              <w:t>11.5</w:t>
            </w:r>
          </w:p>
        </w:tc>
        <w:tc>
          <w:tcPr>
            <w:tcW w:w="736" w:type="dxa"/>
            <w:tcBorders/>
            <w:shd w:fill="auto" w:val="clear"/>
            <w:vAlign w:val="center"/>
          </w:tcPr>
          <w:p>
            <w:pPr>
              <w:pStyle w:val="TableContents"/>
              <w:spacing w:before="0" w:after="0"/>
              <w:ind w:left="0" w:right="0" w:firstLine="30"/>
              <w:jc w:val="right"/>
              <w:rPr/>
            </w:pPr>
            <w:r>
              <w:rPr/>
              <w:t> </w:t>
            </w:r>
            <w:r>
              <w:rPr>
                <w:rFonts w:ascii="Arial" w:hAnsi="Arial"/>
                <w:sz w:val="15"/>
              </w:rPr>
              <w:t>16.6</w:t>
            </w:r>
          </w:p>
        </w:tc>
        <w:tc>
          <w:tcPr>
            <w:tcW w:w="1078" w:type="dxa"/>
            <w:tcBorders/>
            <w:shd w:fill="auto" w:val="clear"/>
            <w:vAlign w:val="center"/>
          </w:tcPr>
          <w:p>
            <w:pPr>
              <w:pStyle w:val="TableContents"/>
              <w:spacing w:before="0" w:after="0"/>
              <w:ind w:left="0" w:right="0" w:firstLine="30"/>
              <w:jc w:val="right"/>
              <w:rPr/>
            </w:pPr>
            <w:r>
              <w:rPr/>
              <w:t>     </w:t>
            </w:r>
            <w:r>
              <w:rPr>
                <w:rFonts w:ascii="Arial" w:hAnsi="Arial"/>
                <w:sz w:val="15"/>
              </w:rPr>
              <w:t>38.3</w:t>
            </w:r>
          </w:p>
        </w:tc>
        <w:tc>
          <w:tcPr>
            <w:tcW w:w="726" w:type="dxa"/>
            <w:tcBorders/>
            <w:shd w:fill="auto" w:val="clear"/>
            <w:vAlign w:val="center"/>
          </w:tcPr>
          <w:p>
            <w:pPr>
              <w:pStyle w:val="TableContents"/>
              <w:spacing w:before="0" w:after="0"/>
              <w:ind w:left="0" w:right="0" w:firstLine="30"/>
              <w:jc w:val="right"/>
              <w:rPr/>
            </w:pPr>
            <w:r>
              <w:rPr/>
              <w:t> </w:t>
            </w:r>
            <w:r>
              <w:rPr>
                <w:rFonts w:ascii="Arial" w:hAnsi="Arial"/>
                <w:sz w:val="15"/>
              </w:rPr>
              <w:t>(239.4)</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Net realized capital gains (losses) attributable to noncontrolling interest, after-tax</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(3.7)</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(19.6)</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0.5</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Total net realized capital gains (losses) after-tax adjustments</w:t>
            </w:r>
          </w:p>
        </w:tc>
        <w:tc>
          <w:tcPr>
            <w:tcW w:w="858" w:type="dxa"/>
            <w:tcBorders>
              <w:top w:val="single" w:sz="2" w:space="0" w:color="000000"/>
            </w:tcBorders>
            <w:shd w:fill="auto" w:val="clear"/>
            <w:tcMar>
              <w:top w:w="30" w:type="dxa"/>
            </w:tcMar>
            <w:vAlign w:val="center"/>
          </w:tcPr>
          <w:p>
            <w:pPr>
              <w:pStyle w:val="TableContents"/>
              <w:spacing w:before="0" w:after="0"/>
              <w:ind w:left="0" w:right="0" w:firstLine="30"/>
              <w:jc w:val="right"/>
              <w:rPr>
                <w:rFonts w:ascii="Arial" w:hAnsi="Arial"/>
                <w:sz w:val="15"/>
              </w:rPr>
            </w:pPr>
            <w:r>
              <w:rPr>
                <w:rFonts w:ascii="Arial" w:hAnsi="Arial"/>
                <w:sz w:val="15"/>
              </w:rPr>
              <w:t>(36.8)</w:t>
            </w:r>
          </w:p>
        </w:tc>
        <w:tc>
          <w:tcPr>
            <w:tcW w:w="736" w:type="dxa"/>
            <w:tcBorders>
              <w:top w:val="single" w:sz="2" w:space="0" w:color="000000"/>
            </w:tcBorders>
            <w:shd w:fill="auto" w:val="clear"/>
            <w:tcMar>
              <w:top w:w="30" w:type="dxa"/>
            </w:tcMar>
            <w:vAlign w:val="center"/>
          </w:tcPr>
          <w:p>
            <w:pPr>
              <w:pStyle w:val="TableContents"/>
              <w:spacing w:before="0" w:after="0"/>
              <w:ind w:left="0" w:right="0" w:firstLine="30"/>
              <w:jc w:val="right"/>
              <w:rPr>
                <w:rFonts w:ascii="Arial" w:hAnsi="Arial"/>
                <w:sz w:val="15"/>
              </w:rPr>
            </w:pPr>
            <w:r>
              <w:rPr>
                <w:rFonts w:ascii="Arial" w:hAnsi="Arial"/>
                <w:sz w:val="15"/>
              </w:rPr>
              <w:t>(2.2)</w:t>
            </w:r>
          </w:p>
        </w:tc>
        <w:tc>
          <w:tcPr>
            <w:tcW w:w="1078" w:type="dxa"/>
            <w:tcBorders>
              <w:top w:val="single" w:sz="2" w:space="0" w:color="000000"/>
            </w:tcBorders>
            <w:shd w:fill="auto" w:val="clear"/>
            <w:tcMar>
              <w:top w:w="30" w:type="dxa"/>
            </w:tcMar>
            <w:vAlign w:val="center"/>
          </w:tcPr>
          <w:p>
            <w:pPr>
              <w:pStyle w:val="TableContents"/>
              <w:spacing w:before="0" w:after="0"/>
              <w:ind w:left="0" w:right="0" w:firstLine="30"/>
              <w:jc w:val="right"/>
              <w:rPr>
                <w:rFonts w:ascii="Arial" w:hAnsi="Arial"/>
                <w:sz w:val="15"/>
              </w:rPr>
            </w:pPr>
            <w:r>
              <w:rPr>
                <w:rFonts w:ascii="Arial" w:hAnsi="Arial"/>
                <w:sz w:val="15"/>
              </w:rPr>
              <w:t>(78.5)</w:t>
            </w:r>
          </w:p>
        </w:tc>
        <w:tc>
          <w:tcPr>
            <w:tcW w:w="726" w:type="dxa"/>
            <w:tcBorders>
              <w:top w:val="single" w:sz="2" w:space="0" w:color="000000"/>
            </w:tcBorders>
            <w:shd w:fill="auto" w:val="clear"/>
            <w:tcMar>
              <w:top w:w="30" w:type="dxa"/>
            </w:tcMar>
            <w:vAlign w:val="center"/>
          </w:tcPr>
          <w:p>
            <w:pPr>
              <w:pStyle w:val="TableContents"/>
              <w:spacing w:before="0" w:after="0"/>
              <w:ind w:left="0" w:right="0" w:firstLine="30"/>
              <w:jc w:val="right"/>
              <w:rPr>
                <w:rFonts w:ascii="Arial" w:hAnsi="Arial"/>
                <w:sz w:val="15"/>
              </w:rPr>
            </w:pPr>
            <w:r>
              <w:rPr>
                <w:rFonts w:ascii="Arial" w:hAnsi="Arial"/>
                <w:sz w:val="15"/>
              </w:rPr>
              <w:t>(222.5)</w:t>
            </w:r>
          </w:p>
        </w:tc>
      </w:tr>
      <w:tr>
        <w:trPr/>
        <w:tc>
          <w:tcPr>
            <w:tcW w:w="5615" w:type="dxa"/>
            <w:tcBorders/>
            <w:shd w:fill="auto" w:val="clear"/>
            <w:vAlign w:val="center"/>
          </w:tcPr>
          <w:p>
            <w:pPr>
              <w:pStyle w:val="TableContents"/>
              <w:spacing w:before="0" w:after="0"/>
              <w:ind w:left="0" w:right="0" w:firstLine="30"/>
              <w:rPr/>
            </w:pPr>
            <w:r>
              <w:rPr/>
              <w:t> </w:t>
            </w:r>
          </w:p>
        </w:tc>
        <w:tc>
          <w:tcPr>
            <w:tcW w:w="858" w:type="dxa"/>
            <w:tcBorders/>
            <w:shd w:fill="auto" w:val="clear"/>
            <w:vAlign w:val="center"/>
          </w:tcPr>
          <w:p>
            <w:pPr>
              <w:pStyle w:val="TableContents"/>
              <w:spacing w:before="0" w:after="0"/>
              <w:ind w:left="0" w:right="0" w:firstLine="30"/>
              <w:rPr/>
            </w:pPr>
            <w:r>
              <w:rPr/>
              <w:t> </w:t>
            </w:r>
          </w:p>
        </w:tc>
        <w:tc>
          <w:tcPr>
            <w:tcW w:w="736" w:type="dxa"/>
            <w:tcBorders/>
            <w:shd w:fill="auto" w:val="clear"/>
            <w:vAlign w:val="center"/>
          </w:tcPr>
          <w:p>
            <w:pPr>
              <w:pStyle w:val="TableContents"/>
              <w:spacing w:before="0" w:after="0"/>
              <w:ind w:left="0" w:right="0" w:firstLine="30"/>
              <w:rPr/>
            </w:pPr>
            <w:r>
              <w:rPr/>
              <w:t> </w:t>
            </w:r>
          </w:p>
        </w:tc>
        <w:tc>
          <w:tcPr>
            <w:tcW w:w="1078" w:type="dxa"/>
            <w:tcBorders/>
            <w:shd w:fill="auto" w:val="clear"/>
            <w:vAlign w:val="center"/>
          </w:tcPr>
          <w:p>
            <w:pPr>
              <w:pStyle w:val="TableContents"/>
              <w:spacing w:before="0" w:after="0"/>
              <w:ind w:left="0" w:right="0" w:firstLine="30"/>
              <w:rPr/>
            </w:pPr>
            <w:r>
              <w:rPr/>
              <w:t> </w:t>
            </w:r>
          </w:p>
        </w:tc>
        <w:tc>
          <w:tcPr>
            <w:tcW w:w="726" w:type="dxa"/>
            <w:tcBorders/>
            <w:shd w:fill="auto" w:val="clear"/>
            <w:vAlign w:val="center"/>
          </w:tcPr>
          <w:p>
            <w:pPr>
              <w:pStyle w:val="TableContents"/>
              <w:spacing w:before="0" w:after="0"/>
              <w:ind w:left="0" w:right="0" w:firstLine="30"/>
              <w:rPr/>
            </w:pPr>
            <w:r>
              <w:rPr/>
              <w:t> </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Net realized capital gains (losses), as adjusted</w:t>
            </w:r>
          </w:p>
        </w:tc>
        <w:tc>
          <w:tcPr>
            <w:tcW w:w="85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(40.8)</w:t>
            </w:r>
          </w:p>
        </w:tc>
        <w:tc>
          <w:tcPr>
            <w:tcW w:w="736"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$ 65.2</w:t>
            </w:r>
          </w:p>
        </w:tc>
        <w:tc>
          <w:tcPr>
            <w:tcW w:w="107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(115.7)</w:t>
            </w:r>
          </w:p>
        </w:tc>
        <w:tc>
          <w:tcPr>
            <w:tcW w:w="726"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$ 456.5</w:t>
            </w:r>
          </w:p>
        </w:tc>
      </w:tr>
      <w:tr>
        <w:trPr/>
        <w:tc>
          <w:tcPr>
            <w:tcW w:w="5615" w:type="dxa"/>
            <w:tcBorders/>
            <w:shd w:fill="auto" w:val="clear"/>
            <w:vAlign w:val="center"/>
          </w:tcPr>
          <w:p>
            <w:pPr>
              <w:pStyle w:val="TableContents"/>
              <w:spacing w:before="0" w:after="0"/>
              <w:ind w:left="0" w:right="0" w:firstLine="30"/>
              <w:rPr/>
            </w:pPr>
            <w:r>
              <w:rPr/>
              <w:t> </w:t>
            </w:r>
          </w:p>
        </w:tc>
        <w:tc>
          <w:tcPr>
            <w:tcW w:w="858"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736"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1078"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c>
          <w:tcPr>
            <w:tcW w:w="726" w:type="dxa"/>
            <w:tcBorders>
              <w:top w:val="double" w:sz="6" w:space="0" w:color="000000"/>
            </w:tcBorders>
            <w:shd w:fill="auto" w:val="clear"/>
            <w:tcMar>
              <w:top w:w="30" w:type="dxa"/>
            </w:tcMar>
            <w:vAlign w:val="center"/>
          </w:tcPr>
          <w:p>
            <w:pPr>
              <w:pStyle w:val="TableContents"/>
              <w:spacing w:before="0" w:after="0"/>
              <w:ind w:left="0" w:right="0" w:firstLine="30"/>
              <w:rPr/>
            </w:pPr>
            <w:r>
              <w:rPr/>
              <w:t> </w:t>
            </w:r>
          </w:p>
        </w:tc>
      </w:tr>
      <w:tr>
        <w:trPr/>
        <w:tc>
          <w:tcPr>
            <w:tcW w:w="5615" w:type="dxa"/>
            <w:tcBorders/>
            <w:shd w:fill="auto" w:val="clear"/>
            <w:vAlign w:val="center"/>
          </w:tcPr>
          <w:p>
            <w:pPr>
              <w:pStyle w:val="TableContents"/>
              <w:spacing w:before="0" w:after="0"/>
              <w:ind w:left="0" w:right="0" w:firstLine="30"/>
              <w:jc w:val="left"/>
              <w:rPr>
                <w:rFonts w:ascii="Arial" w:hAnsi="Arial"/>
                <w:b/>
                <w:sz w:val="15"/>
              </w:rPr>
            </w:pPr>
            <w:r>
              <w:rPr>
                <w:rFonts w:ascii="Arial" w:hAnsi="Arial"/>
                <w:b/>
                <w:sz w:val="15"/>
              </w:rPr>
              <w:t>Other After-Tax Adjustments:</w:t>
            </w:r>
          </w:p>
        </w:tc>
        <w:tc>
          <w:tcPr>
            <w:tcW w:w="858" w:type="dxa"/>
            <w:tcBorders/>
            <w:shd w:fill="auto" w:val="clear"/>
            <w:vAlign w:val="center"/>
          </w:tcPr>
          <w:p>
            <w:pPr>
              <w:pStyle w:val="TableContents"/>
              <w:spacing w:before="0" w:after="0"/>
              <w:ind w:left="0" w:right="0" w:firstLine="30"/>
              <w:rPr/>
            </w:pPr>
            <w:r>
              <w:rPr/>
              <w:t> </w:t>
            </w:r>
          </w:p>
        </w:tc>
        <w:tc>
          <w:tcPr>
            <w:tcW w:w="736" w:type="dxa"/>
            <w:tcBorders/>
            <w:shd w:fill="auto" w:val="clear"/>
            <w:vAlign w:val="center"/>
          </w:tcPr>
          <w:p>
            <w:pPr>
              <w:pStyle w:val="TableContents"/>
              <w:spacing w:before="0" w:after="0"/>
              <w:ind w:left="0" w:right="0" w:firstLine="30"/>
              <w:rPr/>
            </w:pPr>
            <w:r>
              <w:rPr/>
              <w:t> </w:t>
            </w:r>
          </w:p>
        </w:tc>
        <w:tc>
          <w:tcPr>
            <w:tcW w:w="1078" w:type="dxa"/>
            <w:tcBorders/>
            <w:shd w:fill="auto" w:val="clear"/>
            <w:vAlign w:val="center"/>
          </w:tcPr>
          <w:p>
            <w:pPr>
              <w:pStyle w:val="TableContents"/>
              <w:spacing w:before="0" w:after="0"/>
              <w:ind w:left="0" w:right="0" w:firstLine="30"/>
              <w:rPr/>
            </w:pPr>
            <w:r>
              <w:rPr/>
              <w:t> </w:t>
            </w:r>
          </w:p>
        </w:tc>
        <w:tc>
          <w:tcPr>
            <w:tcW w:w="726" w:type="dxa"/>
            <w:tcBorders/>
            <w:shd w:fill="auto" w:val="clear"/>
            <w:vAlign w:val="center"/>
          </w:tcPr>
          <w:p>
            <w:pPr>
              <w:pStyle w:val="TableContents"/>
              <w:spacing w:before="0" w:after="0"/>
              <w:ind w:left="0" w:right="0" w:firstLine="30"/>
              <w:rPr/>
            </w:pPr>
            <w:r>
              <w:rPr/>
              <w:t> </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Contribution to PFG Foundation:</w:t>
            </w:r>
          </w:p>
        </w:tc>
        <w:tc>
          <w:tcPr>
            <w:tcW w:w="858" w:type="dxa"/>
            <w:tcBorders/>
            <w:shd w:fill="auto" w:val="clear"/>
            <w:vAlign w:val="center"/>
          </w:tcPr>
          <w:p>
            <w:pPr>
              <w:pStyle w:val="TableContents"/>
              <w:spacing w:before="0" w:after="0"/>
              <w:ind w:left="0" w:right="0" w:firstLine="30"/>
              <w:rPr/>
            </w:pPr>
            <w:r>
              <w:rPr/>
              <w:t> </w:t>
            </w:r>
          </w:p>
        </w:tc>
        <w:tc>
          <w:tcPr>
            <w:tcW w:w="736" w:type="dxa"/>
            <w:tcBorders/>
            <w:shd w:fill="auto" w:val="clear"/>
            <w:vAlign w:val="center"/>
          </w:tcPr>
          <w:p>
            <w:pPr>
              <w:pStyle w:val="TableContents"/>
              <w:spacing w:before="0" w:after="0"/>
              <w:ind w:left="0" w:right="0" w:firstLine="30"/>
              <w:rPr/>
            </w:pPr>
            <w:r>
              <w:rPr/>
              <w:t> </w:t>
            </w:r>
          </w:p>
        </w:tc>
        <w:tc>
          <w:tcPr>
            <w:tcW w:w="1078" w:type="dxa"/>
            <w:tcBorders/>
            <w:shd w:fill="auto" w:val="clear"/>
            <w:vAlign w:val="center"/>
          </w:tcPr>
          <w:p>
            <w:pPr>
              <w:pStyle w:val="TableContents"/>
              <w:spacing w:before="0" w:after="0"/>
              <w:ind w:left="0" w:right="0" w:firstLine="30"/>
              <w:rPr/>
            </w:pPr>
            <w:r>
              <w:rPr/>
              <w:t> </w:t>
            </w:r>
          </w:p>
        </w:tc>
        <w:tc>
          <w:tcPr>
            <w:tcW w:w="726" w:type="dxa"/>
            <w:tcBorders/>
            <w:shd w:fill="auto" w:val="clear"/>
            <w:vAlign w:val="center"/>
          </w:tcPr>
          <w:p>
            <w:pPr>
              <w:pStyle w:val="TableContents"/>
              <w:spacing w:before="0" w:after="0"/>
              <w:ind w:left="0" w:right="0" w:firstLine="30"/>
              <w:rPr/>
            </w:pPr>
            <w:r>
              <w:rPr/>
              <w:t> </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Pre-tax</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(70.0)</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Tax</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26.2</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Tax Cuts and Jobs Act:</w:t>
            </w:r>
          </w:p>
        </w:tc>
        <w:tc>
          <w:tcPr>
            <w:tcW w:w="858" w:type="dxa"/>
            <w:tcBorders/>
            <w:shd w:fill="auto" w:val="clear"/>
            <w:vAlign w:val="center"/>
          </w:tcPr>
          <w:p>
            <w:pPr>
              <w:pStyle w:val="TableContents"/>
              <w:spacing w:before="0" w:after="0"/>
              <w:ind w:left="0" w:right="0" w:firstLine="30"/>
              <w:rPr/>
            </w:pPr>
            <w:r>
              <w:rPr/>
              <w:t> </w:t>
            </w:r>
          </w:p>
        </w:tc>
        <w:tc>
          <w:tcPr>
            <w:tcW w:w="736" w:type="dxa"/>
            <w:tcBorders/>
            <w:shd w:fill="auto" w:val="clear"/>
            <w:vAlign w:val="center"/>
          </w:tcPr>
          <w:p>
            <w:pPr>
              <w:pStyle w:val="TableContents"/>
              <w:spacing w:before="0" w:after="0"/>
              <w:ind w:left="0" w:right="0" w:firstLine="30"/>
              <w:rPr/>
            </w:pPr>
            <w:r>
              <w:rPr/>
              <w:t> </w:t>
            </w:r>
          </w:p>
        </w:tc>
        <w:tc>
          <w:tcPr>
            <w:tcW w:w="1078" w:type="dxa"/>
            <w:tcBorders/>
            <w:shd w:fill="auto" w:val="clear"/>
            <w:vAlign w:val="center"/>
          </w:tcPr>
          <w:p>
            <w:pPr>
              <w:pStyle w:val="TableContents"/>
              <w:spacing w:before="0" w:after="0"/>
              <w:ind w:left="0" w:right="0" w:firstLine="30"/>
              <w:rPr/>
            </w:pPr>
            <w:r>
              <w:rPr/>
              <w:t> </w:t>
            </w:r>
          </w:p>
        </w:tc>
        <w:tc>
          <w:tcPr>
            <w:tcW w:w="726" w:type="dxa"/>
            <w:tcBorders/>
            <w:shd w:fill="auto" w:val="clear"/>
            <w:vAlign w:val="center"/>
          </w:tcPr>
          <w:p>
            <w:pPr>
              <w:pStyle w:val="TableContents"/>
              <w:spacing w:before="0" w:after="0"/>
              <w:ind w:left="0" w:right="0" w:firstLine="30"/>
              <w:rPr/>
            </w:pPr>
            <w:r>
              <w:rPr/>
              <w:t> </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Pre-tax</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Tax</w:t>
            </w:r>
          </w:p>
        </w:tc>
        <w:tc>
          <w:tcPr>
            <w:tcW w:w="85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3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1078"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2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568.3</w:t>
            </w:r>
          </w:p>
        </w:tc>
      </w:tr>
      <w:tr>
        <w:trPr/>
        <w:tc>
          <w:tcPr>
            <w:tcW w:w="5615"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Total other after-tax adjustments</w:t>
            </w:r>
          </w:p>
        </w:tc>
        <w:tc>
          <w:tcPr>
            <w:tcW w:w="85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36"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1078"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w:t>
            </w:r>
          </w:p>
        </w:tc>
        <w:tc>
          <w:tcPr>
            <w:tcW w:w="726"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Arial" w:hAnsi="Arial"/>
                <w:sz w:val="15"/>
              </w:rPr>
            </w:pPr>
            <w:r>
              <w:rPr>
                <w:rFonts w:ascii="Arial" w:hAnsi="Arial"/>
                <w:sz w:val="15"/>
              </w:rPr>
              <w:t>$ 524.5</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Arial" w:hAnsi="Arial"/>
          <w:sz w:val="15"/>
        </w:rPr>
      </w:pPr>
      <w:r>
        <w:rPr>
          <w:rFonts w:ascii="Arial" w:hAnsi="Arial"/>
          <w:sz w:val="15"/>
        </w:rPr>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jc w:val="right"/>
        <w:rPr/>
      </w:pPr>
      <w:r>
        <w:rPr/>
        <w:drawing>
          <wp:inline distT="0" distB="0" distL="0" distR="0">
            <wp:extent cx="1981200" cy="59055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1981200" cy="590550"/>
                    </a:xfrm>
                    <a:prstGeom prst="rect">
                      <a:avLst/>
                    </a:prstGeom>
                  </pic:spPr>
                </pic:pic>
              </a:graphicData>
            </a:graphic>
          </wp:inline>
        </w:drawing>
      </w:r>
    </w:p>
    <w:p>
      <w:pPr>
        <w:pStyle w:val="TextBody"/>
        <w:spacing w:before="0" w:after="0"/>
        <w:rPr/>
      </w:pPr>
      <w:r>
        <w:rPr/>
      </w:r>
    </w:p>
    <w:p>
      <w:pPr>
        <w:pStyle w:val="TextBody"/>
        <w:spacing w:lineRule="auto" w:line="288" w:before="0" w:after="0"/>
        <w:jc w:val="center"/>
        <w:rPr>
          <w:rFonts w:ascii="Arial" w:hAnsi="Arial"/>
          <w:b/>
          <w:sz w:val="15"/>
        </w:rPr>
      </w:pPr>
      <w:r>
        <w:rPr>
          <w:rFonts w:ascii="Arial" w:hAnsi="Arial"/>
          <w:b/>
          <w:sz w:val="15"/>
        </w:rPr>
        <w:t>Principal Financial Group, Inc.</w:t>
      </w:r>
    </w:p>
    <w:p>
      <w:pPr>
        <w:pStyle w:val="TextBody"/>
        <w:spacing w:lineRule="auto" w:line="288" w:before="0" w:after="0"/>
        <w:jc w:val="center"/>
        <w:rPr>
          <w:rFonts w:ascii="Arial" w:hAnsi="Arial"/>
          <w:b/>
          <w:sz w:val="15"/>
        </w:rPr>
      </w:pPr>
      <w:r>
        <w:rPr>
          <w:rFonts w:ascii="Arial" w:hAnsi="Arial"/>
          <w:b/>
          <w:sz w:val="15"/>
        </w:rPr>
        <w:t>Reconciliation of U.S. GAAP to Non-GAAP Financial Measures</w:t>
      </w:r>
    </w:p>
    <w:p>
      <w:pPr>
        <w:pStyle w:val="TextBody"/>
        <w:spacing w:lineRule="auto" w:line="288" w:before="0" w:after="0"/>
        <w:jc w:val="center"/>
        <w:rPr>
          <w:rFonts w:ascii="Arial" w:hAnsi="Arial"/>
          <w:b/>
          <w:sz w:val="15"/>
        </w:rPr>
      </w:pPr>
      <w:r>
        <w:rPr>
          <w:rFonts w:ascii="Arial" w:hAnsi="Arial"/>
          <w:b/>
          <w:sz w:val="15"/>
        </w:rPr>
        <w:t>(in millions)</w:t>
      </w:r>
    </w:p>
    <w:p>
      <w:pPr>
        <w:pStyle w:val="TextBody"/>
        <w:spacing w:lineRule="auto" w:line="288" w:before="0" w:after="0"/>
        <w:jc w:val="center"/>
        <w:rPr>
          <w:rFonts w:ascii="inherit" w:hAnsi="inherit"/>
          <w:sz w:val="17"/>
        </w:rPr>
      </w:pPr>
      <w:r>
        <w:rPr>
          <w:rFonts w:ascii="inherit" w:hAnsi="inherit"/>
          <w:sz w:val="17"/>
        </w:rPr>
      </w:r>
    </w:p>
    <w:tbl>
      <w:tblPr>
        <w:tblW w:w="10205" w:type="dxa"/>
        <w:jc w:val="center"/>
        <w:tblInd w:w="0" w:type="dxa"/>
        <w:tblCellMar>
          <w:top w:w="0" w:type="dxa"/>
          <w:left w:w="0" w:type="dxa"/>
          <w:bottom w:w="0" w:type="dxa"/>
          <w:right w:w="0" w:type="dxa"/>
        </w:tblCellMar>
      </w:tblPr>
      <w:tblGrid>
        <w:gridCol w:w="5978"/>
        <w:gridCol w:w="917"/>
        <w:gridCol w:w="1037"/>
        <w:gridCol w:w="1127"/>
        <w:gridCol w:w="1146"/>
      </w:tblGrid>
      <w:tr>
        <w:trPr/>
        <w:tc>
          <w:tcPr>
            <w:tcW w:w="10205" w:type="dxa"/>
            <w:gridSpan w:val="5"/>
            <w:tcBorders/>
            <w:shd w:fill="auto" w:val="clear"/>
            <w:vAlign w:val="center"/>
          </w:tcPr>
          <w:p>
            <w:pPr>
              <w:pStyle w:val="TableContents"/>
              <w:spacing w:before="0" w:after="283"/>
              <w:rPr>
                <w:sz w:val="4"/>
                <w:szCs w:val="4"/>
              </w:rPr>
            </w:pPr>
            <w:r>
              <w:rPr>
                <w:sz w:val="4"/>
                <w:szCs w:val="4"/>
              </w:rPr>
            </w:r>
          </w:p>
        </w:tc>
      </w:tr>
      <w:tr>
        <w:trPr/>
        <w:tc>
          <w:tcPr>
            <w:tcW w:w="5978" w:type="dxa"/>
            <w:tcBorders/>
            <w:shd w:fill="auto" w:val="clear"/>
            <w:vAlign w:val="center"/>
          </w:tcPr>
          <w:p>
            <w:pPr>
              <w:pStyle w:val="TableContents"/>
              <w:spacing w:before="0" w:after="283"/>
              <w:rPr>
                <w:sz w:val="4"/>
                <w:szCs w:val="4"/>
              </w:rPr>
            </w:pPr>
            <w:r>
              <w:rPr>
                <w:sz w:val="4"/>
                <w:szCs w:val="4"/>
              </w:rPr>
            </w:r>
          </w:p>
        </w:tc>
        <w:tc>
          <w:tcPr>
            <w:tcW w:w="917" w:type="dxa"/>
            <w:tcBorders/>
            <w:shd w:fill="auto" w:val="clear"/>
            <w:vAlign w:val="center"/>
          </w:tcPr>
          <w:p>
            <w:pPr>
              <w:pStyle w:val="TableContents"/>
              <w:spacing w:before="0" w:after="283"/>
              <w:rPr>
                <w:sz w:val="4"/>
                <w:szCs w:val="4"/>
              </w:rPr>
            </w:pPr>
            <w:r>
              <w:rPr>
                <w:sz w:val="4"/>
                <w:szCs w:val="4"/>
              </w:rPr>
            </w:r>
          </w:p>
        </w:tc>
        <w:tc>
          <w:tcPr>
            <w:tcW w:w="1037" w:type="dxa"/>
            <w:tcBorders/>
            <w:shd w:fill="auto" w:val="clear"/>
            <w:vAlign w:val="center"/>
          </w:tcPr>
          <w:p>
            <w:pPr>
              <w:pStyle w:val="TableContents"/>
              <w:spacing w:before="0" w:after="283"/>
              <w:rPr>
                <w:sz w:val="4"/>
                <w:szCs w:val="4"/>
              </w:rPr>
            </w:pPr>
            <w:r>
              <w:rPr>
                <w:sz w:val="4"/>
                <w:szCs w:val="4"/>
              </w:rPr>
            </w:r>
          </w:p>
        </w:tc>
        <w:tc>
          <w:tcPr>
            <w:tcW w:w="1127" w:type="dxa"/>
            <w:tcBorders/>
            <w:shd w:fill="auto" w:val="clear"/>
            <w:vAlign w:val="center"/>
          </w:tcPr>
          <w:p>
            <w:pPr>
              <w:pStyle w:val="TableContents"/>
              <w:spacing w:before="0" w:after="283"/>
              <w:rPr>
                <w:sz w:val="4"/>
                <w:szCs w:val="4"/>
              </w:rPr>
            </w:pPr>
            <w:r>
              <w:rPr>
                <w:sz w:val="4"/>
                <w:szCs w:val="4"/>
              </w:rPr>
            </w:r>
          </w:p>
        </w:tc>
        <w:tc>
          <w:tcPr>
            <w:tcW w:w="1146"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978" w:type="dxa"/>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c>
          <w:tcPr>
            <w:tcW w:w="1954" w:type="dxa"/>
            <w:gridSpan w:val="2"/>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i/>
                <w:sz w:val="15"/>
              </w:rPr>
            </w:pPr>
            <w:r>
              <w:rPr>
                <w:rFonts w:ascii="Arial" w:hAnsi="Arial"/>
                <w:b/>
                <w:i/>
                <w:sz w:val="15"/>
              </w:rPr>
              <w:t>Three Months Ended,</w:t>
            </w:r>
          </w:p>
        </w:tc>
        <w:tc>
          <w:tcPr>
            <w:tcW w:w="2273" w:type="dxa"/>
            <w:gridSpan w:val="2"/>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i/>
                <w:sz w:val="15"/>
              </w:rPr>
            </w:pPr>
            <w:r>
              <w:rPr>
                <w:rFonts w:ascii="Arial" w:hAnsi="Arial"/>
                <w:b/>
                <w:i/>
                <w:sz w:val="15"/>
              </w:rPr>
              <w:t>Trailing Twelve Months,</w:t>
            </w:r>
          </w:p>
        </w:tc>
      </w:tr>
      <w:tr>
        <w:trPr/>
        <w:tc>
          <w:tcPr>
            <w:tcW w:w="5978" w:type="dxa"/>
            <w:tcBorders>
              <w:right w:val="single" w:sz="2" w:space="0" w:color="000000"/>
            </w:tcBorders>
            <w:shd w:fill="auto" w:val="clear"/>
            <w:tcMar>
              <w:right w:w="30" w:type="dxa"/>
            </w:tcMar>
            <w:vAlign w:val="center"/>
          </w:tcPr>
          <w:p>
            <w:pPr>
              <w:pStyle w:val="TableContents"/>
              <w:spacing w:before="0" w:after="0"/>
              <w:ind w:left="0" w:right="0" w:firstLine="30"/>
              <w:rPr/>
            </w:pPr>
            <w:r>
              <w:rPr/>
              <w:t> </w:t>
            </w:r>
          </w:p>
        </w:tc>
        <w:tc>
          <w:tcPr>
            <w:tcW w:w="91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6/30/19</w:t>
            </w:r>
          </w:p>
        </w:tc>
        <w:tc>
          <w:tcPr>
            <w:tcW w:w="1037" w:type="dxa"/>
            <w:tcBorders>
              <w:top w:val="single" w:sz="2" w:space="0" w:color="000000"/>
              <w:left w:val="single" w:sz="2" w:space="0" w:color="000000"/>
              <w:bottom w:val="single" w:sz="2" w:space="0" w:color="000000"/>
              <w:right w:val="single" w:sz="2" w:space="0" w:color="000000"/>
            </w:tcBorders>
            <w:shd w:fill="auto" w:val="clear"/>
            <w:tcMar>
              <w:top w:w="30" w:type="dxa"/>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6/30/18</w:t>
            </w:r>
          </w:p>
        </w:tc>
        <w:tc>
          <w:tcPr>
            <w:tcW w:w="1127" w:type="dxa"/>
            <w:tcBorders>
              <w:left w:val="single" w:sz="2" w:space="0" w:color="000000"/>
              <w:bottom w:val="single" w:sz="2" w:space="0" w:color="000000"/>
              <w:right w:val="single" w:sz="2" w:space="0" w:color="000000"/>
            </w:tcBorders>
            <w:shd w:fill="auto" w:val="clear"/>
            <w:tcMar>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6/30/19</w:t>
            </w:r>
          </w:p>
        </w:tc>
        <w:tc>
          <w:tcPr>
            <w:tcW w:w="1146" w:type="dxa"/>
            <w:tcBorders>
              <w:left w:val="single" w:sz="2" w:space="0" w:color="000000"/>
              <w:bottom w:val="single" w:sz="2" w:space="0" w:color="000000"/>
              <w:right w:val="single" w:sz="2" w:space="0" w:color="000000"/>
            </w:tcBorders>
            <w:shd w:fill="auto" w:val="clear"/>
            <w:tcMar>
              <w:left w:w="28" w:type="dxa"/>
              <w:bottom w:w="30" w:type="dxa"/>
              <w:right w:w="30" w:type="dxa"/>
            </w:tcMar>
            <w:vAlign w:val="center"/>
          </w:tcPr>
          <w:p>
            <w:pPr>
              <w:pStyle w:val="TableContents"/>
              <w:spacing w:before="0" w:after="0"/>
              <w:ind w:left="0" w:right="0" w:firstLine="30"/>
              <w:jc w:val="center"/>
              <w:rPr>
                <w:rFonts w:ascii="Arial" w:hAnsi="Arial"/>
                <w:b/>
                <w:sz w:val="15"/>
              </w:rPr>
            </w:pPr>
            <w:r>
              <w:rPr>
                <w:rFonts w:ascii="Arial" w:hAnsi="Arial"/>
                <w:b/>
                <w:sz w:val="15"/>
              </w:rPr>
              <w:t>6/30/18</w:t>
            </w:r>
          </w:p>
        </w:tc>
      </w:tr>
      <w:tr>
        <w:trPr/>
        <w:tc>
          <w:tcPr>
            <w:tcW w:w="5978" w:type="dxa"/>
            <w:tcBorders/>
            <w:shd w:fill="auto" w:val="clear"/>
            <w:vAlign w:val="center"/>
          </w:tcPr>
          <w:p>
            <w:pPr>
              <w:pStyle w:val="TableContents"/>
              <w:spacing w:before="0" w:after="0"/>
              <w:ind w:left="0" w:right="0" w:firstLine="30"/>
              <w:jc w:val="left"/>
              <w:rPr>
                <w:rFonts w:ascii="Arial" w:hAnsi="Arial"/>
                <w:b/>
                <w:i/>
                <w:sz w:val="15"/>
              </w:rPr>
            </w:pPr>
            <w:r>
              <w:rPr>
                <w:rFonts w:ascii="Arial" w:hAnsi="Arial"/>
                <w:b/>
                <w:i/>
                <w:sz w:val="15"/>
              </w:rPr>
              <w:t>Principal Global Investors Operating Revenues Less Pass-Through Commissions:</w:t>
            </w:r>
          </w:p>
        </w:tc>
        <w:tc>
          <w:tcPr>
            <w:tcW w:w="917"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1037"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1127"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1146"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r>
      <w:tr>
        <w:trPr/>
        <w:tc>
          <w:tcPr>
            <w:tcW w:w="5978"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Operating revenues</w:t>
            </w:r>
          </w:p>
        </w:tc>
        <w:tc>
          <w:tcPr>
            <w:tcW w:w="917"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$ 359.5 </w:t>
            </w:r>
          </w:p>
        </w:tc>
        <w:tc>
          <w:tcPr>
            <w:tcW w:w="1037"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$ 379.6 </w:t>
            </w:r>
          </w:p>
        </w:tc>
        <w:tc>
          <w:tcPr>
            <w:tcW w:w="1127"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$ 1,686.7 </w:t>
            </w:r>
          </w:p>
        </w:tc>
        <w:tc>
          <w:tcPr>
            <w:tcW w:w="114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$ 1,491.1</w:t>
            </w:r>
          </w:p>
        </w:tc>
      </w:tr>
      <w:tr>
        <w:trPr/>
        <w:tc>
          <w:tcPr>
            <w:tcW w:w="5978" w:type="dxa"/>
            <w:tcBorders/>
            <w:shd w:fill="auto" w:val="clear"/>
            <w:vAlign w:val="center"/>
          </w:tcPr>
          <w:p>
            <w:pPr>
              <w:pStyle w:val="TableContents"/>
              <w:spacing w:before="0" w:after="0"/>
              <w:ind w:left="0" w:right="0" w:firstLine="30"/>
              <w:jc w:val="both"/>
              <w:rPr>
                <w:rFonts w:ascii="Arial" w:hAnsi="Arial"/>
                <w:sz w:val="15"/>
              </w:rPr>
            </w:pPr>
            <w:r>
              <w:rPr>
                <w:rFonts w:ascii="Arial" w:hAnsi="Arial"/>
                <w:sz w:val="15"/>
              </w:rPr>
              <w:t>Commission expense</w:t>
            </w:r>
          </w:p>
        </w:tc>
        <w:tc>
          <w:tcPr>
            <w:tcW w:w="917" w:type="dxa"/>
            <w:tcBorders>
              <w:bottom w:val="single" w:sz="2" w:space="0" w:color="000000"/>
            </w:tcBorders>
            <w:shd w:fill="auto" w:val="clear"/>
            <w:tcMar>
              <w:bottom w:w="30" w:type="dxa"/>
            </w:tcMar>
            <w:vAlign w:val="center"/>
          </w:tcPr>
          <w:p>
            <w:pPr>
              <w:pStyle w:val="TableContents"/>
              <w:spacing w:before="0" w:after="0"/>
              <w:ind w:left="0" w:right="0" w:firstLine="30"/>
              <w:jc w:val="right"/>
              <w:rPr/>
            </w:pPr>
            <w:r>
              <w:rPr/>
              <w:t>       </w:t>
            </w:r>
            <w:r>
              <w:rPr>
                <w:rFonts w:ascii="Arial" w:hAnsi="Arial"/>
                <w:sz w:val="15"/>
              </w:rPr>
              <w:t xml:space="preserve">(35.9) </w:t>
            </w:r>
          </w:p>
        </w:tc>
        <w:tc>
          <w:tcPr>
            <w:tcW w:w="1037" w:type="dxa"/>
            <w:tcBorders>
              <w:bottom w:val="single" w:sz="2" w:space="0" w:color="000000"/>
            </w:tcBorders>
            <w:shd w:fill="auto" w:val="clear"/>
            <w:tcMar>
              <w:bottom w:w="30" w:type="dxa"/>
            </w:tcMar>
            <w:vAlign w:val="center"/>
          </w:tcPr>
          <w:p>
            <w:pPr>
              <w:pStyle w:val="TableContents"/>
              <w:spacing w:before="0" w:after="0"/>
              <w:ind w:left="0" w:right="0" w:firstLine="30"/>
              <w:jc w:val="right"/>
              <w:rPr/>
            </w:pPr>
            <w:r>
              <w:rPr/>
              <w:t>         </w:t>
            </w:r>
            <w:r>
              <w:rPr>
                <w:rFonts w:ascii="Arial" w:hAnsi="Arial"/>
                <w:sz w:val="15"/>
              </w:rPr>
              <w:t xml:space="preserve">(41.9) </w:t>
            </w:r>
          </w:p>
        </w:tc>
        <w:tc>
          <w:tcPr>
            <w:tcW w:w="1127" w:type="dxa"/>
            <w:tcBorders>
              <w:bottom w:val="single" w:sz="2" w:space="0" w:color="000000"/>
            </w:tcBorders>
            <w:shd w:fill="auto" w:val="clear"/>
            <w:tcMar>
              <w:bottom w:w="30" w:type="dxa"/>
            </w:tcMar>
            <w:vAlign w:val="center"/>
          </w:tcPr>
          <w:p>
            <w:pPr>
              <w:pStyle w:val="TableContents"/>
              <w:spacing w:before="0" w:after="0"/>
              <w:ind w:left="0" w:right="0" w:firstLine="30"/>
              <w:jc w:val="right"/>
              <w:rPr/>
            </w:pPr>
            <w:r>
              <w:rPr/>
              <w:t>         </w:t>
            </w:r>
            <w:r>
              <w:rPr>
                <w:rFonts w:ascii="Arial" w:hAnsi="Arial"/>
                <w:sz w:val="15"/>
              </w:rPr>
              <w:t xml:space="preserve">(151.4) </w:t>
            </w:r>
          </w:p>
        </w:tc>
        <w:tc>
          <w:tcPr>
            <w:tcW w:w="1146" w:type="dxa"/>
            <w:tcBorders>
              <w:bottom w:val="single" w:sz="2" w:space="0" w:color="000000"/>
            </w:tcBorders>
            <w:shd w:fill="auto" w:val="clear"/>
            <w:tcMar>
              <w:bottom w:w="30" w:type="dxa"/>
            </w:tcMar>
            <w:vAlign w:val="center"/>
          </w:tcPr>
          <w:p>
            <w:pPr>
              <w:pStyle w:val="TableContents"/>
              <w:spacing w:before="0" w:after="0"/>
              <w:ind w:left="0" w:right="0" w:firstLine="30"/>
              <w:jc w:val="right"/>
              <w:rPr/>
            </w:pPr>
            <w:r>
              <w:rPr/>
              <w:t>         </w:t>
            </w:r>
            <w:r>
              <w:rPr>
                <w:rFonts w:ascii="Arial" w:hAnsi="Arial"/>
                <w:sz w:val="15"/>
              </w:rPr>
              <w:t xml:space="preserve">(165.3) </w:t>
            </w:r>
          </w:p>
        </w:tc>
      </w:tr>
      <w:tr>
        <w:trPr/>
        <w:tc>
          <w:tcPr>
            <w:tcW w:w="5978"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Operating revenues less pass-through commissions</w:t>
            </w:r>
          </w:p>
        </w:tc>
        <w:tc>
          <w:tcPr>
            <w:tcW w:w="917"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$ 323.6 </w:t>
            </w:r>
          </w:p>
        </w:tc>
        <w:tc>
          <w:tcPr>
            <w:tcW w:w="1037"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$ 337.7 </w:t>
            </w:r>
          </w:p>
        </w:tc>
        <w:tc>
          <w:tcPr>
            <w:tcW w:w="1127"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$ 1,535.3 </w:t>
            </w:r>
          </w:p>
        </w:tc>
        <w:tc>
          <w:tcPr>
            <w:tcW w:w="1146"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$ 1,325.8 </w:t>
            </w:r>
          </w:p>
        </w:tc>
      </w:tr>
      <w:tr>
        <w:trPr/>
        <w:tc>
          <w:tcPr>
            <w:tcW w:w="5978" w:type="dxa"/>
            <w:tcBorders/>
            <w:shd w:fill="auto" w:val="clear"/>
            <w:vAlign w:val="center"/>
          </w:tcPr>
          <w:p>
            <w:pPr>
              <w:pStyle w:val="TableContents"/>
              <w:spacing w:before="0" w:after="0"/>
              <w:ind w:left="0" w:right="0" w:firstLine="30"/>
              <w:rPr/>
            </w:pPr>
            <w:r>
              <w:rPr/>
              <w:t> </w:t>
            </w:r>
          </w:p>
        </w:tc>
        <w:tc>
          <w:tcPr>
            <w:tcW w:w="917"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1037"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1127"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1146"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r>
      <w:tr>
        <w:trPr/>
        <w:tc>
          <w:tcPr>
            <w:tcW w:w="5978" w:type="dxa"/>
            <w:tcBorders/>
            <w:shd w:fill="auto" w:val="clear"/>
            <w:vAlign w:val="center"/>
          </w:tcPr>
          <w:p>
            <w:pPr>
              <w:pStyle w:val="TableContents"/>
              <w:spacing w:before="0" w:after="0"/>
              <w:ind w:left="0" w:right="0" w:firstLine="30"/>
              <w:rPr/>
            </w:pPr>
            <w:r>
              <w:rPr/>
              <w:t> </w:t>
            </w:r>
          </w:p>
        </w:tc>
        <w:tc>
          <w:tcPr>
            <w:tcW w:w="917" w:type="dxa"/>
            <w:tcBorders/>
            <w:shd w:fill="auto" w:val="clear"/>
            <w:vAlign w:val="center"/>
          </w:tcPr>
          <w:p>
            <w:pPr>
              <w:pStyle w:val="TableContents"/>
              <w:spacing w:before="0" w:after="0"/>
              <w:ind w:left="0" w:right="0" w:firstLine="30"/>
              <w:rPr/>
            </w:pPr>
            <w:r>
              <w:rPr/>
              <w:t> </w:t>
            </w:r>
          </w:p>
        </w:tc>
        <w:tc>
          <w:tcPr>
            <w:tcW w:w="1037" w:type="dxa"/>
            <w:tcBorders/>
            <w:shd w:fill="auto" w:val="clear"/>
            <w:vAlign w:val="center"/>
          </w:tcPr>
          <w:p>
            <w:pPr>
              <w:pStyle w:val="TableContents"/>
              <w:spacing w:before="0" w:after="0"/>
              <w:ind w:left="0" w:right="0" w:firstLine="30"/>
              <w:rPr/>
            </w:pPr>
            <w:r>
              <w:rPr/>
              <w:t> </w:t>
            </w:r>
          </w:p>
        </w:tc>
        <w:tc>
          <w:tcPr>
            <w:tcW w:w="1127" w:type="dxa"/>
            <w:tcBorders/>
            <w:shd w:fill="auto" w:val="clear"/>
            <w:vAlign w:val="center"/>
          </w:tcPr>
          <w:p>
            <w:pPr>
              <w:pStyle w:val="TableContents"/>
              <w:spacing w:before="0" w:after="0"/>
              <w:ind w:left="0" w:right="0" w:firstLine="30"/>
              <w:rPr/>
            </w:pPr>
            <w:r>
              <w:rPr/>
              <w:t> </w:t>
            </w:r>
          </w:p>
        </w:tc>
        <w:tc>
          <w:tcPr>
            <w:tcW w:w="1146" w:type="dxa"/>
            <w:tcBorders/>
            <w:shd w:fill="auto" w:val="clear"/>
            <w:vAlign w:val="center"/>
          </w:tcPr>
          <w:p>
            <w:pPr>
              <w:pStyle w:val="TableContents"/>
              <w:spacing w:before="0" w:after="0"/>
              <w:ind w:left="0" w:right="0" w:firstLine="30"/>
              <w:rPr/>
            </w:pPr>
            <w:r>
              <w:rPr/>
              <w:t> </w:t>
            </w:r>
          </w:p>
        </w:tc>
      </w:tr>
      <w:tr>
        <w:trPr/>
        <w:tc>
          <w:tcPr>
            <w:tcW w:w="5978" w:type="dxa"/>
            <w:tcBorders/>
            <w:shd w:fill="auto" w:val="clear"/>
            <w:vAlign w:val="center"/>
          </w:tcPr>
          <w:p>
            <w:pPr>
              <w:pStyle w:val="TableContents"/>
              <w:spacing w:before="0" w:after="0"/>
              <w:ind w:left="0" w:right="0" w:firstLine="30"/>
              <w:jc w:val="left"/>
              <w:rPr>
                <w:rFonts w:ascii="Arial" w:hAnsi="Arial"/>
                <w:b/>
                <w:i/>
                <w:sz w:val="15"/>
              </w:rPr>
            </w:pPr>
            <w:r>
              <w:rPr>
                <w:rFonts w:ascii="Arial" w:hAnsi="Arial"/>
                <w:b/>
                <w:i/>
                <w:sz w:val="15"/>
              </w:rPr>
              <w:t>Principal International Combined Net Revenue (at PFG Share)</w:t>
            </w:r>
          </w:p>
        </w:tc>
        <w:tc>
          <w:tcPr>
            <w:tcW w:w="917" w:type="dxa"/>
            <w:tcBorders/>
            <w:shd w:fill="auto" w:val="clear"/>
            <w:vAlign w:val="center"/>
          </w:tcPr>
          <w:p>
            <w:pPr>
              <w:pStyle w:val="TableContents"/>
              <w:spacing w:before="0" w:after="0"/>
              <w:ind w:left="0" w:right="0" w:firstLine="30"/>
              <w:rPr/>
            </w:pPr>
            <w:r>
              <w:rPr/>
              <w:t> </w:t>
            </w:r>
          </w:p>
        </w:tc>
        <w:tc>
          <w:tcPr>
            <w:tcW w:w="1037" w:type="dxa"/>
            <w:tcBorders/>
            <w:shd w:fill="auto" w:val="clear"/>
            <w:vAlign w:val="center"/>
          </w:tcPr>
          <w:p>
            <w:pPr>
              <w:pStyle w:val="TableContents"/>
              <w:spacing w:before="0" w:after="0"/>
              <w:ind w:left="0" w:right="0" w:firstLine="30"/>
              <w:rPr/>
            </w:pPr>
            <w:r>
              <w:rPr/>
              <w:t> </w:t>
            </w:r>
          </w:p>
        </w:tc>
        <w:tc>
          <w:tcPr>
            <w:tcW w:w="1127" w:type="dxa"/>
            <w:tcBorders/>
            <w:shd w:fill="auto" w:val="clear"/>
            <w:vAlign w:val="center"/>
          </w:tcPr>
          <w:p>
            <w:pPr>
              <w:pStyle w:val="TableContents"/>
              <w:spacing w:before="0" w:after="0"/>
              <w:ind w:left="0" w:right="0" w:firstLine="30"/>
              <w:rPr/>
            </w:pPr>
            <w:r>
              <w:rPr/>
              <w:t> </w:t>
            </w:r>
          </w:p>
        </w:tc>
        <w:tc>
          <w:tcPr>
            <w:tcW w:w="1146" w:type="dxa"/>
            <w:tcBorders/>
            <w:shd w:fill="auto" w:val="clear"/>
            <w:vAlign w:val="center"/>
          </w:tcPr>
          <w:p>
            <w:pPr>
              <w:pStyle w:val="TableContents"/>
              <w:spacing w:before="0" w:after="0"/>
              <w:ind w:left="0" w:right="0" w:firstLine="30"/>
              <w:rPr/>
            </w:pPr>
            <w:r>
              <w:rPr/>
              <w:t> </w:t>
            </w:r>
          </w:p>
        </w:tc>
      </w:tr>
      <w:tr>
        <w:trPr/>
        <w:tc>
          <w:tcPr>
            <w:tcW w:w="5978"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Pre-tax operating earnings</w:t>
            </w:r>
          </w:p>
        </w:tc>
        <w:tc>
          <w:tcPr>
            <w:tcW w:w="917"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$ 93.2 </w:t>
            </w:r>
          </w:p>
        </w:tc>
        <w:tc>
          <w:tcPr>
            <w:tcW w:w="1037"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$ 86.3 </w:t>
            </w:r>
          </w:p>
        </w:tc>
        <w:tc>
          <w:tcPr>
            <w:tcW w:w="1127"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$ 299.1 </w:t>
            </w:r>
          </w:p>
        </w:tc>
        <w:tc>
          <w:tcPr>
            <w:tcW w:w="1146" w:type="dxa"/>
            <w:tcBorders/>
            <w:shd w:fill="auto" w:val="clear"/>
            <w:vAlign w:val="center"/>
          </w:tcPr>
          <w:p>
            <w:pPr>
              <w:pStyle w:val="TableContents"/>
              <w:spacing w:before="0" w:after="0"/>
              <w:ind w:left="0" w:right="0" w:firstLine="30"/>
              <w:jc w:val="right"/>
              <w:rPr>
                <w:rFonts w:ascii="Arial" w:hAnsi="Arial"/>
                <w:sz w:val="15"/>
              </w:rPr>
            </w:pPr>
            <w:r>
              <w:rPr>
                <w:rFonts w:ascii="Arial" w:hAnsi="Arial"/>
                <w:sz w:val="15"/>
              </w:rPr>
              <w:t xml:space="preserve">$ 337.2 </w:t>
            </w:r>
          </w:p>
        </w:tc>
      </w:tr>
      <w:tr>
        <w:trPr/>
        <w:tc>
          <w:tcPr>
            <w:tcW w:w="5978"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Combined operating expenses other than pass-through commissions (at PFG share)</w:t>
            </w:r>
          </w:p>
        </w:tc>
        <w:tc>
          <w:tcPr>
            <w:tcW w:w="917" w:type="dxa"/>
            <w:tcBorders>
              <w:bottom w:val="single" w:sz="2" w:space="0" w:color="000000"/>
            </w:tcBorders>
            <w:shd w:fill="auto" w:val="clear"/>
            <w:tcMar>
              <w:bottom w:w="30" w:type="dxa"/>
            </w:tcMar>
            <w:vAlign w:val="center"/>
          </w:tcPr>
          <w:p>
            <w:pPr>
              <w:pStyle w:val="TableContents"/>
              <w:spacing w:before="0" w:after="0"/>
              <w:jc w:val="right"/>
              <w:rPr/>
            </w:pPr>
            <w:r>
              <w:rPr/>
              <w:t>        </w:t>
            </w:r>
          </w:p>
          <w:p>
            <w:pPr>
              <w:pStyle w:val="TableContents"/>
              <w:spacing w:before="0" w:after="0"/>
              <w:ind w:left="0" w:right="0" w:firstLine="30"/>
              <w:jc w:val="right"/>
              <w:rPr>
                <w:rFonts w:ascii="Arial" w:hAnsi="Arial"/>
                <w:sz w:val="15"/>
              </w:rPr>
            </w:pPr>
            <w:r>
              <w:rPr>
                <w:rFonts w:ascii="Arial" w:hAnsi="Arial"/>
                <w:sz w:val="15"/>
              </w:rPr>
              <w:t xml:space="preserve">151.2 </w:t>
            </w:r>
          </w:p>
        </w:tc>
        <w:tc>
          <w:tcPr>
            <w:tcW w:w="1037" w:type="dxa"/>
            <w:tcBorders>
              <w:bottom w:val="single" w:sz="2" w:space="0" w:color="000000"/>
            </w:tcBorders>
            <w:shd w:fill="auto" w:val="clear"/>
            <w:tcMar>
              <w:bottom w:w="30" w:type="dxa"/>
            </w:tcMar>
            <w:vAlign w:val="center"/>
          </w:tcPr>
          <w:p>
            <w:pPr>
              <w:pStyle w:val="TableContents"/>
              <w:spacing w:before="0" w:after="0"/>
              <w:jc w:val="right"/>
              <w:rPr/>
            </w:pPr>
            <w:r>
              <w:rPr/>
              <w:t>          </w:t>
            </w:r>
          </w:p>
          <w:p>
            <w:pPr>
              <w:pStyle w:val="TableContents"/>
              <w:spacing w:before="0" w:after="0"/>
              <w:ind w:left="0" w:right="0" w:firstLine="30"/>
              <w:jc w:val="right"/>
              <w:rPr>
                <w:rFonts w:ascii="Arial" w:hAnsi="Arial"/>
                <w:sz w:val="15"/>
              </w:rPr>
            </w:pPr>
            <w:r>
              <w:rPr>
                <w:rFonts w:ascii="Arial" w:hAnsi="Arial"/>
                <w:sz w:val="15"/>
              </w:rPr>
              <w:t xml:space="preserve">160.5 </w:t>
            </w:r>
          </w:p>
        </w:tc>
        <w:tc>
          <w:tcPr>
            <w:tcW w:w="1127" w:type="dxa"/>
            <w:tcBorders>
              <w:bottom w:val="single" w:sz="2" w:space="0" w:color="000000"/>
            </w:tcBorders>
            <w:shd w:fill="auto" w:val="clear"/>
            <w:tcMar>
              <w:bottom w:w="30" w:type="dxa"/>
            </w:tcMar>
            <w:vAlign w:val="center"/>
          </w:tcPr>
          <w:p>
            <w:pPr>
              <w:pStyle w:val="TableContents"/>
              <w:spacing w:before="0" w:after="0"/>
              <w:jc w:val="right"/>
              <w:rPr/>
            </w:pPr>
            <w:r>
              <w:rPr/>
              <w:t>           </w:t>
            </w:r>
          </w:p>
          <w:p>
            <w:pPr>
              <w:pStyle w:val="TableContents"/>
              <w:spacing w:before="0" w:after="0"/>
              <w:ind w:left="0" w:right="0" w:firstLine="30"/>
              <w:jc w:val="right"/>
              <w:rPr>
                <w:rFonts w:ascii="Arial" w:hAnsi="Arial"/>
                <w:sz w:val="15"/>
              </w:rPr>
            </w:pPr>
            <w:r>
              <w:rPr>
                <w:rFonts w:ascii="Arial" w:hAnsi="Arial"/>
                <w:sz w:val="15"/>
              </w:rPr>
              <w:t xml:space="preserve">650.4 </w:t>
            </w:r>
          </w:p>
        </w:tc>
        <w:tc>
          <w:tcPr>
            <w:tcW w:w="1146" w:type="dxa"/>
            <w:tcBorders>
              <w:bottom w:val="single" w:sz="2" w:space="0" w:color="000000"/>
            </w:tcBorders>
            <w:shd w:fill="auto" w:val="clear"/>
            <w:tcMar>
              <w:bottom w:w="30" w:type="dxa"/>
            </w:tcMar>
            <w:vAlign w:val="center"/>
          </w:tcPr>
          <w:p>
            <w:pPr>
              <w:pStyle w:val="TableContents"/>
              <w:spacing w:before="0" w:after="0"/>
              <w:jc w:val="right"/>
              <w:rPr/>
            </w:pPr>
            <w:r>
              <w:rPr/>
              <w:t>           </w:t>
            </w:r>
          </w:p>
          <w:p>
            <w:pPr>
              <w:pStyle w:val="TableContents"/>
              <w:spacing w:before="0" w:after="0"/>
              <w:ind w:left="0" w:right="0" w:firstLine="30"/>
              <w:jc w:val="right"/>
              <w:rPr>
                <w:rFonts w:ascii="Arial" w:hAnsi="Arial"/>
                <w:sz w:val="15"/>
              </w:rPr>
            </w:pPr>
            <w:r>
              <w:rPr>
                <w:rFonts w:ascii="Arial" w:hAnsi="Arial"/>
                <w:sz w:val="15"/>
              </w:rPr>
              <w:t xml:space="preserve">623.6 </w:t>
            </w:r>
          </w:p>
        </w:tc>
      </w:tr>
      <w:tr>
        <w:trPr/>
        <w:tc>
          <w:tcPr>
            <w:tcW w:w="5978" w:type="dxa"/>
            <w:tcBorders/>
            <w:shd w:fill="auto" w:val="clear"/>
            <w:vAlign w:val="center"/>
          </w:tcPr>
          <w:p>
            <w:pPr>
              <w:pStyle w:val="TableContents"/>
              <w:spacing w:before="0" w:after="0"/>
              <w:ind w:left="0" w:right="0" w:firstLine="30"/>
              <w:jc w:val="left"/>
              <w:rPr>
                <w:rFonts w:ascii="Arial" w:hAnsi="Arial"/>
                <w:sz w:val="15"/>
              </w:rPr>
            </w:pPr>
            <w:r>
              <w:rPr>
                <w:rFonts w:ascii="Arial" w:hAnsi="Arial"/>
                <w:sz w:val="15"/>
              </w:rPr>
              <w:t>Combined net revenue (at PFG share)</w:t>
            </w:r>
          </w:p>
        </w:tc>
        <w:tc>
          <w:tcPr>
            <w:tcW w:w="917"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$ 244.4 </w:t>
            </w:r>
          </w:p>
        </w:tc>
        <w:tc>
          <w:tcPr>
            <w:tcW w:w="1037"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$ 246.8 </w:t>
            </w:r>
          </w:p>
        </w:tc>
        <w:tc>
          <w:tcPr>
            <w:tcW w:w="1127"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ind w:left="0" w:right="0" w:firstLine="30"/>
              <w:jc w:val="right"/>
              <w:rPr>
                <w:rFonts w:ascii="Arial" w:hAnsi="Arial"/>
                <w:sz w:val="15"/>
              </w:rPr>
            </w:pPr>
            <w:r>
              <w:rPr>
                <w:rFonts w:ascii="Arial" w:hAnsi="Arial"/>
                <w:sz w:val="15"/>
              </w:rPr>
              <w:t xml:space="preserve">$ 949.5 </w:t>
            </w:r>
          </w:p>
        </w:tc>
        <w:tc>
          <w:tcPr>
            <w:tcW w:w="1146" w:type="dxa"/>
            <w:tcBorders>
              <w:top w:val="single" w:sz="2" w:space="0" w:color="000000"/>
              <w:bottom w:val="double" w:sz="6" w:space="0" w:color="000000"/>
            </w:tcBorders>
            <w:shd w:fill="auto" w:val="clear"/>
            <w:tcMar>
              <w:top w:w="30" w:type="dxa"/>
              <w:bottom w:w="30" w:type="dxa"/>
            </w:tcMar>
            <w:vAlign w:val="center"/>
          </w:tcPr>
          <w:p>
            <w:pPr>
              <w:pStyle w:val="TableContents"/>
              <w:spacing w:before="0" w:after="0"/>
              <w:jc w:val="right"/>
              <w:rPr>
                <w:rFonts w:ascii="Arial" w:hAnsi="Arial"/>
                <w:sz w:val="15"/>
              </w:rPr>
            </w:pPr>
            <w:r>
              <w:rPr>
                <w:rFonts w:ascii="Arial" w:hAnsi="Arial"/>
                <w:sz w:val="15"/>
              </w:rPr>
              <w:t xml:space="preserve">$ 960.8 </w:t>
            </w:r>
          </w:p>
        </w:tc>
      </w:tr>
    </w:tbl>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283"/>
        <w:rPr>
          <w:rFonts w:ascii="inherit" w:hAnsi="inherit"/>
          <w:sz w:val="17"/>
        </w:rPr>
      </w:pPr>
      <w:r>
        <w:rPr>
          <w:rFonts w:ascii="inherit" w:hAnsi="inherit"/>
          <w:sz w:val="17"/>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inherit">
    <w:charset w:val="00"/>
    <w:family w:val="auto"/>
    <w:pitch w:val="default"/>
  </w:font>
  <w:font w:name="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13</Pages>
  <Words>4212</Words>
  <CharactersWithSpaces>28422</CharactersWithSpaces>
  <Paragraphs>853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