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rPr/>
      </w:pPr>
      <w:bookmarkStart w:id="0" w:name="edgar.xml.htm"/>
      <w:bookmarkStart w:id="1" w:name="ksedgar"/>
      <w:bookmarkEnd w:id="0"/>
      <w:bookmarkEnd w:id="1"/>
      <w:r>
        <w:rPr/>
        <w:t xml:space="preserve">SEC Form 4 </w:t>
      </w:r>
    </w:p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360"/>
        <w:gridCol w:w="1888"/>
        <w:gridCol w:w="5968"/>
        <w:gridCol w:w="1989"/>
      </w:tblGrid>
      <w:tr>
        <w:trPr/>
        <w:tc>
          <w:tcPr>
            <w:tcW w:w="2248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>
                <w:rFonts w:ascii="arial;helvetica;sans-serif" w:hAnsi="arial;helvetica;sans-serif"/>
                <w:b/>
                <w:sz w:val="36"/>
              </w:rPr>
            </w:pPr>
            <w:r>
              <w:rPr>
                <w:rFonts w:ascii="arial;helvetica;sans-serif" w:hAnsi="arial;helvetica;sans-serif"/>
                <w:b/>
                <w:sz w:val="36"/>
              </w:rPr>
              <w:t>FORM 4</w:t>
            </w:r>
          </w:p>
        </w:tc>
        <w:tc>
          <w:tcPr>
            <w:tcW w:w="596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/>
                <w:sz w:val="28"/>
              </w:rPr>
              <w:t>UNITED STATES SECURITIES AND EXCHANGE COMMISSION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Washington, D.C. 20549</w:t>
            </w:r>
            <w:r>
              <w:rPr/>
              <w:br/>
              <w:br/>
            </w:r>
            <w:r>
              <w:rPr>
                <w:rFonts w:ascii="arial;helvetica;sans-serif" w:hAnsi="arial;helvetica;sans-serif"/>
                <w:b/>
                <w:sz w:val="28"/>
              </w:rPr>
              <w:t>STATEMENT OF CHANGES IN BENEFICIAL OWNERSHIP</w:t>
            </w:r>
            <w:r>
              <w:rPr/>
              <w:br/>
              <w:br/>
            </w:r>
            <w:r>
              <w:rPr>
                <w:rFonts w:ascii="arial;helvetica;sans-serif" w:hAnsi="arial;helvetica;sans-serif"/>
                <w:sz w:val="20"/>
              </w:rPr>
              <w:t>Filed pursuant to Section 16(a) of the Securities Exchange Act of 1934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or Section 30(h) of the Investment Company Act of 1940</w:t>
            </w:r>
            <w:r>
              <w:rPr/>
              <w:t xml:space="preserve"> </w:t>
            </w:r>
          </w:p>
        </w:tc>
        <w:tc>
          <w:tcPr>
            <w:tcW w:w="1989" w:type="dxa"/>
            <w:vMerge w:val="restart"/>
            <w:tcBorders/>
            <w:shd w:fill="auto" w:val="clear"/>
          </w:tcPr>
          <w:p>
            <w:pPr>
              <w:pStyle w:val="TableContents"/>
              <w:spacing w:before="0" w:after="0"/>
              <w:jc w:val="center"/>
              <w:rPr/>
            </w:pPr>
            <w:r>
              <w:rPr/>
              <w:t xml:space="preserve">  </w:t>
            </w:r>
          </w:p>
          <w:tbl>
            <w:tblPr>
              <w:tblW w:w="5000" w:type="pct"/>
              <w:jc w:val="center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869"/>
            </w:tblGrid>
            <w:tr>
              <w:trPr/>
              <w:tc>
                <w:tcPr>
                  <w:tcW w:w="186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0"/>
                    <w:jc w:val="center"/>
                    <w:rPr>
                      <w:rFonts w:ascii="arial;helvetica;sans-serif" w:hAnsi="arial;helvetica;sans-serif"/>
                      <w:b w:val="false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b w:val="false"/>
                      <w:sz w:val="24"/>
                    </w:rPr>
                    <w:t>OMB APPROVAL</w:t>
                  </w:r>
                </w:p>
                <w:tbl>
                  <w:tblPr>
                    <w:tblW w:w="5000" w:type="pct"/>
                    <w:jc w:val="left"/>
                    <w:tblInd w:w="0" w:type="dxa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</w:tblPr>
                  <w:tblGrid>
                    <w:gridCol w:w="1145"/>
                    <w:gridCol w:w="668"/>
                  </w:tblGrid>
                  <w:tr>
                    <w:trPr/>
                    <w:tc>
                      <w:tcPr>
                        <w:tcW w:w="114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OMB Number:</w:t>
                        </w:r>
                      </w:p>
                    </w:tc>
                    <w:tc>
                      <w:tcPr>
                        <w:tcW w:w="6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righ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3235-0287</w:t>
                        </w:r>
                      </w:p>
                    </w:tc>
                  </w:tr>
                  <w:tr>
                    <w:trPr/>
                    <w:tc>
                      <w:tcPr>
                        <w:tcW w:w="1813" w:type="dxa"/>
                        <w:gridSpan w:val="2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Estimated average burden</w:t>
                        </w:r>
                      </w:p>
                    </w:tc>
                  </w:tr>
                  <w:tr>
                    <w:trPr/>
                    <w:tc>
                      <w:tcPr>
                        <w:tcW w:w="114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hours per response:</w:t>
                        </w:r>
                      </w:p>
                    </w:tc>
                    <w:tc>
                      <w:tcPr>
                        <w:tcW w:w="6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righ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0.5</w:t>
                        </w:r>
                      </w:p>
                    </w:tc>
                  </w:tr>
                </w:tbl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869" w:type="dxa"/>
                  <w:tcBorders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drawing>
                <wp:inline distT="0" distB="0" distL="0" distR="0">
                  <wp:extent cx="152400" cy="15240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Check this box if no longer subject to Section 16. Form 4 or Form 5 obligations may continue. </w:t>
            </w:r>
            <w:r>
              <w:rPr>
                <w:rFonts w:ascii="arial;helvetica;sans-serif" w:hAnsi="arial;helvetica;sans-serif"/>
                <w:i/>
                <w:sz w:val="14"/>
              </w:rPr>
              <w:t>See</w:t>
            </w:r>
            <w:r>
              <w:rPr>
                <w:rFonts w:ascii="arial;helvetica;sans-serif" w:hAnsi="arial;helvetica;sans-serif"/>
                <w:sz w:val="14"/>
              </w:rPr>
              <w:t xml:space="preserve"> Instruction 1(b).</w:t>
            </w:r>
          </w:p>
        </w:tc>
        <w:tc>
          <w:tcPr>
            <w:tcW w:w="596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9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3571"/>
        <w:gridCol w:w="3572"/>
        <w:gridCol w:w="3062"/>
      </w:tblGrid>
      <w:tr>
        <w:trPr/>
        <w:tc>
          <w:tcPr>
            <w:tcW w:w="35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1. Name and Address of Reporting Person</w:t>
            </w:r>
            <w:r>
              <w:rPr>
                <w:rFonts w:ascii="arial;helvetica;sans-serif" w:hAnsi="arial;helvetica;sans-serif"/>
                <w:position w:val="7"/>
                <w:sz w:val="16"/>
                <w:sz w:val="20"/>
              </w:rPr>
              <w:t>*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3451"/>
            </w:tblGrid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/>
                  </w:pPr>
                  <w:hyperlink r:id="rId3">
                    <w:r>
                      <w:rPr>
                        <w:rStyle w:val="InternetLink"/>
                      </w:rPr>
                      <w:t>Tallett Elizabeth E</w:t>
                    </w:r>
                  </w:hyperlink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(Last)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(First)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(Middle)</w:t>
                  </w:r>
                </w:p>
              </w:tc>
            </w:tr>
          </w:tbl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3451"/>
            </w:tblGrid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711 HIGH STREET</w:t>
                  </w:r>
                </w:p>
              </w:tc>
            </w:tr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p>
            <w:pPr>
              <w:pStyle w:val="TableContents"/>
              <w:spacing w:before="0" w:after="0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>(Street)</w:t>
            </w:r>
            <w:r>
              <w:rPr/>
              <w:t xml:space="preserve">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DES MOINES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IA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50392</w:t>
                  </w:r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(City)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(State)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(Zip)</w:t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7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 xml:space="preserve">2. Issuer Name </w:t>
            </w:r>
            <w:r>
              <w:rPr>
                <w:rFonts w:ascii="arial;helvetica;sans-serif" w:hAnsi="arial;helvetica;sans-serif"/>
                <w:b/>
                <w:sz w:val="20"/>
              </w:rPr>
              <w:t>and</w:t>
            </w:r>
            <w:r>
              <w:rPr>
                <w:rFonts w:ascii="arial;helvetica;sans-serif" w:hAnsi="arial;helvetica;sans-serif"/>
                <w:sz w:val="20"/>
              </w:rPr>
              <w:t xml:space="preserve"> Ticker or Trading Symbol </w:t>
            </w:r>
            <w:r>
              <w:rPr/>
              <w:br/>
            </w:r>
            <w:hyperlink r:id="rId4">
              <w:r>
                <w:rPr>
                  <w:rStyle w:val="InternetLink"/>
                </w:rPr>
                <w:t>PRINCIPAL FINANCIAL GROUP INC</w:t>
              </w:r>
            </w:hyperlink>
            <w:r>
              <w:rPr/>
              <w:t xml:space="preserve"> [ 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PFG</w:t>
            </w:r>
            <w:r>
              <w:rPr/>
              <w:t xml:space="preserve"> ] </w:t>
            </w:r>
          </w:p>
        </w:tc>
        <w:tc>
          <w:tcPr>
            <w:tcW w:w="3062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 xml:space="preserve">5. Relationship of Reporting Person(s) to Issuer 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(Check all applicable)</w:t>
            </w:r>
            <w:r>
              <w:rPr/>
              <w:t xml:space="preserve">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440"/>
              <w:gridCol w:w="1031"/>
              <w:gridCol w:w="440"/>
              <w:gridCol w:w="1031"/>
            </w:tblGrid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X</w:t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Director</w:t>
                  </w:r>
                </w:p>
              </w:tc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10% Owner</w:t>
                  </w:r>
                </w:p>
              </w:tc>
            </w:tr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Officer (give title below)</w:t>
                  </w:r>
                </w:p>
              </w:tc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Other (specify below)</w:t>
                  </w:r>
                </w:p>
              </w:tc>
            </w:tr>
            <w:tr>
              <w:trPr/>
              <w:tc>
                <w:tcPr>
                  <w:tcW w:w="2942" w:type="dxa"/>
                  <w:gridSpan w:val="4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571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>3. Date of Earliest Transaction (Month/Day/Year)</w:t>
            </w:r>
            <w:r>
              <w:rPr/>
              <w:br/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06/28/2019</w:t>
            </w:r>
            <w:r>
              <w:rPr/>
              <w:t xml:space="preserve"> </w:t>
            </w:r>
          </w:p>
        </w:tc>
        <w:tc>
          <w:tcPr>
            <w:tcW w:w="3062" w:type="dxa"/>
            <w:vMerge w:val="continue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571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4. If Amendment, Date of Original Filed (Month/Day/Year)</w:t>
            </w:r>
          </w:p>
        </w:tc>
        <w:tc>
          <w:tcPr>
            <w:tcW w:w="306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6. Individual or Joint/Group Filing (Check Applicable Line)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440"/>
              <w:gridCol w:w="2502"/>
            </w:tblGrid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X</w:t>
                  </w:r>
                </w:p>
              </w:tc>
              <w:tc>
                <w:tcPr>
                  <w:tcW w:w="2502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Form filed by One Reporting Person</w:t>
                  </w:r>
                </w:p>
              </w:tc>
            </w:tr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2502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Form filed by More than One Reporting Person</w:t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2518"/>
        <w:gridCol w:w="904"/>
        <w:gridCol w:w="773"/>
        <w:gridCol w:w="601"/>
        <w:gridCol w:w="354"/>
        <w:gridCol w:w="823"/>
        <w:gridCol w:w="468"/>
        <w:gridCol w:w="631"/>
        <w:gridCol w:w="1187"/>
        <w:gridCol w:w="1015"/>
        <w:gridCol w:w="931"/>
      </w:tblGrid>
      <w:tr>
        <w:trPr>
          <w:tblHeader w:val="true"/>
        </w:trPr>
        <w:tc>
          <w:tcPr>
            <w:tcW w:w="10205" w:type="dxa"/>
            <w:gridSpan w:val="11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center"/>
              <w:rPr>
                <w:rFonts w:ascii="arial;helvetica;sans-serif" w:hAnsi="arial;helvetica;sans-serif"/>
                <w:b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Table I - Non-Derivative Securities Acquired, Disposed of, or Beneficially Owned</w:t>
            </w:r>
          </w:p>
        </w:tc>
      </w:tr>
      <w:tr>
        <w:trPr>
          <w:tblHeader w:val="true"/>
        </w:trPr>
        <w:tc>
          <w:tcPr>
            <w:tcW w:w="2518" w:type="dxa"/>
            <w:vMerge w:val="restart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1. Title of Security (Instr. 3) </w:t>
            </w:r>
          </w:p>
        </w:tc>
        <w:tc>
          <w:tcPr>
            <w:tcW w:w="904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2. Transaction Date (Month/Day/Year)</w:t>
            </w:r>
          </w:p>
        </w:tc>
        <w:tc>
          <w:tcPr>
            <w:tcW w:w="773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2A. Deemed Execution Date, if any (Month/Day/Year)</w:t>
            </w:r>
          </w:p>
        </w:tc>
        <w:tc>
          <w:tcPr>
            <w:tcW w:w="955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3. Transaction Code (Instr. 8) </w:t>
            </w:r>
          </w:p>
        </w:tc>
        <w:tc>
          <w:tcPr>
            <w:tcW w:w="1922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4. Securities Acquired (A) or Disposed Of (D) (Instr. 3, 4 and 5) </w:t>
            </w:r>
          </w:p>
        </w:tc>
        <w:tc>
          <w:tcPr>
            <w:tcW w:w="1187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5. Amount of Securities Beneficially Owned Following Reported Transaction(s) (Instr. 3 and 4) </w:t>
            </w:r>
          </w:p>
        </w:tc>
        <w:tc>
          <w:tcPr>
            <w:tcW w:w="1015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6. Ownership Form: Direct (D) or Indirect (I) (Instr. 4) </w:t>
            </w:r>
          </w:p>
        </w:tc>
        <w:tc>
          <w:tcPr>
            <w:tcW w:w="93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7. Nature of Indirect Beneficial Ownership (Instr. 4) </w:t>
            </w:r>
          </w:p>
        </w:tc>
      </w:tr>
      <w:tr>
        <w:trPr>
          <w:tblHeader w:val="true"/>
        </w:trPr>
        <w:tc>
          <w:tcPr>
            <w:tcW w:w="2518" w:type="dxa"/>
            <w:vMerge w:val="continue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4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3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Code</w:t>
            </w:r>
          </w:p>
        </w:tc>
        <w:tc>
          <w:tcPr>
            <w:tcW w:w="3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V</w:t>
            </w:r>
          </w:p>
        </w:tc>
        <w:tc>
          <w:tcPr>
            <w:tcW w:w="8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Amount</w:t>
            </w:r>
          </w:p>
        </w:tc>
        <w:tc>
          <w:tcPr>
            <w:tcW w:w="4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(A) or (D)</w:t>
            </w:r>
          </w:p>
        </w:tc>
        <w:tc>
          <w:tcPr>
            <w:tcW w:w="6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Price</w:t>
            </w:r>
          </w:p>
        </w:tc>
        <w:tc>
          <w:tcPr>
            <w:tcW w:w="1187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5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18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0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06/28/2019</w:t>
            </w:r>
          </w:p>
        </w:tc>
        <w:tc>
          <w:tcPr>
            <w:tcW w:w="77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A</w:t>
            </w:r>
          </w:p>
        </w:tc>
        <w:tc>
          <w:tcPr>
            <w:tcW w:w="35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510</w:t>
            </w:r>
          </w:p>
        </w:tc>
        <w:tc>
          <w:tcPr>
            <w:tcW w:w="46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A</w:t>
            </w:r>
          </w:p>
        </w:tc>
        <w:tc>
          <w:tcPr>
            <w:tcW w:w="63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118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57,349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(2)</w:t>
            </w:r>
            <w:r>
              <w:rPr/>
              <w:t xml:space="preserve"> 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3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11738" w:type="dxa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875"/>
        <w:gridCol w:w="861"/>
        <w:gridCol w:w="891"/>
        <w:gridCol w:w="771"/>
        <w:gridCol w:w="591"/>
        <w:gridCol w:w="300"/>
        <w:gridCol w:w="501"/>
        <w:gridCol w:w="300"/>
        <w:gridCol w:w="906"/>
        <w:gridCol w:w="801"/>
        <w:gridCol w:w="891"/>
        <w:gridCol w:w="636"/>
        <w:gridCol w:w="801"/>
        <w:gridCol w:w="936"/>
        <w:gridCol w:w="831"/>
        <w:gridCol w:w="846"/>
      </w:tblGrid>
      <w:tr>
        <w:trPr>
          <w:tblHeader w:val="true"/>
        </w:trPr>
        <w:tc>
          <w:tcPr>
            <w:tcW w:w="11738" w:type="dxa"/>
            <w:gridSpan w:val="16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center"/>
              <w:rPr>
                <w:rFonts w:ascii="arial;helvetica;sans-serif" w:hAnsi="arial;helvetica;sans-serif"/>
                <w:b w:val="false"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Table II - Derivative Securities Acquired, Disposed of, or Beneficially Owned</w:t>
            </w:r>
            <w:r>
              <w:rPr>
                <w:rFonts w:ascii="arial;helvetica;sans-serif" w:hAnsi="arial;helvetica;sans-serif"/>
                <w:b w:val="false"/>
                <w:sz w:val="24"/>
              </w:rPr>
              <w:br/>
            </w:r>
            <w:r>
              <w:rPr>
                <w:rFonts w:ascii="arial;helvetica;sans-serif" w:hAnsi="arial;helvetica;sans-serif"/>
                <w:b/>
                <w:sz w:val="24"/>
              </w:rPr>
              <w:t>(e.g., puts, calls, warrants, options, convertible securities)</w:t>
            </w:r>
            <w:r>
              <w:rPr>
                <w:rFonts w:ascii="arial;helvetica;sans-serif" w:hAnsi="arial;helvetica;sans-serif"/>
                <w:b w:val="false"/>
                <w:sz w:val="24"/>
              </w:rPr>
              <w:t xml:space="preserve"> </w:t>
            </w:r>
          </w:p>
        </w:tc>
      </w:tr>
      <w:tr>
        <w:trPr>
          <w:tblHeader w:val="true"/>
        </w:trPr>
        <w:tc>
          <w:tcPr>
            <w:tcW w:w="875" w:type="dxa"/>
            <w:vMerge w:val="restart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1. Title of Derivative Security (Instr. 3) </w:t>
            </w:r>
          </w:p>
        </w:tc>
        <w:tc>
          <w:tcPr>
            <w:tcW w:w="86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2. Conversion or Exercise Price of Derivative Security </w:t>
            </w:r>
          </w:p>
        </w:tc>
        <w:tc>
          <w:tcPr>
            <w:tcW w:w="89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3. Transaction Date (Month/Day/Year)</w:t>
            </w:r>
          </w:p>
        </w:tc>
        <w:tc>
          <w:tcPr>
            <w:tcW w:w="77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3A. Deemed Execution Date, if any (Month/Day/Year)</w:t>
            </w:r>
          </w:p>
        </w:tc>
        <w:tc>
          <w:tcPr>
            <w:tcW w:w="891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4. Transaction Code (Instr. 8) </w:t>
            </w:r>
          </w:p>
        </w:tc>
        <w:tc>
          <w:tcPr>
            <w:tcW w:w="801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5. Number of Derivative Securities Acquired (A) or Disposed of (D) (Instr. 3, 4 and 5) </w:t>
            </w:r>
          </w:p>
        </w:tc>
        <w:tc>
          <w:tcPr>
            <w:tcW w:w="1707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6. Date Exercisable and Expiration Date (Month/Day/Year)</w:t>
            </w:r>
          </w:p>
        </w:tc>
        <w:tc>
          <w:tcPr>
            <w:tcW w:w="1527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7. Title and Amount of Securities Underlying Derivative Security (Instr. 3 and 4) </w:t>
            </w:r>
          </w:p>
        </w:tc>
        <w:tc>
          <w:tcPr>
            <w:tcW w:w="80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8. Price of Derivative Security (Instr. 5) </w:t>
            </w:r>
          </w:p>
        </w:tc>
        <w:tc>
          <w:tcPr>
            <w:tcW w:w="936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9. Number of derivative Securities Beneficially Owned Following Reported Transaction(s) (Instr. 4) </w:t>
            </w:r>
          </w:p>
        </w:tc>
        <w:tc>
          <w:tcPr>
            <w:tcW w:w="83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10. Ownership Form: Direct (D) or Indirect (I) (Instr. 4) </w:t>
            </w:r>
          </w:p>
        </w:tc>
        <w:tc>
          <w:tcPr>
            <w:tcW w:w="846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11. Nature of Indirect Beneficial Ownership (Instr. 4) </w:t>
            </w:r>
          </w:p>
        </w:tc>
      </w:tr>
      <w:tr>
        <w:trPr>
          <w:tblHeader w:val="true"/>
        </w:trPr>
        <w:tc>
          <w:tcPr>
            <w:tcW w:w="875" w:type="dxa"/>
            <w:vMerge w:val="continue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6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Code</w:t>
            </w:r>
          </w:p>
        </w:tc>
        <w:tc>
          <w:tcPr>
            <w:tcW w:w="3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V</w:t>
            </w:r>
          </w:p>
        </w:tc>
        <w:tc>
          <w:tcPr>
            <w:tcW w:w="5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(A)</w:t>
            </w:r>
          </w:p>
        </w:tc>
        <w:tc>
          <w:tcPr>
            <w:tcW w:w="3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(D)</w:t>
            </w:r>
          </w:p>
        </w:tc>
        <w:tc>
          <w:tcPr>
            <w:tcW w:w="9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Date Exercisable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Expiration Date</w:t>
            </w:r>
          </w:p>
        </w:tc>
        <w:tc>
          <w:tcPr>
            <w:tcW w:w="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Title</w:t>
            </w:r>
          </w:p>
        </w:tc>
        <w:tc>
          <w:tcPr>
            <w:tcW w:w="63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Amount or Number of Shares</w:t>
            </w:r>
          </w:p>
        </w:tc>
        <w:tc>
          <w:tcPr>
            <w:tcW w:w="80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6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3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6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7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Phantom Stock Units</w:t>
            </w:r>
          </w:p>
        </w:tc>
        <w:tc>
          <w:tcPr>
            <w:tcW w:w="86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</w:pP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(3)</w:t>
            </w:r>
          </w:p>
        </w:tc>
        <w:tc>
          <w:tcPr>
            <w:tcW w:w="89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06/28/2019</w:t>
            </w:r>
          </w:p>
        </w:tc>
        <w:tc>
          <w:tcPr>
            <w:tcW w:w="77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A</w:t>
            </w:r>
          </w:p>
        </w:tc>
        <w:tc>
          <w:tcPr>
            <w:tcW w:w="3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66.5</w:t>
            </w:r>
          </w:p>
        </w:tc>
        <w:tc>
          <w:tcPr>
            <w:tcW w:w="3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(4)</w:t>
            </w:r>
            <w:r>
              <w:rPr/>
              <w:t xml:space="preserve"> 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(4)</w:t>
            </w:r>
            <w:r>
              <w:rPr/>
              <w:t xml:space="preserve"> </w:t>
            </w:r>
          </w:p>
        </w:tc>
        <w:tc>
          <w:tcPr>
            <w:tcW w:w="89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Common Stock</w:t>
            </w:r>
          </w:p>
        </w:tc>
        <w:tc>
          <w:tcPr>
            <w:tcW w:w="63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66.5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sz w:val="14"/>
              </w:rPr>
              <w:t>$</w:t>
            </w:r>
            <w:r>
              <w:rPr>
                <w:rFonts w:ascii="Times;serif" w:hAnsi="Times;serif"/>
                <w:color w:val="0000FF"/>
                <w:sz w:val="20"/>
                <w:highlight w:val="white"/>
              </w:rPr>
              <w:t>57.92</w:t>
            </w:r>
            <w:r>
              <w:rPr/>
              <w:t xml:space="preserve"> </w:t>
            </w:r>
          </w:p>
        </w:tc>
        <w:tc>
          <w:tcPr>
            <w:tcW w:w="93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7,363.4</w:t>
            </w:r>
          </w:p>
        </w:tc>
        <w:tc>
          <w:tcPr>
            <w:tcW w:w="83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D</w:t>
            </w:r>
          </w:p>
        </w:tc>
        <w:tc>
          <w:tcPr>
            <w:tcW w:w="84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205"/>
      </w:tblGrid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b/>
                <w:sz w:val="20"/>
              </w:rPr>
            </w:pPr>
            <w:r>
              <w:rPr>
                <w:rFonts w:ascii="arial;helvetica;sans-serif" w:hAnsi="arial;helvetica;sans-serif"/>
                <w:b/>
                <w:sz w:val="20"/>
              </w:rPr>
              <w:t>Explanation of Responses: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1. Grant of restricted stock units.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2. Corrects prior inadvertent administrative error.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3. The units convert to common stock on a one-for-one basis.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4. The reported phantom stock units were acquired pursuant to the Principal Deferred Compensation Plan for Non-Employee Directors and will be settled on the reporting person's retirement.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b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Remarks: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123"/>
        <w:gridCol w:w="2041"/>
        <w:gridCol w:w="2041"/>
      </w:tblGrid>
      <w:tr>
        <w:trPr/>
        <w:tc>
          <w:tcPr>
            <w:tcW w:w="61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  <w:t>Patrick A. Kirchner, by Power of Attorney</w:t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  <w:t>07/02/2019</w:t>
            </w:r>
          </w:p>
        </w:tc>
      </w:tr>
      <w:tr>
        <w:trPr/>
        <w:tc>
          <w:tcPr>
            <w:tcW w:w="61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** Signature of Reporting Person</w:t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Date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Reminder: Report on a separate line for each class of securities beneficially owned directly or indirectly.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* If the form is filed by more than one reporting person,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Instruction 4 (b)(v).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** Intentional misstatements or omissions of facts constitute Federal Criminal Violations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18 U.S.C. 1001 and 15 U.S.C. 78ff(a).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Note: File three copies of this Form, one of which must be manually signed. If space is insufficient,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Instruction 6 for procedure.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b/>
                <w:sz w:val="20"/>
              </w:rPr>
            </w:pPr>
            <w:r>
              <w:rPr>
                <w:rFonts w:ascii="arial;helvetica;sans-serif" w:hAnsi="arial;helvetica;sans-serif"/>
                <w:b/>
                <w:sz w:val="20"/>
              </w:rPr>
              <w:t>Persons who respond to the collection of information contained in this form are not required to respond unless the form displays a currently valid OMB Number.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 Unicode MS"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arial">
    <w:altName w:val="helvetica"/>
    <w:charset w:val="00"/>
    <w:family w:val="auto"/>
    <w:pitch w:val="default"/>
  </w:font>
  <w:font w:name="Times">
    <w:altName w:val="Times New Roman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Liberation Sans Unicode MS" w:hAnsi="Liberation Sans Unicode MS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">
    <w:name w:val="List"/>
    <w:basedOn w:val="TextBody"/>
    <w:pPr/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sec.gov/cgi-bin/browse-edgar?action=getcompany&amp;CIK=0001192460" TargetMode="External"/><Relationship Id="rId4" Type="http://schemas.openxmlformats.org/officeDocument/2006/relationships/hyperlink" Target="http://www.sec.gov/cgi-bin/browse-edgar?action=getcompany&amp;CIK=0001126328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LibreOffice/6.2.2.2$Linux_X86_64 LibreOffice_project/2b840030fec2aae0fd2658d8d4f9548af4e3518d</Application>
  <Pages>2</Pages>
  <Words>585</Words>
  <CharactersWithSpaces>3693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