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bookmarkStart w:id="0" w:name="page_1"/>
      <w:bookmarkStart w:id="1" w:name="outlook20131.htm"/>
      <w:bookmarkStart w:id="2" w:name="ksoutlook20131"/>
      <w:bookmarkStart w:id="3" w:name="page_1"/>
      <w:bookmarkStart w:id="4" w:name="outlook20131.htm"/>
      <w:bookmarkStart w:id="5" w:name="ksoutlook20131"/>
      <w:bookmarkEnd w:id="3"/>
      <w:bookmarkEnd w:id="4"/>
      <w:bookmarkEnd w:id="5"/>
    </w:p>
    <w:p>
      <w:pPr>
        <w:pStyle w:val="TextBody"/>
        <w:jc w:val="center"/>
        <w:rPr>
          <w:rFonts w:ascii="TimesNewRomanPS-BoldMT;Times New Roman;Times;serif" w:hAnsi="TimesNewRomanPS-BoldMT;Times New Roman;Times;serif"/>
          <w:b/>
          <w:sz w:val="36"/>
        </w:rPr>
      </w:pPr>
      <w:r>
        <w:rPr>
          <w:rFonts w:ascii="TimesNewRomanPS-BoldMT;Times New Roman;Times;serif" w:hAnsi="TimesNewRomanPS-BoldMT;Times New Roman;Times;serif"/>
          <w:b/>
          <w:sz w:val="36"/>
        </w:rPr>
        <w:t>SECURITIES AND EXCHANGE COMMISSION</w:t>
      </w:r>
    </w:p>
    <w:tbl>
      <w:tblPr>
        <w:tblW w:w="2821" w:type="dxa"/>
        <w:jc w:val="left"/>
        <w:tblInd w:w="0" w:type="dxa"/>
        <w:tblCellMar>
          <w:top w:w="28" w:type="dxa"/>
          <w:left w:w="28" w:type="dxa"/>
          <w:bottom w:w="28" w:type="dxa"/>
          <w:right w:w="28" w:type="dxa"/>
        </w:tblCellMar>
      </w:tblPr>
      <w:tblGrid>
        <w:gridCol w:w="2821"/>
      </w:tblGrid>
      <w:tr>
        <w:trPr/>
        <w:tc>
          <w:tcPr>
            <w:tcW w:w="2821" w:type="dxa"/>
            <w:tcBorders/>
            <w:shd w:fill="auto" w:val="clear"/>
            <w:vAlign w:val="center"/>
          </w:tcPr>
          <w:p>
            <w:pPr>
              <w:pStyle w:val="TableContents"/>
              <w:spacing w:before="0" w:after="283"/>
              <w:jc w:val="center"/>
              <w:rPr>
                <w:rFonts w:ascii="TimesNewRomanPS-BoldMT;Times New Roman;Times;serif" w:hAnsi="TimesNewRomanPS-BoldMT;Times New Roman;Times;serif"/>
                <w:b/>
                <w:sz w:val="20"/>
              </w:rPr>
            </w:pPr>
            <w:r>
              <w:rPr>
                <w:rFonts w:ascii="TimesNewRomanPS-BoldMT;Times New Roman;Times;serif" w:hAnsi="TimesNewRomanPS-BoldMT;Times New Roman;Times;serif"/>
                <w:b/>
                <w:sz w:val="20"/>
              </w:rPr>
              <w:t>Washington, D.C. 20549</w:t>
            </w:r>
          </w:p>
        </w:tc>
      </w:tr>
    </w:tbl>
    <w:tbl>
      <w:tblPr>
        <w:tblW w:w="2596" w:type="dxa"/>
        <w:jc w:val="left"/>
        <w:tblInd w:w="0" w:type="dxa"/>
        <w:tblCellMar>
          <w:top w:w="28" w:type="dxa"/>
          <w:left w:w="28" w:type="dxa"/>
          <w:bottom w:w="28" w:type="dxa"/>
          <w:right w:w="28" w:type="dxa"/>
        </w:tblCellMar>
      </w:tblPr>
      <w:tblGrid>
        <w:gridCol w:w="2596"/>
      </w:tblGrid>
      <w:tr>
        <w:trPr/>
        <w:tc>
          <w:tcPr>
            <w:tcW w:w="2596" w:type="dxa"/>
            <w:tcBorders/>
            <w:shd w:fill="auto" w:val="clear"/>
            <w:vAlign w:val="center"/>
          </w:tcPr>
          <w:p>
            <w:pPr>
              <w:pStyle w:val="TableContents"/>
              <w:spacing w:before="0" w:after="283"/>
              <w:jc w:val="center"/>
              <w:rPr/>
            </w:pPr>
            <w:r>
              <w:rPr>
                <w:rFonts w:ascii="TimesNewRomanPS-BoldMT;Times New Roman;Times;serif" w:hAnsi="TimesNewRomanPS-BoldMT;Times New Roman;Times;serif"/>
                <w:b/>
                <w:sz w:val="36"/>
              </w:rPr>
              <w:t>FORM 8-K</w:t>
            </w:r>
            <w:r>
              <w:rPr/>
              <w:br/>
              <w:br/>
            </w:r>
            <w:r>
              <w:rPr>
                <w:rFonts w:ascii="TimesNewRomanPS-BoldMT;Times New Roman;Times;serif" w:hAnsi="TimesNewRomanPS-BoldMT;Times New Roman;Times;serif"/>
                <w:b/>
                <w:sz w:val="24"/>
              </w:rPr>
              <w:t>CURRENT REPORT</w:t>
            </w:r>
          </w:p>
        </w:tc>
      </w:tr>
    </w:tbl>
    <w:tbl>
      <w:tblPr>
        <w:tblW w:w="5356" w:type="dxa"/>
        <w:jc w:val="left"/>
        <w:tblInd w:w="0" w:type="dxa"/>
        <w:tblCellMar>
          <w:top w:w="28" w:type="dxa"/>
          <w:left w:w="28" w:type="dxa"/>
          <w:bottom w:w="28" w:type="dxa"/>
          <w:right w:w="28" w:type="dxa"/>
        </w:tblCellMar>
      </w:tblPr>
      <w:tblGrid>
        <w:gridCol w:w="5356"/>
      </w:tblGrid>
      <w:tr>
        <w:trPr/>
        <w:tc>
          <w:tcPr>
            <w:tcW w:w="5356" w:type="dxa"/>
            <w:tcBorders/>
            <w:shd w:fill="auto" w:val="clear"/>
            <w:vAlign w:val="center"/>
          </w:tcPr>
          <w:p>
            <w:pPr>
              <w:pStyle w:val="TableContents"/>
              <w:spacing w:before="0" w:after="283"/>
              <w:jc w:val="center"/>
              <w:rPr/>
            </w:pPr>
            <w:r>
              <w:rPr>
                <w:rFonts w:ascii="TimesNewRomanPS-BoldMT;Times New Roman;Times;serif" w:hAnsi="TimesNewRomanPS-BoldMT;Times New Roman;Times;serif"/>
                <w:b/>
                <w:sz w:val="24"/>
              </w:rPr>
              <w:t>Pursuant to Section 13 or 15(d) of the</w:t>
            </w:r>
            <w:r>
              <w:rPr/>
              <w:br/>
            </w:r>
            <w:r>
              <w:rPr>
                <w:rFonts w:ascii="TimesNewRomanPS-BoldMT;Times New Roman;Times;serif" w:hAnsi="TimesNewRomanPS-BoldMT;Times New Roman;Times;serif"/>
                <w:b/>
                <w:sz w:val="24"/>
              </w:rPr>
              <w:t>Securities Exchange Act of 1934</w:t>
            </w:r>
            <w:r>
              <w:rPr/>
              <w:br/>
              <w:br/>
            </w:r>
            <w:r>
              <w:rPr>
                <w:rFonts w:ascii="TimesNewRomanPSMT;Times New Roman;Times;serif" w:hAnsi="TimesNewRomanPSMT;Times New Roman;Times;serif"/>
                <w:sz w:val="24"/>
              </w:rPr>
              <w:t xml:space="preserve">Date of Report: </w:t>
            </w:r>
            <w:r>
              <w:rPr>
                <w:rFonts w:ascii="TimesNewRomanPS-BoldMT;Times New Roman;Times;serif" w:hAnsi="TimesNewRomanPS-BoldMT;Times New Roman;Times;serif"/>
                <w:b/>
                <w:sz w:val="24"/>
              </w:rPr>
              <w:t>November 27, 2012</w:t>
            </w:r>
            <w:r>
              <w:rPr/>
              <w:br/>
            </w:r>
            <w:r>
              <w:rPr>
                <w:rFonts w:ascii="TimesNewRomanPSMT;Times New Roman;Times;serif" w:hAnsi="TimesNewRomanPSMT;Times New Roman;Times;serif"/>
                <w:sz w:val="24"/>
              </w:rPr>
              <w:t>(Date of earliest event reported)</w:t>
            </w:r>
          </w:p>
        </w:tc>
      </w:tr>
    </w:tbl>
    <w:p>
      <w:pPr>
        <w:pStyle w:val="TextBody"/>
        <w:jc w:val="center"/>
        <w:rPr>
          <w:rFonts w:ascii="TimesNewRomanPS-BoldMT;Times New Roman;Times;serif" w:hAnsi="TimesNewRomanPS-BoldMT;Times New Roman;Times;serif"/>
          <w:b/>
          <w:sz w:val="36"/>
        </w:rPr>
      </w:pPr>
      <w:r>
        <w:rPr>
          <w:rFonts w:ascii="TimesNewRomanPS-BoldMT;Times New Roman;Times;serif" w:hAnsi="TimesNewRomanPS-BoldMT;Times New Roman;Times;serif"/>
          <w:b/>
          <w:sz w:val="36"/>
        </w:rPr>
        <w:t>PRINCIPAL FINANCIAL GROUP, INC.</w:t>
      </w:r>
    </w:p>
    <w:p>
      <w:pPr>
        <w:pStyle w:val="TextBody"/>
        <w:jc w:val="center"/>
        <w:rPr>
          <w:rFonts w:ascii="TimesNewRomanPSMT;Times New Roman;Times;serif" w:hAnsi="TimesNewRomanPSMT;Times New Roman;Times;serif"/>
          <w:sz w:val="24"/>
        </w:rPr>
      </w:pPr>
      <w:r>
        <w:rPr>
          <w:rFonts w:ascii="TimesNewRomanPSMT;Times New Roman;Times;serif" w:hAnsi="TimesNewRomanPSMT;Times New Roman;Times;serif"/>
          <w:sz w:val="24"/>
        </w:rPr>
        <w:t>(Exact name of registrant as specified in its charter)</w:t>
      </w:r>
    </w:p>
    <w:tbl>
      <w:tblPr>
        <w:tblW w:w="10205" w:type="dxa"/>
        <w:jc w:val="left"/>
        <w:tblInd w:w="0" w:type="dxa"/>
        <w:tblCellMar>
          <w:top w:w="28" w:type="dxa"/>
          <w:left w:w="28" w:type="dxa"/>
          <w:bottom w:w="28" w:type="dxa"/>
          <w:right w:w="28" w:type="dxa"/>
        </w:tblCellMar>
      </w:tblPr>
      <w:tblGrid>
        <w:gridCol w:w="3156"/>
        <w:gridCol w:w="4643"/>
        <w:gridCol w:w="2406"/>
      </w:tblGrid>
      <w:tr>
        <w:trPr/>
        <w:tc>
          <w:tcPr>
            <w:tcW w:w="3156" w:type="dxa"/>
            <w:tcBorders/>
            <w:shd w:fill="auto" w:val="clear"/>
            <w:vAlign w:val="center"/>
          </w:tcPr>
          <w:p>
            <w:pPr>
              <w:pStyle w:val="TableContents"/>
              <w:spacing w:before="0" w:after="283"/>
              <w:rPr>
                <w:sz w:val="4"/>
                <w:szCs w:val="4"/>
              </w:rPr>
            </w:pPr>
            <w:r>
              <w:rPr>
                <w:sz w:val="4"/>
                <w:szCs w:val="4"/>
              </w:rPr>
            </w:r>
          </w:p>
        </w:tc>
        <w:tc>
          <w:tcPr>
            <w:tcW w:w="4643" w:type="dxa"/>
            <w:tcBorders/>
            <w:shd w:fill="auto" w:val="clear"/>
            <w:vAlign w:val="center"/>
          </w:tcPr>
          <w:p>
            <w:pPr>
              <w:pStyle w:val="TableContents"/>
              <w:spacing w:before="0" w:after="283"/>
              <w:rPr>
                <w:sz w:val="4"/>
                <w:szCs w:val="4"/>
              </w:rPr>
            </w:pPr>
            <w:r>
              <w:rPr>
                <w:sz w:val="4"/>
                <w:szCs w:val="4"/>
              </w:rPr>
            </w:r>
          </w:p>
        </w:tc>
        <w:tc>
          <w:tcPr>
            <w:tcW w:w="2406" w:type="dxa"/>
            <w:tcBorders/>
            <w:shd w:fill="auto" w:val="clear"/>
            <w:vAlign w:val="center"/>
          </w:tcPr>
          <w:p>
            <w:pPr>
              <w:pStyle w:val="TableContents"/>
              <w:spacing w:before="0" w:after="283"/>
              <w:rPr>
                <w:sz w:val="4"/>
                <w:szCs w:val="4"/>
              </w:rPr>
            </w:pPr>
            <w:r>
              <w:rPr>
                <w:sz w:val="4"/>
                <w:szCs w:val="4"/>
              </w:rPr>
            </w:r>
          </w:p>
        </w:tc>
      </w:tr>
      <w:tr>
        <w:trPr/>
        <w:tc>
          <w:tcPr>
            <w:tcW w:w="3156" w:type="dxa"/>
            <w:tcBorders/>
            <w:shd w:fill="auto" w:val="clear"/>
            <w:vAlign w:val="bottom"/>
          </w:tcPr>
          <w:p>
            <w:pPr>
              <w:pStyle w:val="TableContents"/>
              <w:spacing w:before="0" w:after="283"/>
              <w:jc w:val="center"/>
              <w:rPr/>
            </w:pPr>
            <w:r>
              <w:rPr>
                <w:rFonts w:ascii="TimesNewRomanPS-BoldMT;Times New Roman;Times;serif" w:hAnsi="TimesNewRomanPS-BoldMT;Times New Roman;Times;serif"/>
                <w:b/>
                <w:sz w:val="20"/>
              </w:rPr>
              <w:t>Delaware</w:t>
            </w:r>
            <w:r>
              <w:rPr/>
              <w:t> </w:t>
            </w:r>
          </w:p>
        </w:tc>
        <w:tc>
          <w:tcPr>
            <w:tcW w:w="4643" w:type="dxa"/>
            <w:tcBorders/>
            <w:shd w:fill="auto" w:val="clear"/>
            <w:vAlign w:val="bottom"/>
          </w:tcPr>
          <w:p>
            <w:pPr>
              <w:pStyle w:val="TableContents"/>
              <w:spacing w:before="0" w:after="283"/>
              <w:jc w:val="center"/>
              <w:rPr/>
            </w:pPr>
            <w:r>
              <w:rPr>
                <w:rFonts w:ascii="TimesNewRomanPS-BoldMT;Times New Roman;Times;serif" w:hAnsi="TimesNewRomanPS-BoldMT;Times New Roman;Times;serif"/>
                <w:b/>
                <w:sz w:val="20"/>
              </w:rPr>
              <w:t>1-16725</w:t>
            </w:r>
            <w:r>
              <w:rPr/>
              <w:t> </w:t>
            </w:r>
          </w:p>
        </w:tc>
        <w:tc>
          <w:tcPr>
            <w:tcW w:w="2406" w:type="dxa"/>
            <w:tcBorders/>
            <w:shd w:fill="auto" w:val="clear"/>
            <w:vAlign w:val="bottom"/>
          </w:tcPr>
          <w:p>
            <w:pPr>
              <w:pStyle w:val="TableContents"/>
              <w:spacing w:before="0" w:after="283"/>
              <w:jc w:val="center"/>
              <w:rPr/>
            </w:pPr>
            <w:r>
              <w:rPr>
                <w:rFonts w:ascii="TimesNewRomanPS-BoldMT;Times New Roman;Times;serif" w:hAnsi="TimesNewRomanPS-BoldMT;Times New Roman;Times;serif"/>
                <w:b/>
                <w:sz w:val="20"/>
              </w:rPr>
              <w:t>42-1520346</w:t>
            </w:r>
            <w:r>
              <w:rPr/>
              <w:t> </w:t>
            </w:r>
          </w:p>
        </w:tc>
      </w:tr>
      <w:tr>
        <w:trPr/>
        <w:tc>
          <w:tcPr>
            <w:tcW w:w="3156" w:type="dxa"/>
            <w:tcBorders/>
            <w:shd w:fill="auto" w:val="clear"/>
            <w:vAlign w:val="bottom"/>
          </w:tcPr>
          <w:p>
            <w:pPr>
              <w:pStyle w:val="TableContents"/>
              <w:spacing w:before="0" w:after="283"/>
              <w:ind w:left="0" w:right="0" w:firstLine="455"/>
              <w:jc w:val="center"/>
              <w:rPr/>
            </w:pPr>
            <w:r>
              <w:rPr>
                <w:rFonts w:ascii="TimesNewRomanPSMT;Times New Roman;Times;serif" w:hAnsi="TimesNewRomanPSMT;Times New Roman;Times;serif"/>
                <w:sz w:val="20"/>
              </w:rPr>
              <w:t>(State or other jurisdiction</w:t>
            </w:r>
            <w:r>
              <w:rPr/>
              <w:t> </w:t>
            </w:r>
          </w:p>
        </w:tc>
        <w:tc>
          <w:tcPr>
            <w:tcW w:w="4643" w:type="dxa"/>
            <w:tcBorders/>
            <w:shd w:fill="auto" w:val="clear"/>
            <w:vAlign w:val="bottom"/>
          </w:tcPr>
          <w:p>
            <w:pPr>
              <w:pStyle w:val="TableContents"/>
              <w:spacing w:before="0" w:after="283"/>
              <w:jc w:val="left"/>
              <w:rPr/>
            </w:pPr>
            <w:r>
              <w:rPr/>
              <w:t xml:space="preserve">           </w:t>
            </w:r>
            <w:r>
              <w:rPr>
                <w:rFonts w:ascii="TimesNewRomanPSMT;Times New Roman;Times;serif" w:hAnsi="TimesNewRomanPSMT;Times New Roman;Times;serif"/>
                <w:sz w:val="20"/>
              </w:rPr>
              <w:t>(Commission file number)</w:t>
            </w:r>
            <w:r>
              <w:rPr/>
              <w:t> </w:t>
            </w:r>
          </w:p>
        </w:tc>
        <w:tc>
          <w:tcPr>
            <w:tcW w:w="2406" w:type="dxa"/>
            <w:tcBorders/>
            <w:shd w:fill="auto" w:val="clear"/>
            <w:vAlign w:val="bottom"/>
          </w:tcPr>
          <w:p>
            <w:pPr>
              <w:pStyle w:val="TableContents"/>
              <w:spacing w:before="0" w:after="283"/>
              <w:jc w:val="center"/>
              <w:rPr/>
            </w:pPr>
            <w:r>
              <w:rPr>
                <w:rFonts w:ascii="TimesNewRomanPSMT;Times New Roman;Times;serif" w:hAnsi="TimesNewRomanPSMT;Times New Roman;Times;serif"/>
                <w:sz w:val="20"/>
              </w:rPr>
              <w:t>(I.R.S. Employer</w:t>
            </w:r>
            <w:r>
              <w:rPr/>
              <w:t> </w:t>
            </w:r>
          </w:p>
        </w:tc>
      </w:tr>
      <w:tr>
        <w:trPr/>
        <w:tc>
          <w:tcPr>
            <w:tcW w:w="3156" w:type="dxa"/>
            <w:tcBorders/>
            <w:shd w:fill="auto" w:val="clear"/>
            <w:vAlign w:val="bottom"/>
          </w:tcPr>
          <w:p>
            <w:pPr>
              <w:pStyle w:val="TableContents"/>
              <w:spacing w:before="0" w:after="283"/>
              <w:jc w:val="center"/>
              <w:rPr/>
            </w:pPr>
            <w:r>
              <w:rPr>
                <w:rFonts w:ascii="TimesNewRomanPSMT;Times New Roman;Times;serif" w:hAnsi="TimesNewRomanPSMT;Times New Roman;Times;serif"/>
                <w:sz w:val="20"/>
              </w:rPr>
              <w:t>of incorporation)</w:t>
            </w:r>
            <w:r>
              <w:rPr/>
              <w:t> </w:t>
            </w:r>
          </w:p>
        </w:tc>
        <w:tc>
          <w:tcPr>
            <w:tcW w:w="4643" w:type="dxa"/>
            <w:tcBorders/>
            <w:shd w:fill="auto" w:val="clear"/>
            <w:vAlign w:val="bottom"/>
          </w:tcPr>
          <w:p>
            <w:pPr>
              <w:pStyle w:val="TableContents"/>
              <w:spacing w:before="0" w:after="283"/>
              <w:jc w:val="left"/>
              <w:rPr/>
            </w:pPr>
            <w:r>
              <w:rPr/>
              <w:t> </w:t>
            </w:r>
          </w:p>
        </w:tc>
        <w:tc>
          <w:tcPr>
            <w:tcW w:w="2406" w:type="dxa"/>
            <w:tcBorders/>
            <w:shd w:fill="auto" w:val="clear"/>
            <w:vAlign w:val="bottom"/>
          </w:tcPr>
          <w:p>
            <w:pPr>
              <w:pStyle w:val="TableContents"/>
              <w:spacing w:before="0" w:after="283"/>
              <w:jc w:val="center"/>
              <w:rPr/>
            </w:pPr>
            <w:r>
              <w:rPr>
                <w:rFonts w:ascii="TimesNewRomanPSMT;Times New Roman;Times;serif" w:hAnsi="TimesNewRomanPSMT;Times New Roman;Times;serif"/>
                <w:sz w:val="20"/>
              </w:rPr>
              <w:t>Identification Number)</w:t>
            </w:r>
            <w:r>
              <w:rPr/>
              <w:t> </w:t>
            </w:r>
          </w:p>
        </w:tc>
      </w:tr>
      <w:tr>
        <w:trPr/>
        <w:tc>
          <w:tcPr>
            <w:tcW w:w="10205" w:type="dxa"/>
            <w:gridSpan w:val="3"/>
            <w:tcBorders/>
            <w:shd w:fill="auto" w:val="clear"/>
            <w:vAlign w:val="center"/>
          </w:tcPr>
          <w:p>
            <w:pPr>
              <w:pStyle w:val="TableContents"/>
              <w:spacing w:before="0" w:after="283"/>
              <w:rPr/>
            </w:pPr>
            <w:r>
              <w:rPr/>
              <w:t> </w:t>
            </w:r>
          </w:p>
        </w:tc>
      </w:tr>
      <w:tr>
        <w:trPr/>
        <w:tc>
          <w:tcPr>
            <w:tcW w:w="3156" w:type="dxa"/>
            <w:tcBorders/>
            <w:shd w:fill="auto" w:val="clear"/>
            <w:vAlign w:val="bottom"/>
          </w:tcPr>
          <w:p>
            <w:pPr>
              <w:pStyle w:val="TableContents"/>
              <w:spacing w:before="0" w:after="283"/>
              <w:jc w:val="left"/>
              <w:rPr/>
            </w:pPr>
            <w:r>
              <w:rPr/>
              <w:t> </w:t>
            </w:r>
          </w:p>
        </w:tc>
        <w:tc>
          <w:tcPr>
            <w:tcW w:w="7049" w:type="dxa"/>
            <w:gridSpan w:val="2"/>
            <w:tcBorders/>
            <w:shd w:fill="auto" w:val="clear"/>
            <w:vAlign w:val="bottom"/>
          </w:tcPr>
          <w:p>
            <w:pPr>
              <w:pStyle w:val="TableContents"/>
              <w:spacing w:before="0" w:after="283"/>
              <w:jc w:val="left"/>
              <w:rPr/>
            </w:pPr>
            <w:r>
              <w:rPr/>
              <w:t>         </w:t>
            </w:r>
            <w:r>
              <w:rPr>
                <w:rFonts w:ascii="TimesNewRomanPS-BoldMT;Times New Roman;Times;serif" w:hAnsi="TimesNewRomanPS-BoldMT;Times New Roman;Times;serif"/>
                <w:b/>
                <w:sz w:val="20"/>
              </w:rPr>
              <w:t>711 High Street, Des Moines, Iowa 50392</w:t>
            </w:r>
            <w:r>
              <w:rPr/>
              <w:t> </w:t>
            </w:r>
          </w:p>
        </w:tc>
      </w:tr>
      <w:tr>
        <w:trPr/>
        <w:tc>
          <w:tcPr>
            <w:tcW w:w="3156" w:type="dxa"/>
            <w:tcBorders/>
            <w:shd w:fill="auto" w:val="clear"/>
            <w:vAlign w:val="bottom"/>
          </w:tcPr>
          <w:p>
            <w:pPr>
              <w:pStyle w:val="TableContents"/>
              <w:spacing w:before="0" w:after="283"/>
              <w:jc w:val="left"/>
              <w:rPr/>
            </w:pPr>
            <w:r>
              <w:rPr/>
              <w:t> </w:t>
            </w:r>
          </w:p>
        </w:tc>
        <w:tc>
          <w:tcPr>
            <w:tcW w:w="4643" w:type="dxa"/>
            <w:tcBorders/>
            <w:shd w:fill="auto" w:val="clear"/>
            <w:vAlign w:val="bottom"/>
          </w:tcPr>
          <w:p>
            <w:pPr>
              <w:pStyle w:val="TableContents"/>
              <w:spacing w:before="0" w:after="283"/>
              <w:jc w:val="center"/>
              <w:rPr/>
            </w:pPr>
            <w:r>
              <w:rPr>
                <w:rFonts w:ascii="TimesNewRomanPSMT;Times New Roman;Times;serif" w:hAnsi="TimesNewRomanPSMT;Times New Roman;Times;serif"/>
                <w:sz w:val="20"/>
              </w:rPr>
              <w:t>(Address of principal executive offices)</w:t>
            </w:r>
            <w:r>
              <w:rPr/>
              <w:t> </w:t>
            </w:r>
          </w:p>
        </w:tc>
        <w:tc>
          <w:tcPr>
            <w:tcW w:w="2406" w:type="dxa"/>
            <w:tcBorders/>
            <w:shd w:fill="auto" w:val="clear"/>
            <w:vAlign w:val="bottom"/>
          </w:tcPr>
          <w:p>
            <w:pPr>
              <w:pStyle w:val="TableContents"/>
              <w:spacing w:before="0" w:after="283"/>
              <w:jc w:val="left"/>
              <w:rPr/>
            </w:pPr>
            <w:r>
              <w:rPr/>
              <w:t> </w:t>
            </w:r>
          </w:p>
        </w:tc>
      </w:tr>
      <w:tr>
        <w:trPr/>
        <w:tc>
          <w:tcPr>
            <w:tcW w:w="10205" w:type="dxa"/>
            <w:gridSpan w:val="3"/>
            <w:tcBorders/>
            <w:shd w:fill="auto" w:val="clear"/>
            <w:vAlign w:val="center"/>
          </w:tcPr>
          <w:p>
            <w:pPr>
              <w:pStyle w:val="TableContents"/>
              <w:spacing w:before="0" w:after="283"/>
              <w:rPr/>
            </w:pPr>
            <w:r>
              <w:rPr/>
              <w:t> </w:t>
            </w:r>
          </w:p>
        </w:tc>
      </w:tr>
      <w:tr>
        <w:trPr/>
        <w:tc>
          <w:tcPr>
            <w:tcW w:w="3156" w:type="dxa"/>
            <w:tcBorders/>
            <w:shd w:fill="auto" w:val="clear"/>
            <w:vAlign w:val="bottom"/>
          </w:tcPr>
          <w:p>
            <w:pPr>
              <w:pStyle w:val="TableContents"/>
              <w:spacing w:before="0" w:after="283"/>
              <w:jc w:val="left"/>
              <w:rPr/>
            </w:pPr>
            <w:r>
              <w:rPr/>
              <w:t> </w:t>
            </w:r>
          </w:p>
        </w:tc>
        <w:tc>
          <w:tcPr>
            <w:tcW w:w="4643" w:type="dxa"/>
            <w:tcBorders/>
            <w:shd w:fill="auto" w:val="clear"/>
            <w:vAlign w:val="bottom"/>
          </w:tcPr>
          <w:p>
            <w:pPr>
              <w:pStyle w:val="TableContents"/>
              <w:spacing w:before="0" w:after="283"/>
              <w:jc w:val="center"/>
              <w:rPr/>
            </w:pPr>
            <w:r>
              <w:rPr>
                <w:rFonts w:ascii="TimesNewRomanPS-BoldMT;Times New Roman;Times;serif" w:hAnsi="TimesNewRomanPS-BoldMT;Times New Roman;Times;serif"/>
                <w:b/>
                <w:sz w:val="20"/>
              </w:rPr>
              <w:t>(515) 247-5111</w:t>
            </w:r>
            <w:r>
              <w:rPr/>
              <w:t> </w:t>
            </w:r>
          </w:p>
        </w:tc>
        <w:tc>
          <w:tcPr>
            <w:tcW w:w="2406" w:type="dxa"/>
            <w:tcBorders/>
            <w:shd w:fill="auto" w:val="clear"/>
            <w:vAlign w:val="bottom"/>
          </w:tcPr>
          <w:p>
            <w:pPr>
              <w:pStyle w:val="TableContents"/>
              <w:spacing w:before="0" w:after="283"/>
              <w:jc w:val="left"/>
              <w:rPr/>
            </w:pPr>
            <w:r>
              <w:rPr/>
              <w:t> </w:t>
            </w:r>
          </w:p>
        </w:tc>
      </w:tr>
      <w:tr>
        <w:trPr/>
        <w:tc>
          <w:tcPr>
            <w:tcW w:w="3156" w:type="dxa"/>
            <w:tcBorders/>
            <w:shd w:fill="auto" w:val="clear"/>
            <w:vAlign w:val="bottom"/>
          </w:tcPr>
          <w:p>
            <w:pPr>
              <w:pStyle w:val="TableContents"/>
              <w:spacing w:before="0" w:after="283"/>
              <w:jc w:val="left"/>
              <w:rPr/>
            </w:pPr>
            <w:r>
              <w:rPr/>
              <w:t> </w:t>
            </w:r>
          </w:p>
        </w:tc>
        <w:tc>
          <w:tcPr>
            <w:tcW w:w="7049" w:type="dxa"/>
            <w:gridSpan w:val="2"/>
            <w:tcBorders/>
            <w:shd w:fill="auto" w:val="clear"/>
            <w:vAlign w:val="bottom"/>
          </w:tcPr>
          <w:p>
            <w:pPr>
              <w:pStyle w:val="TableContents"/>
              <w:spacing w:before="0" w:after="283"/>
              <w:jc w:val="left"/>
              <w:rPr/>
            </w:pPr>
            <w:r>
              <w:rPr/>
              <w:t>  </w:t>
            </w:r>
            <w:r>
              <w:rPr>
                <w:rFonts w:ascii="TimesNewRomanPSMT;Times New Roman;Times;serif" w:hAnsi="TimesNewRomanPSMT;Times New Roman;Times;serif"/>
                <w:sz w:val="20"/>
              </w:rPr>
              <w:t>(Registrant’s telephone number, including area code)</w:t>
            </w:r>
            <w:r>
              <w:rPr/>
              <w:t> </w:t>
            </w:r>
          </w:p>
        </w:tc>
      </w:tr>
    </w:tbl>
    <w:p>
      <w:pPr>
        <w:pStyle w:val="TextBody"/>
        <w:spacing w:before="0" w:after="0"/>
        <w:ind w:left="0" w:right="0" w:hanging="0"/>
        <w:rPr/>
      </w:pPr>
      <w:r>
        <w:rPr/>
        <w:t> </w:t>
      </w:r>
    </w:p>
    <w:p>
      <w:pPr>
        <w:pStyle w:val="TextBody"/>
        <w:jc w:val="left"/>
        <w:rPr>
          <w:rFonts w:ascii="TimesNewRomanPSMT;Times New Roman;Times;serif" w:hAnsi="TimesNewRomanPSMT;Times New Roman;Times;serif"/>
          <w:sz w:val="20"/>
        </w:rPr>
      </w:pPr>
      <w:r>
        <w:rPr>
          <w:rFonts w:ascii="TimesNewRomanPSMT;Times New Roman;Times;serif" w:hAnsi="TimesNewRomanPSMT;Times New Roman;Times;serif"/>
          <w:sz w:val="20"/>
        </w:rPr>
        <w:t>Check the appropriate box below if the Form 8-K filing is intended to simultaneously satisfy the filing obligation of the registrant under any of the following provisions:</w:t>
      </w:r>
    </w:p>
    <w:tbl>
      <w:tblPr>
        <w:tblW w:w="10155" w:type="dxa"/>
        <w:jc w:val="left"/>
        <w:tblInd w:w="0" w:type="dxa"/>
        <w:tblCellMar>
          <w:top w:w="28" w:type="dxa"/>
          <w:left w:w="28" w:type="dxa"/>
          <w:bottom w:w="28" w:type="dxa"/>
          <w:right w:w="28" w:type="dxa"/>
        </w:tblCellMar>
      </w:tblPr>
      <w:tblGrid>
        <w:gridCol w:w="615"/>
        <w:gridCol w:w="9540"/>
      </w:tblGrid>
      <w:tr>
        <w:trPr/>
        <w:tc>
          <w:tcPr>
            <w:tcW w:w="615" w:type="dxa"/>
            <w:tcBorders/>
            <w:shd w:fill="auto" w:val="clear"/>
            <w:vAlign w:val="center"/>
          </w:tcPr>
          <w:p>
            <w:pPr>
              <w:pStyle w:val="TableContents"/>
              <w:spacing w:before="0" w:after="283"/>
              <w:rPr>
                <w:sz w:val="4"/>
                <w:szCs w:val="4"/>
              </w:rPr>
            </w:pPr>
            <w:r>
              <w:rPr>
                <w:sz w:val="4"/>
                <w:szCs w:val="4"/>
              </w:rPr>
            </w:r>
          </w:p>
        </w:tc>
        <w:tc>
          <w:tcPr>
            <w:tcW w:w="9540" w:type="dxa"/>
            <w:tcBorders/>
            <w:shd w:fill="auto" w:val="clear"/>
            <w:vAlign w:val="center"/>
          </w:tcPr>
          <w:p>
            <w:pPr>
              <w:pStyle w:val="TableContents"/>
              <w:spacing w:before="0" w:after="283"/>
              <w:rPr>
                <w:sz w:val="4"/>
                <w:szCs w:val="4"/>
              </w:rPr>
            </w:pPr>
            <w:r>
              <w:rPr>
                <w:sz w:val="4"/>
                <w:szCs w:val="4"/>
              </w:rPr>
            </w:r>
          </w:p>
        </w:tc>
      </w:tr>
      <w:tr>
        <w:trPr/>
        <w:tc>
          <w:tcPr>
            <w:tcW w:w="615"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    ]</w:t>
            </w: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Written communications pursuant to Rule 425 under the Securities Act (17 CFR 230.425)</w:t>
            </w:r>
            <w:r>
              <w:rPr/>
              <w:t> </w:t>
            </w:r>
          </w:p>
        </w:tc>
      </w:tr>
      <w:tr>
        <w:trPr/>
        <w:tc>
          <w:tcPr>
            <w:tcW w:w="615"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    ]</w:t>
            </w: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Soliciting material pursuant to Rule 14a-12 under the Exchange Act (17 CFR 240.14a-12)</w:t>
            </w:r>
            <w:r>
              <w:rPr/>
              <w:t> </w:t>
            </w:r>
          </w:p>
        </w:tc>
      </w:tr>
      <w:tr>
        <w:trPr/>
        <w:tc>
          <w:tcPr>
            <w:tcW w:w="615"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    ]</w:t>
            </w: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Pre-commencement communications pursuant to Rule 14d-2(b) under the Exchange Act (17 CFR</w:t>
            </w:r>
            <w:r>
              <w:rPr/>
              <w:t> </w:t>
            </w:r>
          </w:p>
        </w:tc>
      </w:tr>
      <w:tr>
        <w:trPr/>
        <w:tc>
          <w:tcPr>
            <w:tcW w:w="615" w:type="dxa"/>
            <w:tcBorders/>
            <w:shd w:fill="auto" w:val="clear"/>
            <w:vAlign w:val="bottom"/>
          </w:tcPr>
          <w:p>
            <w:pPr>
              <w:pStyle w:val="TableContents"/>
              <w:spacing w:before="0" w:after="283"/>
              <w:ind w:left="0" w:right="0" w:firstLine="1"/>
              <w:jc w:val="left"/>
              <w:rPr/>
            </w:pP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240.14d-2(b))</w:t>
            </w:r>
            <w:r>
              <w:rPr/>
              <w:t> </w:t>
            </w:r>
          </w:p>
        </w:tc>
      </w:tr>
      <w:tr>
        <w:trPr/>
        <w:tc>
          <w:tcPr>
            <w:tcW w:w="615"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    ]</w:t>
            </w: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Pre-commencement communications pursuant to Rule 13e-4(c) under the Exchange Act (17 CFR</w:t>
            </w:r>
            <w:r>
              <w:rPr/>
              <w:t> </w:t>
            </w:r>
          </w:p>
        </w:tc>
      </w:tr>
      <w:tr>
        <w:trPr/>
        <w:tc>
          <w:tcPr>
            <w:tcW w:w="615" w:type="dxa"/>
            <w:tcBorders/>
            <w:shd w:fill="auto" w:val="clear"/>
            <w:vAlign w:val="bottom"/>
          </w:tcPr>
          <w:p>
            <w:pPr>
              <w:pStyle w:val="TableContents"/>
              <w:spacing w:before="0" w:after="283"/>
              <w:ind w:left="0" w:right="0" w:firstLine="1"/>
              <w:jc w:val="left"/>
              <w:rPr/>
            </w:pPr>
            <w:r>
              <w:rPr/>
              <w:t> </w:t>
            </w:r>
          </w:p>
        </w:tc>
        <w:tc>
          <w:tcPr>
            <w:tcW w:w="9540"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240.13e-4(c))</w:t>
            </w:r>
            <w:r>
              <w:rPr/>
              <w:t> </w:t>
            </w:r>
          </w:p>
        </w:tc>
      </w:tr>
    </w:tbl>
    <w:p>
      <w:pPr>
        <w:pStyle w:val="TextBody"/>
        <w:spacing w:before="0" w:after="0"/>
        <w:ind w:left="0" w:right="0" w:hanging="0"/>
        <w:rPr/>
      </w:pPr>
      <w:r>
        <w:rPr/>
        <w:t> </w:t>
      </w:r>
    </w:p>
    <w:p>
      <w:pPr>
        <w:pStyle w:val="HorizontalLine"/>
        <w:pBdr>
          <w:bottom w:val="single" w:sz="12" w:space="0" w:color="808080"/>
        </w:pBdr>
        <w:rPr/>
      </w:pPr>
      <w:r>
        <w:rPr/>
      </w:r>
    </w:p>
    <w:p>
      <w:pPr>
        <w:pStyle w:val="TextBody"/>
        <w:spacing w:before="0" w:after="0"/>
        <w:rPr/>
      </w:pPr>
      <w:r>
        <w:rPr/>
      </w:r>
      <w:bookmarkStart w:id="6" w:name="page_2"/>
      <w:bookmarkStart w:id="7" w:name="page_2"/>
      <w:bookmarkEnd w:id="7"/>
    </w:p>
    <w:tbl>
      <w:tblPr>
        <w:tblW w:w="13531" w:type="dxa"/>
        <w:jc w:val="left"/>
        <w:tblInd w:w="0" w:type="dxa"/>
        <w:tblCellMar>
          <w:top w:w="28" w:type="dxa"/>
          <w:left w:w="28" w:type="dxa"/>
          <w:bottom w:w="28" w:type="dxa"/>
          <w:right w:w="28" w:type="dxa"/>
        </w:tblCellMar>
      </w:tblPr>
      <w:tblGrid>
        <w:gridCol w:w="4950"/>
        <w:gridCol w:w="5801"/>
        <w:gridCol w:w="2780"/>
      </w:tblGrid>
      <w:tr>
        <w:trPr/>
        <w:tc>
          <w:tcPr>
            <w:tcW w:w="4950" w:type="dxa"/>
            <w:tcBorders/>
            <w:shd w:fill="auto" w:val="clear"/>
            <w:vAlign w:val="center"/>
          </w:tcPr>
          <w:p>
            <w:pPr>
              <w:pStyle w:val="TableContents"/>
              <w:spacing w:before="0" w:after="283"/>
              <w:rPr>
                <w:sz w:val="4"/>
                <w:szCs w:val="4"/>
              </w:rPr>
            </w:pPr>
            <w:r>
              <w:rPr>
                <w:sz w:val="4"/>
                <w:szCs w:val="4"/>
              </w:rPr>
            </w:r>
          </w:p>
        </w:tc>
        <w:tc>
          <w:tcPr>
            <w:tcW w:w="5801" w:type="dxa"/>
            <w:tcBorders/>
            <w:shd w:fill="auto" w:val="clear"/>
            <w:vAlign w:val="center"/>
          </w:tcPr>
          <w:p>
            <w:pPr>
              <w:pStyle w:val="TableContents"/>
              <w:spacing w:before="0" w:after="283"/>
              <w:rPr>
                <w:sz w:val="4"/>
                <w:szCs w:val="4"/>
              </w:rPr>
            </w:pPr>
            <w:r>
              <w:rPr>
                <w:sz w:val="4"/>
                <w:szCs w:val="4"/>
              </w:rPr>
            </w:r>
          </w:p>
        </w:tc>
        <w:tc>
          <w:tcPr>
            <w:tcW w:w="2780" w:type="dxa"/>
            <w:tcBorders/>
            <w:shd w:fill="auto" w:val="clear"/>
            <w:vAlign w:val="center"/>
          </w:tcPr>
          <w:p>
            <w:pPr>
              <w:pStyle w:val="TableContents"/>
              <w:spacing w:before="0" w:after="283"/>
              <w:rPr>
                <w:sz w:val="4"/>
                <w:szCs w:val="4"/>
              </w:rPr>
            </w:pPr>
            <w:r>
              <w:rPr>
                <w:sz w:val="4"/>
                <w:szCs w:val="4"/>
              </w:rPr>
            </w:r>
          </w:p>
        </w:tc>
      </w:tr>
      <w:tr>
        <w:trPr/>
        <w:tc>
          <w:tcPr>
            <w:tcW w:w="4950"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4"/>
              </w:rPr>
              <w:t>Item 7.01</w:t>
            </w:r>
            <w:r>
              <w:rPr/>
              <w:t> </w:t>
            </w:r>
          </w:p>
        </w:tc>
        <w:tc>
          <w:tcPr>
            <w:tcW w:w="5801"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4"/>
              </w:rPr>
              <w:t>Regulation FD Disclosure</w:t>
            </w:r>
            <w:r>
              <w:rPr/>
              <w:t> </w:t>
            </w:r>
          </w:p>
        </w:tc>
        <w:tc>
          <w:tcPr>
            <w:tcW w:w="2780" w:type="dxa"/>
            <w:tcBorders/>
            <w:shd w:fill="auto" w:val="clear"/>
            <w:vAlign w:val="bottom"/>
          </w:tcPr>
          <w:p>
            <w:pPr>
              <w:pStyle w:val="TableContents"/>
              <w:spacing w:before="0" w:after="283"/>
              <w:jc w:val="left"/>
              <w:rPr/>
            </w:pP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The following information is being furnished under Item 7.01 "Regulation FD Disclosure." This information</w:t>
            </w: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shall not be deemed "filed" for purposes of Section 18 of the Securities Exchange Act of 1934, as amended (the</w:t>
            </w: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"Exchange Act") or otherwise subject to the liabilities of that section, nor shall it be deemed incorporated by</w:t>
            </w: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reference in any filing under the Securities Act of 1933, as amended, or the Exchange Act, except as shall be</w:t>
            </w: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expressly set forth by specific reference in such a filing.</w:t>
            </w:r>
            <w:r>
              <w:rPr/>
              <w:t> </w:t>
            </w:r>
          </w:p>
        </w:tc>
      </w:tr>
      <w:tr>
        <w:trPr/>
        <w:tc>
          <w:tcPr>
            <w:tcW w:w="13531" w:type="dxa"/>
            <w:gridSpan w:val="3"/>
            <w:tcBorders/>
            <w:shd w:fill="auto" w:val="clear"/>
            <w:vAlign w:val="bottom"/>
          </w:tcPr>
          <w:p>
            <w:pPr>
              <w:pStyle w:val="TableContents"/>
              <w:spacing w:before="240" w:after="283"/>
              <w:jc w:val="left"/>
              <w:rPr/>
            </w:pPr>
            <w:r>
              <w:rPr>
                <w:rFonts w:ascii="TimesNewRomanPSMT;Times New Roman;Times;serif" w:hAnsi="TimesNewRomanPSMT;Times New Roman;Times;serif"/>
                <w:sz w:val="24"/>
              </w:rPr>
              <w:t>On November 27, 2012, Principal Financial Group, Inc. announced its outlook for 2013. The text of the</w:t>
            </w:r>
            <w:r>
              <w:rPr/>
              <w:t> </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announcement is included herewith as Exhibit 99.</w:t>
            </w:r>
            <w:r>
              <w:rPr/>
              <w:t> </w:t>
            </w:r>
          </w:p>
        </w:tc>
      </w:tr>
      <w:tr>
        <w:trPr/>
        <w:tc>
          <w:tcPr>
            <w:tcW w:w="4950" w:type="dxa"/>
            <w:tcBorders/>
            <w:shd w:fill="auto" w:val="clear"/>
            <w:vAlign w:val="bottom"/>
          </w:tcPr>
          <w:p>
            <w:pPr>
              <w:pStyle w:val="TableContents"/>
              <w:spacing w:before="240" w:after="160"/>
              <w:ind w:left="0" w:right="0" w:hanging="0"/>
              <w:jc w:val="left"/>
              <w:rPr/>
            </w:pPr>
            <w:r>
              <w:rPr>
                <w:rFonts w:ascii="TimesNewRomanPS-BoldMT;Times New Roman;Times;serif" w:hAnsi="TimesNewRomanPS-BoldMT;Times New Roman;Times;serif"/>
                <w:b/>
                <w:sz w:val="24"/>
              </w:rPr>
              <w:t>Item 9.01</w:t>
            </w:r>
            <w:r>
              <w:rPr/>
              <w:t> </w:t>
            </w:r>
          </w:p>
        </w:tc>
        <w:tc>
          <w:tcPr>
            <w:tcW w:w="8581" w:type="dxa"/>
            <w:gridSpan w:val="2"/>
            <w:tcBorders/>
            <w:shd w:fill="auto" w:val="clear"/>
            <w:vAlign w:val="bottom"/>
          </w:tcPr>
          <w:p>
            <w:pPr>
              <w:pStyle w:val="TableContents"/>
              <w:spacing w:before="240" w:after="160"/>
              <w:jc w:val="left"/>
              <w:rPr/>
            </w:pPr>
            <w:r>
              <w:rPr>
                <w:rFonts w:ascii="TimesNewRomanPS-BoldMT;Times New Roman;Times;serif" w:hAnsi="TimesNewRomanPS-BoldMT;Times New Roman;Times;serif"/>
                <w:b/>
                <w:sz w:val="24"/>
              </w:rPr>
              <w:t>Financial Statements and Exhibits</w:t>
            </w:r>
            <w:r>
              <w:rPr/>
              <w:t> </w:t>
            </w:r>
          </w:p>
        </w:tc>
      </w:tr>
      <w:tr>
        <w:trPr/>
        <w:tc>
          <w:tcPr>
            <w:tcW w:w="4950"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4"/>
              </w:rPr>
              <w:t>Exhibit 99</w:t>
            </w:r>
            <w:r>
              <w:rPr/>
              <w:t> </w:t>
            </w:r>
          </w:p>
        </w:tc>
        <w:tc>
          <w:tcPr>
            <w:tcW w:w="8581" w:type="dxa"/>
            <w:gridSpan w:val="2"/>
            <w:tcBorders/>
            <w:shd w:fill="auto" w:val="clear"/>
            <w:vAlign w:val="bottom"/>
          </w:tcPr>
          <w:p>
            <w:pPr>
              <w:pStyle w:val="TableContents"/>
              <w:spacing w:before="0" w:after="283"/>
              <w:jc w:val="left"/>
              <w:rPr/>
            </w:pPr>
            <w:r>
              <w:rPr>
                <w:rFonts w:ascii="TimesNewRomanPSMT;Times New Roman;Times;serif" w:hAnsi="TimesNewRomanPSMT;Times New Roman;Times;serif"/>
                <w:sz w:val="24"/>
              </w:rPr>
              <w:t>Press Release Concerning 2013 Outlook Dated November 27, 2012</w:t>
            </w:r>
            <w:r>
              <w:rPr/>
              <w:t> </w:t>
            </w:r>
          </w:p>
        </w:tc>
      </w:tr>
      <w:tr>
        <w:trPr/>
        <w:tc>
          <w:tcPr>
            <w:tcW w:w="13531" w:type="dxa"/>
            <w:gridSpan w:val="3"/>
            <w:tcBorders/>
            <w:shd w:fill="auto" w:val="clear"/>
            <w:vAlign w:val="center"/>
          </w:tcPr>
          <w:p>
            <w:pPr>
              <w:pStyle w:val="TableContents"/>
              <w:spacing w:before="0" w:after="283"/>
              <w:rPr/>
            </w:pPr>
            <w:r>
              <w:rPr/>
              <w:t> </w:t>
            </w:r>
          </w:p>
        </w:tc>
      </w:tr>
      <w:tr>
        <w:trPr/>
        <w:tc>
          <w:tcPr>
            <w:tcW w:w="13531" w:type="dxa"/>
            <w:gridSpan w:val="3"/>
            <w:tcBorders/>
            <w:shd w:fill="auto" w:val="clear"/>
            <w:vAlign w:val="bottom"/>
          </w:tcPr>
          <w:p>
            <w:pPr>
              <w:pStyle w:val="TableContents"/>
              <w:spacing w:before="0" w:after="240"/>
              <w:jc w:val="center"/>
              <w:rPr>
                <w:rFonts w:ascii="TimesNewRomanPSMT;Times New Roman;Times;serif" w:hAnsi="TimesNewRomanPSMT;Times New Roman;Times;serif"/>
                <w:sz w:val="24"/>
              </w:rPr>
            </w:pPr>
            <w:r>
              <w:rPr>
                <w:rFonts w:ascii="TimesNewRomanPSMT;Times New Roman;Times;serif" w:hAnsi="TimesNewRomanPSMT;Times New Roman;Times;serif"/>
                <w:sz w:val="24"/>
              </w:rPr>
              <w:t>SIGNATURE</w:t>
            </w:r>
          </w:p>
        </w:tc>
      </w:tr>
      <w:tr>
        <w:trPr/>
        <w:tc>
          <w:tcPr>
            <w:tcW w:w="13531" w:type="dxa"/>
            <w:gridSpan w:val="3"/>
            <w:tcBorders/>
            <w:shd w:fill="auto" w:val="clear"/>
            <w:vAlign w:val="bottom"/>
          </w:tcPr>
          <w:p>
            <w:pPr>
              <w:pStyle w:val="TableContents"/>
              <w:spacing w:before="0" w:after="283"/>
              <w:jc w:val="left"/>
              <w:rPr/>
            </w:pPr>
            <w:r>
              <w:rPr>
                <w:rFonts w:ascii="TimesNewRomanPSMT;Times New Roman;Times;serif" w:hAnsi="TimesNewRomanPSMT;Times New Roman;Times;serif"/>
                <w:sz w:val="24"/>
              </w:rPr>
              <w:t>Pursuant to the requirements of the Securities Exchange Act of 1934, the registrant has duly caused this report</w:t>
            </w:r>
            <w:r>
              <w:rPr/>
              <w:t> </w:t>
            </w:r>
          </w:p>
        </w:tc>
      </w:tr>
      <w:tr>
        <w:trPr/>
        <w:tc>
          <w:tcPr>
            <w:tcW w:w="13531" w:type="dxa"/>
            <w:gridSpan w:val="3"/>
            <w:tcBorders/>
            <w:shd w:fill="auto" w:val="clear"/>
            <w:vAlign w:val="bottom"/>
          </w:tcPr>
          <w:p>
            <w:pPr>
              <w:pStyle w:val="TableContents"/>
              <w:spacing w:before="0" w:after="240"/>
              <w:jc w:val="left"/>
              <w:rPr/>
            </w:pPr>
            <w:r>
              <w:rPr>
                <w:rFonts w:ascii="TimesNewRomanPSMT;Times New Roman;Times;serif" w:hAnsi="TimesNewRomanPSMT;Times New Roman;Times;serif"/>
                <w:sz w:val="24"/>
              </w:rPr>
              <w:t>to be signed on its behalf by the undersigned thereunto duly authorized.</w:t>
            </w:r>
            <w:r>
              <w:rPr/>
              <w:t> </w:t>
            </w:r>
          </w:p>
        </w:tc>
      </w:tr>
      <w:tr>
        <w:trPr/>
        <w:tc>
          <w:tcPr>
            <w:tcW w:w="4950" w:type="dxa"/>
            <w:tcBorders/>
            <w:shd w:fill="auto" w:val="clear"/>
            <w:vAlign w:val="bottom"/>
          </w:tcPr>
          <w:p>
            <w:pPr>
              <w:pStyle w:val="TableContents"/>
              <w:spacing w:before="0" w:after="283"/>
              <w:ind w:left="0" w:right="0" w:firstLine="2880"/>
              <w:jc w:val="left"/>
              <w:rPr/>
            </w:pPr>
            <w:r>
              <w:rPr/>
              <w:t> </w:t>
            </w:r>
          </w:p>
        </w:tc>
        <w:tc>
          <w:tcPr>
            <w:tcW w:w="8581" w:type="dxa"/>
            <w:gridSpan w:val="2"/>
            <w:tcBorders/>
            <w:shd w:fill="auto" w:val="clear"/>
            <w:vAlign w:val="bottom"/>
          </w:tcPr>
          <w:p>
            <w:pPr>
              <w:pStyle w:val="TableContents"/>
              <w:spacing w:before="0" w:after="283"/>
              <w:jc w:val="left"/>
              <w:rPr/>
            </w:pPr>
            <w:r>
              <w:rPr>
                <w:rFonts w:ascii="TimesNewRomanPSMT;Times New Roman;Times;serif" w:hAnsi="TimesNewRomanPSMT;Times New Roman;Times;serif"/>
                <w:sz w:val="24"/>
              </w:rPr>
              <w:t>PRINCIPAL FINANCIAL GROUP, INC.</w:t>
            </w:r>
            <w:r>
              <w:rPr/>
              <w:t> </w:t>
            </w:r>
          </w:p>
        </w:tc>
      </w:tr>
      <w:tr>
        <w:trPr/>
        <w:tc>
          <w:tcPr>
            <w:tcW w:w="13531" w:type="dxa"/>
            <w:gridSpan w:val="3"/>
            <w:tcBorders/>
            <w:shd w:fill="auto" w:val="clear"/>
            <w:vAlign w:val="center"/>
          </w:tcPr>
          <w:p>
            <w:pPr>
              <w:pStyle w:val="TableContents"/>
              <w:spacing w:before="0" w:after="283"/>
              <w:rPr/>
            </w:pPr>
            <w:r>
              <w:rPr/>
              <w:t> </w:t>
            </w:r>
          </w:p>
        </w:tc>
      </w:tr>
      <w:tr>
        <w:trPr/>
        <w:tc>
          <w:tcPr>
            <w:tcW w:w="4950" w:type="dxa"/>
            <w:tcBorders/>
            <w:shd w:fill="auto" w:val="clear"/>
            <w:vAlign w:val="bottom"/>
          </w:tcPr>
          <w:p>
            <w:pPr>
              <w:pStyle w:val="TableContents"/>
              <w:spacing w:before="0" w:after="283"/>
              <w:ind w:left="0" w:right="0" w:firstLine="2880"/>
              <w:jc w:val="left"/>
              <w:rPr/>
            </w:pPr>
            <w:r>
              <w:rPr/>
              <w:t> </w:t>
            </w:r>
          </w:p>
        </w:tc>
        <w:tc>
          <w:tcPr>
            <w:tcW w:w="5801" w:type="dxa"/>
            <w:tcBorders/>
            <w:shd w:fill="auto" w:val="clear"/>
            <w:vAlign w:val="bottom"/>
          </w:tcPr>
          <w:p>
            <w:pPr>
              <w:pStyle w:val="TableContents"/>
              <w:spacing w:before="0" w:after="283"/>
              <w:ind w:left="0" w:right="0" w:firstLine="321"/>
              <w:jc w:val="left"/>
              <w:rPr/>
            </w:pPr>
            <w:r>
              <w:rPr>
                <w:rFonts w:ascii="TimesNewRomanPSMT;Times New Roman;Times;serif" w:hAnsi="TimesNewRomanPSMT;Times New Roman;Times;serif"/>
                <w:sz w:val="24"/>
              </w:rPr>
              <w:t>By:</w:t>
            </w:r>
            <w:r>
              <w:rPr/>
              <w:t> </w:t>
            </w:r>
          </w:p>
        </w:tc>
        <w:tc>
          <w:tcPr>
            <w:tcW w:w="2780"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4"/>
              </w:rPr>
              <w:t>/s/ John Egan</w:t>
            </w:r>
            <w:r>
              <w:rPr/>
              <w:t> </w:t>
            </w:r>
          </w:p>
        </w:tc>
      </w:tr>
      <w:tr>
        <w:trPr/>
        <w:tc>
          <w:tcPr>
            <w:tcW w:w="4950" w:type="dxa"/>
            <w:tcBorders/>
            <w:shd w:fill="auto" w:val="clear"/>
            <w:vAlign w:val="bottom"/>
          </w:tcPr>
          <w:p>
            <w:pPr>
              <w:pStyle w:val="TableContents"/>
              <w:spacing w:before="0" w:after="283"/>
              <w:ind w:left="0" w:right="0" w:firstLine="2880"/>
              <w:jc w:val="left"/>
              <w:rPr/>
            </w:pPr>
            <w:r>
              <w:rPr/>
              <w:t> </w:t>
            </w:r>
          </w:p>
        </w:tc>
        <w:tc>
          <w:tcPr>
            <w:tcW w:w="8581" w:type="dxa"/>
            <w:gridSpan w:val="2"/>
            <w:tcBorders/>
            <w:shd w:fill="auto" w:val="clear"/>
            <w:vAlign w:val="bottom"/>
          </w:tcPr>
          <w:p>
            <w:pPr>
              <w:pStyle w:val="TableContents"/>
              <w:spacing w:before="0" w:after="283"/>
              <w:jc w:val="left"/>
              <w:rPr/>
            </w:pPr>
            <w:r>
              <w:rPr>
                <w:rFonts w:ascii="TimesNewRomanPSMT;Times New Roman;Times;serif" w:hAnsi="TimesNewRomanPSMT;Times New Roman;Times;serif"/>
                <w:sz w:val="24"/>
              </w:rPr>
              <w:t>Name: John Egan</w:t>
            </w:r>
            <w:r>
              <w:rPr/>
              <w:t> </w:t>
            </w:r>
          </w:p>
        </w:tc>
      </w:tr>
      <w:tr>
        <w:trPr/>
        <w:tc>
          <w:tcPr>
            <w:tcW w:w="4950" w:type="dxa"/>
            <w:tcBorders/>
            <w:shd w:fill="auto" w:val="clear"/>
            <w:vAlign w:val="bottom"/>
          </w:tcPr>
          <w:p>
            <w:pPr>
              <w:pStyle w:val="TableContents"/>
              <w:spacing w:before="0" w:after="283"/>
              <w:ind w:left="0" w:right="0" w:firstLine="2880"/>
              <w:jc w:val="left"/>
              <w:rPr/>
            </w:pPr>
            <w:r>
              <w:rPr/>
              <w:t> </w:t>
            </w:r>
          </w:p>
        </w:tc>
        <w:tc>
          <w:tcPr>
            <w:tcW w:w="8581" w:type="dxa"/>
            <w:gridSpan w:val="2"/>
            <w:tcBorders/>
            <w:shd w:fill="auto" w:val="clear"/>
            <w:vAlign w:val="bottom"/>
          </w:tcPr>
          <w:p>
            <w:pPr>
              <w:pStyle w:val="TableContents"/>
              <w:spacing w:before="0" w:after="283"/>
              <w:jc w:val="left"/>
              <w:rPr/>
            </w:pPr>
            <w:r>
              <w:rPr>
                <w:rFonts w:ascii="TimesNewRomanPSMT;Times New Roman;Times;serif" w:hAnsi="TimesNewRomanPSMT;Times New Roman;Times;serif"/>
                <w:sz w:val="24"/>
              </w:rPr>
              <w:t>Title: Vice President – Investor Relations</w:t>
            </w:r>
            <w:r>
              <w:rPr/>
              <w:t> </w:t>
            </w:r>
          </w:p>
        </w:tc>
      </w:tr>
      <w:tr>
        <w:trPr/>
        <w:tc>
          <w:tcPr>
            <w:tcW w:w="13531" w:type="dxa"/>
            <w:gridSpan w:val="3"/>
            <w:tcBorders/>
            <w:shd w:fill="auto" w:val="clear"/>
            <w:vAlign w:val="center"/>
          </w:tcPr>
          <w:p>
            <w:pPr>
              <w:pStyle w:val="TableContents"/>
              <w:spacing w:before="0" w:after="283"/>
              <w:rPr/>
            </w:pPr>
            <w:r>
              <w:rPr/>
              <w:t> </w:t>
            </w:r>
          </w:p>
        </w:tc>
      </w:tr>
      <w:tr>
        <w:trPr/>
        <w:tc>
          <w:tcPr>
            <w:tcW w:w="10751" w:type="dxa"/>
            <w:gridSpan w:val="2"/>
            <w:tcBorders/>
            <w:shd w:fill="auto" w:val="clear"/>
            <w:vAlign w:val="bottom"/>
          </w:tcPr>
          <w:p>
            <w:pPr>
              <w:pStyle w:val="TableContents"/>
              <w:spacing w:before="0" w:after="283"/>
              <w:jc w:val="left"/>
              <w:rPr/>
            </w:pPr>
            <w:r>
              <w:rPr>
                <w:rFonts w:ascii="TimesNewRomanPSMT;Times New Roman;Times;serif" w:hAnsi="TimesNewRomanPSMT;Times New Roman;Times;serif"/>
                <w:sz w:val="24"/>
              </w:rPr>
              <w:t>Date: November 27, 2012</w:t>
            </w:r>
            <w:r>
              <w:rPr/>
              <w:t> </w:t>
            </w:r>
          </w:p>
        </w:tc>
        <w:tc>
          <w:tcPr>
            <w:tcW w:w="2780" w:type="dxa"/>
            <w:tcBorders/>
            <w:shd w:fill="auto" w:val="clear"/>
            <w:vAlign w:val="bottom"/>
          </w:tcPr>
          <w:p>
            <w:pPr>
              <w:pStyle w:val="TableContents"/>
              <w:spacing w:before="0" w:after="283"/>
              <w:jc w:val="left"/>
              <w:rPr/>
            </w:pPr>
            <w:r>
              <w:rPr/>
              <w:t> </w:t>
            </w:r>
          </w:p>
        </w:tc>
      </w:tr>
    </w:tbl>
    <w:p>
      <w:pPr>
        <w:pStyle w:val="TextBody"/>
        <w:spacing w:before="0" w:after="0"/>
        <w:ind w:left="0" w:right="0" w:hanging="0"/>
        <w:rPr/>
      </w:pPr>
      <w:r>
        <w:rPr/>
        <w:t> </w:t>
      </w:r>
    </w:p>
    <w:p>
      <w:pPr>
        <w:pStyle w:val="HorizontalLine"/>
        <w:pBdr>
          <w:bottom w:val="single" w:sz="12" w:space="0" w:color="808080"/>
        </w:pBdr>
        <w:rPr/>
      </w:pPr>
      <w:r>
        <w:rPr/>
      </w:r>
    </w:p>
    <w:p>
      <w:pPr>
        <w:pStyle w:val="TextBody"/>
        <w:spacing w:before="0" w:after="0"/>
        <w:rPr/>
      </w:pPr>
      <w:r>
        <w:rPr/>
      </w:r>
      <w:bookmarkStart w:id="8" w:name="page_3"/>
      <w:bookmarkStart w:id="9" w:name="page_3"/>
      <w:bookmarkEnd w:id="9"/>
    </w:p>
    <w:tbl>
      <w:tblPr>
        <w:tblW w:w="11652" w:type="dxa"/>
        <w:jc w:val="left"/>
        <w:tblInd w:w="0" w:type="dxa"/>
        <w:tblCellMar>
          <w:top w:w="28" w:type="dxa"/>
          <w:left w:w="28" w:type="dxa"/>
          <w:bottom w:w="28" w:type="dxa"/>
          <w:right w:w="28" w:type="dxa"/>
        </w:tblCellMar>
      </w:tblPr>
      <w:tblGrid>
        <w:gridCol w:w="4436"/>
        <w:gridCol w:w="7216"/>
      </w:tblGrid>
      <w:tr>
        <w:trPr/>
        <w:tc>
          <w:tcPr>
            <w:tcW w:w="4436" w:type="dxa"/>
            <w:tcBorders/>
            <w:shd w:fill="auto" w:val="clear"/>
            <w:vAlign w:val="center"/>
          </w:tcPr>
          <w:p>
            <w:pPr>
              <w:pStyle w:val="TableContents"/>
              <w:spacing w:before="0" w:after="283"/>
              <w:rPr>
                <w:sz w:val="4"/>
                <w:szCs w:val="4"/>
              </w:rPr>
            </w:pPr>
            <w:r>
              <w:rPr>
                <w:sz w:val="4"/>
                <w:szCs w:val="4"/>
              </w:rPr>
            </w:r>
          </w:p>
        </w:tc>
        <w:tc>
          <w:tcPr>
            <w:tcW w:w="7216" w:type="dxa"/>
            <w:tcBorders/>
            <w:shd w:fill="auto" w:val="clear"/>
            <w:vAlign w:val="center"/>
          </w:tcPr>
          <w:p>
            <w:pPr>
              <w:pStyle w:val="TableContents"/>
              <w:spacing w:before="0" w:after="283"/>
              <w:rPr>
                <w:sz w:val="4"/>
                <w:szCs w:val="4"/>
              </w:rPr>
            </w:pPr>
            <w:r>
              <w:rPr>
                <w:sz w:val="4"/>
                <w:szCs w:val="4"/>
              </w:rPr>
            </w:r>
          </w:p>
        </w:tc>
      </w:tr>
      <w:tr>
        <w:trPr/>
        <w:tc>
          <w:tcPr>
            <w:tcW w:w="4436" w:type="dxa"/>
            <w:tcBorders/>
            <w:shd w:fill="auto" w:val="clear"/>
            <w:vAlign w:val="bottom"/>
          </w:tcPr>
          <w:p>
            <w:pPr>
              <w:pStyle w:val="TableContents"/>
              <w:spacing w:before="0" w:after="283"/>
              <w:ind w:left="0" w:right="0" w:firstLine="4320"/>
              <w:jc w:val="left"/>
              <w:rPr/>
            </w:pPr>
            <w:r>
              <w:rPr/>
              <w:t> </w:t>
            </w:r>
          </w:p>
        </w:tc>
        <w:tc>
          <w:tcPr>
            <w:tcW w:w="7216"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0"/>
              </w:rPr>
              <w:t>EXHIBIT 99</w:t>
            </w:r>
            <w:r>
              <w:rPr/>
              <w:t> </w:t>
            </w:r>
          </w:p>
        </w:tc>
      </w:tr>
      <w:tr>
        <w:trPr/>
        <w:tc>
          <w:tcPr>
            <w:tcW w:w="11652" w:type="dxa"/>
            <w:gridSpan w:val="2"/>
            <w:tcBorders/>
            <w:shd w:fill="auto" w:val="clear"/>
            <w:vAlign w:val="center"/>
          </w:tcPr>
          <w:p>
            <w:pPr>
              <w:pStyle w:val="TableContents"/>
              <w:spacing w:before="0" w:after="283"/>
              <w:rPr/>
            </w:pPr>
            <w:r>
              <w:rPr/>
              <w:t> </w:t>
            </w:r>
          </w:p>
        </w:tc>
      </w:tr>
      <w:tr>
        <w:trPr/>
        <w:tc>
          <w:tcPr>
            <w:tcW w:w="4436"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4"/>
              </w:rPr>
              <w:t>RELEASE:</w:t>
            </w:r>
            <w:r>
              <w:rPr/>
              <w:t> </w:t>
            </w:r>
          </w:p>
        </w:tc>
        <w:tc>
          <w:tcPr>
            <w:tcW w:w="7216" w:type="dxa"/>
            <w:tcBorders/>
            <w:shd w:fill="auto" w:val="clear"/>
            <w:vAlign w:val="bottom"/>
          </w:tcPr>
          <w:p>
            <w:pPr>
              <w:pStyle w:val="TableContents"/>
              <w:spacing w:before="0" w:after="283"/>
              <w:jc w:val="left"/>
              <w:rPr/>
            </w:pPr>
            <w:r>
              <w:rPr>
                <w:rFonts w:ascii="TimesNewRomanPSMT;Times New Roman;Times;serif" w:hAnsi="TimesNewRomanPSMT;Times New Roman;Times;serif"/>
                <w:sz w:val="24"/>
              </w:rPr>
              <w:t>On receipt: Nov. 27, 2012</w:t>
            </w:r>
            <w:r>
              <w:rPr/>
              <w:t> </w:t>
            </w:r>
          </w:p>
        </w:tc>
      </w:tr>
      <w:tr>
        <w:trPr/>
        <w:tc>
          <w:tcPr>
            <w:tcW w:w="4436"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4"/>
              </w:rPr>
              <w:t>MEDIA CONTACT:</w:t>
            </w:r>
            <w:r>
              <w:rPr/>
              <w:t> </w:t>
            </w:r>
          </w:p>
        </w:tc>
        <w:tc>
          <w:tcPr>
            <w:tcW w:w="7216" w:type="dxa"/>
            <w:tcBorders/>
            <w:shd w:fill="auto" w:val="clear"/>
            <w:vAlign w:val="bottom"/>
          </w:tcPr>
          <w:p>
            <w:pPr>
              <w:pStyle w:val="TableContents"/>
              <w:spacing w:before="0" w:after="283"/>
              <w:jc w:val="left"/>
              <w:rPr/>
            </w:pPr>
            <w:r>
              <w:rPr>
                <w:rFonts w:ascii="TimesNewRomanPSMT;Times New Roman;Times;serif" w:hAnsi="TimesNewRomanPSMT;Times New Roman;Times;serif"/>
                <w:sz w:val="24"/>
              </w:rPr>
              <w:t>Susan Houser, 515-248-2268, houser.susan@principal.com</w:t>
            </w:r>
            <w:r>
              <w:rPr/>
              <w:t> </w:t>
            </w:r>
          </w:p>
        </w:tc>
      </w:tr>
      <w:tr>
        <w:trPr/>
        <w:tc>
          <w:tcPr>
            <w:tcW w:w="44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INVESTOR RELATIONS CONTACT:</w:t>
            </w:r>
            <w:r>
              <w:rPr/>
              <w:t> </w:t>
            </w:r>
          </w:p>
        </w:tc>
        <w:tc>
          <w:tcPr>
            <w:tcW w:w="7216" w:type="dxa"/>
            <w:tcBorders/>
            <w:shd w:fill="auto" w:val="clear"/>
            <w:vAlign w:val="bottom"/>
          </w:tcPr>
          <w:p>
            <w:pPr>
              <w:pStyle w:val="TableContents"/>
              <w:spacing w:before="0" w:after="283"/>
              <w:jc w:val="left"/>
              <w:rPr/>
            </w:pPr>
            <w:r>
              <w:rPr>
                <w:rFonts w:ascii="TimesNewRomanPS-BoldMT;Times New Roman;Times;serif" w:hAnsi="TimesNewRomanPS-BoldMT;Times New Roman;Times;serif"/>
                <w:b/>
                <w:sz w:val="20"/>
              </w:rPr>
              <w:t>John Egan, 515-235-9500, egan.john@principal.com</w:t>
            </w:r>
            <w:r>
              <w:rPr/>
              <w:t> </w:t>
            </w:r>
          </w:p>
        </w:tc>
      </w:tr>
    </w:tbl>
    <w:p>
      <w:pPr>
        <w:pStyle w:val="TextBody"/>
        <w:spacing w:before="0" w:after="0"/>
        <w:ind w:left="0" w:right="0" w:hanging="0"/>
        <w:rPr/>
      </w:pPr>
      <w:r>
        <w:rPr/>
        <w:t> </w:t>
      </w:r>
    </w:p>
    <w:p>
      <w:pPr>
        <w:pStyle w:val="TextBody"/>
        <w:jc w:val="center"/>
        <w:rPr>
          <w:rFonts w:ascii="TimesNewRomanPS-BoldMT;Times New Roman;Times;serif" w:hAnsi="TimesNewRomanPS-BoldMT;Times New Roman;Times;serif"/>
          <w:b/>
          <w:i/>
          <w:sz w:val="24"/>
        </w:rPr>
      </w:pPr>
      <w:r>
        <w:rPr>
          <w:rFonts w:ascii="TimesNewRomanPS-BoldMT;Times New Roman;Times;serif" w:hAnsi="TimesNewRomanPS-BoldMT;Times New Roman;Times;serif"/>
          <w:b/>
          <w:i/>
          <w:sz w:val="24"/>
        </w:rPr>
        <w:t>PRINCIPAL FINANCIAL GROUP, INC. ANNOUNCES OUTLOOK FOR 2013</w:t>
      </w:r>
    </w:p>
    <w:p>
      <w:pPr>
        <w:pStyle w:val="TextBody"/>
        <w:jc w:val="left"/>
        <w:rPr/>
      </w:pPr>
      <w:r>
        <w:rPr>
          <w:rFonts w:ascii="TimesNewRomanPSMT;Times New Roman;Times;serif" w:hAnsi="TimesNewRomanPSMT;Times New Roman;Times;serif"/>
          <w:sz w:val="20"/>
        </w:rPr>
        <w:t>(Des Moines, Iowa) – Principal Financial Group, Inc. (NYSE:PFG) today announced certain business unit revenue metrics and an update on capital deployment plans for 2013. These metrics will provide greater clarity of earnings growth for each of the business units</w:t>
      </w:r>
      <w:r>
        <w:rPr>
          <w:rFonts w:ascii="TimesNewRomanPSMT;Times New Roman;Times;serif" w:hAnsi="TimesNewRomanPSMT;Times New Roman;Times;serif"/>
          <w:position w:val="7"/>
          <w:sz w:val="16"/>
          <w:sz w:val="20"/>
        </w:rPr>
        <w:t>i</w:t>
      </w:r>
      <w:r>
        <w:rPr>
          <w:rFonts w:ascii="TimesNewRomanPSMT;Times New Roman;Times;serif" w:hAnsi="TimesNewRomanPSMT;Times New Roman;Times;serif"/>
          <w:sz w:val="20"/>
        </w:rPr>
        <w:t xml:space="preserve">. There is a 45-minute conference call at </w:t>
      </w:r>
      <w:r>
        <w:rPr>
          <w:rFonts w:ascii="TimesNewRomanPS-BoldMT;Times New Roman;Times;serif" w:hAnsi="TimesNewRomanPS-BoldMT;Times New Roman;Times;serif"/>
          <w:b/>
          <w:sz w:val="20"/>
        </w:rPr>
        <w:t xml:space="preserve">4:30 p.m. ET today, Nov. 27, 2012. </w:t>
      </w:r>
      <w:r>
        <w:rPr>
          <w:rFonts w:ascii="TimesNewRomanPSMT;Times New Roman;Times;serif" w:hAnsi="TimesNewRomanPSMT;Times New Roman;Times;serif"/>
          <w:sz w:val="20"/>
        </w:rPr>
        <w:t xml:space="preserve">Company senior leaders will provide additional detail on our 2013 outlook and answer questions. Slides are now available at </w:t>
      </w:r>
      <w:r>
        <w:rPr>
          <w:rFonts w:ascii="TimesNewRomanPSMT;Times New Roman;Times;serif" w:hAnsi="TimesNewRomanPSMT;Times New Roman;Times;serif"/>
          <w:color w:val="0000FF"/>
          <w:sz w:val="20"/>
          <w:u w:val="single"/>
        </w:rPr>
        <w:t>www.principal.com/investor</w:t>
      </w:r>
      <w:r>
        <w:rPr>
          <w:rFonts w:ascii="TimesNewRomanPSMT;Times New Roman;Times;serif" w:hAnsi="TimesNewRomanPSMT;Times New Roman;Times;serif"/>
          <w:sz w:val="20"/>
        </w:rPr>
        <w:t>.</w:t>
      </w:r>
    </w:p>
    <w:p>
      <w:pPr>
        <w:pStyle w:val="TextBody"/>
        <w:jc w:val="left"/>
        <w:rPr>
          <w:rFonts w:ascii="TimesNewRomanPSMT;Times New Roman;Times;serif" w:hAnsi="TimesNewRomanPSMT;Times New Roman;Times;serif"/>
          <w:sz w:val="20"/>
        </w:rPr>
      </w:pPr>
      <w:r>
        <w:rPr>
          <w:rFonts w:ascii="TimesNewRomanPSMT;Times New Roman;Times;serif" w:hAnsi="TimesNewRomanPSMT;Times New Roman;Times;serif"/>
          <w:sz w:val="20"/>
        </w:rPr>
        <w:t>Outlook for 2013 incorporates certain assumptions including:</w:t>
      </w:r>
    </w:p>
    <w:p>
      <w:pPr>
        <w:pStyle w:val="TextBody"/>
        <w:numPr>
          <w:ilvl w:val="0"/>
          <w:numId w:val="2"/>
        </w:numPr>
        <w:tabs>
          <w:tab w:val="clear" w:pos="1134"/>
          <w:tab w:val="left" w:pos="707" w:leader="none"/>
        </w:tabs>
        <w:spacing w:before="0" w:after="0"/>
        <w:ind w:left="707" w:hanging="283"/>
        <w:rPr/>
      </w:pPr>
      <w:r>
        <w:rPr>
          <w:rFonts w:ascii="TimesNewRomanPSMT;Times New Roman;Times;serif" w:hAnsi="TimesNewRomanPSMT;Times New Roman;Times;serif"/>
          <w:sz w:val="20"/>
        </w:rPr>
        <w:t>Interest rates as of Sept. 30, 2012 remain unchanged throughout 2013;</w:t>
      </w:r>
      <w:r>
        <w:rPr/>
        <w:t xml:space="preserve"> </w:t>
      </w:r>
    </w:p>
    <w:p>
      <w:pPr>
        <w:pStyle w:val="TextBody"/>
        <w:numPr>
          <w:ilvl w:val="0"/>
          <w:numId w:val="2"/>
        </w:numPr>
        <w:tabs>
          <w:tab w:val="clear" w:pos="1134"/>
          <w:tab w:val="left" w:pos="707" w:leader="none"/>
        </w:tabs>
        <w:spacing w:before="0" w:after="0"/>
        <w:ind w:left="707" w:hanging="283"/>
        <w:rPr/>
      </w:pPr>
      <w:r>
        <w:rPr>
          <w:rFonts w:ascii="TimesNewRomanPSMT;Times New Roman;Times;serif" w:hAnsi="TimesNewRomanPSMT;Times New Roman;Times;serif"/>
          <w:sz w:val="20"/>
        </w:rPr>
        <w:t>S&amp;P 500 Index estimated at 1,400 in mid-November then grows at 2 percent total return per quarter;</w:t>
      </w:r>
      <w:r>
        <w:rPr/>
        <w:t xml:space="preserve"> </w:t>
      </w:r>
    </w:p>
    <w:p>
      <w:pPr>
        <w:pStyle w:val="TextBody"/>
        <w:numPr>
          <w:ilvl w:val="0"/>
          <w:numId w:val="2"/>
        </w:numPr>
        <w:tabs>
          <w:tab w:val="clear" w:pos="1134"/>
          <w:tab w:val="left" w:pos="707" w:leader="none"/>
        </w:tabs>
        <w:spacing w:before="0" w:after="0"/>
        <w:ind w:left="707" w:hanging="283"/>
        <w:rPr/>
      </w:pPr>
      <w:r>
        <w:rPr>
          <w:rFonts w:ascii="TimesNewRomanPSMT;Times New Roman;Times;serif" w:hAnsi="TimesNewRomanPSMT;Times New Roman;Times;serif"/>
          <w:sz w:val="20"/>
        </w:rPr>
        <w:t>Future foreign exchange rates follow broker consensus;</w:t>
      </w:r>
      <w:r>
        <w:rPr/>
        <w:t xml:space="preserve"> </w:t>
      </w:r>
    </w:p>
    <w:p>
      <w:pPr>
        <w:pStyle w:val="TextBody"/>
        <w:numPr>
          <w:ilvl w:val="0"/>
          <w:numId w:val="2"/>
        </w:numPr>
        <w:tabs>
          <w:tab w:val="clear" w:pos="1134"/>
          <w:tab w:val="left" w:pos="707" w:leader="none"/>
        </w:tabs>
        <w:spacing w:before="0" w:after="0"/>
        <w:ind w:left="707" w:hanging="283"/>
        <w:rPr/>
      </w:pPr>
      <w:r>
        <w:rPr>
          <w:rFonts w:ascii="TimesNewRomanPSMT;Times New Roman;Times;serif" w:hAnsi="TimesNewRomanPSMT;Times New Roman;Times;serif"/>
          <w:sz w:val="20"/>
        </w:rPr>
        <w:t>Tax rate of 24 percent;</w:t>
      </w:r>
      <w:r>
        <w:rPr/>
        <w:t xml:space="preserve"> </w:t>
      </w:r>
    </w:p>
    <w:p>
      <w:pPr>
        <w:pStyle w:val="TextBody"/>
        <w:numPr>
          <w:ilvl w:val="0"/>
          <w:numId w:val="2"/>
        </w:numPr>
        <w:tabs>
          <w:tab w:val="clear" w:pos="1134"/>
          <w:tab w:val="left" w:pos="707" w:leader="none"/>
        </w:tabs>
        <w:spacing w:before="0" w:after="0"/>
        <w:ind w:left="707" w:hanging="283"/>
        <w:rPr/>
      </w:pPr>
      <w:r>
        <w:rPr>
          <w:rFonts w:ascii="TimesNewRomanPSMT;Times New Roman;Times;serif" w:hAnsi="TimesNewRomanPSMT;Times New Roman;Times;serif"/>
          <w:sz w:val="20"/>
        </w:rPr>
        <w:t>$400 to $600 million of total capital deployed for common stock dividend, strategic acquisitions and</w:t>
      </w:r>
      <w:r>
        <w:rPr/>
        <w:t xml:space="preserve"> </w:t>
      </w:r>
      <w:r>
        <w:rPr>
          <w:rFonts w:ascii="TimesNewRomanPSMT;Times New Roman;Times;serif" w:hAnsi="TimesNewRomanPSMT;Times New Roman;Times;serif"/>
          <w:sz w:val="20"/>
        </w:rPr>
        <w:t>opportunistic share repurchase; and</w:t>
      </w:r>
      <w:r>
        <w:rPr/>
        <w:t xml:space="preserve"> </w:t>
      </w:r>
    </w:p>
    <w:p>
      <w:pPr>
        <w:pStyle w:val="TextBody"/>
        <w:numPr>
          <w:ilvl w:val="0"/>
          <w:numId w:val="2"/>
        </w:numPr>
        <w:tabs>
          <w:tab w:val="clear" w:pos="1134"/>
          <w:tab w:val="left" w:pos="707" w:leader="none"/>
        </w:tabs>
        <w:ind w:left="707" w:hanging="283"/>
        <w:rPr/>
      </w:pPr>
      <w:r>
        <w:rPr>
          <w:rFonts w:ascii="TimesNewRomanPSMT;Times New Roman;Times;serif" w:hAnsi="TimesNewRomanPSMT;Times New Roman;Times;serif"/>
          <w:sz w:val="20"/>
        </w:rPr>
        <w:t>Diluted weighted average number of common shares outstanding ranging from 295 – 297 million.</w:t>
      </w:r>
      <w:r>
        <w:rPr/>
        <w:t xml:space="preserve"> </w:t>
      </w:r>
    </w:p>
    <w:tbl>
      <w:tblPr>
        <w:tblW w:w="7775" w:type="dxa"/>
        <w:jc w:val="left"/>
        <w:tblInd w:w="0" w:type="dxa"/>
        <w:tblCellMar>
          <w:top w:w="28" w:type="dxa"/>
          <w:left w:w="28" w:type="dxa"/>
          <w:bottom w:w="28" w:type="dxa"/>
          <w:right w:w="28" w:type="dxa"/>
        </w:tblCellMar>
      </w:tblPr>
      <w:tblGrid>
        <w:gridCol w:w="1099"/>
        <w:gridCol w:w="4477"/>
        <w:gridCol w:w="2199"/>
      </w:tblGrid>
      <w:tr>
        <w:trPr/>
        <w:tc>
          <w:tcPr>
            <w:tcW w:w="1099" w:type="dxa"/>
            <w:tcBorders/>
            <w:shd w:fill="auto" w:val="clear"/>
            <w:vAlign w:val="center"/>
          </w:tcPr>
          <w:p>
            <w:pPr>
              <w:pStyle w:val="TableContents"/>
              <w:spacing w:before="0" w:after="283"/>
              <w:rPr>
                <w:sz w:val="4"/>
                <w:szCs w:val="4"/>
              </w:rPr>
            </w:pPr>
            <w:r>
              <w:rPr>
                <w:sz w:val="4"/>
                <w:szCs w:val="4"/>
              </w:rPr>
            </w:r>
          </w:p>
        </w:tc>
        <w:tc>
          <w:tcPr>
            <w:tcW w:w="4477" w:type="dxa"/>
            <w:tcBorders/>
            <w:shd w:fill="auto" w:val="clear"/>
            <w:vAlign w:val="center"/>
          </w:tcPr>
          <w:p>
            <w:pPr>
              <w:pStyle w:val="TableContents"/>
              <w:spacing w:before="0" w:after="283"/>
              <w:rPr>
                <w:sz w:val="4"/>
                <w:szCs w:val="4"/>
              </w:rPr>
            </w:pPr>
            <w:r>
              <w:rPr>
                <w:sz w:val="4"/>
                <w:szCs w:val="4"/>
              </w:rPr>
            </w:r>
          </w:p>
        </w:tc>
        <w:tc>
          <w:tcPr>
            <w:tcW w:w="2199" w:type="dxa"/>
            <w:tcBorders/>
            <w:shd w:fill="auto" w:val="clear"/>
            <w:vAlign w:val="center"/>
          </w:tcPr>
          <w:p>
            <w:pPr>
              <w:pStyle w:val="TableContents"/>
              <w:spacing w:before="0" w:after="283"/>
              <w:rPr>
                <w:sz w:val="4"/>
                <w:szCs w:val="4"/>
              </w:rPr>
            </w:pPr>
            <w:r>
              <w:rPr>
                <w:sz w:val="4"/>
                <w:szCs w:val="4"/>
              </w:rPr>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419"/>
              <w:jc w:val="left"/>
              <w:rPr/>
            </w:pPr>
            <w:r>
              <w:rPr/>
              <w:t> </w:t>
            </w:r>
          </w:p>
        </w:tc>
        <w:tc>
          <w:tcPr>
            <w:tcW w:w="6676" w:type="dxa"/>
            <w:gridSpan w:val="2"/>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Principal Financial Group 2013 Outlook Metrics</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Retirement &amp; Investor Services – Accumulation</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2"/>
              <w:jc w:val="left"/>
              <w:rPr/>
            </w:pPr>
            <w:r>
              <w:rPr>
                <w:rFonts w:ascii="TimesNewRomanPSMT;Times New Roman;Times;serif" w:hAnsi="TimesNewRomanPSMT;Times New Roman;Times;serif"/>
                <w:sz w:val="20"/>
              </w:rPr>
              <w:t>Net revenue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2-4%</w:t>
            </w: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2"/>
              <w:jc w:val="left"/>
              <w:rPr/>
            </w:pPr>
            <w:r>
              <w:rPr>
                <w:rFonts w:ascii="TimesNewRomanPSMT;Times New Roman;Times;serif" w:hAnsi="TimesNewRomanPSMT;Times New Roman;Times;serif"/>
                <w:sz w:val="20"/>
              </w:rPr>
              <w:t>Pre-tax return on net revenue</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27-29%</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Retirement &amp; Investor Services – Guaranteed</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2"/>
              <w:jc w:val="left"/>
              <w:rPr/>
            </w:pPr>
            <w:r>
              <w:rPr>
                <w:rFonts w:ascii="TimesNewRomanPSMT;Times New Roman;Times;serif" w:hAnsi="TimesNewRomanPSMT;Times New Roman;Times;serif"/>
                <w:sz w:val="20"/>
              </w:rPr>
              <w:t>Net revenue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6-8%</w:t>
            </w: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2"/>
              <w:jc w:val="left"/>
              <w:rPr/>
            </w:pPr>
            <w:r>
              <w:rPr>
                <w:rFonts w:ascii="TimesNewRomanPSMT;Times New Roman;Times;serif" w:hAnsi="TimesNewRomanPSMT;Times New Roman;Times;serif"/>
                <w:sz w:val="20"/>
              </w:rPr>
              <w:t>Pre-tax return on net revenue</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77-80%</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Principal Global Investors</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Revenue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6-8%</w:t>
            </w: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1"/>
              <w:jc w:val="left"/>
              <w:rPr/>
            </w:pPr>
            <w:r>
              <w:rPr>
                <w:rFonts w:ascii="TimesNewRomanPSMT;Times New Roman;Times;serif" w:hAnsi="TimesNewRomanPSMT;Times New Roman;Times;serif"/>
                <w:sz w:val="20"/>
              </w:rPr>
              <w:t>Pre-tax margin</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23-25%</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Principal International</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Combined net revenue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16-19%</w:t>
            </w: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2"/>
              <w:jc w:val="left"/>
              <w:rPr/>
            </w:pPr>
            <w:r>
              <w:rPr>
                <w:rFonts w:ascii="TimesNewRomanPSMT;Times New Roman;Times;serif" w:hAnsi="TimesNewRomanPSMT;Times New Roman;Times;serif"/>
                <w:sz w:val="20"/>
              </w:rPr>
              <w:t>Combined pre-tax return on net revenue</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57-59%</w:t>
            </w: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Principal’s share of combined pre-tax</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hanging="0"/>
              <w:jc w:val="left"/>
              <w:rPr/>
            </w:pPr>
            <w:r>
              <w:rPr>
                <w:rFonts w:ascii="TimesNewRomanPSMT;Times New Roman;Times;serif" w:hAnsi="TimesNewRomanPSMT;Times New Roman;Times;serif"/>
                <w:sz w:val="20"/>
              </w:rPr>
              <w:t>earnings</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28%</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Individual Life</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Premium and fee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3-5%</w:t>
            </w: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2"/>
              <w:jc w:val="left"/>
              <w:rPr/>
            </w:pPr>
            <w:r>
              <w:rPr>
                <w:rFonts w:ascii="TimesNewRomanPSMT;Times New Roman;Times;serif" w:hAnsi="TimesNewRomanPSMT;Times New Roman;Times;serif"/>
                <w:sz w:val="20"/>
              </w:rPr>
              <w:t>Pre-tax operating margin</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15-17%</w:t>
            </w:r>
            <w:r>
              <w:rPr/>
              <w:t> </w:t>
            </w:r>
          </w:p>
        </w:tc>
      </w:tr>
      <w:tr>
        <w:trPr/>
        <w:tc>
          <w:tcPr>
            <w:tcW w:w="5576" w:type="dxa"/>
            <w:gridSpan w:val="2"/>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Specialty Benefits</w:t>
            </w: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1"/>
              <w:jc w:val="left"/>
              <w:rPr/>
            </w:pPr>
            <w:r>
              <w:rPr>
                <w:rFonts w:ascii="TimesNewRomanPSMT;Times New Roman;Times;serif" w:hAnsi="TimesNewRomanPSMT;Times New Roman;Times;serif"/>
                <w:sz w:val="20"/>
              </w:rPr>
              <w:t>Premium and fee growth</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6-8%</w:t>
            </w:r>
            <w:r>
              <w:rPr/>
              <w:t> </w:t>
            </w:r>
          </w:p>
        </w:tc>
      </w:tr>
      <w:tr>
        <w:trPr/>
        <w:tc>
          <w:tcPr>
            <w:tcW w:w="1099" w:type="dxa"/>
            <w:tcBorders/>
            <w:shd w:fill="auto" w:val="clear"/>
            <w:vAlign w:val="bottom"/>
          </w:tcPr>
          <w:p>
            <w:pPr>
              <w:pStyle w:val="TableContents"/>
              <w:spacing w:before="0" w:after="283"/>
              <w:jc w:val="left"/>
              <w:rPr/>
            </w:pPr>
            <w:r>
              <w:rPr/>
              <w:t>   </w:t>
            </w:r>
          </w:p>
        </w:tc>
        <w:tc>
          <w:tcPr>
            <w:tcW w:w="4477" w:type="dxa"/>
            <w:tcBorders/>
            <w:shd w:fill="auto" w:val="clear"/>
            <w:vAlign w:val="bottom"/>
          </w:tcPr>
          <w:p>
            <w:pPr>
              <w:pStyle w:val="TableContents"/>
              <w:spacing w:before="0" w:after="283"/>
              <w:ind w:left="0" w:right="0" w:firstLine="2"/>
              <w:jc w:val="left"/>
              <w:rPr/>
            </w:pPr>
            <w:r>
              <w:rPr>
                <w:rFonts w:ascii="TimesNewRomanPSMT;Times New Roman;Times;serif" w:hAnsi="TimesNewRomanPSMT;Times New Roman;Times;serif"/>
                <w:sz w:val="20"/>
              </w:rPr>
              <w:t>Pre-tax operating margin</w:t>
            </w:r>
            <w:r>
              <w:rPr/>
              <w:t> </w:t>
            </w:r>
          </w:p>
        </w:tc>
        <w:tc>
          <w:tcPr>
            <w:tcW w:w="21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8-10%</w:t>
            </w: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1"/>
              <w:jc w:val="left"/>
              <w:rPr/>
            </w:pPr>
            <w:r>
              <w:rPr>
                <w:rFonts w:ascii="TimesNewRomanPSMT;Times New Roman;Times;serif" w:hAnsi="TimesNewRomanPSMT;Times New Roman;Times;serif"/>
                <w:sz w:val="20"/>
              </w:rPr>
              <w:t>Loss ratio</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65-71%</w:t>
            </w:r>
            <w:r>
              <w:rPr/>
              <w:t> </w:t>
            </w:r>
          </w:p>
        </w:tc>
      </w:tr>
      <w:tr>
        <w:trPr/>
        <w:tc>
          <w:tcPr>
            <w:tcW w:w="1099"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Corporate</w:t>
            </w:r>
            <w:r>
              <w:rPr/>
              <w:t> </w:t>
            </w:r>
          </w:p>
        </w:tc>
        <w:tc>
          <w:tcPr>
            <w:tcW w:w="4477" w:type="dxa"/>
            <w:tcBorders/>
            <w:shd w:fill="auto" w:val="clear"/>
            <w:vAlign w:val="bottom"/>
          </w:tcPr>
          <w:p>
            <w:pPr>
              <w:pStyle w:val="TableContents"/>
              <w:spacing w:before="0" w:after="283"/>
              <w:jc w:val="left"/>
              <w:rPr/>
            </w:pPr>
            <w:r>
              <w:rPr/>
              <w:t>   </w:t>
            </w:r>
          </w:p>
        </w:tc>
        <w:tc>
          <w:tcPr>
            <w:tcW w:w="2199" w:type="dxa"/>
            <w:tcBorders/>
            <w:shd w:fill="auto" w:val="clear"/>
            <w:vAlign w:val="bottom"/>
          </w:tcPr>
          <w:p>
            <w:pPr>
              <w:pStyle w:val="TableContents"/>
              <w:spacing w:before="0" w:after="283"/>
              <w:jc w:val="left"/>
              <w:rPr/>
            </w:pPr>
            <w:r>
              <w:rPr/>
              <w:t>   </w:t>
            </w:r>
          </w:p>
        </w:tc>
      </w:tr>
      <w:tr>
        <w:trPr/>
        <w:tc>
          <w:tcPr>
            <w:tcW w:w="10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t>   </w:t>
            </w:r>
          </w:p>
        </w:tc>
        <w:tc>
          <w:tcPr>
            <w:tcW w:w="4477" w:type="dxa"/>
            <w:tcBorders>
              <w:bottom w:val="single" w:sz="2" w:space="0" w:color="000000"/>
            </w:tcBorders>
            <w:shd w:fill="auto" w:val="clear"/>
            <w:tcMar>
              <w:top w:w="0" w:type="dxa"/>
              <w:left w:w="0" w:type="dxa"/>
              <w:right w:w="0" w:type="dxa"/>
            </w:tcMar>
            <w:vAlign w:val="bottom"/>
          </w:tcPr>
          <w:p>
            <w:pPr>
              <w:pStyle w:val="TableContents"/>
              <w:spacing w:before="0" w:after="283"/>
              <w:ind w:left="0" w:right="0" w:firstLine="2"/>
              <w:jc w:val="left"/>
              <w:rPr/>
            </w:pPr>
            <w:r>
              <w:rPr>
                <w:rFonts w:ascii="TimesNewRomanPSMT;Times New Roman;Times;serif" w:hAnsi="TimesNewRomanPSMT;Times New Roman;Times;serif"/>
                <w:sz w:val="20"/>
              </w:rPr>
              <w:t>After-tax operating losses</w:t>
            </w:r>
            <w:r>
              <w:rPr/>
              <w:t> </w:t>
            </w:r>
          </w:p>
        </w:tc>
        <w:tc>
          <w:tcPr>
            <w:tcW w:w="2199" w:type="dxa"/>
            <w:tcBorders>
              <w:bottom w:val="single" w:sz="2" w:space="0" w:color="000000"/>
            </w:tcBorders>
            <w:shd w:fill="auto" w:val="clear"/>
            <w:tcMar>
              <w:top w:w="0" w:type="dxa"/>
              <w:left w:w="0" w:type="dxa"/>
              <w:right w:w="0" w:type="dxa"/>
            </w:tcMar>
            <w:vAlign w:val="bottom"/>
          </w:tcPr>
          <w:p>
            <w:pPr>
              <w:pStyle w:val="TableContents"/>
              <w:spacing w:before="0" w:after="283"/>
              <w:jc w:val="left"/>
              <w:rPr/>
            </w:pPr>
            <w:r>
              <w:rPr>
                <w:rFonts w:ascii="TimesNewRomanPSMT;Times New Roman;Times;serif" w:hAnsi="TimesNewRomanPSMT;Times New Roman;Times;serif"/>
                <w:sz w:val="20"/>
              </w:rPr>
              <w:t>$145-$165 million</w:t>
            </w:r>
            <w:r>
              <w:rPr/>
              <w:t> </w:t>
            </w:r>
          </w:p>
        </w:tc>
      </w:tr>
    </w:tbl>
    <w:p>
      <w:pPr>
        <w:pStyle w:val="TextBody"/>
        <w:spacing w:before="0" w:after="0"/>
        <w:ind w:left="0" w:right="0" w:hanging="0"/>
        <w:rPr/>
      </w:pPr>
      <w:r>
        <w:rPr/>
        <w:t> </w:t>
      </w:r>
    </w:p>
    <w:p>
      <w:pPr>
        <w:pStyle w:val="HorizontalLine"/>
        <w:pBdr>
          <w:bottom w:val="single" w:sz="12" w:space="0" w:color="808080"/>
        </w:pBdr>
        <w:rPr/>
      </w:pPr>
      <w:r>
        <w:rPr/>
      </w:r>
    </w:p>
    <w:p>
      <w:pPr>
        <w:pStyle w:val="TextBody"/>
        <w:rPr/>
      </w:pPr>
      <w:r>
        <w:rPr/>
      </w:r>
      <w:bookmarkStart w:id="10" w:name="page_4"/>
      <w:bookmarkStart w:id="11" w:name="page_4"/>
      <w:bookmarkEnd w:id="11"/>
    </w:p>
    <w:p>
      <w:pPr>
        <w:pStyle w:val="TextBody"/>
        <w:jc w:val="left"/>
        <w:rPr/>
      </w:pPr>
      <w:r>
        <w:rPr>
          <w:rFonts w:ascii="TimesNewRomanPSMT;Times New Roman;Times;serif" w:hAnsi="TimesNewRomanPSMT;Times New Roman;Times;serif"/>
          <w:sz w:val="20"/>
        </w:rPr>
        <w:t xml:space="preserve">The call at </w:t>
      </w:r>
      <w:r>
        <w:rPr>
          <w:rFonts w:ascii="TimesNewRomanPS-BoldMT;Times New Roman;Times;serif" w:hAnsi="TimesNewRomanPS-BoldMT;Times New Roman;Times;serif"/>
          <w:b/>
          <w:sz w:val="20"/>
        </w:rPr>
        <w:t xml:space="preserve">4:30 p.m. EST today (Nov. 27) </w:t>
      </w:r>
      <w:r>
        <w:rPr>
          <w:rFonts w:ascii="TimesNewRomanPSMT;Times New Roman;Times;serif" w:hAnsi="TimesNewRomanPSMT;Times New Roman;Times;serif"/>
          <w:sz w:val="20"/>
        </w:rPr>
        <w:t>can be accessed the following ways:</w:t>
      </w:r>
    </w:p>
    <w:tbl>
      <w:tblPr>
        <w:tblW w:w="10205" w:type="dxa"/>
        <w:jc w:val="left"/>
        <w:tblInd w:w="0" w:type="dxa"/>
        <w:tblCellMar>
          <w:top w:w="28" w:type="dxa"/>
          <w:left w:w="28" w:type="dxa"/>
          <w:bottom w:w="28" w:type="dxa"/>
          <w:right w:w="28" w:type="dxa"/>
        </w:tblCellMar>
      </w:tblPr>
      <w:tblGrid>
        <w:gridCol w:w="574"/>
        <w:gridCol w:w="9631"/>
      </w:tblGrid>
      <w:tr>
        <w:trPr/>
        <w:tc>
          <w:tcPr>
            <w:tcW w:w="574" w:type="dxa"/>
            <w:tcBorders/>
            <w:shd w:fill="auto" w:val="clear"/>
          </w:tcPr>
          <w:p>
            <w:pPr>
              <w:pStyle w:val="TableContents"/>
              <w:spacing w:before="0" w:after="283"/>
              <w:rPr/>
            </w:pPr>
            <w:r>
              <w:rPr>
                <w:rFonts w:ascii="CourierNewPSMT;Courier New;Courier;monospace" w:hAnsi="CourierNewPSMT;Courier New;Courier;monospace"/>
                <w:sz w:val="20"/>
              </w:rPr>
              <w:t>o</w:t>
            </w:r>
            <w:r>
              <w:rPr/>
              <w:t xml:space="preserve">      </w:t>
            </w:r>
          </w:p>
        </w:tc>
        <w:tc>
          <w:tcPr>
            <w:tcW w:w="9631" w:type="dxa"/>
            <w:tcBorders/>
            <w:shd w:fill="auto" w:val="clear"/>
            <w:vAlign w:val="center"/>
          </w:tcPr>
          <w:p>
            <w:pPr>
              <w:pStyle w:val="TableContents"/>
              <w:spacing w:before="0" w:after="283"/>
              <w:rPr/>
            </w:pPr>
            <w:r>
              <w:rPr>
                <w:rFonts w:ascii="TimesNewRomanPSMT;Times New Roman;Times;serif" w:hAnsi="TimesNewRomanPSMT;Times New Roman;Times;serif"/>
                <w:sz w:val="20"/>
              </w:rPr>
              <w:t xml:space="preserve">Via live Internet webcast. Please go to </w:t>
            </w:r>
            <w:r>
              <w:rPr>
                <w:rFonts w:ascii="TimesNewRomanPSMT;Times New Roman;Times;serif" w:hAnsi="TimesNewRomanPSMT;Times New Roman;Times;serif"/>
                <w:color w:val="0000FF"/>
                <w:sz w:val="20"/>
                <w:u w:val="single"/>
              </w:rPr>
              <w:t xml:space="preserve">www.principal.com/investor </w:t>
            </w:r>
            <w:r>
              <w:rPr>
                <w:rFonts w:ascii="TimesNewRomanPSMT;Times New Roman;Times;serif" w:hAnsi="TimesNewRomanPSMT;Times New Roman;Times;serif"/>
                <w:sz w:val="20"/>
              </w:rPr>
              <w:t>at least 10-15 minutes prior to the start of the call to register, and to download and install any necessary audio software.</w:t>
            </w:r>
            <w:r>
              <w:rPr/>
              <w:t xml:space="preserve"> </w:t>
            </w:r>
          </w:p>
        </w:tc>
      </w:tr>
      <w:tr>
        <w:trPr/>
        <w:tc>
          <w:tcPr>
            <w:tcW w:w="574" w:type="dxa"/>
            <w:tcBorders/>
            <w:shd w:fill="auto" w:val="clear"/>
          </w:tcPr>
          <w:p>
            <w:pPr>
              <w:pStyle w:val="TableContents"/>
              <w:spacing w:before="0" w:after="283"/>
              <w:rPr/>
            </w:pPr>
            <w:r>
              <w:rPr>
                <w:rFonts w:ascii="CourierNewPSMT;Courier New;Courier;monospace" w:hAnsi="CourierNewPSMT;Courier New;Courier;monospace"/>
                <w:sz w:val="20"/>
              </w:rPr>
              <w:t>o</w:t>
            </w:r>
            <w:r>
              <w:rPr/>
              <w:t xml:space="preserve">      </w:t>
            </w:r>
          </w:p>
        </w:tc>
        <w:tc>
          <w:tcPr>
            <w:tcW w:w="9631" w:type="dxa"/>
            <w:tcBorders/>
            <w:shd w:fill="auto" w:val="clear"/>
            <w:vAlign w:val="center"/>
          </w:tcPr>
          <w:p>
            <w:pPr>
              <w:pStyle w:val="TableContents"/>
              <w:spacing w:before="0" w:after="283"/>
              <w:rPr/>
            </w:pPr>
            <w:r>
              <w:rPr>
                <w:rFonts w:ascii="TimesNewRomanPSMT;Times New Roman;Times;serif" w:hAnsi="TimesNewRomanPSMT;Times New Roman;Times;serif"/>
                <w:sz w:val="20"/>
              </w:rPr>
              <w:t>Via telephone by dialing 800-374-1609 (U.S. and Canadian callers) or 706-643-7701 (International callers) approximately 10 minutes prior to the start of the call. The access code is 27371066.</w:t>
            </w:r>
            <w:r>
              <w:rPr/>
              <w:t xml:space="preserve"> </w:t>
            </w:r>
          </w:p>
        </w:tc>
      </w:tr>
      <w:tr>
        <w:trPr/>
        <w:tc>
          <w:tcPr>
            <w:tcW w:w="574" w:type="dxa"/>
            <w:tcBorders/>
            <w:shd w:fill="auto" w:val="clear"/>
          </w:tcPr>
          <w:p>
            <w:pPr>
              <w:pStyle w:val="TableContents"/>
              <w:spacing w:before="0" w:after="283"/>
              <w:rPr/>
            </w:pPr>
            <w:r>
              <w:rPr>
                <w:rFonts w:ascii="CourierNewPSMT;Courier New;Courier;monospace" w:hAnsi="CourierNewPSMT;Courier New;Courier;monospace"/>
                <w:sz w:val="20"/>
              </w:rPr>
              <w:t>o</w:t>
            </w:r>
            <w:r>
              <w:rPr/>
              <w:t xml:space="preserve">      </w:t>
            </w:r>
          </w:p>
        </w:tc>
        <w:tc>
          <w:tcPr>
            <w:tcW w:w="9631" w:type="dxa"/>
            <w:tcBorders/>
            <w:shd w:fill="auto" w:val="clear"/>
            <w:vAlign w:val="center"/>
          </w:tcPr>
          <w:p>
            <w:pPr>
              <w:pStyle w:val="TableContents"/>
              <w:spacing w:before="0" w:after="283"/>
              <w:rPr/>
            </w:pPr>
            <w:r>
              <w:rPr>
                <w:rFonts w:ascii="TimesNewRomanPSMT;Times New Roman;Times;serif" w:hAnsi="TimesNewRomanPSMT;Times New Roman;Times;serif"/>
                <w:sz w:val="20"/>
              </w:rPr>
              <w:t>Replay of the outlook call via telephone is available by dialing 855-859-2056 (U.S. and Canadian callers) or 404- 537-3406 (International callers). The access code is 27371066. This replay will be available approximately two hours after the completion of the live outlook call through the end of day Dec. 4, 2012.</w:t>
            </w:r>
            <w:r>
              <w:rPr/>
              <w:t xml:space="preserve"> </w:t>
            </w:r>
          </w:p>
        </w:tc>
      </w:tr>
      <w:tr>
        <w:trPr/>
        <w:tc>
          <w:tcPr>
            <w:tcW w:w="574" w:type="dxa"/>
            <w:tcBorders/>
            <w:shd w:fill="auto" w:val="clear"/>
          </w:tcPr>
          <w:p>
            <w:pPr>
              <w:pStyle w:val="TableContents"/>
              <w:spacing w:before="0" w:after="283"/>
              <w:rPr/>
            </w:pPr>
            <w:r>
              <w:rPr>
                <w:rFonts w:ascii="CourierNewPSMT;Courier New;Courier;monospace" w:hAnsi="CourierNewPSMT;Courier New;Courier;monospace"/>
                <w:sz w:val="20"/>
              </w:rPr>
              <w:t>o</w:t>
            </w:r>
            <w:r>
              <w:rPr/>
              <w:t xml:space="preserve">      </w:t>
            </w:r>
          </w:p>
        </w:tc>
        <w:tc>
          <w:tcPr>
            <w:tcW w:w="9631" w:type="dxa"/>
            <w:tcBorders/>
            <w:shd w:fill="auto" w:val="clear"/>
            <w:vAlign w:val="center"/>
          </w:tcPr>
          <w:p>
            <w:pPr>
              <w:pStyle w:val="TableContents"/>
              <w:spacing w:before="0" w:after="283"/>
              <w:rPr/>
            </w:pPr>
            <w:r>
              <w:rPr>
                <w:rFonts w:ascii="TimesNewRomanPSMT;Times New Roman;Times;serif" w:hAnsi="TimesNewRomanPSMT;Times New Roman;Times;serif"/>
                <w:sz w:val="20"/>
              </w:rPr>
              <w:t xml:space="preserve">Replay of the outlook call via webcast will be available at: </w:t>
            </w:r>
            <w:r>
              <w:rPr>
                <w:rFonts w:ascii="TimesNewRomanPSMT;Times New Roman;Times;serif" w:hAnsi="TimesNewRomanPSMT;Times New Roman;Times;serif"/>
                <w:color w:val="0000FF"/>
                <w:sz w:val="20"/>
                <w:u w:val="single"/>
              </w:rPr>
              <w:t>www.principal.com/investor</w:t>
            </w:r>
            <w:r>
              <w:rPr>
                <w:rFonts w:ascii="TimesNewRomanPSMT;Times New Roman;Times;serif" w:hAnsi="TimesNewRomanPSMT;Times New Roman;Times;serif"/>
                <w:sz w:val="20"/>
              </w:rPr>
              <w:t>.</w:t>
            </w:r>
            <w:r>
              <w:rPr/>
              <w:t xml:space="preserve"> </w:t>
            </w:r>
          </w:p>
        </w:tc>
      </w:tr>
    </w:tbl>
    <w:p>
      <w:pPr>
        <w:pStyle w:val="TextBody"/>
        <w:jc w:val="left"/>
        <w:rPr>
          <w:rFonts w:ascii="TimesNewRomanPS-BoldMT;Times New Roman;Times;serif" w:hAnsi="TimesNewRomanPS-BoldMT;Times New Roman;Times;serif"/>
          <w:b/>
          <w:sz w:val="20"/>
        </w:rPr>
      </w:pPr>
      <w:r>
        <w:rPr>
          <w:rFonts w:ascii="TimesNewRomanPS-BoldMT;Times New Roman;Times;serif" w:hAnsi="TimesNewRomanPS-BoldMT;Times New Roman;Times;serif"/>
          <w:b/>
          <w:sz w:val="20"/>
        </w:rPr>
        <w:t>Forward looking and cautionary statements</w:t>
      </w:r>
    </w:p>
    <w:p>
      <w:pPr>
        <w:pStyle w:val="TextBody"/>
        <w:jc w:val="left"/>
        <w:rPr>
          <w:rFonts w:ascii="TimesNewRomanPSMT;Times New Roman;Times;serif" w:hAnsi="TimesNewRomanPSMT;Times New Roman;Times;serif"/>
          <w:sz w:val="20"/>
        </w:rPr>
      </w:pPr>
      <w:r>
        <w:rPr>
          <w:rFonts w:ascii="TimesNewRomanPSMT;Times New Roman;Times;serif" w:hAnsi="TimesNewRomanPSMT;Times New Roman;Times;serif"/>
          <w:sz w:val="20"/>
        </w:rPr>
        <w:t>This press release contains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2011, and in the company’s quarterly report on Form 10-Q for the quarter ended Sept. 30, 2012, filed by the company with the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continued difficult conditions in the global capital markets and the economy generally; continued volatility or further declines in the equity markets; changes in interest rates or credit spreads; the company’s investment portfolio is subject to several risks that may diminish the value of its invested assets and the investment returns credited to customers; the company’s valuation of securities may include methodologies, estimations and assumptions that are subject to differing interpretations; the determination of the amount of allowances and impairments taken on the company’s investments requires estimations and assumptions that are subject to differing interpretations; gross unrealized losses may be realized or result in future impairments; competition from companies that may have greater financial resources, broader arrays of products, higher ratings and stronger financial performance; a downgrade in the company’s financial strength or credit ratings; inability to attract and retain sales representatives and develop new distribution sources; international business risks; the company’s actual experience could differ significantly from its pricing and reserving assumptions; the company’s ability to pay stockholder dividends and meet its obligations may be constrained by the limitations on dividends or distributions Iowa insurance laws impose on Principal Life; the pattern of amortizing the company’s DPAC and other actuarial balances on its universal life-type insurance contracts, participating life insurance policies and certain investment contracts may change; the company may need to fund deficiencies in its “Closed Block” assets that support participating ordinary life insurance policies that had a dividend scale in force at the time of Principal Life’s 1998 conversion into a stock life insurance company; the company’s reinsurers could default on their obligations or increase their rates; risks arising from the company's ability to obtain regulatory approval and consummate the acquisition of A.F.P. Cuprum S.A. and from other acquisitions of businesses; changes in laws, regulations or accounting standards; a computer system failure or security breach could disrupt the company’s business, and damage its reputation; results of litigation and regulatory investigations; from time to time the company may become subject to tax audits, tax litigation or similar proceedings, and as a result it may owe additional taxes, interest and penalties in amounts that may be material; fluctuations in foreign currency exchange rates; and applicable laws and the company’s certificate of incorporation and by-laws may discourage takeovers and business combinations that some stockholders might consider in their best interests.</w:t>
      </w:r>
    </w:p>
    <w:p>
      <w:pPr>
        <w:pStyle w:val="HorizontalLine"/>
        <w:pBdr>
          <w:bottom w:val="single" w:sz="12" w:space="0" w:color="808080"/>
        </w:pBdr>
        <w:rPr/>
      </w:pPr>
      <w:r>
        <w:rPr/>
      </w:r>
    </w:p>
    <w:p>
      <w:pPr>
        <w:pStyle w:val="TextBody"/>
        <w:spacing w:before="0" w:after="0"/>
        <w:rPr/>
      </w:pPr>
      <w:r>
        <w:rPr/>
      </w:r>
      <w:bookmarkStart w:id="12" w:name="page_5"/>
      <w:bookmarkStart w:id="13" w:name="page_5"/>
      <w:bookmarkEnd w:id="13"/>
    </w:p>
    <w:tbl>
      <w:tblPr>
        <w:tblW w:w="12136" w:type="dxa"/>
        <w:jc w:val="left"/>
        <w:tblInd w:w="0" w:type="dxa"/>
        <w:tblCellMar>
          <w:top w:w="28" w:type="dxa"/>
          <w:left w:w="28" w:type="dxa"/>
          <w:bottom w:w="28" w:type="dxa"/>
          <w:right w:w="28" w:type="dxa"/>
        </w:tblCellMar>
      </w:tblPr>
      <w:tblGrid>
        <w:gridCol w:w="12136"/>
      </w:tblGrid>
      <w:tr>
        <w:trPr/>
        <w:tc>
          <w:tcPr>
            <w:tcW w:w="12136" w:type="dxa"/>
            <w:tcBorders/>
            <w:shd w:fill="auto" w:val="clear"/>
            <w:vAlign w:val="center"/>
          </w:tcPr>
          <w:p>
            <w:pPr>
              <w:pStyle w:val="TableContents"/>
              <w:spacing w:before="0" w:after="283"/>
              <w:ind w:left="0" w:right="0" w:hanging="0"/>
              <w:rPr>
                <w:sz w:val="4"/>
                <w:szCs w:val="4"/>
              </w:rPr>
            </w:pPr>
            <w:r>
              <w:rPr>
                <w:sz w:val="4"/>
                <w:szCs w:val="4"/>
              </w:rPr>
            </w:r>
          </w:p>
        </w:tc>
      </w:tr>
      <w:tr>
        <w:trPr/>
        <w:tc>
          <w:tcPr>
            <w:tcW w:w="12136" w:type="dxa"/>
            <w:tcBorders/>
            <w:shd w:fill="auto" w:val="clear"/>
            <w:vAlign w:val="bottom"/>
          </w:tcPr>
          <w:p>
            <w:pPr>
              <w:pStyle w:val="TableContents"/>
              <w:spacing w:before="0" w:after="283"/>
              <w:ind w:left="0" w:right="0" w:hanging="0"/>
              <w:jc w:val="left"/>
              <w:rPr/>
            </w:pPr>
            <w:r>
              <w:rPr>
                <w:rFonts w:ascii="TimesNewRomanPS-BoldMT;Times New Roman;Times;serif" w:hAnsi="TimesNewRomanPS-BoldMT;Times New Roman;Times;serif"/>
                <w:b/>
                <w:sz w:val="20"/>
              </w:rPr>
              <w:t>About the Principal Financial Group</w:t>
            </w:r>
            <w:r>
              <w:rPr/>
              <w:t> </w:t>
            </w:r>
          </w:p>
        </w:tc>
      </w:tr>
      <w:tr>
        <w:trPr/>
        <w:tc>
          <w:tcPr>
            <w:tcW w:w="121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The Principal Financial Group</w:t>
            </w:r>
            <w:r>
              <w:rPr>
                <w:rFonts w:ascii="TimesNewRomanPSMT;Times New Roman;Times;serif" w:hAnsi="TimesNewRomanPSMT;Times New Roman;Times;serif"/>
                <w:position w:val="7"/>
                <w:sz w:val="16"/>
                <w:sz w:val="20"/>
              </w:rPr>
              <w:t xml:space="preserve">® </w:t>
            </w:r>
            <w:r>
              <w:rPr>
                <w:rFonts w:ascii="TimesNewRomanPSMT;Times New Roman;Times;serif" w:hAnsi="TimesNewRomanPSMT;Times New Roman;Times;serif"/>
                <w:sz w:val="20"/>
              </w:rPr>
              <w:t xml:space="preserve">(The Principal </w:t>
            </w:r>
            <w:r>
              <w:rPr>
                <w:rFonts w:ascii="TimesNewRomanPSMT;Times New Roman;Times;serif" w:hAnsi="TimesNewRomanPSMT;Times New Roman;Times;serif"/>
                <w:position w:val="7"/>
                <w:sz w:val="16"/>
                <w:sz w:val="20"/>
              </w:rPr>
              <w:t>®</w:t>
            </w:r>
            <w:r>
              <w:rPr>
                <w:rFonts w:ascii="TimesNewRomanPSMT;Times New Roman;Times;serif" w:hAnsi="TimesNewRomanPSMT;Times New Roman;Times;serif"/>
                <w:sz w:val="20"/>
              </w:rPr>
              <w:t>)</w:t>
            </w:r>
            <w:r>
              <w:rPr>
                <w:rFonts w:ascii="TimesNewRomanPSMT;Times New Roman;Times;serif" w:hAnsi="TimesNewRomanPSMT;Times New Roman;Times;serif"/>
                <w:position w:val="7"/>
                <w:sz w:val="16"/>
                <w:sz w:val="20"/>
              </w:rPr>
              <w:t xml:space="preserve">ii </w:t>
            </w:r>
            <w:r>
              <w:rPr>
                <w:rFonts w:ascii="TimesNewRomanPSMT;Times New Roman;Times;serif" w:hAnsi="TimesNewRomanPSMT;Times New Roman;Times;serif"/>
                <w:sz w:val="20"/>
              </w:rPr>
              <w:t>is a global investment management leader offering retirement services,</w:t>
            </w:r>
            <w:r>
              <w:rPr/>
              <w:t> </w:t>
            </w:r>
          </w:p>
        </w:tc>
      </w:tr>
      <w:tr>
        <w:trPr/>
        <w:tc>
          <w:tcPr>
            <w:tcW w:w="121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insurance solutions and asset management. The Principal offers businesses, individuals and institutional clients a wide</w:t>
            </w:r>
            <w:r>
              <w:rPr/>
              <w:t> </w:t>
            </w:r>
          </w:p>
        </w:tc>
      </w:tr>
      <w:tr>
        <w:trPr/>
        <w:tc>
          <w:tcPr>
            <w:tcW w:w="12136"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range of financial products and services, including retirement, asset management and insurance through its diverse family</w:t>
            </w:r>
            <w:r>
              <w:rPr/>
              <w:t> </w:t>
            </w:r>
          </w:p>
        </w:tc>
      </w:tr>
      <w:tr>
        <w:trPr/>
        <w:tc>
          <w:tcPr>
            <w:tcW w:w="121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of financial services companies. Founded in 1879 and a member of the FORTUNE 500</w:t>
            </w:r>
            <w:r>
              <w:rPr>
                <w:rFonts w:ascii="TimesNewRomanPSMT;Times New Roman;Times;serif" w:hAnsi="TimesNewRomanPSMT;Times New Roman;Times;serif"/>
                <w:position w:val="7"/>
                <w:sz w:val="16"/>
                <w:sz w:val="20"/>
              </w:rPr>
              <w:t>®</w:t>
            </w:r>
            <w:r>
              <w:rPr>
                <w:rFonts w:ascii="TimesNewRomanPSMT;Times New Roman;Times;serif" w:hAnsi="TimesNewRomanPSMT;Times New Roman;Times;serif"/>
                <w:sz w:val="20"/>
              </w:rPr>
              <w:t>, the Principal Financial Group</w:t>
            </w:r>
            <w:r>
              <w:rPr/>
              <w:t> </w:t>
            </w:r>
          </w:p>
        </w:tc>
      </w:tr>
      <w:tr>
        <w:trPr/>
        <w:tc>
          <w:tcPr>
            <w:tcW w:w="121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has $392.2 billion in assets under management</w:t>
            </w:r>
            <w:r>
              <w:rPr>
                <w:rFonts w:ascii="TimesNewRomanPSMT;Times New Roman;Times;serif" w:hAnsi="TimesNewRomanPSMT;Times New Roman;Times;serif"/>
                <w:position w:val="7"/>
                <w:sz w:val="16"/>
                <w:sz w:val="20"/>
              </w:rPr>
              <w:t xml:space="preserve">iii </w:t>
            </w:r>
            <w:r>
              <w:rPr>
                <w:rFonts w:ascii="TimesNewRomanPSMT;Times New Roman;Times;serif" w:hAnsi="TimesNewRomanPSMT;Times New Roman;Times;serif"/>
                <w:sz w:val="20"/>
              </w:rPr>
              <w:t>and serves some 18.3 million customers worldwide from offices in Asia,</w:t>
            </w:r>
            <w:r>
              <w:rPr/>
              <w:t> </w:t>
            </w:r>
          </w:p>
        </w:tc>
      </w:tr>
      <w:tr>
        <w:trPr/>
        <w:tc>
          <w:tcPr>
            <w:tcW w:w="12136"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20"/>
              </w:rPr>
              <w:t>Australia, Europe, Latin America and the United States. Principal Financial Group, Inc. is traded on the New York Stock</w:t>
            </w:r>
            <w:r>
              <w:rPr/>
              <w:t> </w:t>
            </w:r>
          </w:p>
        </w:tc>
      </w:tr>
      <w:tr>
        <w:trPr/>
        <w:tc>
          <w:tcPr>
            <w:tcW w:w="12136" w:type="dxa"/>
            <w:tcBorders/>
            <w:shd w:fill="auto" w:val="clear"/>
            <w:vAlign w:val="bottom"/>
          </w:tcPr>
          <w:p>
            <w:pPr>
              <w:pStyle w:val="TableContents"/>
              <w:spacing w:before="0" w:after="283"/>
              <w:jc w:val="left"/>
              <w:rPr/>
            </w:pPr>
            <w:r>
              <w:rPr>
                <w:rFonts w:ascii="TimesNewRomanPSMT;Times New Roman;Times;serif" w:hAnsi="TimesNewRomanPSMT;Times New Roman;Times;serif"/>
                <w:sz w:val="20"/>
              </w:rPr>
              <w:t xml:space="preserve">Exchange under the ticker symbol PFG. For more information, visit </w:t>
            </w:r>
            <w:r>
              <w:rPr>
                <w:rFonts w:ascii="TimesNewRomanPSMT;Times New Roman;Times;serif" w:hAnsi="TimesNewRomanPSMT;Times New Roman;Times;serif"/>
                <w:color w:val="0000FF"/>
                <w:sz w:val="20"/>
              </w:rPr>
              <w:t>www.principal.com</w:t>
            </w:r>
            <w:r>
              <w:rPr>
                <w:rFonts w:ascii="TimesNewRomanPSMT;Times New Roman;Times;serif" w:hAnsi="TimesNewRomanPSMT;Times New Roman;Times;serif"/>
                <w:sz w:val="20"/>
              </w:rPr>
              <w:t>.</w:t>
            </w:r>
            <w:r>
              <w:rPr/>
              <w:t> </w:t>
            </w:r>
          </w:p>
        </w:tc>
      </w:tr>
    </w:tbl>
    <w:p>
      <w:pPr>
        <w:pStyle w:val="TextBody"/>
        <w:spacing w:before="0" w:after="0"/>
        <w:ind w:left="0" w:right="0" w:hanging="0"/>
        <w:rPr/>
      </w:pPr>
      <w:r>
        <w:rPr/>
        <w:t> </w:t>
      </w:r>
    </w:p>
    <w:tbl>
      <w:tblPr>
        <w:tblW w:w="661" w:type="dxa"/>
        <w:jc w:val="left"/>
        <w:tblInd w:w="0" w:type="dxa"/>
        <w:tblCellMar>
          <w:top w:w="28" w:type="dxa"/>
          <w:left w:w="28" w:type="dxa"/>
          <w:bottom w:w="28" w:type="dxa"/>
          <w:right w:w="28" w:type="dxa"/>
        </w:tblCellMar>
      </w:tblPr>
      <w:tblGrid>
        <w:gridCol w:w="661"/>
      </w:tblGrid>
      <w:tr>
        <w:trPr/>
        <w:tc>
          <w:tcPr>
            <w:tcW w:w="661" w:type="dxa"/>
            <w:tcBorders/>
            <w:shd w:fill="auto" w:val="clear"/>
            <w:vAlign w:val="center"/>
          </w:tcPr>
          <w:p>
            <w:pPr>
              <w:pStyle w:val="TableContents"/>
              <w:spacing w:before="0" w:after="283"/>
              <w:jc w:val="center"/>
              <w:rPr>
                <w:rFonts w:ascii="TimesNewRomanPSMT;Times New Roman;Times;serif" w:hAnsi="TimesNewRomanPSMT;Times New Roman;Times;serif"/>
                <w:sz w:val="20"/>
              </w:rPr>
            </w:pPr>
            <w:r>
              <w:rPr>
                <w:rFonts w:ascii="TimesNewRomanPSMT;Times New Roman;Times;serif" w:hAnsi="TimesNewRomanPSMT;Times New Roman;Times;serif"/>
                <w:sz w:val="20"/>
              </w:rPr>
              <w:t>###</w:t>
            </w:r>
          </w:p>
        </w:tc>
      </w:tr>
    </w:tbl>
    <w:tbl>
      <w:tblPr>
        <w:tblW w:w="11551" w:type="dxa"/>
        <w:jc w:val="left"/>
        <w:tblInd w:w="0" w:type="dxa"/>
        <w:tblCellMar>
          <w:top w:w="28" w:type="dxa"/>
          <w:left w:w="28" w:type="dxa"/>
          <w:bottom w:w="28" w:type="dxa"/>
          <w:right w:w="28" w:type="dxa"/>
        </w:tblCellMar>
      </w:tblPr>
      <w:tblGrid>
        <w:gridCol w:w="11551"/>
      </w:tblGrid>
      <w:tr>
        <w:trPr/>
        <w:tc>
          <w:tcPr>
            <w:tcW w:w="11551" w:type="dxa"/>
            <w:tcBorders/>
            <w:shd w:fill="auto" w:val="clear"/>
            <w:vAlign w:val="center"/>
          </w:tcPr>
          <w:p>
            <w:pPr>
              <w:pStyle w:val="TableContents"/>
              <w:spacing w:before="0" w:after="283"/>
              <w:ind w:left="0" w:right="0" w:hanging="0"/>
              <w:rPr/>
            </w:pPr>
            <w:r>
              <w:rPr/>
              <w:t>________________________</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position w:val="5"/>
                <w:sz w:val="11"/>
                <w:sz w:val="14"/>
              </w:rPr>
              <w:t xml:space="preserve">i </w:t>
            </w:r>
            <w:r>
              <w:rPr>
                <w:rFonts w:ascii="TimesNewRomanPSMT;Times New Roman;Times;serif" w:hAnsi="TimesNewRomanPSMT;Times New Roman;Times;serif"/>
                <w:sz w:val="14"/>
              </w:rPr>
              <w:t>In this presentation, the company provides outlook on certain metrics that impact operating earnings (losses) and earnings growth. Operating earnings is a</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non-GAAP financial measure that management believes is useful to investors because it illustrates the performance of normal, ongoing operations. Operating</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earnings are determined by adjusting GAAP net income available to common stockholders for net realized capital gains and losses, as adjusted, and other</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after-tax adjustments the company believes are not indicative of overall operating trends. However, it is possible these adjusting items have occurred in the</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past and could recur in future reporting periods. Management uses non-GAAP measures for goal setting, as a basis for determining employee compensation,</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and evaluating performance on a basis comparable to that used by investors and securities analysts. A reconciliation of the non-GAAP measures to the most</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directly comparable GAAP measures is not accessible on a forward-looking basis because the company does not believe it is possible to provide other than a</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range of net investment gains and losses, which can fluctuate significantly within or without the range and from period to period and may have a significant</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impact on GAAP net income available to common stockholders.</w:t>
            </w:r>
            <w:r>
              <w:rPr/>
              <w:t> </w:t>
            </w:r>
          </w:p>
        </w:tc>
      </w:tr>
      <w:tr>
        <w:trPr/>
        <w:tc>
          <w:tcPr>
            <w:tcW w:w="11551" w:type="dxa"/>
            <w:tcBorders/>
            <w:shd w:fill="auto" w:val="clear"/>
            <w:vAlign w:val="bottom"/>
          </w:tcPr>
          <w:p>
            <w:pPr>
              <w:pStyle w:val="TableContents"/>
              <w:spacing w:before="0" w:after="283"/>
              <w:jc w:val="left"/>
              <w:rPr/>
            </w:pPr>
            <w:r>
              <w:rPr>
                <w:rFonts w:ascii="TimesNewRomanPSMT;Times New Roman;Times;serif" w:hAnsi="TimesNewRomanPSMT;Times New Roman;Times;serif"/>
                <w:position w:val="5"/>
                <w:sz w:val="11"/>
                <w:sz w:val="14"/>
              </w:rPr>
              <w:t xml:space="preserve">ii </w:t>
            </w:r>
            <w:r>
              <w:rPr/>
              <w:t>“</w:t>
            </w:r>
            <w:r>
              <w:rPr>
                <w:rFonts w:ascii="TimesNewRomanPSMT;Times New Roman;Times;serif" w:hAnsi="TimesNewRomanPSMT;Times New Roman;Times;serif"/>
                <w:sz w:val="14"/>
              </w:rPr>
              <w:t>The Principal Financial Group” and “The Principal” are registered service marks of Principal Financial Services, Inc., a member of the Principal Financial</w:t>
            </w:r>
            <w:r>
              <w:rPr/>
              <w:t> </w:t>
            </w:r>
          </w:p>
        </w:tc>
      </w:tr>
      <w:tr>
        <w:trPr/>
        <w:tc>
          <w:tcPr>
            <w:tcW w:w="11551" w:type="dxa"/>
            <w:tcBorders/>
            <w:shd w:fill="auto" w:val="clear"/>
            <w:vAlign w:val="bottom"/>
          </w:tcPr>
          <w:p>
            <w:pPr>
              <w:pStyle w:val="TableContents"/>
              <w:spacing w:before="0" w:after="283"/>
              <w:ind w:left="0" w:right="0" w:hanging="0"/>
              <w:jc w:val="left"/>
              <w:rPr/>
            </w:pPr>
            <w:r>
              <w:rPr>
                <w:rFonts w:ascii="TimesNewRomanPSMT;Times New Roman;Times;serif" w:hAnsi="TimesNewRomanPSMT;Times New Roman;Times;serif"/>
                <w:sz w:val="14"/>
              </w:rPr>
              <w:t>Group.</w:t>
            </w:r>
            <w:r>
              <w:rPr/>
              <w:t> </w:t>
            </w:r>
          </w:p>
        </w:tc>
      </w:tr>
      <w:tr>
        <w:trPr/>
        <w:tc>
          <w:tcPr>
            <w:tcW w:w="11551" w:type="dxa"/>
            <w:tcBorders/>
            <w:shd w:fill="auto" w:val="clear"/>
            <w:vAlign w:val="bottom"/>
          </w:tcPr>
          <w:p>
            <w:pPr>
              <w:pStyle w:val="TableContents"/>
              <w:spacing w:before="0" w:after="283"/>
              <w:jc w:val="left"/>
              <w:rPr/>
            </w:pPr>
            <w:r>
              <w:rPr>
                <w:rFonts w:ascii="TimesNewRomanPSMT;Times New Roman;Times;serif" w:hAnsi="TimesNewRomanPSMT;Times New Roman;Times;serif"/>
                <w:position w:val="5"/>
                <w:sz w:val="11"/>
                <w:sz w:val="14"/>
              </w:rPr>
              <w:t xml:space="preserve">iii </w:t>
            </w:r>
            <w:r>
              <w:rPr>
                <w:rFonts w:ascii="TimesNewRomanPSMT;Times New Roman;Times;serif" w:hAnsi="TimesNewRomanPSMT;Times New Roman;Times;serif"/>
                <w:sz w:val="14"/>
              </w:rPr>
              <w:t>As of Sept. 30, 2012</w:t>
            </w:r>
            <w:r>
              <w:rPr/>
              <w:t> </w:t>
            </w:r>
          </w:p>
        </w:tc>
      </w:tr>
    </w:tbl>
    <w:p>
      <w:pPr>
        <w:pStyle w:val="TextBody"/>
        <w:spacing w:before="0" w:after="0"/>
        <w:ind w:left="0" w:right="0" w:hanging="0"/>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NewRomanPS-BoldMT">
    <w:altName w:val="Times New Roman"/>
    <w:charset w:val="00"/>
    <w:family w:val="auto"/>
    <w:pitch w:val="default"/>
  </w:font>
  <w:font w:name="TimesNewRomanPSMT">
    <w:altName w:val="Times New Roman"/>
    <w:charset w:val="00"/>
    <w:family w:val="auto"/>
    <w:pitch w:val="default"/>
  </w:font>
  <w:font w:name="CourierNewPSMT">
    <w:altName w:val="Courier New"/>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1708</Words>
  <CharactersWithSpaces>11797</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outlook20131.htm - Generated by SEC Publisher for SEC Filing</dc:title>
</cp:coreProperties>
</file>